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charts/chart10.xml" ContentType="application/vnd.openxmlformats-officedocument.drawingml.chart+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14.xml" ContentType="application/vnd.openxmlformats-officedocument.wordprocessingml.header+xml"/>
  <Override PartName="/word/theme/themeOverride1.xml" ContentType="application/vnd.openxmlformats-officedocument.themeOverride+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charts/chart9.xml" ContentType="application/vnd.openxmlformats-officedocument.drawingml.chart+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charts/chart7.xml" ContentType="application/vnd.openxmlformats-officedocument.drawingml.chart+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fontTable.xml" ContentType="application/vnd.openxmlformats-officedocument.wordprocessingml.fontTable+xml"/>
  <Override PartName="/word/charts/colors2.xml" ContentType="application/vnd.ms-office.chartcolorstyle+xml"/>
  <Override PartName="/word/charts/colors1.xml" ContentType="application/vnd.ms-office.chartcolorsty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charts/style2.xml" ContentType="application/vnd.ms-office.chartstyle+xml"/>
  <Override PartName="/word/charts/style1.xml" ContentType="application/vnd.ms-office.chartstyle+xml"/>
  <Override PartName="/word/header19.xml" ContentType="application/vnd.openxmlformats-officedocument.wordprocessingml.header+xml"/>
  <Override PartName="/word/header28.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Default Extension="emf" ContentType="image/x-emf"/>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charts/chart8.xml" ContentType="application/vnd.openxmlformats-officedocument.drawingml.chart+xml"/>
  <Override PartName="/word/header22.xml" ContentType="application/vnd.openxmlformats-officedocument.wordprocessingml.head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header2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906" w:rsidRPr="00D11A5A" w:rsidRDefault="00A50906" w:rsidP="008A1C91">
      <w:pPr>
        <w:pStyle w:val="References"/>
        <w:rPr>
          <w:lang w:val="en-AU"/>
        </w:rPr>
      </w:pPr>
    </w:p>
    <w:p w:rsidR="00A50906" w:rsidRPr="00D11A5A" w:rsidRDefault="00A50906" w:rsidP="008A1C91">
      <w:pPr>
        <w:pStyle w:val="References"/>
        <w:rPr>
          <w:lang w:val="en-AU"/>
        </w:rPr>
      </w:pPr>
    </w:p>
    <w:p w:rsidR="00A50906" w:rsidRPr="00D11A5A" w:rsidRDefault="00A50906" w:rsidP="008A1C91">
      <w:pPr>
        <w:pStyle w:val="References"/>
        <w:rPr>
          <w:lang w:val="en-AU"/>
        </w:rPr>
      </w:pPr>
    </w:p>
    <w:p w:rsidR="00796887" w:rsidRPr="00D11A5A" w:rsidRDefault="00796887" w:rsidP="008A1C91">
      <w:pPr>
        <w:pStyle w:val="References"/>
        <w:rPr>
          <w:lang w:val="en-AU"/>
        </w:rPr>
      </w:pPr>
    </w:p>
    <w:p w:rsidR="00796887" w:rsidRPr="00D11A5A" w:rsidRDefault="00E2593B" w:rsidP="008A1C91">
      <w:pPr>
        <w:pStyle w:val="References"/>
        <w:rPr>
          <w:lang w:val="en-AU"/>
        </w:rPr>
      </w:pPr>
      <w:r w:rsidRPr="00E2593B">
        <w:rPr>
          <w:bCs/>
          <w:noProof/>
          <w:lang w:val="en-AU" w:eastAsia="en-AU"/>
        </w:rPr>
        <w:pict>
          <v:shapetype id="_x0000_t202" coordsize="21600,21600" o:spt="202" path="m,l,21600r21600,l21600,xe">
            <v:stroke joinstyle="miter"/>
            <v:path gradientshapeok="t" o:connecttype="rect"/>
          </v:shapetype>
          <v:shape id="Text Box 2" o:spid="_x0000_s1026" type="#_x0000_t202" style="position:absolute;left:0;text-align:left;margin-left:92.9pt;margin-top:299.45pt;width:322.45pt;height:2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" stroked="f">
            <v:textbox>
              <w:txbxContent>
                <w:p w:rsidR="00730410" w:rsidRPr="001D1B79" w:rsidRDefault="00730410" w:rsidP="009334E1">
                  <w:pPr>
                    <w:pStyle w:val="CoverInquiry"/>
                    <w:rPr>
                      <w:b w:val="0"/>
                      <w:sz w:val="32"/>
                      <w:szCs w:val="32"/>
                    </w:rPr>
                  </w:pPr>
                  <w:r w:rsidRPr="001D1B79">
                    <w:rPr>
                      <w:b w:val="0"/>
                      <w:sz w:val="32"/>
                      <w:szCs w:val="32"/>
                    </w:rPr>
                    <w:t>Issues Paper: Framework and Approach</w:t>
                  </w:r>
                </w:p>
                <w:p w:rsidR="00730410" w:rsidRDefault="00730410" w:rsidP="00700C93">
                  <w:pPr>
                    <w:pStyle w:val="CoverReport"/>
                    <w:rPr>
                      <w:b/>
                      <w:sz w:val="48"/>
                      <w:szCs w:val="48"/>
                    </w:rPr>
                  </w:pPr>
                  <w:r w:rsidRPr="00882A73">
                    <w:rPr>
                      <w:b/>
                      <w:sz w:val="48"/>
                      <w:szCs w:val="48"/>
                    </w:rPr>
                    <w:t>Standing offer prices for the supply of electricity to small customers from 1 July 2017</w:t>
                  </w:r>
                  <w:bookmarkStart w:id="0" w:name="_Toc265597563"/>
                </w:p>
                <w:p w:rsidR="00730410" w:rsidRDefault="00730410" w:rsidP="00700C93">
                  <w:pPr>
                    <w:pStyle w:val="CoverReport"/>
                    <w:rPr>
                      <w:rStyle w:val="Bold"/>
                    </w:rPr>
                  </w:pPr>
                </w:p>
                <w:p w:rsidR="00730410" w:rsidRPr="00E729F4" w:rsidRDefault="00730410" w:rsidP="00287869">
                  <w:pPr>
                    <w:pStyle w:val="CoverReportNumMonth"/>
                    <w:rPr>
                      <w:rStyle w:val="Bold"/>
                    </w:rPr>
                  </w:pPr>
                  <w:r w:rsidRPr="00E729F4">
                    <w:rPr>
                      <w:rStyle w:val="Bold"/>
                    </w:rPr>
                    <w:t xml:space="preserve">Report </w:t>
                  </w:r>
                  <w:r w:rsidR="00502526">
                    <w:rPr>
                      <w:rStyle w:val="Bold"/>
                    </w:rPr>
                    <w:t>7</w:t>
                  </w:r>
                  <w:bookmarkStart w:id="1" w:name="_GoBack"/>
                  <w:bookmarkEnd w:id="1"/>
                  <w:r w:rsidRPr="00E729F4">
                    <w:rPr>
                      <w:rStyle w:val="Bold"/>
                    </w:rPr>
                    <w:t xml:space="preserve"> of 201</w:t>
                  </w:r>
                  <w:r>
                    <w:rPr>
                      <w:rStyle w:val="Bold"/>
                    </w:rPr>
                    <w:t>6</w:t>
                  </w:r>
                  <w:r w:rsidRPr="00E729F4">
                    <w:rPr>
                      <w:rStyle w:val="Bold"/>
                    </w:rPr>
                    <w:t xml:space="preserve">, </w:t>
                  </w:r>
                  <w:r>
                    <w:rPr>
                      <w:rStyle w:val="Bold"/>
                    </w:rPr>
                    <w:t xml:space="preserve">October </w:t>
                  </w:r>
                  <w:r w:rsidRPr="00E729F4">
                    <w:rPr>
                      <w:rStyle w:val="Bold"/>
                    </w:rPr>
                    <w:t>201</w:t>
                  </w:r>
                  <w:bookmarkEnd w:id="0"/>
                  <w:r>
                    <w:rPr>
                      <w:rStyle w:val="Bold"/>
                    </w:rPr>
                    <w:t>6</w:t>
                  </w:r>
                </w:p>
              </w:txbxContent>
            </v:textbox>
          </v:shape>
        </w:pict>
      </w:r>
    </w:p>
    <w:p w:rsidR="00796887" w:rsidRPr="004A66E2" w:rsidRDefault="00796887" w:rsidP="008A1C91">
      <w:pPr>
        <w:pStyle w:val="References"/>
        <w:sectPr w:rsidR="00796887" w:rsidRPr="004A66E2" w:rsidSect="00662C7A">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2268" w:right="2098" w:bottom="1701" w:left="2098" w:header="578" w:footer="578" w:gutter="0"/>
          <w:pgNumType w:fmt="lowerRoman" w:start="1"/>
          <w:cols w:space="720"/>
          <w:titlePg/>
          <w:docGrid w:linePitch="299"/>
        </w:sectPr>
      </w:pPr>
      <w:bookmarkStart w:id="2" w:name="_Toc27649604"/>
      <w:bookmarkStart w:id="3" w:name="_Toc43786474"/>
      <w:bookmarkStart w:id="4" w:name="_Toc44217184"/>
    </w:p>
    <w:p w:rsidR="000721C4" w:rsidRPr="00B5530C" w:rsidRDefault="000721C4" w:rsidP="0088522D">
      <w:pPr>
        <w:pStyle w:val="References"/>
        <w:jc w:val="center"/>
      </w:pPr>
      <w:bookmarkStart w:id="5" w:name="_Toc44217186"/>
      <w:bookmarkStart w:id="6" w:name="_Toc118359366"/>
      <w:bookmarkEnd w:id="2"/>
      <w:bookmarkEnd w:id="3"/>
      <w:bookmarkEnd w:id="4"/>
      <w:r w:rsidRPr="00B5530C">
        <w:lastRenderedPageBreak/>
        <w:t xml:space="preserve">The Independent Competition and Regulatory Commission is a Territory Authority established under the </w:t>
      </w:r>
      <w:r w:rsidRPr="00C04AA0">
        <w:rPr>
          <w:rStyle w:val="Italic"/>
        </w:rPr>
        <w:t>Independent Competition and Regulatory Commission Act 1997</w:t>
      </w:r>
      <w:r w:rsidRPr="00B5530C">
        <w:t xml:space="preserve"> (</w:t>
      </w:r>
      <w:r w:rsidR="00C04AA0">
        <w:t xml:space="preserve">the </w:t>
      </w:r>
      <w:r w:rsidRPr="00B5530C">
        <w:t>ICRC Act). The Commission is constituted under the ICRC Act by one or more standing</w:t>
      </w:r>
      <w:r w:rsidR="00767AA8">
        <w:t xml:space="preserve"> commissioners and </w:t>
      </w:r>
      <w:r w:rsidRPr="00B5530C">
        <w:t xml:space="preserve">any associated commissioners appointed for particular purposes. </w:t>
      </w:r>
      <w:r w:rsidR="009E0EE0" w:rsidRPr="00B5530C">
        <w:t>Commissioners are statutory appointments</w:t>
      </w:r>
      <w:r w:rsidR="009E0EE0">
        <w:t xml:space="preserve">. Joe Dimasi is the current Senior </w:t>
      </w:r>
      <w:r w:rsidR="009E0EE0" w:rsidRPr="00B5530C">
        <w:t>Commissioner who constitute</w:t>
      </w:r>
      <w:r w:rsidR="009E0EE0">
        <w:t>s</w:t>
      </w:r>
      <w:r w:rsidR="009E0EE0" w:rsidRPr="00B5530C">
        <w:t xml:space="preserve"> the Commission</w:t>
      </w:r>
      <w:r w:rsidR="009E0EE0">
        <w:t xml:space="preserve"> and </w:t>
      </w:r>
      <w:r w:rsidR="009E0EE0" w:rsidRPr="00B5530C">
        <w:t>take</w:t>
      </w:r>
      <w:r w:rsidR="009E0EE0">
        <w:t>s</w:t>
      </w:r>
      <w:r w:rsidR="009E0EE0" w:rsidRPr="00B5530C">
        <w:t xml:space="preserve"> direct responsibility for delivery of the outcomes of the Commission.</w:t>
      </w:r>
    </w:p>
    <w:p w:rsidR="000721C4" w:rsidRPr="00B5530C" w:rsidRDefault="00085D96" w:rsidP="0088522D">
      <w:pPr>
        <w:pStyle w:val="References"/>
        <w:jc w:val="center"/>
      </w:pPr>
      <w:r>
        <w:t>The Commission</w:t>
      </w:r>
      <w:r w:rsidR="000721C4" w:rsidRPr="00B5530C">
        <w:t xml:space="preserve"> ha</w:t>
      </w:r>
      <w:r>
        <w:t>s</w:t>
      </w:r>
      <w:r w:rsidR="000721C4" w:rsidRPr="00B5530C">
        <w:t xml:space="preserve"> responsibilities for a broad range of regulatory and utility administrative matters. </w:t>
      </w:r>
      <w:r>
        <w:t>The Commission</w:t>
      </w:r>
      <w:r w:rsidR="000721C4" w:rsidRPr="00B5530C">
        <w:t xml:space="preserve"> ha</w:t>
      </w:r>
      <w:r>
        <w:t>s</w:t>
      </w:r>
      <w:r w:rsidR="000721C4" w:rsidRPr="00B5530C">
        <w:t xml:space="preserve"> responsibility under the ICRC Act for regulating and advising government about pricing and other matters for monopoly, near-monopoly and ministerially declared regulated industries, </w:t>
      </w:r>
      <w:r w:rsidR="000271A9">
        <w:t xml:space="preserve">and </w:t>
      </w:r>
      <w:r w:rsidR="000721C4" w:rsidRPr="00B5530C">
        <w:t xml:space="preserve">providing advice on competitive neutrality complaints and government-regulated activities. </w:t>
      </w:r>
      <w:r>
        <w:t xml:space="preserve">The Commission </w:t>
      </w:r>
      <w:r w:rsidR="000721C4" w:rsidRPr="00B5530C">
        <w:t>also ha</w:t>
      </w:r>
      <w:r>
        <w:t>s</w:t>
      </w:r>
      <w:r w:rsidR="000721C4" w:rsidRPr="00B5530C">
        <w:t xml:space="preserve"> responsibility for arbitrating infrastructure access disputes under the ICRC Act. In discharging </w:t>
      </w:r>
      <w:r w:rsidR="00C85DC5">
        <w:t xml:space="preserve">its </w:t>
      </w:r>
      <w:r w:rsidR="000721C4" w:rsidRPr="00B5530C">
        <w:t xml:space="preserve">objectives and functions, </w:t>
      </w:r>
      <w:r>
        <w:t xml:space="preserve">the Commission </w:t>
      </w:r>
      <w:r w:rsidR="000721C4" w:rsidRPr="00B5530C">
        <w:t>provide</w:t>
      </w:r>
      <w:r>
        <w:t>s</w:t>
      </w:r>
      <w:r w:rsidR="000721C4" w:rsidRPr="00B5530C">
        <w:t xml:space="preserve"> independent robust analysis and advice.</w:t>
      </w:r>
    </w:p>
    <w:p w:rsidR="000721C4" w:rsidRPr="00B5530C" w:rsidRDefault="00085D96" w:rsidP="0088522D">
      <w:pPr>
        <w:pStyle w:val="References"/>
        <w:jc w:val="center"/>
      </w:pPr>
      <w:r>
        <w:t>The Commission’s</w:t>
      </w:r>
      <w:r w:rsidR="000721C4" w:rsidRPr="00B5530C">
        <w:t xml:space="preserve"> objectives are set out in section 7 of the ICRC Act and section 3 of the </w:t>
      </w:r>
      <w:r w:rsidR="000721C4" w:rsidRPr="0036790F">
        <w:rPr>
          <w:i/>
        </w:rPr>
        <w:t>Utilities</w:t>
      </w:r>
      <w:r w:rsidR="0036790F">
        <w:rPr>
          <w:i/>
        </w:rPr>
        <w:t> </w:t>
      </w:r>
      <w:r w:rsidR="000721C4" w:rsidRPr="0036790F">
        <w:rPr>
          <w:i/>
        </w:rPr>
        <w:t>Act</w:t>
      </w:r>
      <w:r w:rsidR="0036790F">
        <w:rPr>
          <w:i/>
        </w:rPr>
        <w:t> </w:t>
      </w:r>
      <w:r w:rsidR="0036790F" w:rsidRPr="0036790F">
        <w:rPr>
          <w:i/>
        </w:rPr>
        <w:t>2000</w:t>
      </w:r>
      <w:r w:rsidR="000721C4" w:rsidRPr="00B5530C">
        <w:t>.</w:t>
      </w:r>
    </w:p>
    <w:p w:rsidR="000721C4" w:rsidRPr="00B5530C" w:rsidRDefault="000721C4" w:rsidP="0088522D">
      <w:pPr>
        <w:pStyle w:val="References"/>
        <w:jc w:val="center"/>
      </w:pPr>
      <w:r w:rsidRPr="00B5530C">
        <w:t xml:space="preserve">Correspondence or other inquiries may be directed to </w:t>
      </w:r>
      <w:r w:rsidR="00B2762C">
        <w:t>the Commission</w:t>
      </w:r>
      <w:r w:rsidRPr="00B5530C">
        <w:t xml:space="preserve"> at the </w:t>
      </w:r>
      <w:r w:rsidR="00314A3B">
        <w:t xml:space="preserve">following </w:t>
      </w:r>
      <w:r w:rsidRPr="00B5530C">
        <w:t>addresses:</w:t>
      </w:r>
    </w:p>
    <w:p w:rsidR="000721C4" w:rsidRPr="00B5530C" w:rsidRDefault="000721C4" w:rsidP="0088522D">
      <w:pPr>
        <w:pStyle w:val="References"/>
        <w:jc w:val="center"/>
      </w:pPr>
      <w:r w:rsidRPr="00B5530C">
        <w:t>Independent Competition and Regulatory Commission</w:t>
      </w:r>
      <w:r w:rsidRPr="00B5530C">
        <w:br/>
        <w:t>PO Box 161</w:t>
      </w:r>
      <w:r w:rsidRPr="00B5530C">
        <w:br/>
        <w:t>Civic Square ACT 2608</w:t>
      </w:r>
    </w:p>
    <w:p w:rsidR="000721C4" w:rsidRPr="00B5530C" w:rsidRDefault="000721C4" w:rsidP="00CB3582">
      <w:pPr>
        <w:pStyle w:val="References"/>
        <w:jc w:val="center"/>
      </w:pPr>
      <w:r w:rsidRPr="00B5530C">
        <w:t>Level 8</w:t>
      </w:r>
      <w:r w:rsidRPr="00B5530C">
        <w:br/>
        <w:t>221 London Circuit</w:t>
      </w:r>
      <w:r w:rsidRPr="00B5530C">
        <w:br/>
        <w:t>Canberra ACT 2601</w:t>
      </w:r>
    </w:p>
    <w:p w:rsidR="000721C4" w:rsidRDefault="00085D96" w:rsidP="0088522D">
      <w:pPr>
        <w:pStyle w:val="References"/>
        <w:jc w:val="center"/>
      </w:pPr>
      <w:r>
        <w:t xml:space="preserve">The Commission </w:t>
      </w:r>
      <w:r w:rsidR="000721C4" w:rsidRPr="00B5530C">
        <w:t xml:space="preserve">may be contacted at the above addresses, by telephone on (02) 6205 0799, or by fax on (02) 6207 5887. </w:t>
      </w:r>
      <w:r>
        <w:t xml:space="preserve">The Commission’s </w:t>
      </w:r>
      <w:r w:rsidR="000721C4" w:rsidRPr="00B5530C">
        <w:t xml:space="preserve">website is at </w:t>
      </w:r>
      <w:hyperlink r:id="rId14" w:history="1">
        <w:r w:rsidR="000721C4" w:rsidRPr="00B5530C">
          <w:rPr>
            <w:rStyle w:val="Hyperlink"/>
          </w:rPr>
          <w:t>www.icrc.act.gov.au</w:t>
        </w:r>
      </w:hyperlink>
      <w:r w:rsidR="000721C4" w:rsidRPr="00B5530C">
        <w:t xml:space="preserve"> and </w:t>
      </w:r>
      <w:r w:rsidR="00C85DC5">
        <w:t xml:space="preserve">its </w:t>
      </w:r>
      <w:r w:rsidR="000721C4" w:rsidRPr="00B5530C">
        <w:t xml:space="preserve">email address is </w:t>
      </w:r>
      <w:hyperlink r:id="rId15" w:history="1">
        <w:r w:rsidR="000721C4" w:rsidRPr="00B5530C">
          <w:rPr>
            <w:rStyle w:val="Hyperlink"/>
          </w:rPr>
          <w:t>icrc@act.gov.au</w:t>
        </w:r>
      </w:hyperlink>
      <w:r w:rsidR="000721C4" w:rsidRPr="00B5530C">
        <w:t>.</w:t>
      </w:r>
    </w:p>
    <w:p w:rsidR="00341230" w:rsidRDefault="00341230" w:rsidP="008A1C91">
      <w:pPr>
        <w:pStyle w:val="References"/>
      </w:pPr>
    </w:p>
    <w:p w:rsidR="00341230" w:rsidRDefault="00341230" w:rsidP="008A1C91">
      <w:pPr>
        <w:pStyle w:val="References"/>
        <w:sectPr w:rsidR="00341230" w:rsidSect="00662C7A">
          <w:headerReference w:type="even" r:id="rId16"/>
          <w:headerReference w:type="default" r:id="rId17"/>
          <w:footerReference w:type="even" r:id="rId18"/>
          <w:footerReference w:type="default" r:id="rId19"/>
          <w:headerReference w:type="first" r:id="rId20"/>
          <w:endnotePr>
            <w:numFmt w:val="decimal"/>
          </w:endnotePr>
          <w:type w:val="oddPage"/>
          <w:pgSz w:w="11907" w:h="16840" w:code="9"/>
          <w:pgMar w:top="2268" w:right="2098" w:bottom="1701" w:left="2098" w:header="578" w:footer="578" w:gutter="0"/>
          <w:pgNumType w:fmt="lowerRoman" w:start="1"/>
          <w:cols w:space="720"/>
        </w:sectPr>
      </w:pPr>
    </w:p>
    <w:p w:rsidR="00341230" w:rsidRDefault="00341230" w:rsidP="0088522D">
      <w:pPr>
        <w:pStyle w:val="Heading1a"/>
      </w:pPr>
      <w:bookmarkStart w:id="7" w:name="_Toc368572030"/>
      <w:bookmarkStart w:id="8" w:name="_Toc464735354"/>
      <w:r w:rsidRPr="001E53CC">
        <w:lastRenderedPageBreak/>
        <w:t>How to make a submission</w:t>
      </w:r>
      <w:bookmarkEnd w:id="7"/>
      <w:bookmarkEnd w:id="8"/>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80"/>
      </w:tblGrid>
      <w:tr w:rsidR="00341230" w:rsidRPr="00C6335A" w:rsidTr="00FD2BFE">
        <w:tc>
          <w:tcPr>
            <w:tcW w:w="5000" w:type="pct"/>
          </w:tcPr>
          <w:p w:rsidR="00351027" w:rsidRDefault="00351027" w:rsidP="00B222E3">
            <w:pPr>
              <w:rPr>
                <w:lang w:val="en-AU"/>
              </w:rPr>
            </w:pPr>
            <w:r>
              <w:rPr>
                <w:lang w:val="en-AU"/>
              </w:rPr>
              <w:t>This issues paper provides an opportunity for stakeholders to inform the development of the draft report. It will also ensure that relevant information and views are made public and brought to the Commission’s attention.</w:t>
            </w:r>
          </w:p>
          <w:p w:rsidR="00341230" w:rsidRPr="00C6335A" w:rsidRDefault="00341230" w:rsidP="00B222E3">
            <w:pPr>
              <w:rPr>
                <w:rFonts w:eastAsia="SimSun"/>
                <w:lang w:val="en-AU"/>
              </w:rPr>
            </w:pPr>
            <w:r w:rsidRPr="00C6335A">
              <w:rPr>
                <w:rFonts w:eastAsia="SimSun"/>
                <w:lang w:val="en-AU"/>
              </w:rPr>
              <w:t>Submissions may be mailed to the Commission at:</w:t>
            </w:r>
          </w:p>
          <w:p w:rsidR="00341230" w:rsidRPr="00C6335A" w:rsidRDefault="00341230" w:rsidP="00B222E3">
            <w:pPr>
              <w:rPr>
                <w:rFonts w:eastAsia="SimSun"/>
                <w:lang w:val="en-AU"/>
              </w:rPr>
            </w:pPr>
            <w:r w:rsidRPr="00C6335A">
              <w:rPr>
                <w:rFonts w:eastAsia="SimSun"/>
                <w:lang w:val="en-AU"/>
              </w:rPr>
              <w:t>Independent Competition and R</w:t>
            </w:r>
            <w:r>
              <w:rPr>
                <w:rFonts w:eastAsia="SimSun"/>
                <w:lang w:val="en-AU"/>
              </w:rPr>
              <w:t>egulatory Commission</w:t>
            </w:r>
            <w:r>
              <w:rPr>
                <w:rFonts w:eastAsia="SimSun"/>
                <w:lang w:val="en-AU"/>
              </w:rPr>
              <w:br/>
              <w:t>PO Box 161</w:t>
            </w:r>
            <w:r>
              <w:rPr>
                <w:rFonts w:eastAsia="SimSun"/>
                <w:lang w:val="en-AU"/>
              </w:rPr>
              <w:br/>
              <w:t>Civic Square</w:t>
            </w:r>
            <w:r w:rsidRPr="00C6335A">
              <w:rPr>
                <w:rFonts w:eastAsia="SimSun"/>
                <w:lang w:val="en-AU"/>
              </w:rPr>
              <w:t xml:space="preserve"> ACT</w:t>
            </w:r>
            <w:r>
              <w:rPr>
                <w:rFonts w:eastAsia="SimSun"/>
                <w:lang w:val="en-AU"/>
              </w:rPr>
              <w:t xml:space="preserve"> </w:t>
            </w:r>
            <w:r w:rsidRPr="00C6335A">
              <w:rPr>
                <w:rFonts w:eastAsia="SimSun"/>
                <w:lang w:val="en-AU"/>
              </w:rPr>
              <w:t>260</w:t>
            </w:r>
            <w:r>
              <w:rPr>
                <w:rFonts w:eastAsia="SimSun"/>
                <w:lang w:val="en-AU"/>
              </w:rPr>
              <w:t>8</w:t>
            </w:r>
          </w:p>
          <w:p w:rsidR="00341230" w:rsidRDefault="00341230" w:rsidP="00B222E3">
            <w:pPr>
              <w:rPr>
                <w:rFonts w:eastAsia="SimSun"/>
                <w:lang w:val="en-AU"/>
              </w:rPr>
            </w:pPr>
            <w:r w:rsidRPr="00C6335A">
              <w:rPr>
                <w:rFonts w:eastAsia="SimSun"/>
                <w:lang w:val="en-AU"/>
              </w:rPr>
              <w:t xml:space="preserve">Alternatively, submissions may be emailed to the Commission at </w:t>
            </w:r>
            <w:hyperlink r:id="rId21" w:history="1">
              <w:r w:rsidRPr="00C36951">
                <w:rPr>
                  <w:rFonts w:eastAsia="SimSun"/>
                  <w:lang w:val="en-AU"/>
                </w:rPr>
                <w:t>icrc@act.gov.au</w:t>
              </w:r>
            </w:hyperlink>
            <w:r w:rsidRPr="00C6335A">
              <w:rPr>
                <w:rFonts w:eastAsia="SimSun"/>
                <w:lang w:val="en-AU"/>
              </w:rPr>
              <w:t>.</w:t>
            </w:r>
            <w:r>
              <w:rPr>
                <w:rFonts w:eastAsia="SimSun"/>
                <w:lang w:val="en-AU"/>
              </w:rPr>
              <w:t xml:space="preserve"> </w:t>
            </w:r>
            <w:r w:rsidRPr="00692BCF">
              <w:rPr>
                <w:rFonts w:eastAsia="SimSun"/>
                <w:lang w:val="en-AU"/>
              </w:rPr>
              <w:t xml:space="preserve">The </w:t>
            </w:r>
            <w:r>
              <w:rPr>
                <w:rFonts w:eastAsia="SimSun"/>
                <w:lang w:val="en-AU"/>
              </w:rPr>
              <w:t xml:space="preserve">Commission </w:t>
            </w:r>
            <w:r w:rsidRPr="00692BCF">
              <w:rPr>
                <w:rFonts w:eastAsia="SimSun"/>
                <w:lang w:val="en-AU"/>
              </w:rPr>
              <w:t>encourages</w:t>
            </w:r>
            <w:r>
              <w:rPr>
                <w:rFonts w:eastAsia="SimSun"/>
                <w:lang w:val="en-AU"/>
              </w:rPr>
              <w:t xml:space="preserve"> stakeholders </w:t>
            </w:r>
            <w:r w:rsidRPr="00692BCF">
              <w:rPr>
                <w:rFonts w:eastAsia="SimSun"/>
                <w:lang w:val="en-AU"/>
              </w:rPr>
              <w:t>to make submissions in either Microsoft Word format or PDF (OCR</w:t>
            </w:r>
            <w:r>
              <w:rPr>
                <w:rFonts w:eastAsia="SimSun"/>
                <w:lang w:val="en-AU"/>
              </w:rPr>
              <w:t xml:space="preserve"> </w:t>
            </w:r>
            <w:r w:rsidRPr="00692BCF">
              <w:rPr>
                <w:rFonts w:eastAsia="SimSun"/>
                <w:lang w:val="en-AU"/>
              </w:rPr>
              <w:t>readable text format</w:t>
            </w:r>
            <w:r>
              <w:rPr>
                <w:rFonts w:eastAsia="SimSun"/>
                <w:lang w:val="en-AU"/>
              </w:rPr>
              <w:t xml:space="preserve"> – </w:t>
            </w:r>
            <w:r w:rsidRPr="00692BCF">
              <w:rPr>
                <w:rFonts w:eastAsia="SimSun"/>
                <w:lang w:val="en-AU"/>
              </w:rPr>
              <w:t>that is</w:t>
            </w:r>
            <w:r>
              <w:rPr>
                <w:rFonts w:eastAsia="SimSun"/>
                <w:lang w:val="en-AU"/>
              </w:rPr>
              <w:t>,</w:t>
            </w:r>
            <w:r w:rsidRPr="00692BCF">
              <w:rPr>
                <w:rFonts w:eastAsia="SimSun"/>
                <w:lang w:val="en-AU"/>
              </w:rPr>
              <w:t xml:space="preserve"> they should be direct conversions from the word</w:t>
            </w:r>
            <w:r>
              <w:rPr>
                <w:rFonts w:eastAsia="SimSun"/>
                <w:lang w:val="en-AU"/>
              </w:rPr>
              <w:t>-</w:t>
            </w:r>
            <w:r w:rsidRPr="00692BCF">
              <w:rPr>
                <w:rFonts w:eastAsia="SimSun"/>
                <w:lang w:val="en-AU"/>
              </w:rPr>
              <w:t>processing program, rather than scanned copies in which the text cannot be searched)</w:t>
            </w:r>
            <w:r>
              <w:rPr>
                <w:rFonts w:eastAsia="SimSun"/>
                <w:lang w:val="en-AU"/>
              </w:rPr>
              <w:t>.</w:t>
            </w:r>
            <w:r w:rsidRPr="002D502F">
              <w:rPr>
                <w:rFonts w:eastAsia="SimSun"/>
                <w:lang w:val="en-AU"/>
              </w:rPr>
              <w:t xml:space="preserve"> </w:t>
            </w:r>
          </w:p>
          <w:p w:rsidR="00341230" w:rsidRPr="002D502F" w:rsidRDefault="00341230" w:rsidP="00B222E3">
            <w:pPr>
              <w:rPr>
                <w:rFonts w:eastAsia="SimSun"/>
                <w:lang w:val="en-AU"/>
              </w:rPr>
            </w:pPr>
            <w:r w:rsidRPr="00E5541B">
              <w:rPr>
                <w:rFonts w:eastAsia="SimSun"/>
                <w:lang w:val="en-AU"/>
              </w:rPr>
              <w:t>For submissions received from individuals, all personal details (for example</w:t>
            </w:r>
            <w:r>
              <w:rPr>
                <w:rFonts w:eastAsia="SimSun"/>
                <w:lang w:val="en-AU"/>
              </w:rPr>
              <w:t>,</w:t>
            </w:r>
            <w:r w:rsidRPr="00E5541B">
              <w:rPr>
                <w:rFonts w:eastAsia="SimSun"/>
                <w:lang w:val="en-AU"/>
              </w:rPr>
              <w:t xml:space="preserve"> home and email address</w:t>
            </w:r>
            <w:r>
              <w:rPr>
                <w:rFonts w:eastAsia="SimSun"/>
                <w:lang w:val="en-AU"/>
              </w:rPr>
              <w:t>es</w:t>
            </w:r>
            <w:r w:rsidRPr="00E5541B">
              <w:rPr>
                <w:rFonts w:eastAsia="SimSun"/>
                <w:lang w:val="en-AU"/>
              </w:rPr>
              <w:t xml:space="preserve">, </w:t>
            </w:r>
            <w:r>
              <w:rPr>
                <w:rFonts w:eastAsia="SimSun"/>
                <w:lang w:val="en-AU"/>
              </w:rPr>
              <w:t>and tele</w:t>
            </w:r>
            <w:r w:rsidRPr="00E5541B">
              <w:rPr>
                <w:rFonts w:eastAsia="SimSun"/>
                <w:lang w:val="en-AU"/>
              </w:rPr>
              <w:t>phone and fax number</w:t>
            </w:r>
            <w:r>
              <w:rPr>
                <w:rFonts w:eastAsia="SimSun"/>
                <w:lang w:val="en-AU"/>
              </w:rPr>
              <w:t>s</w:t>
            </w:r>
            <w:r w:rsidRPr="00E5541B">
              <w:rPr>
                <w:rFonts w:eastAsia="SimSun"/>
                <w:lang w:val="en-AU"/>
              </w:rPr>
              <w:t xml:space="preserve">) will be removed for privacy reasons before </w:t>
            </w:r>
            <w:r>
              <w:rPr>
                <w:rFonts w:eastAsia="SimSun"/>
                <w:lang w:val="en-AU"/>
              </w:rPr>
              <w:t>the submissions</w:t>
            </w:r>
            <w:r w:rsidRPr="00E5541B">
              <w:rPr>
                <w:rFonts w:eastAsia="SimSun"/>
                <w:lang w:val="en-AU"/>
              </w:rPr>
              <w:t xml:space="preserve"> </w:t>
            </w:r>
            <w:r>
              <w:rPr>
                <w:rFonts w:eastAsia="SimSun"/>
                <w:lang w:val="en-AU"/>
              </w:rPr>
              <w:t>are</w:t>
            </w:r>
            <w:r w:rsidRPr="00E5541B">
              <w:rPr>
                <w:rFonts w:eastAsia="SimSun"/>
                <w:lang w:val="en-AU"/>
              </w:rPr>
              <w:t xml:space="preserve"> published on the website.</w:t>
            </w:r>
            <w:r w:rsidRPr="00E5541B">
              <w:rPr>
                <w:rFonts w:eastAsia="SimSun"/>
                <w:shd w:val="clear" w:color="auto" w:fill="FFFF00"/>
                <w:lang w:val="en-AU"/>
              </w:rPr>
              <w:t xml:space="preserve"> </w:t>
            </w:r>
          </w:p>
          <w:p w:rsidR="00341230" w:rsidRDefault="00341230" w:rsidP="00B222E3">
            <w:pPr>
              <w:rPr>
                <w:rFonts w:eastAsia="SimSun"/>
                <w:lang w:val="en-AU"/>
              </w:rPr>
            </w:pPr>
            <w:r w:rsidRPr="00C6335A">
              <w:rPr>
                <w:rFonts w:eastAsia="SimSun"/>
                <w:lang w:val="en-AU"/>
              </w:rPr>
              <w:t xml:space="preserve">The Commission is guided by and believes strongly in the principles of openness, transparency, consistency and accountability. Public consultation is a crucial element of </w:t>
            </w:r>
            <w:r>
              <w:rPr>
                <w:rFonts w:eastAsia="SimSun"/>
                <w:lang w:val="en-AU"/>
              </w:rPr>
              <w:t xml:space="preserve">the </w:t>
            </w:r>
            <w:r w:rsidRPr="00C6335A">
              <w:rPr>
                <w:rFonts w:eastAsia="SimSun"/>
                <w:lang w:val="en-AU"/>
              </w:rPr>
              <w:t>Commission</w:t>
            </w:r>
            <w:r>
              <w:rPr>
                <w:rFonts w:eastAsia="SimSun"/>
                <w:lang w:val="en-AU"/>
              </w:rPr>
              <w:t>’</w:t>
            </w:r>
            <w:r w:rsidRPr="00C6335A">
              <w:rPr>
                <w:rFonts w:eastAsia="SimSun"/>
                <w:lang w:val="en-AU"/>
              </w:rPr>
              <w:t xml:space="preserve">s processes. </w:t>
            </w:r>
            <w:r>
              <w:rPr>
                <w:rFonts w:eastAsia="SimSun"/>
                <w:lang w:val="en-AU"/>
              </w:rPr>
              <w:t>T</w:t>
            </w:r>
            <w:r w:rsidRPr="00FB72CD">
              <w:t>he Commission</w:t>
            </w:r>
            <w:r>
              <w:t>’</w:t>
            </w:r>
            <w:r w:rsidRPr="00FB72CD">
              <w:t xml:space="preserve">s preference </w:t>
            </w:r>
            <w:r w:rsidR="008E7CEF">
              <w:t xml:space="preserve">is </w:t>
            </w:r>
            <w:r w:rsidRPr="00FB72CD">
              <w:t>that all submissions it receives be treated as public and be published on the Commission</w:t>
            </w:r>
            <w:r>
              <w:t>’</w:t>
            </w:r>
            <w:r w:rsidRPr="00FB72CD">
              <w:t xml:space="preserve">s website unless the author of the submission indicates clearly that all or part of the submission is confidential and not to be made available publicly. Where confidential material is claimed, the Commission prefers that this be under a separate cover and clearly marked </w:t>
            </w:r>
            <w:r>
              <w:t>‘</w:t>
            </w:r>
            <w:r w:rsidRPr="00FB72CD">
              <w:t>In Confidence</w:t>
            </w:r>
            <w:r>
              <w:t>’</w:t>
            </w:r>
            <w:r w:rsidRPr="00FB72CD">
              <w:t>. The Commission will assess the author</w:t>
            </w:r>
            <w:r>
              <w:t>’</w:t>
            </w:r>
            <w:r w:rsidRPr="00FB72CD">
              <w:t>s claim and discuss appropriate steps to ensure that confidential material is</w:t>
            </w:r>
            <w:r w:rsidRPr="00FF5F02">
              <w:t xml:space="preserve"> protected while</w:t>
            </w:r>
            <w:r w:rsidRPr="00C6335A">
              <w:rPr>
                <w:rFonts w:eastAsia="SimSun"/>
                <w:lang w:val="en-AU"/>
              </w:rPr>
              <w:t xml:space="preserve"> maintaining the principles of openness, transparency, consistency and accountability.</w:t>
            </w:r>
          </w:p>
          <w:p w:rsidR="00341230" w:rsidRPr="00C6335A" w:rsidRDefault="00384301" w:rsidP="00B222E3">
            <w:pPr>
              <w:rPr>
                <w:rFonts w:eastAsia="SimSun"/>
                <w:lang w:val="en-AU"/>
              </w:rPr>
            </w:pPr>
            <w:r>
              <w:rPr>
                <w:rFonts w:eastAsia="SimSun"/>
                <w:lang w:val="en-AU"/>
              </w:rPr>
              <w:t>The Commission</w:t>
            </w:r>
            <w:r w:rsidR="00341230">
              <w:rPr>
                <w:rFonts w:eastAsia="SimSun"/>
                <w:lang w:val="en-AU"/>
              </w:rPr>
              <w:t xml:space="preserve"> </w:t>
            </w:r>
            <w:r w:rsidR="00341230" w:rsidRPr="00C6335A">
              <w:rPr>
                <w:rFonts w:eastAsia="SimSun"/>
                <w:lang w:val="en-AU"/>
              </w:rPr>
              <w:t>may be contacted at the above addresses, by telephone on (02)</w:t>
            </w:r>
            <w:r w:rsidR="00341230">
              <w:rPr>
                <w:rFonts w:eastAsia="SimSun"/>
                <w:lang w:val="en-AU"/>
              </w:rPr>
              <w:t> </w:t>
            </w:r>
            <w:r w:rsidR="00341230" w:rsidRPr="00C6335A">
              <w:rPr>
                <w:rFonts w:eastAsia="SimSun"/>
                <w:lang w:val="en-AU"/>
              </w:rPr>
              <w:t>6205</w:t>
            </w:r>
            <w:r w:rsidR="00341230">
              <w:rPr>
                <w:rFonts w:eastAsia="SimSun"/>
                <w:lang w:val="en-AU"/>
              </w:rPr>
              <w:t> </w:t>
            </w:r>
            <w:r w:rsidR="00341230" w:rsidRPr="00C6335A">
              <w:rPr>
                <w:rFonts w:eastAsia="SimSun"/>
                <w:lang w:val="en-AU"/>
              </w:rPr>
              <w:t>0799 or by fax on (02) 6207 5887. The Commission</w:t>
            </w:r>
            <w:r w:rsidR="00341230">
              <w:rPr>
                <w:rFonts w:eastAsia="SimSun"/>
                <w:lang w:val="en-AU"/>
              </w:rPr>
              <w:t>’</w:t>
            </w:r>
            <w:r w:rsidR="00341230" w:rsidRPr="00C6335A">
              <w:rPr>
                <w:rFonts w:eastAsia="SimSun"/>
                <w:lang w:val="en-AU"/>
              </w:rPr>
              <w:t>s website is at www.icrc.act.gov.au.</w:t>
            </w:r>
          </w:p>
          <w:p w:rsidR="00341230" w:rsidRPr="00C6335A" w:rsidRDefault="00247B15" w:rsidP="00DC2A85">
            <w:pPr>
              <w:rPr>
                <w:rFonts w:eastAsia="SimSun"/>
              </w:rPr>
            </w:pPr>
            <w:r>
              <w:t>S</w:t>
            </w:r>
            <w:r w:rsidR="00341230" w:rsidRPr="007F56C7">
              <w:rPr>
                <w:rFonts w:eastAsia="SimSun"/>
              </w:rPr>
              <w:t>ubmissions on the issues paper</w:t>
            </w:r>
            <w:r w:rsidR="00963833">
              <w:rPr>
                <w:rFonts w:eastAsia="SimSun"/>
              </w:rPr>
              <w:t xml:space="preserve"> </w:t>
            </w:r>
            <w:r w:rsidRPr="00341464">
              <w:rPr>
                <w:rFonts w:eastAsia="SimSun"/>
              </w:rPr>
              <w:t xml:space="preserve">close </w:t>
            </w:r>
            <w:r w:rsidR="00E44111">
              <w:t xml:space="preserve">on </w:t>
            </w:r>
            <w:r w:rsidR="00DC2A85">
              <w:rPr>
                <w:b/>
              </w:rPr>
              <w:t>30</w:t>
            </w:r>
            <w:r w:rsidR="00B222DC" w:rsidRPr="00B222DC">
              <w:rPr>
                <w:rStyle w:val="Bold"/>
              </w:rPr>
              <w:t> November 2016.</w:t>
            </w:r>
          </w:p>
        </w:tc>
      </w:tr>
    </w:tbl>
    <w:p w:rsidR="00341230" w:rsidRDefault="00341230" w:rsidP="008A1C91">
      <w:pPr>
        <w:pStyle w:val="References"/>
      </w:pPr>
    </w:p>
    <w:p w:rsidR="00043BCD" w:rsidRDefault="00043BCD" w:rsidP="008A1C91">
      <w:pPr>
        <w:pStyle w:val="References"/>
      </w:pPr>
    </w:p>
    <w:p w:rsidR="00866575" w:rsidRDefault="00866575" w:rsidP="008A1C91">
      <w:pPr>
        <w:pStyle w:val="References"/>
        <w:sectPr w:rsidR="00866575" w:rsidSect="00662C7A">
          <w:headerReference w:type="even" r:id="rId22"/>
          <w:headerReference w:type="default" r:id="rId23"/>
          <w:footerReference w:type="default" r:id="rId24"/>
          <w:headerReference w:type="first" r:id="rId25"/>
          <w:endnotePr>
            <w:numFmt w:val="decimal"/>
          </w:endnotePr>
          <w:type w:val="oddPage"/>
          <w:pgSz w:w="11907" w:h="16840" w:code="9"/>
          <w:pgMar w:top="2268" w:right="2098" w:bottom="1701" w:left="2098" w:header="578" w:footer="578" w:gutter="0"/>
          <w:pgNumType w:fmt="lowerRoman"/>
          <w:cols w:space="720"/>
        </w:sectPr>
      </w:pPr>
    </w:p>
    <w:p w:rsidR="00206261" w:rsidRDefault="00206261" w:rsidP="008A1C91">
      <w:pPr>
        <w:pStyle w:val="References"/>
        <w:sectPr w:rsidR="00206261" w:rsidSect="00662C7A">
          <w:endnotePr>
            <w:numFmt w:val="decimal"/>
          </w:endnotePr>
          <w:pgSz w:w="11907" w:h="16840" w:code="9"/>
          <w:pgMar w:top="2268" w:right="2098" w:bottom="1701" w:left="2098" w:header="578" w:footer="578" w:gutter="0"/>
          <w:pgNumType w:fmt="lowerRoman"/>
          <w:cols w:space="720"/>
          <w:docGrid w:linePitch="299"/>
        </w:sectPr>
      </w:pPr>
    </w:p>
    <w:p w:rsidR="00D5242B" w:rsidRPr="005E1CF9" w:rsidRDefault="00D5242B" w:rsidP="008A1C91">
      <w:pPr>
        <w:pStyle w:val="References"/>
        <w:rPr>
          <w:rFonts w:ascii="Tahoma" w:hAnsi="Tahoma" w:cs="Tahoma"/>
          <w:b/>
          <w:color w:val="000033"/>
          <w:sz w:val="40"/>
          <w:lang w:val="en-AU"/>
        </w:rPr>
      </w:pPr>
      <w:bookmarkStart w:id="9" w:name="Tariff_review_at_a_glance"/>
      <w:bookmarkEnd w:id="5"/>
      <w:bookmarkEnd w:id="6"/>
      <w:bookmarkEnd w:id="9"/>
      <w:r w:rsidRPr="005E1CF9">
        <w:rPr>
          <w:rFonts w:ascii="Tahoma" w:hAnsi="Tahoma" w:cs="Tahoma"/>
          <w:b/>
          <w:color w:val="000033"/>
          <w:sz w:val="40"/>
          <w:lang w:val="en-AU"/>
        </w:rPr>
        <w:lastRenderedPageBreak/>
        <w:t>Contents</w:t>
      </w:r>
    </w:p>
    <w:bookmarkStart w:id="10" w:name="_Toc44217187"/>
    <w:p w:rsidR="00423B0C" w:rsidRDefault="00E2593B">
      <w:pPr>
        <w:pStyle w:val="TOC1"/>
        <w:rPr>
          <w:rFonts w:asciiTheme="minorHAnsi" w:eastAsiaTheme="minorEastAsia" w:hAnsiTheme="minorHAnsi" w:cstheme="minorBidi"/>
          <w:b w:val="0"/>
          <w:szCs w:val="22"/>
          <w:lang w:val="en-AU" w:eastAsia="en-AU"/>
        </w:rPr>
      </w:pPr>
      <w:r w:rsidRPr="00E2593B">
        <w:rPr>
          <w:lang w:val="en-AU"/>
        </w:rPr>
        <w:fldChar w:fldCharType="begin"/>
      </w:r>
      <w:r w:rsidR="007846F2">
        <w:rPr>
          <w:lang w:val="en-AU"/>
        </w:rPr>
        <w:instrText xml:space="preserve"> TOC \o "1-2" \h \z \u </w:instrText>
      </w:r>
      <w:r w:rsidRPr="00E2593B">
        <w:rPr>
          <w:lang w:val="en-AU"/>
        </w:rPr>
        <w:fldChar w:fldCharType="separate"/>
      </w:r>
      <w:hyperlink w:anchor="_Toc464735354" w:history="1">
        <w:r w:rsidR="00423B0C" w:rsidRPr="006B2F6E">
          <w:rPr>
            <w:rStyle w:val="Hyperlink"/>
          </w:rPr>
          <w:t>How to make a submission</w:t>
        </w:r>
        <w:r w:rsidR="00423B0C">
          <w:rPr>
            <w:webHidden/>
          </w:rPr>
          <w:tab/>
        </w:r>
        <w:r>
          <w:rPr>
            <w:webHidden/>
          </w:rPr>
          <w:fldChar w:fldCharType="begin"/>
        </w:r>
        <w:r w:rsidR="00423B0C">
          <w:rPr>
            <w:webHidden/>
          </w:rPr>
          <w:instrText xml:space="preserve"> PAGEREF _Toc464735354 \h </w:instrText>
        </w:r>
        <w:r>
          <w:rPr>
            <w:webHidden/>
          </w:rPr>
        </w:r>
        <w:r>
          <w:rPr>
            <w:webHidden/>
          </w:rPr>
          <w:fldChar w:fldCharType="separate"/>
        </w:r>
        <w:r w:rsidR="00423B0C">
          <w:rPr>
            <w:webHidden/>
          </w:rPr>
          <w:t>iii</w:t>
        </w:r>
        <w:r>
          <w:rPr>
            <w:webHidden/>
          </w:rPr>
          <w:fldChar w:fldCharType="end"/>
        </w:r>
      </w:hyperlink>
    </w:p>
    <w:p w:rsidR="00423B0C" w:rsidRDefault="00E2593B">
      <w:pPr>
        <w:pStyle w:val="TOC1"/>
        <w:rPr>
          <w:rFonts w:asciiTheme="minorHAnsi" w:eastAsiaTheme="minorEastAsia" w:hAnsiTheme="minorHAnsi" w:cstheme="minorBidi"/>
          <w:b w:val="0"/>
          <w:szCs w:val="22"/>
          <w:lang w:val="en-AU" w:eastAsia="en-AU"/>
        </w:rPr>
      </w:pPr>
      <w:hyperlink w:anchor="_Toc464735355" w:history="1">
        <w:r w:rsidR="00423B0C" w:rsidRPr="006B2F6E">
          <w:rPr>
            <w:rStyle w:val="Hyperlink"/>
          </w:rPr>
          <w:t>1</w:t>
        </w:r>
        <w:r w:rsidR="00423B0C">
          <w:rPr>
            <w:rFonts w:asciiTheme="minorHAnsi" w:eastAsiaTheme="minorEastAsia" w:hAnsiTheme="minorHAnsi" w:cstheme="minorBidi"/>
            <w:b w:val="0"/>
            <w:szCs w:val="22"/>
            <w:lang w:val="en-AU" w:eastAsia="en-AU"/>
          </w:rPr>
          <w:tab/>
        </w:r>
        <w:r w:rsidR="00423B0C" w:rsidRPr="006B2F6E">
          <w:rPr>
            <w:rStyle w:val="Hyperlink"/>
          </w:rPr>
          <w:t>Introduction</w:t>
        </w:r>
        <w:r w:rsidR="00423B0C">
          <w:rPr>
            <w:webHidden/>
          </w:rPr>
          <w:tab/>
        </w:r>
        <w:r>
          <w:rPr>
            <w:webHidden/>
          </w:rPr>
          <w:fldChar w:fldCharType="begin"/>
        </w:r>
        <w:r w:rsidR="00423B0C">
          <w:rPr>
            <w:webHidden/>
          </w:rPr>
          <w:instrText xml:space="preserve"> PAGEREF _Toc464735355 \h </w:instrText>
        </w:r>
        <w:r>
          <w:rPr>
            <w:webHidden/>
          </w:rPr>
        </w:r>
        <w:r>
          <w:rPr>
            <w:webHidden/>
          </w:rPr>
          <w:fldChar w:fldCharType="separate"/>
        </w:r>
        <w:r w:rsidR="00423B0C">
          <w:rPr>
            <w:webHidden/>
          </w:rPr>
          <w:t>1</w:t>
        </w:r>
        <w:r>
          <w:rPr>
            <w:webHidden/>
          </w:rPr>
          <w:fldChar w:fldCharType="end"/>
        </w:r>
      </w:hyperlink>
    </w:p>
    <w:p w:rsidR="00423B0C" w:rsidRDefault="00E2593B">
      <w:pPr>
        <w:pStyle w:val="TOC2"/>
        <w:rPr>
          <w:rFonts w:asciiTheme="minorHAnsi" w:eastAsiaTheme="minorEastAsia" w:hAnsiTheme="minorHAnsi" w:cstheme="minorBidi"/>
          <w:szCs w:val="22"/>
          <w:lang w:val="en-AU" w:eastAsia="en-AU"/>
        </w:rPr>
      </w:pPr>
      <w:hyperlink w:anchor="_Toc464735356" w:history="1">
        <w:r w:rsidR="00423B0C" w:rsidRPr="006B2F6E">
          <w:rPr>
            <w:rStyle w:val="Hyperlink"/>
          </w:rPr>
          <w:t>1.1</w:t>
        </w:r>
        <w:r w:rsidR="00423B0C">
          <w:rPr>
            <w:rFonts w:asciiTheme="minorHAnsi" w:eastAsiaTheme="minorEastAsia" w:hAnsiTheme="minorHAnsi" w:cstheme="minorBidi"/>
            <w:szCs w:val="22"/>
            <w:lang w:val="en-AU" w:eastAsia="en-AU"/>
          </w:rPr>
          <w:tab/>
        </w:r>
        <w:r w:rsidR="00423B0C" w:rsidRPr="006B2F6E">
          <w:rPr>
            <w:rStyle w:val="Hyperlink"/>
          </w:rPr>
          <w:t>Background to the investigation</w:t>
        </w:r>
        <w:r w:rsidR="00423B0C">
          <w:rPr>
            <w:webHidden/>
          </w:rPr>
          <w:tab/>
        </w:r>
        <w:r>
          <w:rPr>
            <w:webHidden/>
          </w:rPr>
          <w:fldChar w:fldCharType="begin"/>
        </w:r>
        <w:r w:rsidR="00423B0C">
          <w:rPr>
            <w:webHidden/>
          </w:rPr>
          <w:instrText xml:space="preserve"> PAGEREF _Toc464735356 \h </w:instrText>
        </w:r>
        <w:r>
          <w:rPr>
            <w:webHidden/>
          </w:rPr>
        </w:r>
        <w:r>
          <w:rPr>
            <w:webHidden/>
          </w:rPr>
          <w:fldChar w:fldCharType="separate"/>
        </w:r>
        <w:r w:rsidR="00423B0C">
          <w:rPr>
            <w:webHidden/>
          </w:rPr>
          <w:t>1</w:t>
        </w:r>
        <w:r>
          <w:rPr>
            <w:webHidden/>
          </w:rPr>
          <w:fldChar w:fldCharType="end"/>
        </w:r>
      </w:hyperlink>
    </w:p>
    <w:p w:rsidR="00423B0C" w:rsidRDefault="00E2593B">
      <w:pPr>
        <w:pStyle w:val="TOC2"/>
        <w:rPr>
          <w:rFonts w:asciiTheme="minorHAnsi" w:eastAsiaTheme="minorEastAsia" w:hAnsiTheme="minorHAnsi" w:cstheme="minorBidi"/>
          <w:szCs w:val="22"/>
          <w:lang w:val="en-AU" w:eastAsia="en-AU"/>
        </w:rPr>
      </w:pPr>
      <w:hyperlink w:anchor="_Toc464735357" w:history="1">
        <w:r w:rsidR="00423B0C" w:rsidRPr="006B2F6E">
          <w:rPr>
            <w:rStyle w:val="Hyperlink"/>
          </w:rPr>
          <w:t>1.2</w:t>
        </w:r>
        <w:r w:rsidR="00423B0C">
          <w:rPr>
            <w:rFonts w:asciiTheme="minorHAnsi" w:eastAsiaTheme="minorEastAsia" w:hAnsiTheme="minorHAnsi" w:cstheme="minorBidi"/>
            <w:szCs w:val="22"/>
            <w:lang w:val="en-AU" w:eastAsia="en-AU"/>
          </w:rPr>
          <w:tab/>
        </w:r>
        <w:r w:rsidR="00423B0C" w:rsidRPr="006B2F6E">
          <w:rPr>
            <w:rStyle w:val="Hyperlink"/>
          </w:rPr>
          <w:t>Purpose of the issues paper</w:t>
        </w:r>
        <w:r w:rsidR="00423B0C">
          <w:rPr>
            <w:webHidden/>
          </w:rPr>
          <w:tab/>
        </w:r>
        <w:r>
          <w:rPr>
            <w:webHidden/>
          </w:rPr>
          <w:fldChar w:fldCharType="begin"/>
        </w:r>
        <w:r w:rsidR="00423B0C">
          <w:rPr>
            <w:webHidden/>
          </w:rPr>
          <w:instrText xml:space="preserve"> PAGEREF _Toc464735357 \h </w:instrText>
        </w:r>
        <w:r>
          <w:rPr>
            <w:webHidden/>
          </w:rPr>
        </w:r>
        <w:r>
          <w:rPr>
            <w:webHidden/>
          </w:rPr>
          <w:fldChar w:fldCharType="separate"/>
        </w:r>
        <w:r w:rsidR="00423B0C">
          <w:rPr>
            <w:webHidden/>
          </w:rPr>
          <w:t>1</w:t>
        </w:r>
        <w:r>
          <w:rPr>
            <w:webHidden/>
          </w:rPr>
          <w:fldChar w:fldCharType="end"/>
        </w:r>
      </w:hyperlink>
    </w:p>
    <w:p w:rsidR="00423B0C" w:rsidRDefault="00E2593B">
      <w:pPr>
        <w:pStyle w:val="TOC2"/>
        <w:rPr>
          <w:rFonts w:asciiTheme="minorHAnsi" w:eastAsiaTheme="minorEastAsia" w:hAnsiTheme="minorHAnsi" w:cstheme="minorBidi"/>
          <w:szCs w:val="22"/>
          <w:lang w:val="en-AU" w:eastAsia="en-AU"/>
        </w:rPr>
      </w:pPr>
      <w:hyperlink w:anchor="_Toc464735358" w:history="1">
        <w:r w:rsidR="00423B0C" w:rsidRPr="006B2F6E">
          <w:rPr>
            <w:rStyle w:val="Hyperlink"/>
          </w:rPr>
          <w:t>1.3</w:t>
        </w:r>
        <w:r w:rsidR="00423B0C">
          <w:rPr>
            <w:rFonts w:asciiTheme="minorHAnsi" w:eastAsiaTheme="minorEastAsia" w:hAnsiTheme="minorHAnsi" w:cstheme="minorBidi"/>
            <w:szCs w:val="22"/>
            <w:lang w:val="en-AU" w:eastAsia="en-AU"/>
          </w:rPr>
          <w:tab/>
        </w:r>
        <w:r w:rsidR="00423B0C" w:rsidRPr="006B2F6E">
          <w:rPr>
            <w:rStyle w:val="Hyperlink"/>
          </w:rPr>
          <w:t>ICRC Act: legislative requirements</w:t>
        </w:r>
        <w:r w:rsidR="00423B0C">
          <w:rPr>
            <w:webHidden/>
          </w:rPr>
          <w:tab/>
        </w:r>
        <w:r>
          <w:rPr>
            <w:webHidden/>
          </w:rPr>
          <w:fldChar w:fldCharType="begin"/>
        </w:r>
        <w:r w:rsidR="00423B0C">
          <w:rPr>
            <w:webHidden/>
          </w:rPr>
          <w:instrText xml:space="preserve"> PAGEREF _Toc464735358 \h </w:instrText>
        </w:r>
        <w:r>
          <w:rPr>
            <w:webHidden/>
          </w:rPr>
        </w:r>
        <w:r>
          <w:rPr>
            <w:webHidden/>
          </w:rPr>
          <w:fldChar w:fldCharType="separate"/>
        </w:r>
        <w:r w:rsidR="00423B0C">
          <w:rPr>
            <w:webHidden/>
          </w:rPr>
          <w:t>2</w:t>
        </w:r>
        <w:r>
          <w:rPr>
            <w:webHidden/>
          </w:rPr>
          <w:fldChar w:fldCharType="end"/>
        </w:r>
      </w:hyperlink>
    </w:p>
    <w:p w:rsidR="00423B0C" w:rsidRDefault="00E2593B">
      <w:pPr>
        <w:pStyle w:val="TOC2"/>
        <w:rPr>
          <w:rFonts w:asciiTheme="minorHAnsi" w:eastAsiaTheme="minorEastAsia" w:hAnsiTheme="minorHAnsi" w:cstheme="minorBidi"/>
          <w:szCs w:val="22"/>
          <w:lang w:val="en-AU" w:eastAsia="en-AU"/>
        </w:rPr>
      </w:pPr>
      <w:hyperlink w:anchor="_Toc464735359" w:history="1">
        <w:r w:rsidR="00423B0C" w:rsidRPr="006B2F6E">
          <w:rPr>
            <w:rStyle w:val="Hyperlink"/>
          </w:rPr>
          <w:t>1.4</w:t>
        </w:r>
        <w:r w:rsidR="00423B0C">
          <w:rPr>
            <w:rFonts w:asciiTheme="minorHAnsi" w:eastAsiaTheme="minorEastAsia" w:hAnsiTheme="minorHAnsi" w:cstheme="minorBidi"/>
            <w:szCs w:val="22"/>
            <w:lang w:val="en-AU" w:eastAsia="en-AU"/>
          </w:rPr>
          <w:tab/>
        </w:r>
        <w:r w:rsidR="00423B0C" w:rsidRPr="006B2F6E">
          <w:rPr>
            <w:rStyle w:val="Hyperlink"/>
          </w:rPr>
          <w:t>Scope of the terms of reference</w:t>
        </w:r>
        <w:r w:rsidR="00423B0C">
          <w:rPr>
            <w:webHidden/>
          </w:rPr>
          <w:tab/>
        </w:r>
        <w:r>
          <w:rPr>
            <w:webHidden/>
          </w:rPr>
          <w:fldChar w:fldCharType="begin"/>
        </w:r>
        <w:r w:rsidR="00423B0C">
          <w:rPr>
            <w:webHidden/>
          </w:rPr>
          <w:instrText xml:space="preserve"> PAGEREF _Toc464735359 \h </w:instrText>
        </w:r>
        <w:r>
          <w:rPr>
            <w:webHidden/>
          </w:rPr>
        </w:r>
        <w:r>
          <w:rPr>
            <w:webHidden/>
          </w:rPr>
          <w:fldChar w:fldCharType="separate"/>
        </w:r>
        <w:r w:rsidR="00423B0C">
          <w:rPr>
            <w:webHidden/>
          </w:rPr>
          <w:t>5</w:t>
        </w:r>
        <w:r>
          <w:rPr>
            <w:webHidden/>
          </w:rPr>
          <w:fldChar w:fldCharType="end"/>
        </w:r>
      </w:hyperlink>
    </w:p>
    <w:p w:rsidR="00423B0C" w:rsidRDefault="00E2593B">
      <w:pPr>
        <w:pStyle w:val="TOC2"/>
        <w:rPr>
          <w:rFonts w:asciiTheme="minorHAnsi" w:eastAsiaTheme="minorEastAsia" w:hAnsiTheme="minorHAnsi" w:cstheme="minorBidi"/>
          <w:szCs w:val="22"/>
          <w:lang w:val="en-AU" w:eastAsia="en-AU"/>
        </w:rPr>
      </w:pPr>
      <w:hyperlink w:anchor="_Toc464735360" w:history="1">
        <w:r w:rsidR="00423B0C" w:rsidRPr="006B2F6E">
          <w:rPr>
            <w:rStyle w:val="Hyperlink"/>
          </w:rPr>
          <w:t>1.5</w:t>
        </w:r>
        <w:r w:rsidR="00423B0C">
          <w:rPr>
            <w:rFonts w:asciiTheme="minorHAnsi" w:eastAsiaTheme="minorEastAsia" w:hAnsiTheme="minorHAnsi" w:cstheme="minorBidi"/>
            <w:szCs w:val="22"/>
            <w:lang w:val="en-AU" w:eastAsia="en-AU"/>
          </w:rPr>
          <w:tab/>
        </w:r>
        <w:r w:rsidR="00423B0C" w:rsidRPr="006B2F6E">
          <w:rPr>
            <w:rStyle w:val="Hyperlink"/>
          </w:rPr>
          <w:t>Structure of the issues paper</w:t>
        </w:r>
        <w:r w:rsidR="00423B0C">
          <w:rPr>
            <w:webHidden/>
          </w:rPr>
          <w:tab/>
        </w:r>
        <w:r>
          <w:rPr>
            <w:webHidden/>
          </w:rPr>
          <w:fldChar w:fldCharType="begin"/>
        </w:r>
        <w:r w:rsidR="00423B0C">
          <w:rPr>
            <w:webHidden/>
          </w:rPr>
          <w:instrText xml:space="preserve"> PAGEREF _Toc464735360 \h </w:instrText>
        </w:r>
        <w:r>
          <w:rPr>
            <w:webHidden/>
          </w:rPr>
        </w:r>
        <w:r>
          <w:rPr>
            <w:webHidden/>
          </w:rPr>
          <w:fldChar w:fldCharType="separate"/>
        </w:r>
        <w:r w:rsidR="00423B0C">
          <w:rPr>
            <w:webHidden/>
          </w:rPr>
          <w:t>5</w:t>
        </w:r>
        <w:r>
          <w:rPr>
            <w:webHidden/>
          </w:rPr>
          <w:fldChar w:fldCharType="end"/>
        </w:r>
      </w:hyperlink>
    </w:p>
    <w:p w:rsidR="00423B0C" w:rsidRDefault="00E2593B">
      <w:pPr>
        <w:pStyle w:val="TOC2"/>
        <w:rPr>
          <w:rFonts w:asciiTheme="minorHAnsi" w:eastAsiaTheme="minorEastAsia" w:hAnsiTheme="minorHAnsi" w:cstheme="minorBidi"/>
          <w:szCs w:val="22"/>
          <w:lang w:val="en-AU" w:eastAsia="en-AU"/>
        </w:rPr>
      </w:pPr>
      <w:hyperlink w:anchor="_Toc464735361" w:history="1">
        <w:r w:rsidR="00423B0C" w:rsidRPr="006B2F6E">
          <w:rPr>
            <w:rStyle w:val="Hyperlink"/>
          </w:rPr>
          <w:t>1.6</w:t>
        </w:r>
        <w:r w:rsidR="00423B0C">
          <w:rPr>
            <w:rFonts w:asciiTheme="minorHAnsi" w:eastAsiaTheme="minorEastAsia" w:hAnsiTheme="minorHAnsi" w:cstheme="minorBidi"/>
            <w:szCs w:val="22"/>
            <w:lang w:val="en-AU" w:eastAsia="en-AU"/>
          </w:rPr>
          <w:tab/>
        </w:r>
        <w:r w:rsidR="00423B0C" w:rsidRPr="006B2F6E">
          <w:rPr>
            <w:rStyle w:val="Hyperlink"/>
          </w:rPr>
          <w:t>Investigation timeline</w:t>
        </w:r>
        <w:r w:rsidR="00423B0C">
          <w:rPr>
            <w:webHidden/>
          </w:rPr>
          <w:tab/>
        </w:r>
        <w:r>
          <w:rPr>
            <w:webHidden/>
          </w:rPr>
          <w:fldChar w:fldCharType="begin"/>
        </w:r>
        <w:r w:rsidR="00423B0C">
          <w:rPr>
            <w:webHidden/>
          </w:rPr>
          <w:instrText xml:space="preserve"> PAGEREF _Toc464735361 \h </w:instrText>
        </w:r>
        <w:r>
          <w:rPr>
            <w:webHidden/>
          </w:rPr>
        </w:r>
        <w:r>
          <w:rPr>
            <w:webHidden/>
          </w:rPr>
          <w:fldChar w:fldCharType="separate"/>
        </w:r>
        <w:r w:rsidR="00423B0C">
          <w:rPr>
            <w:webHidden/>
          </w:rPr>
          <w:t>6</w:t>
        </w:r>
        <w:r>
          <w:rPr>
            <w:webHidden/>
          </w:rPr>
          <w:fldChar w:fldCharType="end"/>
        </w:r>
      </w:hyperlink>
    </w:p>
    <w:p w:rsidR="00423B0C" w:rsidRDefault="00E2593B">
      <w:pPr>
        <w:pStyle w:val="TOC1"/>
        <w:rPr>
          <w:rFonts w:asciiTheme="minorHAnsi" w:eastAsiaTheme="minorEastAsia" w:hAnsiTheme="minorHAnsi" w:cstheme="minorBidi"/>
          <w:b w:val="0"/>
          <w:szCs w:val="22"/>
          <w:lang w:val="en-AU" w:eastAsia="en-AU"/>
        </w:rPr>
      </w:pPr>
      <w:hyperlink w:anchor="_Toc464735362" w:history="1">
        <w:r w:rsidR="00423B0C" w:rsidRPr="006B2F6E">
          <w:rPr>
            <w:rStyle w:val="Hyperlink"/>
          </w:rPr>
          <w:t>2</w:t>
        </w:r>
        <w:r w:rsidR="00423B0C">
          <w:rPr>
            <w:rFonts w:asciiTheme="minorHAnsi" w:eastAsiaTheme="minorEastAsia" w:hAnsiTheme="minorHAnsi" w:cstheme="minorBidi"/>
            <w:b w:val="0"/>
            <w:szCs w:val="22"/>
            <w:lang w:val="en-AU" w:eastAsia="en-AU"/>
          </w:rPr>
          <w:tab/>
        </w:r>
        <w:r w:rsidR="00423B0C" w:rsidRPr="006B2F6E">
          <w:rPr>
            <w:rStyle w:val="Hyperlink"/>
          </w:rPr>
          <w:t>Commission’s regulatory approach and pricing model</w:t>
        </w:r>
        <w:r w:rsidR="00423B0C">
          <w:rPr>
            <w:webHidden/>
          </w:rPr>
          <w:tab/>
        </w:r>
        <w:r>
          <w:rPr>
            <w:webHidden/>
          </w:rPr>
          <w:fldChar w:fldCharType="begin"/>
        </w:r>
        <w:r w:rsidR="00423B0C">
          <w:rPr>
            <w:webHidden/>
          </w:rPr>
          <w:instrText xml:space="preserve"> PAGEREF _Toc464735362 \h </w:instrText>
        </w:r>
        <w:r>
          <w:rPr>
            <w:webHidden/>
          </w:rPr>
        </w:r>
        <w:r>
          <w:rPr>
            <w:webHidden/>
          </w:rPr>
          <w:fldChar w:fldCharType="separate"/>
        </w:r>
        <w:r w:rsidR="00423B0C">
          <w:rPr>
            <w:webHidden/>
          </w:rPr>
          <w:t>7</w:t>
        </w:r>
        <w:r>
          <w:rPr>
            <w:webHidden/>
          </w:rPr>
          <w:fldChar w:fldCharType="end"/>
        </w:r>
      </w:hyperlink>
    </w:p>
    <w:p w:rsidR="00423B0C" w:rsidRDefault="00E2593B">
      <w:pPr>
        <w:pStyle w:val="TOC2"/>
        <w:rPr>
          <w:rFonts w:asciiTheme="minorHAnsi" w:eastAsiaTheme="minorEastAsia" w:hAnsiTheme="minorHAnsi" w:cstheme="minorBidi"/>
          <w:szCs w:val="22"/>
          <w:lang w:val="en-AU" w:eastAsia="en-AU"/>
        </w:rPr>
      </w:pPr>
      <w:hyperlink w:anchor="_Toc464735363" w:history="1">
        <w:r w:rsidR="00423B0C" w:rsidRPr="006B2F6E">
          <w:rPr>
            <w:rStyle w:val="Hyperlink"/>
          </w:rPr>
          <w:t>2.1</w:t>
        </w:r>
        <w:r w:rsidR="00423B0C">
          <w:rPr>
            <w:rFonts w:asciiTheme="minorHAnsi" w:eastAsiaTheme="minorEastAsia" w:hAnsiTheme="minorHAnsi" w:cstheme="minorBidi"/>
            <w:szCs w:val="22"/>
            <w:lang w:val="en-AU" w:eastAsia="en-AU"/>
          </w:rPr>
          <w:tab/>
        </w:r>
        <w:r w:rsidR="00423B0C" w:rsidRPr="006B2F6E">
          <w:rPr>
            <w:rStyle w:val="Hyperlink"/>
          </w:rPr>
          <w:t>Introduction</w:t>
        </w:r>
        <w:r w:rsidR="00423B0C">
          <w:rPr>
            <w:webHidden/>
          </w:rPr>
          <w:tab/>
        </w:r>
        <w:r>
          <w:rPr>
            <w:webHidden/>
          </w:rPr>
          <w:fldChar w:fldCharType="begin"/>
        </w:r>
        <w:r w:rsidR="00423B0C">
          <w:rPr>
            <w:webHidden/>
          </w:rPr>
          <w:instrText xml:space="preserve"> PAGEREF _Toc464735363 \h </w:instrText>
        </w:r>
        <w:r>
          <w:rPr>
            <w:webHidden/>
          </w:rPr>
        </w:r>
        <w:r>
          <w:rPr>
            <w:webHidden/>
          </w:rPr>
          <w:fldChar w:fldCharType="separate"/>
        </w:r>
        <w:r w:rsidR="00423B0C">
          <w:rPr>
            <w:webHidden/>
          </w:rPr>
          <w:t>7</w:t>
        </w:r>
        <w:r>
          <w:rPr>
            <w:webHidden/>
          </w:rPr>
          <w:fldChar w:fldCharType="end"/>
        </w:r>
      </w:hyperlink>
    </w:p>
    <w:p w:rsidR="00423B0C" w:rsidRDefault="00E2593B">
      <w:pPr>
        <w:pStyle w:val="TOC2"/>
        <w:rPr>
          <w:rFonts w:asciiTheme="minorHAnsi" w:eastAsiaTheme="minorEastAsia" w:hAnsiTheme="minorHAnsi" w:cstheme="minorBidi"/>
          <w:szCs w:val="22"/>
          <w:lang w:val="en-AU" w:eastAsia="en-AU"/>
        </w:rPr>
      </w:pPr>
      <w:hyperlink w:anchor="_Toc464735364" w:history="1">
        <w:r w:rsidR="00423B0C" w:rsidRPr="006B2F6E">
          <w:rPr>
            <w:rStyle w:val="Hyperlink"/>
          </w:rPr>
          <w:t>2.2</w:t>
        </w:r>
        <w:r w:rsidR="00423B0C">
          <w:rPr>
            <w:rFonts w:asciiTheme="minorHAnsi" w:eastAsiaTheme="minorEastAsia" w:hAnsiTheme="minorHAnsi" w:cstheme="minorBidi"/>
            <w:szCs w:val="22"/>
            <w:lang w:val="en-AU" w:eastAsia="en-AU"/>
          </w:rPr>
          <w:tab/>
        </w:r>
        <w:r w:rsidR="00423B0C" w:rsidRPr="006B2F6E">
          <w:rPr>
            <w:rStyle w:val="Hyperlink"/>
          </w:rPr>
          <w:t>Regulatory approach</w:t>
        </w:r>
        <w:r w:rsidR="00423B0C">
          <w:rPr>
            <w:webHidden/>
          </w:rPr>
          <w:tab/>
        </w:r>
        <w:r>
          <w:rPr>
            <w:webHidden/>
          </w:rPr>
          <w:fldChar w:fldCharType="begin"/>
        </w:r>
        <w:r w:rsidR="00423B0C">
          <w:rPr>
            <w:webHidden/>
          </w:rPr>
          <w:instrText xml:space="preserve"> PAGEREF _Toc464735364 \h </w:instrText>
        </w:r>
        <w:r>
          <w:rPr>
            <w:webHidden/>
          </w:rPr>
        </w:r>
        <w:r>
          <w:rPr>
            <w:webHidden/>
          </w:rPr>
          <w:fldChar w:fldCharType="separate"/>
        </w:r>
        <w:r w:rsidR="00423B0C">
          <w:rPr>
            <w:webHidden/>
          </w:rPr>
          <w:t>7</w:t>
        </w:r>
        <w:r>
          <w:rPr>
            <w:webHidden/>
          </w:rPr>
          <w:fldChar w:fldCharType="end"/>
        </w:r>
      </w:hyperlink>
    </w:p>
    <w:p w:rsidR="00423B0C" w:rsidRDefault="00E2593B">
      <w:pPr>
        <w:pStyle w:val="TOC2"/>
        <w:rPr>
          <w:rFonts w:asciiTheme="minorHAnsi" w:eastAsiaTheme="minorEastAsia" w:hAnsiTheme="minorHAnsi" w:cstheme="minorBidi"/>
          <w:szCs w:val="22"/>
          <w:lang w:val="en-AU" w:eastAsia="en-AU"/>
        </w:rPr>
      </w:pPr>
      <w:hyperlink w:anchor="_Toc464735365" w:history="1">
        <w:r w:rsidR="00423B0C" w:rsidRPr="006B2F6E">
          <w:rPr>
            <w:rStyle w:val="Hyperlink"/>
          </w:rPr>
          <w:t>2.3</w:t>
        </w:r>
        <w:r w:rsidR="00423B0C">
          <w:rPr>
            <w:rFonts w:asciiTheme="minorHAnsi" w:eastAsiaTheme="minorEastAsia" w:hAnsiTheme="minorHAnsi" w:cstheme="minorBidi"/>
            <w:szCs w:val="22"/>
            <w:lang w:val="en-AU" w:eastAsia="en-AU"/>
          </w:rPr>
          <w:tab/>
        </w:r>
        <w:r w:rsidR="00423B0C" w:rsidRPr="006B2F6E">
          <w:rPr>
            <w:rStyle w:val="Hyperlink"/>
          </w:rPr>
          <w:t>Pricing model</w:t>
        </w:r>
        <w:r w:rsidR="00423B0C">
          <w:rPr>
            <w:webHidden/>
          </w:rPr>
          <w:tab/>
        </w:r>
        <w:r>
          <w:rPr>
            <w:webHidden/>
          </w:rPr>
          <w:fldChar w:fldCharType="begin"/>
        </w:r>
        <w:r w:rsidR="00423B0C">
          <w:rPr>
            <w:webHidden/>
          </w:rPr>
          <w:instrText xml:space="preserve"> PAGEREF _Toc464735365 \h </w:instrText>
        </w:r>
        <w:r>
          <w:rPr>
            <w:webHidden/>
          </w:rPr>
        </w:r>
        <w:r>
          <w:rPr>
            <w:webHidden/>
          </w:rPr>
          <w:fldChar w:fldCharType="separate"/>
        </w:r>
        <w:r w:rsidR="00423B0C">
          <w:rPr>
            <w:webHidden/>
          </w:rPr>
          <w:t>8</w:t>
        </w:r>
        <w:r>
          <w:rPr>
            <w:webHidden/>
          </w:rPr>
          <w:fldChar w:fldCharType="end"/>
        </w:r>
      </w:hyperlink>
    </w:p>
    <w:p w:rsidR="00423B0C" w:rsidRDefault="00E2593B">
      <w:pPr>
        <w:pStyle w:val="TOC1"/>
        <w:rPr>
          <w:rFonts w:asciiTheme="minorHAnsi" w:eastAsiaTheme="minorEastAsia" w:hAnsiTheme="minorHAnsi" w:cstheme="minorBidi"/>
          <w:b w:val="0"/>
          <w:szCs w:val="22"/>
          <w:lang w:val="en-AU" w:eastAsia="en-AU"/>
        </w:rPr>
      </w:pPr>
      <w:hyperlink w:anchor="_Toc464735366" w:history="1">
        <w:r w:rsidR="00423B0C" w:rsidRPr="006B2F6E">
          <w:rPr>
            <w:rStyle w:val="Hyperlink"/>
          </w:rPr>
          <w:t>3</w:t>
        </w:r>
        <w:r w:rsidR="00423B0C">
          <w:rPr>
            <w:rFonts w:asciiTheme="minorHAnsi" w:eastAsiaTheme="minorEastAsia" w:hAnsiTheme="minorHAnsi" w:cstheme="minorBidi"/>
            <w:b w:val="0"/>
            <w:szCs w:val="22"/>
            <w:lang w:val="en-AU" w:eastAsia="en-AU"/>
          </w:rPr>
          <w:tab/>
        </w:r>
        <w:r w:rsidR="00423B0C" w:rsidRPr="006B2F6E">
          <w:rPr>
            <w:rStyle w:val="Hyperlink"/>
          </w:rPr>
          <w:t>State of the market and recent regulatory developments</w:t>
        </w:r>
        <w:r w:rsidR="00423B0C">
          <w:rPr>
            <w:webHidden/>
          </w:rPr>
          <w:tab/>
        </w:r>
        <w:r>
          <w:rPr>
            <w:webHidden/>
          </w:rPr>
          <w:fldChar w:fldCharType="begin"/>
        </w:r>
        <w:r w:rsidR="00423B0C">
          <w:rPr>
            <w:webHidden/>
          </w:rPr>
          <w:instrText xml:space="preserve"> PAGEREF _Toc464735366 \h </w:instrText>
        </w:r>
        <w:r>
          <w:rPr>
            <w:webHidden/>
          </w:rPr>
        </w:r>
        <w:r>
          <w:rPr>
            <w:webHidden/>
          </w:rPr>
          <w:fldChar w:fldCharType="separate"/>
        </w:r>
        <w:r w:rsidR="00423B0C">
          <w:rPr>
            <w:webHidden/>
          </w:rPr>
          <w:t>17</w:t>
        </w:r>
        <w:r>
          <w:rPr>
            <w:webHidden/>
          </w:rPr>
          <w:fldChar w:fldCharType="end"/>
        </w:r>
      </w:hyperlink>
    </w:p>
    <w:p w:rsidR="00423B0C" w:rsidRDefault="00E2593B">
      <w:pPr>
        <w:pStyle w:val="TOC2"/>
        <w:rPr>
          <w:rFonts w:asciiTheme="minorHAnsi" w:eastAsiaTheme="minorEastAsia" w:hAnsiTheme="minorHAnsi" w:cstheme="minorBidi"/>
          <w:szCs w:val="22"/>
          <w:lang w:val="en-AU" w:eastAsia="en-AU"/>
        </w:rPr>
      </w:pPr>
      <w:hyperlink w:anchor="_Toc464735367" w:history="1">
        <w:r w:rsidR="00423B0C" w:rsidRPr="006B2F6E">
          <w:rPr>
            <w:rStyle w:val="Hyperlink"/>
          </w:rPr>
          <w:t>3.1</w:t>
        </w:r>
        <w:r w:rsidR="00423B0C">
          <w:rPr>
            <w:rFonts w:asciiTheme="minorHAnsi" w:eastAsiaTheme="minorEastAsia" w:hAnsiTheme="minorHAnsi" w:cstheme="minorBidi"/>
            <w:szCs w:val="22"/>
            <w:lang w:val="en-AU" w:eastAsia="en-AU"/>
          </w:rPr>
          <w:tab/>
        </w:r>
        <w:r w:rsidR="00423B0C" w:rsidRPr="006B2F6E">
          <w:rPr>
            <w:rStyle w:val="Hyperlink"/>
          </w:rPr>
          <w:t>Introduction</w:t>
        </w:r>
        <w:r w:rsidR="00423B0C">
          <w:rPr>
            <w:webHidden/>
          </w:rPr>
          <w:tab/>
        </w:r>
        <w:r>
          <w:rPr>
            <w:webHidden/>
          </w:rPr>
          <w:fldChar w:fldCharType="begin"/>
        </w:r>
        <w:r w:rsidR="00423B0C">
          <w:rPr>
            <w:webHidden/>
          </w:rPr>
          <w:instrText xml:space="preserve"> PAGEREF _Toc464735367 \h </w:instrText>
        </w:r>
        <w:r>
          <w:rPr>
            <w:webHidden/>
          </w:rPr>
        </w:r>
        <w:r>
          <w:rPr>
            <w:webHidden/>
          </w:rPr>
          <w:fldChar w:fldCharType="separate"/>
        </w:r>
        <w:r w:rsidR="00423B0C">
          <w:rPr>
            <w:webHidden/>
          </w:rPr>
          <w:t>17</w:t>
        </w:r>
        <w:r>
          <w:rPr>
            <w:webHidden/>
          </w:rPr>
          <w:fldChar w:fldCharType="end"/>
        </w:r>
      </w:hyperlink>
    </w:p>
    <w:p w:rsidR="00423B0C" w:rsidRDefault="00E2593B">
      <w:pPr>
        <w:pStyle w:val="TOC2"/>
        <w:rPr>
          <w:rFonts w:asciiTheme="minorHAnsi" w:eastAsiaTheme="minorEastAsia" w:hAnsiTheme="minorHAnsi" w:cstheme="minorBidi"/>
          <w:szCs w:val="22"/>
          <w:lang w:val="en-AU" w:eastAsia="en-AU"/>
        </w:rPr>
      </w:pPr>
      <w:hyperlink w:anchor="_Toc464735368" w:history="1">
        <w:r w:rsidR="00423B0C" w:rsidRPr="006B2F6E">
          <w:rPr>
            <w:rStyle w:val="Hyperlink"/>
          </w:rPr>
          <w:t>3.2</w:t>
        </w:r>
        <w:r w:rsidR="00423B0C">
          <w:rPr>
            <w:rFonts w:asciiTheme="minorHAnsi" w:eastAsiaTheme="minorEastAsia" w:hAnsiTheme="minorHAnsi" w:cstheme="minorBidi"/>
            <w:szCs w:val="22"/>
            <w:lang w:val="en-AU" w:eastAsia="en-AU"/>
          </w:rPr>
          <w:tab/>
        </w:r>
        <w:r w:rsidR="00423B0C" w:rsidRPr="006B2F6E">
          <w:rPr>
            <w:rStyle w:val="Hyperlink"/>
          </w:rPr>
          <w:t>State of the electricity market</w:t>
        </w:r>
        <w:r w:rsidR="00423B0C">
          <w:rPr>
            <w:webHidden/>
          </w:rPr>
          <w:tab/>
        </w:r>
        <w:r>
          <w:rPr>
            <w:webHidden/>
          </w:rPr>
          <w:fldChar w:fldCharType="begin"/>
        </w:r>
        <w:r w:rsidR="00423B0C">
          <w:rPr>
            <w:webHidden/>
          </w:rPr>
          <w:instrText xml:space="preserve"> PAGEREF _Toc464735368 \h </w:instrText>
        </w:r>
        <w:r>
          <w:rPr>
            <w:webHidden/>
          </w:rPr>
        </w:r>
        <w:r>
          <w:rPr>
            <w:webHidden/>
          </w:rPr>
          <w:fldChar w:fldCharType="separate"/>
        </w:r>
        <w:r w:rsidR="00423B0C">
          <w:rPr>
            <w:webHidden/>
          </w:rPr>
          <w:t>17</w:t>
        </w:r>
        <w:r>
          <w:rPr>
            <w:webHidden/>
          </w:rPr>
          <w:fldChar w:fldCharType="end"/>
        </w:r>
      </w:hyperlink>
    </w:p>
    <w:p w:rsidR="00423B0C" w:rsidRDefault="00E2593B">
      <w:pPr>
        <w:pStyle w:val="TOC2"/>
        <w:rPr>
          <w:rFonts w:asciiTheme="minorHAnsi" w:eastAsiaTheme="minorEastAsia" w:hAnsiTheme="minorHAnsi" w:cstheme="minorBidi"/>
          <w:szCs w:val="22"/>
          <w:lang w:val="en-AU" w:eastAsia="en-AU"/>
        </w:rPr>
      </w:pPr>
      <w:hyperlink w:anchor="_Toc464735369" w:history="1">
        <w:r w:rsidR="00423B0C" w:rsidRPr="006B2F6E">
          <w:rPr>
            <w:rStyle w:val="Hyperlink"/>
          </w:rPr>
          <w:t>3.3</w:t>
        </w:r>
        <w:r w:rsidR="00423B0C">
          <w:rPr>
            <w:rFonts w:asciiTheme="minorHAnsi" w:eastAsiaTheme="minorEastAsia" w:hAnsiTheme="minorHAnsi" w:cstheme="minorBidi"/>
            <w:szCs w:val="22"/>
            <w:lang w:val="en-AU" w:eastAsia="en-AU"/>
          </w:rPr>
          <w:tab/>
        </w:r>
        <w:r w:rsidR="00423B0C" w:rsidRPr="006B2F6E">
          <w:rPr>
            <w:rStyle w:val="Hyperlink"/>
          </w:rPr>
          <w:t>Recent regulatory developments</w:t>
        </w:r>
        <w:r w:rsidR="00423B0C">
          <w:rPr>
            <w:webHidden/>
          </w:rPr>
          <w:tab/>
        </w:r>
        <w:r>
          <w:rPr>
            <w:webHidden/>
          </w:rPr>
          <w:fldChar w:fldCharType="begin"/>
        </w:r>
        <w:r w:rsidR="00423B0C">
          <w:rPr>
            <w:webHidden/>
          </w:rPr>
          <w:instrText xml:space="preserve"> PAGEREF _Toc464735369 \h </w:instrText>
        </w:r>
        <w:r>
          <w:rPr>
            <w:webHidden/>
          </w:rPr>
        </w:r>
        <w:r>
          <w:rPr>
            <w:webHidden/>
          </w:rPr>
          <w:fldChar w:fldCharType="separate"/>
        </w:r>
        <w:r w:rsidR="00423B0C">
          <w:rPr>
            <w:webHidden/>
          </w:rPr>
          <w:t>27</w:t>
        </w:r>
        <w:r>
          <w:rPr>
            <w:webHidden/>
          </w:rPr>
          <w:fldChar w:fldCharType="end"/>
        </w:r>
      </w:hyperlink>
    </w:p>
    <w:p w:rsidR="00423B0C" w:rsidRDefault="00E2593B">
      <w:pPr>
        <w:pStyle w:val="TOC2"/>
        <w:rPr>
          <w:rFonts w:asciiTheme="minorHAnsi" w:eastAsiaTheme="minorEastAsia" w:hAnsiTheme="minorHAnsi" w:cstheme="minorBidi"/>
          <w:szCs w:val="22"/>
          <w:lang w:val="en-AU" w:eastAsia="en-AU"/>
        </w:rPr>
      </w:pPr>
      <w:hyperlink w:anchor="_Toc464735370" w:history="1">
        <w:r w:rsidR="00423B0C" w:rsidRPr="006B2F6E">
          <w:rPr>
            <w:rStyle w:val="Hyperlink"/>
          </w:rPr>
          <w:t>3.4</w:t>
        </w:r>
        <w:r w:rsidR="00423B0C">
          <w:rPr>
            <w:rFonts w:asciiTheme="minorHAnsi" w:eastAsiaTheme="minorEastAsia" w:hAnsiTheme="minorHAnsi" w:cstheme="minorBidi"/>
            <w:szCs w:val="22"/>
            <w:lang w:val="en-AU" w:eastAsia="en-AU"/>
          </w:rPr>
          <w:tab/>
        </w:r>
        <w:r w:rsidR="00423B0C" w:rsidRPr="006B2F6E">
          <w:rPr>
            <w:rStyle w:val="Hyperlink"/>
          </w:rPr>
          <w:t>Recent regulatory decisions in other jurisdictions</w:t>
        </w:r>
        <w:r w:rsidR="00423B0C">
          <w:rPr>
            <w:webHidden/>
          </w:rPr>
          <w:tab/>
        </w:r>
        <w:r>
          <w:rPr>
            <w:webHidden/>
          </w:rPr>
          <w:fldChar w:fldCharType="begin"/>
        </w:r>
        <w:r w:rsidR="00423B0C">
          <w:rPr>
            <w:webHidden/>
          </w:rPr>
          <w:instrText xml:space="preserve"> PAGEREF _Toc464735370 \h </w:instrText>
        </w:r>
        <w:r>
          <w:rPr>
            <w:webHidden/>
          </w:rPr>
        </w:r>
        <w:r>
          <w:rPr>
            <w:webHidden/>
          </w:rPr>
          <w:fldChar w:fldCharType="separate"/>
        </w:r>
        <w:r w:rsidR="00423B0C">
          <w:rPr>
            <w:webHidden/>
          </w:rPr>
          <w:t>29</w:t>
        </w:r>
        <w:r>
          <w:rPr>
            <w:webHidden/>
          </w:rPr>
          <w:fldChar w:fldCharType="end"/>
        </w:r>
      </w:hyperlink>
    </w:p>
    <w:p w:rsidR="00423B0C" w:rsidRDefault="00E2593B">
      <w:pPr>
        <w:pStyle w:val="TOC2"/>
        <w:rPr>
          <w:rFonts w:asciiTheme="minorHAnsi" w:eastAsiaTheme="minorEastAsia" w:hAnsiTheme="minorHAnsi" w:cstheme="minorBidi"/>
          <w:szCs w:val="22"/>
          <w:lang w:val="en-AU" w:eastAsia="en-AU"/>
        </w:rPr>
      </w:pPr>
      <w:hyperlink w:anchor="_Toc464735371" w:history="1">
        <w:r w:rsidR="00423B0C" w:rsidRPr="006B2F6E">
          <w:rPr>
            <w:rStyle w:val="Hyperlink"/>
          </w:rPr>
          <w:t>3.5</w:t>
        </w:r>
        <w:r w:rsidR="00423B0C">
          <w:rPr>
            <w:rFonts w:asciiTheme="minorHAnsi" w:eastAsiaTheme="minorEastAsia" w:hAnsiTheme="minorHAnsi" w:cstheme="minorBidi"/>
            <w:szCs w:val="22"/>
            <w:lang w:val="en-AU" w:eastAsia="en-AU"/>
          </w:rPr>
          <w:tab/>
        </w:r>
        <w:r w:rsidR="00423B0C" w:rsidRPr="006B2F6E">
          <w:rPr>
            <w:rStyle w:val="Hyperlink"/>
          </w:rPr>
          <w:t>Competition issues</w:t>
        </w:r>
        <w:r w:rsidR="00423B0C">
          <w:rPr>
            <w:webHidden/>
          </w:rPr>
          <w:tab/>
        </w:r>
        <w:r>
          <w:rPr>
            <w:webHidden/>
          </w:rPr>
          <w:fldChar w:fldCharType="begin"/>
        </w:r>
        <w:r w:rsidR="00423B0C">
          <w:rPr>
            <w:webHidden/>
          </w:rPr>
          <w:instrText xml:space="preserve"> PAGEREF _Toc464735371 \h </w:instrText>
        </w:r>
        <w:r>
          <w:rPr>
            <w:webHidden/>
          </w:rPr>
        </w:r>
        <w:r>
          <w:rPr>
            <w:webHidden/>
          </w:rPr>
          <w:fldChar w:fldCharType="separate"/>
        </w:r>
        <w:r w:rsidR="00423B0C">
          <w:rPr>
            <w:webHidden/>
          </w:rPr>
          <w:t>30</w:t>
        </w:r>
        <w:r>
          <w:rPr>
            <w:webHidden/>
          </w:rPr>
          <w:fldChar w:fldCharType="end"/>
        </w:r>
      </w:hyperlink>
    </w:p>
    <w:p w:rsidR="00423B0C" w:rsidRDefault="00E2593B">
      <w:pPr>
        <w:pStyle w:val="TOC1"/>
        <w:rPr>
          <w:rFonts w:asciiTheme="minorHAnsi" w:eastAsiaTheme="minorEastAsia" w:hAnsiTheme="minorHAnsi" w:cstheme="minorBidi"/>
          <w:b w:val="0"/>
          <w:szCs w:val="22"/>
          <w:lang w:val="en-AU" w:eastAsia="en-AU"/>
        </w:rPr>
      </w:pPr>
      <w:hyperlink w:anchor="_Toc464735372" w:history="1">
        <w:r w:rsidR="00423B0C" w:rsidRPr="006B2F6E">
          <w:rPr>
            <w:rStyle w:val="Hyperlink"/>
          </w:rPr>
          <w:t>4</w:t>
        </w:r>
        <w:r w:rsidR="00423B0C">
          <w:rPr>
            <w:rFonts w:asciiTheme="minorHAnsi" w:eastAsiaTheme="minorEastAsia" w:hAnsiTheme="minorHAnsi" w:cstheme="minorBidi"/>
            <w:b w:val="0"/>
            <w:szCs w:val="22"/>
            <w:lang w:val="en-AU" w:eastAsia="en-AU"/>
          </w:rPr>
          <w:tab/>
        </w:r>
        <w:r w:rsidR="00423B0C" w:rsidRPr="006B2F6E">
          <w:rPr>
            <w:rStyle w:val="Hyperlink"/>
          </w:rPr>
          <w:t>Issues for consultation: Summary</w:t>
        </w:r>
        <w:r w:rsidR="00423B0C">
          <w:rPr>
            <w:webHidden/>
          </w:rPr>
          <w:tab/>
        </w:r>
        <w:r>
          <w:rPr>
            <w:webHidden/>
          </w:rPr>
          <w:fldChar w:fldCharType="begin"/>
        </w:r>
        <w:r w:rsidR="00423B0C">
          <w:rPr>
            <w:webHidden/>
          </w:rPr>
          <w:instrText xml:space="preserve"> PAGEREF _Toc464735372 \h </w:instrText>
        </w:r>
        <w:r>
          <w:rPr>
            <w:webHidden/>
          </w:rPr>
        </w:r>
        <w:r>
          <w:rPr>
            <w:webHidden/>
          </w:rPr>
          <w:fldChar w:fldCharType="separate"/>
        </w:r>
        <w:r w:rsidR="00423B0C">
          <w:rPr>
            <w:webHidden/>
          </w:rPr>
          <w:t>33</w:t>
        </w:r>
        <w:r>
          <w:rPr>
            <w:webHidden/>
          </w:rPr>
          <w:fldChar w:fldCharType="end"/>
        </w:r>
      </w:hyperlink>
    </w:p>
    <w:p w:rsidR="00423B0C" w:rsidRDefault="00E2593B">
      <w:pPr>
        <w:pStyle w:val="TOC1"/>
        <w:rPr>
          <w:rFonts w:asciiTheme="minorHAnsi" w:eastAsiaTheme="minorEastAsia" w:hAnsiTheme="minorHAnsi" w:cstheme="minorBidi"/>
          <w:b w:val="0"/>
          <w:szCs w:val="22"/>
          <w:lang w:val="en-AU" w:eastAsia="en-AU"/>
        </w:rPr>
      </w:pPr>
      <w:hyperlink w:anchor="_Toc464735373" w:history="1">
        <w:r w:rsidR="00423B0C" w:rsidRPr="006B2F6E">
          <w:rPr>
            <w:rStyle w:val="Hyperlink"/>
          </w:rPr>
          <w:t>5</w:t>
        </w:r>
        <w:r w:rsidR="00423B0C">
          <w:rPr>
            <w:rFonts w:asciiTheme="minorHAnsi" w:eastAsiaTheme="minorEastAsia" w:hAnsiTheme="minorHAnsi" w:cstheme="minorBidi"/>
            <w:b w:val="0"/>
            <w:szCs w:val="22"/>
            <w:lang w:val="en-AU" w:eastAsia="en-AU"/>
          </w:rPr>
          <w:tab/>
        </w:r>
        <w:r w:rsidR="00423B0C" w:rsidRPr="006B2F6E">
          <w:rPr>
            <w:rStyle w:val="Hyperlink"/>
          </w:rPr>
          <w:t>Next steps</w:t>
        </w:r>
        <w:r w:rsidR="00423B0C">
          <w:rPr>
            <w:webHidden/>
          </w:rPr>
          <w:tab/>
        </w:r>
        <w:r>
          <w:rPr>
            <w:webHidden/>
          </w:rPr>
          <w:fldChar w:fldCharType="begin"/>
        </w:r>
        <w:r w:rsidR="00423B0C">
          <w:rPr>
            <w:webHidden/>
          </w:rPr>
          <w:instrText xml:space="preserve"> PAGEREF _Toc464735373 \h </w:instrText>
        </w:r>
        <w:r>
          <w:rPr>
            <w:webHidden/>
          </w:rPr>
        </w:r>
        <w:r>
          <w:rPr>
            <w:webHidden/>
          </w:rPr>
          <w:fldChar w:fldCharType="separate"/>
        </w:r>
        <w:r w:rsidR="00423B0C">
          <w:rPr>
            <w:webHidden/>
          </w:rPr>
          <w:t>35</w:t>
        </w:r>
        <w:r>
          <w:rPr>
            <w:webHidden/>
          </w:rPr>
          <w:fldChar w:fldCharType="end"/>
        </w:r>
      </w:hyperlink>
    </w:p>
    <w:p w:rsidR="00423B0C" w:rsidRDefault="00E2593B">
      <w:pPr>
        <w:pStyle w:val="TOC1"/>
        <w:tabs>
          <w:tab w:val="left" w:pos="1800"/>
        </w:tabs>
        <w:rPr>
          <w:rFonts w:asciiTheme="minorHAnsi" w:eastAsiaTheme="minorEastAsia" w:hAnsiTheme="minorHAnsi" w:cstheme="minorBidi"/>
          <w:b w:val="0"/>
          <w:szCs w:val="22"/>
          <w:lang w:val="en-AU" w:eastAsia="en-AU"/>
        </w:rPr>
      </w:pPr>
      <w:hyperlink w:anchor="_Toc464735374" w:history="1">
        <w:r w:rsidR="00423B0C" w:rsidRPr="006B2F6E">
          <w:rPr>
            <w:rStyle w:val="Hyperlink"/>
          </w:rPr>
          <w:t>Appendix 1</w:t>
        </w:r>
        <w:r w:rsidR="00423B0C">
          <w:rPr>
            <w:rFonts w:asciiTheme="minorHAnsi" w:eastAsiaTheme="minorEastAsia" w:hAnsiTheme="minorHAnsi" w:cstheme="minorBidi"/>
            <w:b w:val="0"/>
            <w:szCs w:val="22"/>
            <w:lang w:val="en-AU" w:eastAsia="en-AU"/>
          </w:rPr>
          <w:tab/>
        </w:r>
        <w:r w:rsidR="00423B0C" w:rsidRPr="006B2F6E">
          <w:rPr>
            <w:rStyle w:val="Hyperlink"/>
          </w:rPr>
          <w:t>Terms of reference</w:t>
        </w:r>
        <w:r w:rsidR="00423B0C">
          <w:rPr>
            <w:webHidden/>
          </w:rPr>
          <w:tab/>
        </w:r>
        <w:r>
          <w:rPr>
            <w:webHidden/>
          </w:rPr>
          <w:fldChar w:fldCharType="begin"/>
        </w:r>
        <w:r w:rsidR="00423B0C">
          <w:rPr>
            <w:webHidden/>
          </w:rPr>
          <w:instrText xml:space="preserve"> PAGEREF _Toc464735374 \h </w:instrText>
        </w:r>
        <w:r>
          <w:rPr>
            <w:webHidden/>
          </w:rPr>
        </w:r>
        <w:r>
          <w:rPr>
            <w:webHidden/>
          </w:rPr>
          <w:fldChar w:fldCharType="separate"/>
        </w:r>
        <w:r w:rsidR="00423B0C">
          <w:rPr>
            <w:webHidden/>
          </w:rPr>
          <w:t>37</w:t>
        </w:r>
        <w:r>
          <w:rPr>
            <w:webHidden/>
          </w:rPr>
          <w:fldChar w:fldCharType="end"/>
        </w:r>
      </w:hyperlink>
    </w:p>
    <w:p w:rsidR="00423B0C" w:rsidRDefault="00E2593B">
      <w:pPr>
        <w:pStyle w:val="TOC1"/>
        <w:rPr>
          <w:rFonts w:asciiTheme="minorHAnsi" w:eastAsiaTheme="minorEastAsia" w:hAnsiTheme="minorHAnsi" w:cstheme="minorBidi"/>
          <w:b w:val="0"/>
          <w:szCs w:val="22"/>
          <w:lang w:val="en-AU" w:eastAsia="en-AU"/>
        </w:rPr>
      </w:pPr>
      <w:hyperlink w:anchor="_Toc464735375" w:history="1">
        <w:r w:rsidR="00423B0C" w:rsidRPr="006B2F6E">
          <w:rPr>
            <w:rStyle w:val="Hyperlink"/>
          </w:rPr>
          <w:t>Abbreviations and acronyms</w:t>
        </w:r>
        <w:r w:rsidR="00423B0C">
          <w:rPr>
            <w:webHidden/>
          </w:rPr>
          <w:tab/>
        </w:r>
        <w:r>
          <w:rPr>
            <w:webHidden/>
          </w:rPr>
          <w:fldChar w:fldCharType="begin"/>
        </w:r>
        <w:r w:rsidR="00423B0C">
          <w:rPr>
            <w:webHidden/>
          </w:rPr>
          <w:instrText xml:space="preserve"> PAGEREF _Toc464735375 \h </w:instrText>
        </w:r>
        <w:r>
          <w:rPr>
            <w:webHidden/>
          </w:rPr>
        </w:r>
        <w:r>
          <w:rPr>
            <w:webHidden/>
          </w:rPr>
          <w:fldChar w:fldCharType="separate"/>
        </w:r>
        <w:r w:rsidR="00423B0C">
          <w:rPr>
            <w:webHidden/>
          </w:rPr>
          <w:t>39</w:t>
        </w:r>
        <w:r>
          <w:rPr>
            <w:webHidden/>
          </w:rPr>
          <w:fldChar w:fldCharType="end"/>
        </w:r>
      </w:hyperlink>
    </w:p>
    <w:p w:rsidR="00423B0C" w:rsidRDefault="00E2593B">
      <w:pPr>
        <w:pStyle w:val="TOC1"/>
        <w:rPr>
          <w:rFonts w:asciiTheme="minorHAnsi" w:eastAsiaTheme="minorEastAsia" w:hAnsiTheme="minorHAnsi" w:cstheme="minorBidi"/>
          <w:b w:val="0"/>
          <w:szCs w:val="22"/>
          <w:lang w:val="en-AU" w:eastAsia="en-AU"/>
        </w:rPr>
      </w:pPr>
      <w:hyperlink w:anchor="_Toc464735376" w:history="1">
        <w:r w:rsidR="00423B0C" w:rsidRPr="006B2F6E">
          <w:rPr>
            <w:rStyle w:val="Hyperlink"/>
          </w:rPr>
          <w:t>References</w:t>
        </w:r>
        <w:r w:rsidR="00423B0C">
          <w:rPr>
            <w:webHidden/>
          </w:rPr>
          <w:tab/>
        </w:r>
        <w:r>
          <w:rPr>
            <w:webHidden/>
          </w:rPr>
          <w:fldChar w:fldCharType="begin"/>
        </w:r>
        <w:r w:rsidR="00423B0C">
          <w:rPr>
            <w:webHidden/>
          </w:rPr>
          <w:instrText xml:space="preserve"> PAGEREF _Toc464735376 \h </w:instrText>
        </w:r>
        <w:r>
          <w:rPr>
            <w:webHidden/>
          </w:rPr>
        </w:r>
        <w:r>
          <w:rPr>
            <w:webHidden/>
          </w:rPr>
          <w:fldChar w:fldCharType="separate"/>
        </w:r>
        <w:r w:rsidR="00423B0C">
          <w:rPr>
            <w:webHidden/>
          </w:rPr>
          <w:t>41</w:t>
        </w:r>
        <w:r>
          <w:rPr>
            <w:webHidden/>
          </w:rPr>
          <w:fldChar w:fldCharType="end"/>
        </w:r>
      </w:hyperlink>
    </w:p>
    <w:p w:rsidR="00640A28" w:rsidRDefault="00E2593B" w:rsidP="007F026C">
      <w:pPr>
        <w:pStyle w:val="References"/>
        <w:rPr>
          <w:rFonts w:ascii="Arial" w:hAnsi="Arial" w:cs="Arial"/>
          <w:b/>
          <w:sz w:val="26"/>
          <w:szCs w:val="26"/>
        </w:rPr>
      </w:pPr>
      <w:r>
        <w:rPr>
          <w:noProof/>
          <w:szCs w:val="40"/>
          <w:lang w:val="en-AU"/>
        </w:rPr>
        <w:fldChar w:fldCharType="end"/>
      </w:r>
      <w:r w:rsidR="00640A28">
        <w:rPr>
          <w:rFonts w:ascii="Arial" w:hAnsi="Arial" w:cs="Arial"/>
          <w:b/>
          <w:sz w:val="26"/>
          <w:szCs w:val="26"/>
        </w:rPr>
        <w:br w:type="page"/>
      </w:r>
    </w:p>
    <w:p w:rsidR="00DE3143" w:rsidRPr="001E3780" w:rsidRDefault="00043BCD" w:rsidP="008A1C91">
      <w:pPr>
        <w:pStyle w:val="References"/>
        <w:rPr>
          <w:rFonts w:ascii="Arial" w:hAnsi="Arial" w:cs="Arial"/>
          <w:b/>
          <w:sz w:val="26"/>
          <w:szCs w:val="26"/>
        </w:rPr>
      </w:pPr>
      <w:r w:rsidRPr="001E3780">
        <w:rPr>
          <w:rFonts w:ascii="Arial" w:hAnsi="Arial" w:cs="Arial"/>
          <w:b/>
          <w:sz w:val="26"/>
          <w:szCs w:val="26"/>
        </w:rPr>
        <w:lastRenderedPageBreak/>
        <w:t>List of tables</w:t>
      </w:r>
    </w:p>
    <w:p w:rsidR="00423B0C" w:rsidRDefault="00E2593B">
      <w:pPr>
        <w:pStyle w:val="TableofFigures"/>
        <w:rPr>
          <w:rFonts w:asciiTheme="minorHAnsi" w:eastAsiaTheme="minorEastAsia" w:hAnsiTheme="minorHAnsi" w:cstheme="minorBidi"/>
          <w:szCs w:val="22"/>
          <w:lang w:val="en-AU" w:eastAsia="en-AU"/>
        </w:rPr>
      </w:pPr>
      <w:r w:rsidRPr="00E2593B">
        <w:rPr>
          <w:lang w:val="en-AU"/>
        </w:rPr>
        <w:fldChar w:fldCharType="begin"/>
      </w:r>
      <w:r w:rsidR="00874740">
        <w:rPr>
          <w:lang w:val="en-AU"/>
        </w:rPr>
        <w:instrText xml:space="preserve"> TOC \h \z \c "Table" </w:instrText>
      </w:r>
      <w:r w:rsidRPr="00E2593B">
        <w:rPr>
          <w:lang w:val="en-AU"/>
        </w:rPr>
        <w:fldChar w:fldCharType="separate"/>
      </w:r>
      <w:hyperlink w:anchor="_Toc464735377" w:history="1">
        <w:r w:rsidR="00423B0C" w:rsidRPr="0028043E">
          <w:rPr>
            <w:rStyle w:val="Hyperlink"/>
          </w:rPr>
          <w:t>Table 1.1</w:t>
        </w:r>
        <w:r w:rsidR="00423B0C">
          <w:rPr>
            <w:rFonts w:asciiTheme="minorHAnsi" w:eastAsiaTheme="minorEastAsia" w:hAnsiTheme="minorHAnsi" w:cstheme="minorBidi"/>
            <w:szCs w:val="22"/>
            <w:lang w:val="en-AU" w:eastAsia="en-AU"/>
          </w:rPr>
          <w:tab/>
        </w:r>
        <w:r w:rsidR="00423B0C" w:rsidRPr="0028043E">
          <w:rPr>
            <w:rStyle w:val="Hyperlink"/>
          </w:rPr>
          <w:t>Indicative timeline for the retail electricity price investigation</w:t>
        </w:r>
        <w:r w:rsidR="00423B0C">
          <w:rPr>
            <w:webHidden/>
          </w:rPr>
          <w:tab/>
        </w:r>
        <w:r>
          <w:rPr>
            <w:webHidden/>
          </w:rPr>
          <w:fldChar w:fldCharType="begin"/>
        </w:r>
        <w:r w:rsidR="00423B0C">
          <w:rPr>
            <w:webHidden/>
          </w:rPr>
          <w:instrText xml:space="preserve"> PAGEREF _Toc464735377 \h </w:instrText>
        </w:r>
        <w:r>
          <w:rPr>
            <w:webHidden/>
          </w:rPr>
        </w:r>
        <w:r>
          <w:rPr>
            <w:webHidden/>
          </w:rPr>
          <w:fldChar w:fldCharType="separate"/>
        </w:r>
        <w:r w:rsidR="00423B0C">
          <w:rPr>
            <w:webHidden/>
          </w:rPr>
          <w:t>6</w:t>
        </w:r>
        <w:r>
          <w:rPr>
            <w:webHidden/>
          </w:rPr>
          <w:fldChar w:fldCharType="end"/>
        </w:r>
      </w:hyperlink>
    </w:p>
    <w:p w:rsidR="00423B0C" w:rsidRDefault="00E2593B">
      <w:pPr>
        <w:pStyle w:val="TableofFigures"/>
        <w:rPr>
          <w:rFonts w:asciiTheme="minorHAnsi" w:eastAsiaTheme="minorEastAsia" w:hAnsiTheme="minorHAnsi" w:cstheme="minorBidi"/>
          <w:szCs w:val="22"/>
          <w:lang w:val="en-AU" w:eastAsia="en-AU"/>
        </w:rPr>
      </w:pPr>
      <w:hyperlink w:anchor="_Toc464735378" w:history="1">
        <w:r w:rsidR="00423B0C" w:rsidRPr="0028043E">
          <w:rPr>
            <w:rStyle w:val="Hyperlink"/>
          </w:rPr>
          <w:t>Table 2.1</w:t>
        </w:r>
        <w:r w:rsidR="00423B0C">
          <w:rPr>
            <w:rFonts w:asciiTheme="minorHAnsi" w:eastAsiaTheme="minorEastAsia" w:hAnsiTheme="minorHAnsi" w:cstheme="minorBidi"/>
            <w:szCs w:val="22"/>
            <w:lang w:val="en-AU" w:eastAsia="en-AU"/>
          </w:rPr>
          <w:tab/>
        </w:r>
        <w:r w:rsidR="00423B0C" w:rsidRPr="0028043E">
          <w:rPr>
            <w:rStyle w:val="Hyperlink"/>
          </w:rPr>
          <w:t>Composition of regulated retail electricity costs for 2016–17</w:t>
        </w:r>
        <w:r w:rsidR="00423B0C">
          <w:rPr>
            <w:webHidden/>
          </w:rPr>
          <w:tab/>
        </w:r>
        <w:r>
          <w:rPr>
            <w:webHidden/>
          </w:rPr>
          <w:fldChar w:fldCharType="begin"/>
        </w:r>
        <w:r w:rsidR="00423B0C">
          <w:rPr>
            <w:webHidden/>
          </w:rPr>
          <w:instrText xml:space="preserve"> PAGEREF _Toc464735378 \h </w:instrText>
        </w:r>
        <w:r>
          <w:rPr>
            <w:webHidden/>
          </w:rPr>
        </w:r>
        <w:r>
          <w:rPr>
            <w:webHidden/>
          </w:rPr>
          <w:fldChar w:fldCharType="separate"/>
        </w:r>
        <w:r w:rsidR="00423B0C">
          <w:rPr>
            <w:webHidden/>
          </w:rPr>
          <w:t>10</w:t>
        </w:r>
        <w:r>
          <w:rPr>
            <w:webHidden/>
          </w:rPr>
          <w:fldChar w:fldCharType="end"/>
        </w:r>
      </w:hyperlink>
    </w:p>
    <w:p w:rsidR="00423B0C" w:rsidRDefault="00E2593B">
      <w:pPr>
        <w:pStyle w:val="TableofFigures"/>
        <w:rPr>
          <w:rFonts w:asciiTheme="minorHAnsi" w:eastAsiaTheme="minorEastAsia" w:hAnsiTheme="minorHAnsi" w:cstheme="minorBidi"/>
          <w:szCs w:val="22"/>
          <w:lang w:val="en-AU" w:eastAsia="en-AU"/>
        </w:rPr>
      </w:pPr>
      <w:hyperlink w:anchor="_Toc464735379" w:history="1">
        <w:r w:rsidR="00423B0C" w:rsidRPr="0028043E">
          <w:rPr>
            <w:rStyle w:val="Hyperlink"/>
          </w:rPr>
          <w:t>Table 3.1</w:t>
        </w:r>
        <w:r w:rsidR="00423B0C">
          <w:rPr>
            <w:rFonts w:asciiTheme="minorHAnsi" w:eastAsiaTheme="minorEastAsia" w:hAnsiTheme="minorHAnsi" w:cstheme="minorBidi"/>
            <w:szCs w:val="22"/>
            <w:lang w:val="en-AU" w:eastAsia="en-AU"/>
          </w:rPr>
          <w:tab/>
        </w:r>
        <w:r w:rsidR="00423B0C" w:rsidRPr="0028043E">
          <w:rPr>
            <w:rStyle w:val="Hyperlink"/>
          </w:rPr>
          <w:t>Retail electricity offers, September 2016</w:t>
        </w:r>
        <w:r w:rsidR="00423B0C">
          <w:rPr>
            <w:webHidden/>
          </w:rPr>
          <w:tab/>
        </w:r>
        <w:r>
          <w:rPr>
            <w:webHidden/>
          </w:rPr>
          <w:fldChar w:fldCharType="begin"/>
        </w:r>
        <w:r w:rsidR="00423B0C">
          <w:rPr>
            <w:webHidden/>
          </w:rPr>
          <w:instrText xml:space="preserve"> PAGEREF _Toc464735379 \h </w:instrText>
        </w:r>
        <w:r>
          <w:rPr>
            <w:webHidden/>
          </w:rPr>
        </w:r>
        <w:r>
          <w:rPr>
            <w:webHidden/>
          </w:rPr>
          <w:fldChar w:fldCharType="separate"/>
        </w:r>
        <w:r w:rsidR="00423B0C">
          <w:rPr>
            <w:webHidden/>
          </w:rPr>
          <w:t>24</w:t>
        </w:r>
        <w:r>
          <w:rPr>
            <w:webHidden/>
          </w:rPr>
          <w:fldChar w:fldCharType="end"/>
        </w:r>
      </w:hyperlink>
    </w:p>
    <w:p w:rsidR="00423B0C" w:rsidRDefault="00E2593B">
      <w:pPr>
        <w:pStyle w:val="TableofFigures"/>
        <w:rPr>
          <w:rFonts w:asciiTheme="minorHAnsi" w:eastAsiaTheme="minorEastAsia" w:hAnsiTheme="minorHAnsi" w:cstheme="minorBidi"/>
          <w:szCs w:val="22"/>
          <w:lang w:val="en-AU" w:eastAsia="en-AU"/>
        </w:rPr>
      </w:pPr>
      <w:hyperlink w:anchor="_Toc464735380" w:history="1">
        <w:r w:rsidR="00423B0C" w:rsidRPr="0028043E">
          <w:rPr>
            <w:rStyle w:val="Hyperlink"/>
          </w:rPr>
          <w:t>Table 5.1</w:t>
        </w:r>
        <w:r w:rsidR="00423B0C">
          <w:rPr>
            <w:rFonts w:asciiTheme="minorHAnsi" w:eastAsiaTheme="minorEastAsia" w:hAnsiTheme="minorHAnsi" w:cstheme="minorBidi"/>
            <w:szCs w:val="22"/>
            <w:lang w:val="en-AU" w:eastAsia="en-AU"/>
          </w:rPr>
          <w:tab/>
        </w:r>
        <w:r w:rsidR="00423B0C" w:rsidRPr="0028043E">
          <w:rPr>
            <w:rStyle w:val="Hyperlink"/>
          </w:rPr>
          <w:t>Next steps in the retail electricity price investigation</w:t>
        </w:r>
        <w:r w:rsidR="00423B0C">
          <w:rPr>
            <w:webHidden/>
          </w:rPr>
          <w:tab/>
        </w:r>
        <w:r>
          <w:rPr>
            <w:webHidden/>
          </w:rPr>
          <w:fldChar w:fldCharType="begin"/>
        </w:r>
        <w:r w:rsidR="00423B0C">
          <w:rPr>
            <w:webHidden/>
          </w:rPr>
          <w:instrText xml:space="preserve"> PAGEREF _Toc464735380 \h </w:instrText>
        </w:r>
        <w:r>
          <w:rPr>
            <w:webHidden/>
          </w:rPr>
        </w:r>
        <w:r>
          <w:rPr>
            <w:webHidden/>
          </w:rPr>
          <w:fldChar w:fldCharType="separate"/>
        </w:r>
        <w:r w:rsidR="00423B0C">
          <w:rPr>
            <w:webHidden/>
          </w:rPr>
          <w:t>35</w:t>
        </w:r>
        <w:r>
          <w:rPr>
            <w:webHidden/>
          </w:rPr>
          <w:fldChar w:fldCharType="end"/>
        </w:r>
      </w:hyperlink>
    </w:p>
    <w:p w:rsidR="00022CFE" w:rsidRDefault="00E2593B" w:rsidP="008A1C91">
      <w:pPr>
        <w:pStyle w:val="References"/>
        <w:rPr>
          <w:lang w:val="en-AU"/>
        </w:rPr>
      </w:pPr>
      <w:r>
        <w:rPr>
          <w:lang w:val="en-AU"/>
        </w:rPr>
        <w:fldChar w:fldCharType="end"/>
      </w:r>
    </w:p>
    <w:p w:rsidR="00043BCD" w:rsidRPr="00570879" w:rsidRDefault="00043BCD" w:rsidP="008A1C91">
      <w:pPr>
        <w:pStyle w:val="References"/>
        <w:rPr>
          <w:sz w:val="26"/>
          <w:szCs w:val="26"/>
        </w:rPr>
      </w:pPr>
      <w:r w:rsidRPr="001E3780">
        <w:rPr>
          <w:rFonts w:ascii="Arial" w:hAnsi="Arial" w:cs="Arial"/>
          <w:b/>
          <w:sz w:val="26"/>
          <w:szCs w:val="26"/>
        </w:rPr>
        <w:t>List of figures</w:t>
      </w:r>
    </w:p>
    <w:p w:rsidR="00423B0C" w:rsidRDefault="00E2593B">
      <w:pPr>
        <w:pStyle w:val="TableofFigures"/>
        <w:rPr>
          <w:rFonts w:asciiTheme="minorHAnsi" w:eastAsiaTheme="minorEastAsia" w:hAnsiTheme="minorHAnsi" w:cstheme="minorBidi"/>
          <w:szCs w:val="22"/>
          <w:lang w:val="en-AU" w:eastAsia="en-AU"/>
        </w:rPr>
      </w:pPr>
      <w:r w:rsidRPr="00E2593B">
        <w:rPr>
          <w:lang w:val="en-AU"/>
        </w:rPr>
        <w:fldChar w:fldCharType="begin"/>
      </w:r>
      <w:r w:rsidR="005859F1" w:rsidRPr="00570879">
        <w:rPr>
          <w:lang w:val="en-AU"/>
        </w:rPr>
        <w:instrText xml:space="preserve"> TOC \h \z \c "Figure" </w:instrText>
      </w:r>
      <w:r w:rsidRPr="00E2593B">
        <w:rPr>
          <w:lang w:val="en-AU"/>
        </w:rPr>
        <w:fldChar w:fldCharType="separate"/>
      </w:r>
      <w:hyperlink w:anchor="_Toc464735381" w:history="1">
        <w:r w:rsidR="00423B0C" w:rsidRPr="005B4DCD">
          <w:rPr>
            <w:rStyle w:val="Hyperlink"/>
          </w:rPr>
          <w:t>Figure 2.1</w:t>
        </w:r>
        <w:r w:rsidR="00423B0C">
          <w:rPr>
            <w:rFonts w:asciiTheme="minorHAnsi" w:eastAsiaTheme="minorEastAsia" w:hAnsiTheme="minorHAnsi" w:cstheme="minorBidi"/>
            <w:szCs w:val="22"/>
            <w:lang w:val="en-AU" w:eastAsia="en-AU"/>
          </w:rPr>
          <w:tab/>
        </w:r>
        <w:r w:rsidR="00423B0C" w:rsidRPr="005B4DCD">
          <w:rPr>
            <w:rStyle w:val="Hyperlink"/>
          </w:rPr>
          <w:t>The Commission’s current pricing model</w:t>
        </w:r>
        <w:r w:rsidR="00423B0C">
          <w:rPr>
            <w:webHidden/>
          </w:rPr>
          <w:tab/>
        </w:r>
        <w:r>
          <w:rPr>
            <w:webHidden/>
          </w:rPr>
          <w:fldChar w:fldCharType="begin"/>
        </w:r>
        <w:r w:rsidR="00423B0C">
          <w:rPr>
            <w:webHidden/>
          </w:rPr>
          <w:instrText xml:space="preserve"> PAGEREF _Toc464735381 \h </w:instrText>
        </w:r>
        <w:r>
          <w:rPr>
            <w:webHidden/>
          </w:rPr>
        </w:r>
        <w:r>
          <w:rPr>
            <w:webHidden/>
          </w:rPr>
          <w:fldChar w:fldCharType="separate"/>
        </w:r>
        <w:r w:rsidR="00423B0C">
          <w:rPr>
            <w:webHidden/>
          </w:rPr>
          <w:t>9</w:t>
        </w:r>
        <w:r>
          <w:rPr>
            <w:webHidden/>
          </w:rPr>
          <w:fldChar w:fldCharType="end"/>
        </w:r>
      </w:hyperlink>
    </w:p>
    <w:p w:rsidR="00423B0C" w:rsidRDefault="00E2593B">
      <w:pPr>
        <w:pStyle w:val="TableofFigures"/>
        <w:rPr>
          <w:rFonts w:asciiTheme="minorHAnsi" w:eastAsiaTheme="minorEastAsia" w:hAnsiTheme="minorHAnsi" w:cstheme="minorBidi"/>
          <w:szCs w:val="22"/>
          <w:lang w:val="en-AU" w:eastAsia="en-AU"/>
        </w:rPr>
      </w:pPr>
      <w:hyperlink w:anchor="_Toc464735382" w:history="1">
        <w:r w:rsidR="00423B0C" w:rsidRPr="005B4DCD">
          <w:rPr>
            <w:rStyle w:val="Hyperlink"/>
          </w:rPr>
          <w:t>Figure 2.2</w:t>
        </w:r>
        <w:r w:rsidR="00423B0C">
          <w:rPr>
            <w:rFonts w:asciiTheme="minorHAnsi" w:eastAsiaTheme="minorEastAsia" w:hAnsiTheme="minorHAnsi" w:cstheme="minorBidi"/>
            <w:szCs w:val="22"/>
            <w:lang w:val="en-AU" w:eastAsia="en-AU"/>
          </w:rPr>
          <w:tab/>
        </w:r>
        <w:r w:rsidR="00423B0C" w:rsidRPr="005B4DCD">
          <w:rPr>
            <w:rStyle w:val="Hyperlink"/>
          </w:rPr>
          <w:t>ICAP OTC versus ASX forward prices, 2017</w:t>
        </w:r>
        <w:r w:rsidR="00423B0C" w:rsidRPr="005B4DCD">
          <w:rPr>
            <w:rStyle w:val="Hyperlink"/>
          </w:rPr>
          <w:sym w:font="Symbol" w:char="F02D"/>
        </w:r>
        <w:r w:rsidR="00423B0C" w:rsidRPr="005B4DCD">
          <w:rPr>
            <w:rStyle w:val="Hyperlink"/>
          </w:rPr>
          <w:t>18</w:t>
        </w:r>
        <w:r w:rsidR="00423B0C">
          <w:rPr>
            <w:webHidden/>
          </w:rPr>
          <w:tab/>
        </w:r>
        <w:r>
          <w:rPr>
            <w:webHidden/>
          </w:rPr>
          <w:fldChar w:fldCharType="begin"/>
        </w:r>
        <w:r w:rsidR="00423B0C">
          <w:rPr>
            <w:webHidden/>
          </w:rPr>
          <w:instrText xml:space="preserve"> PAGEREF _Toc464735382 \h </w:instrText>
        </w:r>
        <w:r>
          <w:rPr>
            <w:webHidden/>
          </w:rPr>
        </w:r>
        <w:r>
          <w:rPr>
            <w:webHidden/>
          </w:rPr>
          <w:fldChar w:fldCharType="separate"/>
        </w:r>
        <w:r w:rsidR="00423B0C">
          <w:rPr>
            <w:webHidden/>
          </w:rPr>
          <w:t>12</w:t>
        </w:r>
        <w:r>
          <w:rPr>
            <w:webHidden/>
          </w:rPr>
          <w:fldChar w:fldCharType="end"/>
        </w:r>
      </w:hyperlink>
    </w:p>
    <w:p w:rsidR="00423B0C" w:rsidRDefault="00E2593B">
      <w:pPr>
        <w:pStyle w:val="TableofFigures"/>
        <w:rPr>
          <w:rFonts w:asciiTheme="minorHAnsi" w:eastAsiaTheme="minorEastAsia" w:hAnsiTheme="minorHAnsi" w:cstheme="minorBidi"/>
          <w:szCs w:val="22"/>
          <w:lang w:val="en-AU" w:eastAsia="en-AU"/>
        </w:rPr>
      </w:pPr>
      <w:hyperlink w:anchor="_Toc464735383" w:history="1">
        <w:r w:rsidR="00423B0C" w:rsidRPr="005B4DCD">
          <w:rPr>
            <w:rStyle w:val="Hyperlink"/>
          </w:rPr>
          <w:t>Figure 3.1</w:t>
        </w:r>
        <w:r w:rsidR="00423B0C">
          <w:rPr>
            <w:rFonts w:asciiTheme="minorHAnsi" w:eastAsiaTheme="minorEastAsia" w:hAnsiTheme="minorHAnsi" w:cstheme="minorBidi"/>
            <w:szCs w:val="22"/>
            <w:lang w:val="en-AU" w:eastAsia="en-AU"/>
          </w:rPr>
          <w:tab/>
        </w:r>
        <w:r w:rsidR="00423B0C" w:rsidRPr="005B4DCD">
          <w:rPr>
            <w:rStyle w:val="Hyperlink"/>
          </w:rPr>
          <w:t>New South Wales average daily electricity spot prices, July 2005 to August 2016</w:t>
        </w:r>
        <w:r w:rsidR="00423B0C">
          <w:rPr>
            <w:webHidden/>
          </w:rPr>
          <w:tab/>
        </w:r>
        <w:r>
          <w:rPr>
            <w:webHidden/>
          </w:rPr>
          <w:fldChar w:fldCharType="begin"/>
        </w:r>
        <w:r w:rsidR="00423B0C">
          <w:rPr>
            <w:webHidden/>
          </w:rPr>
          <w:instrText xml:space="preserve"> PAGEREF _Toc464735383 \h </w:instrText>
        </w:r>
        <w:r>
          <w:rPr>
            <w:webHidden/>
          </w:rPr>
        </w:r>
        <w:r>
          <w:rPr>
            <w:webHidden/>
          </w:rPr>
          <w:fldChar w:fldCharType="separate"/>
        </w:r>
        <w:r w:rsidR="00423B0C">
          <w:rPr>
            <w:webHidden/>
          </w:rPr>
          <w:t>18</w:t>
        </w:r>
        <w:r>
          <w:rPr>
            <w:webHidden/>
          </w:rPr>
          <w:fldChar w:fldCharType="end"/>
        </w:r>
      </w:hyperlink>
    </w:p>
    <w:p w:rsidR="00423B0C" w:rsidRDefault="00E2593B">
      <w:pPr>
        <w:pStyle w:val="TableofFigures"/>
        <w:rPr>
          <w:rFonts w:asciiTheme="minorHAnsi" w:eastAsiaTheme="minorEastAsia" w:hAnsiTheme="minorHAnsi" w:cstheme="minorBidi"/>
          <w:szCs w:val="22"/>
          <w:lang w:val="en-AU" w:eastAsia="en-AU"/>
        </w:rPr>
      </w:pPr>
      <w:hyperlink w:anchor="_Toc464735384" w:history="1">
        <w:r w:rsidR="00423B0C" w:rsidRPr="005B4DCD">
          <w:rPr>
            <w:rStyle w:val="Hyperlink"/>
          </w:rPr>
          <w:t>Figure 3.2</w:t>
        </w:r>
        <w:r w:rsidR="00423B0C">
          <w:rPr>
            <w:rFonts w:asciiTheme="minorHAnsi" w:eastAsiaTheme="minorEastAsia" w:hAnsiTheme="minorHAnsi" w:cstheme="minorBidi"/>
            <w:szCs w:val="22"/>
            <w:lang w:val="en-AU" w:eastAsia="en-AU"/>
          </w:rPr>
          <w:tab/>
        </w:r>
        <w:r w:rsidR="00423B0C" w:rsidRPr="005B4DCD">
          <w:rPr>
            <w:rStyle w:val="Hyperlink"/>
          </w:rPr>
          <w:t>New South Wales average quarterly electricity spot prices, 2014 to 2016</w:t>
        </w:r>
        <w:r w:rsidR="00423B0C">
          <w:rPr>
            <w:webHidden/>
          </w:rPr>
          <w:tab/>
        </w:r>
        <w:r>
          <w:rPr>
            <w:webHidden/>
          </w:rPr>
          <w:fldChar w:fldCharType="begin"/>
        </w:r>
        <w:r w:rsidR="00423B0C">
          <w:rPr>
            <w:webHidden/>
          </w:rPr>
          <w:instrText xml:space="preserve"> PAGEREF _Toc464735384 \h </w:instrText>
        </w:r>
        <w:r>
          <w:rPr>
            <w:webHidden/>
          </w:rPr>
        </w:r>
        <w:r>
          <w:rPr>
            <w:webHidden/>
          </w:rPr>
          <w:fldChar w:fldCharType="separate"/>
        </w:r>
        <w:r w:rsidR="00423B0C">
          <w:rPr>
            <w:webHidden/>
          </w:rPr>
          <w:t>18</w:t>
        </w:r>
        <w:r>
          <w:rPr>
            <w:webHidden/>
          </w:rPr>
          <w:fldChar w:fldCharType="end"/>
        </w:r>
      </w:hyperlink>
    </w:p>
    <w:p w:rsidR="00423B0C" w:rsidRDefault="00E2593B">
      <w:pPr>
        <w:pStyle w:val="TableofFigures"/>
        <w:rPr>
          <w:rFonts w:asciiTheme="minorHAnsi" w:eastAsiaTheme="minorEastAsia" w:hAnsiTheme="minorHAnsi" w:cstheme="minorBidi"/>
          <w:szCs w:val="22"/>
          <w:lang w:val="en-AU" w:eastAsia="en-AU"/>
        </w:rPr>
      </w:pPr>
      <w:hyperlink w:anchor="_Toc464735385" w:history="1">
        <w:r w:rsidR="00423B0C" w:rsidRPr="005B4DCD">
          <w:rPr>
            <w:rStyle w:val="Hyperlink"/>
          </w:rPr>
          <w:t>Figure 3.3</w:t>
        </w:r>
        <w:r w:rsidR="00423B0C">
          <w:rPr>
            <w:rFonts w:asciiTheme="minorHAnsi" w:eastAsiaTheme="minorEastAsia" w:hAnsiTheme="minorHAnsi" w:cstheme="minorBidi"/>
            <w:szCs w:val="22"/>
            <w:lang w:val="en-AU" w:eastAsia="en-AU"/>
          </w:rPr>
          <w:tab/>
        </w:r>
        <w:r w:rsidR="00423B0C" w:rsidRPr="005B4DCD">
          <w:rPr>
            <w:rStyle w:val="Hyperlink"/>
          </w:rPr>
          <w:t>Total annual energy consumption by New South Wales, 1999</w:t>
        </w:r>
        <w:r w:rsidR="00423B0C" w:rsidRPr="005B4DCD">
          <w:rPr>
            <w:rStyle w:val="Hyperlink"/>
          </w:rPr>
          <w:sym w:font="Symbol" w:char="F02D"/>
        </w:r>
        <w:r w:rsidR="00423B0C" w:rsidRPr="005B4DCD">
          <w:rPr>
            <w:rStyle w:val="Hyperlink"/>
          </w:rPr>
          <w:t>00 to 2015</w:t>
        </w:r>
        <w:r w:rsidR="00423B0C" w:rsidRPr="005B4DCD">
          <w:rPr>
            <w:rStyle w:val="Hyperlink"/>
          </w:rPr>
          <w:sym w:font="Symbol" w:char="F02D"/>
        </w:r>
        <w:r w:rsidR="00423B0C" w:rsidRPr="005B4DCD">
          <w:rPr>
            <w:rStyle w:val="Hyperlink"/>
          </w:rPr>
          <w:t>16</w:t>
        </w:r>
        <w:r w:rsidR="00423B0C">
          <w:rPr>
            <w:webHidden/>
          </w:rPr>
          <w:tab/>
        </w:r>
        <w:r>
          <w:rPr>
            <w:webHidden/>
          </w:rPr>
          <w:fldChar w:fldCharType="begin"/>
        </w:r>
        <w:r w:rsidR="00423B0C">
          <w:rPr>
            <w:webHidden/>
          </w:rPr>
          <w:instrText xml:space="preserve"> PAGEREF _Toc464735385 \h </w:instrText>
        </w:r>
        <w:r>
          <w:rPr>
            <w:webHidden/>
          </w:rPr>
        </w:r>
        <w:r>
          <w:rPr>
            <w:webHidden/>
          </w:rPr>
          <w:fldChar w:fldCharType="separate"/>
        </w:r>
        <w:r w:rsidR="00423B0C">
          <w:rPr>
            <w:webHidden/>
          </w:rPr>
          <w:t>19</w:t>
        </w:r>
        <w:r>
          <w:rPr>
            <w:webHidden/>
          </w:rPr>
          <w:fldChar w:fldCharType="end"/>
        </w:r>
      </w:hyperlink>
    </w:p>
    <w:p w:rsidR="00423B0C" w:rsidRDefault="00E2593B">
      <w:pPr>
        <w:pStyle w:val="TableofFigures"/>
        <w:rPr>
          <w:rFonts w:asciiTheme="minorHAnsi" w:eastAsiaTheme="minorEastAsia" w:hAnsiTheme="minorHAnsi" w:cstheme="minorBidi"/>
          <w:szCs w:val="22"/>
          <w:lang w:val="en-AU" w:eastAsia="en-AU"/>
        </w:rPr>
      </w:pPr>
      <w:hyperlink w:anchor="_Toc464735386" w:history="1">
        <w:r w:rsidR="00423B0C" w:rsidRPr="005B4DCD">
          <w:rPr>
            <w:rStyle w:val="Hyperlink"/>
          </w:rPr>
          <w:t>Figure 3.4</w:t>
        </w:r>
        <w:r w:rsidR="00423B0C">
          <w:rPr>
            <w:rFonts w:asciiTheme="minorHAnsi" w:eastAsiaTheme="minorEastAsia" w:hAnsiTheme="minorHAnsi" w:cstheme="minorBidi"/>
            <w:szCs w:val="22"/>
            <w:lang w:val="en-AU" w:eastAsia="en-AU"/>
          </w:rPr>
          <w:tab/>
        </w:r>
        <w:r w:rsidR="00423B0C" w:rsidRPr="005B4DCD">
          <w:rPr>
            <w:rStyle w:val="Hyperlink"/>
          </w:rPr>
          <w:t>ICAP over-the-counter contract forward prices, 2017</w:t>
        </w:r>
        <w:r w:rsidR="00423B0C" w:rsidRPr="005B4DCD">
          <w:rPr>
            <w:rStyle w:val="Hyperlink"/>
          </w:rPr>
          <w:sym w:font="Symbol" w:char="F02D"/>
        </w:r>
        <w:r w:rsidR="00423B0C" w:rsidRPr="005B4DCD">
          <w:rPr>
            <w:rStyle w:val="Hyperlink"/>
          </w:rPr>
          <w:t>18</w:t>
        </w:r>
        <w:r w:rsidR="00423B0C">
          <w:rPr>
            <w:webHidden/>
          </w:rPr>
          <w:tab/>
        </w:r>
        <w:r>
          <w:rPr>
            <w:webHidden/>
          </w:rPr>
          <w:fldChar w:fldCharType="begin"/>
        </w:r>
        <w:r w:rsidR="00423B0C">
          <w:rPr>
            <w:webHidden/>
          </w:rPr>
          <w:instrText xml:space="preserve"> PAGEREF _Toc464735386 \h </w:instrText>
        </w:r>
        <w:r>
          <w:rPr>
            <w:webHidden/>
          </w:rPr>
        </w:r>
        <w:r>
          <w:rPr>
            <w:webHidden/>
          </w:rPr>
          <w:fldChar w:fldCharType="separate"/>
        </w:r>
        <w:r w:rsidR="00423B0C">
          <w:rPr>
            <w:webHidden/>
          </w:rPr>
          <w:t>20</w:t>
        </w:r>
        <w:r>
          <w:rPr>
            <w:webHidden/>
          </w:rPr>
          <w:fldChar w:fldCharType="end"/>
        </w:r>
      </w:hyperlink>
    </w:p>
    <w:p w:rsidR="00423B0C" w:rsidRDefault="00E2593B">
      <w:pPr>
        <w:pStyle w:val="TableofFigures"/>
        <w:rPr>
          <w:rFonts w:asciiTheme="minorHAnsi" w:eastAsiaTheme="minorEastAsia" w:hAnsiTheme="minorHAnsi" w:cstheme="minorBidi"/>
          <w:szCs w:val="22"/>
          <w:lang w:val="en-AU" w:eastAsia="en-AU"/>
        </w:rPr>
      </w:pPr>
      <w:hyperlink w:anchor="_Toc464735387" w:history="1">
        <w:r w:rsidR="00423B0C" w:rsidRPr="005B4DCD">
          <w:rPr>
            <w:rStyle w:val="Hyperlink"/>
          </w:rPr>
          <w:t>Figure 3.5</w:t>
        </w:r>
        <w:r w:rsidR="00423B0C">
          <w:rPr>
            <w:rFonts w:asciiTheme="minorHAnsi" w:eastAsiaTheme="minorEastAsia" w:hAnsiTheme="minorHAnsi" w:cstheme="minorBidi"/>
            <w:szCs w:val="22"/>
            <w:lang w:val="en-AU" w:eastAsia="en-AU"/>
          </w:rPr>
          <w:tab/>
        </w:r>
        <w:r w:rsidR="00423B0C" w:rsidRPr="005B4DCD">
          <w:rPr>
            <w:rStyle w:val="Hyperlink"/>
          </w:rPr>
          <w:t>LGC spot prices, July 2013 to September 2016</w:t>
        </w:r>
        <w:r w:rsidR="00423B0C">
          <w:rPr>
            <w:webHidden/>
          </w:rPr>
          <w:tab/>
        </w:r>
        <w:r>
          <w:rPr>
            <w:webHidden/>
          </w:rPr>
          <w:fldChar w:fldCharType="begin"/>
        </w:r>
        <w:r w:rsidR="00423B0C">
          <w:rPr>
            <w:webHidden/>
          </w:rPr>
          <w:instrText xml:space="preserve"> PAGEREF _Toc464735387 \h </w:instrText>
        </w:r>
        <w:r>
          <w:rPr>
            <w:webHidden/>
          </w:rPr>
        </w:r>
        <w:r>
          <w:rPr>
            <w:webHidden/>
          </w:rPr>
          <w:fldChar w:fldCharType="separate"/>
        </w:r>
        <w:r w:rsidR="00423B0C">
          <w:rPr>
            <w:webHidden/>
          </w:rPr>
          <w:t>21</w:t>
        </w:r>
        <w:r>
          <w:rPr>
            <w:webHidden/>
          </w:rPr>
          <w:fldChar w:fldCharType="end"/>
        </w:r>
      </w:hyperlink>
    </w:p>
    <w:p w:rsidR="00423B0C" w:rsidRDefault="00E2593B">
      <w:pPr>
        <w:pStyle w:val="TableofFigures"/>
        <w:rPr>
          <w:rFonts w:asciiTheme="minorHAnsi" w:eastAsiaTheme="minorEastAsia" w:hAnsiTheme="minorHAnsi" w:cstheme="minorBidi"/>
          <w:szCs w:val="22"/>
          <w:lang w:val="en-AU" w:eastAsia="en-AU"/>
        </w:rPr>
      </w:pPr>
      <w:hyperlink w:anchor="_Toc464735388" w:history="1">
        <w:r w:rsidR="00423B0C" w:rsidRPr="005B4DCD">
          <w:rPr>
            <w:rStyle w:val="Hyperlink"/>
          </w:rPr>
          <w:t>Figure 3.6</w:t>
        </w:r>
        <w:r w:rsidR="00423B0C">
          <w:rPr>
            <w:rFonts w:asciiTheme="minorHAnsi" w:eastAsiaTheme="minorEastAsia" w:hAnsiTheme="minorHAnsi" w:cstheme="minorBidi"/>
            <w:szCs w:val="22"/>
            <w:lang w:val="en-AU" w:eastAsia="en-AU"/>
          </w:rPr>
          <w:tab/>
        </w:r>
        <w:r w:rsidR="00423B0C" w:rsidRPr="005B4DCD">
          <w:rPr>
            <w:rStyle w:val="Hyperlink"/>
          </w:rPr>
          <w:t>STC spot prices, July 2013 to September 2016</w:t>
        </w:r>
        <w:r w:rsidR="00423B0C">
          <w:rPr>
            <w:webHidden/>
          </w:rPr>
          <w:tab/>
        </w:r>
        <w:r>
          <w:rPr>
            <w:webHidden/>
          </w:rPr>
          <w:fldChar w:fldCharType="begin"/>
        </w:r>
        <w:r w:rsidR="00423B0C">
          <w:rPr>
            <w:webHidden/>
          </w:rPr>
          <w:instrText xml:space="preserve"> PAGEREF _Toc464735388 \h </w:instrText>
        </w:r>
        <w:r>
          <w:rPr>
            <w:webHidden/>
          </w:rPr>
        </w:r>
        <w:r>
          <w:rPr>
            <w:webHidden/>
          </w:rPr>
          <w:fldChar w:fldCharType="separate"/>
        </w:r>
        <w:r w:rsidR="00423B0C">
          <w:rPr>
            <w:webHidden/>
          </w:rPr>
          <w:t>21</w:t>
        </w:r>
        <w:r>
          <w:rPr>
            <w:webHidden/>
          </w:rPr>
          <w:fldChar w:fldCharType="end"/>
        </w:r>
      </w:hyperlink>
    </w:p>
    <w:p w:rsidR="00423B0C" w:rsidRDefault="00E2593B">
      <w:pPr>
        <w:pStyle w:val="TableofFigures"/>
        <w:rPr>
          <w:rFonts w:asciiTheme="minorHAnsi" w:eastAsiaTheme="minorEastAsia" w:hAnsiTheme="minorHAnsi" w:cstheme="minorBidi"/>
          <w:szCs w:val="22"/>
          <w:lang w:val="en-AU" w:eastAsia="en-AU"/>
        </w:rPr>
      </w:pPr>
      <w:hyperlink w:anchor="_Toc464735389" w:history="1">
        <w:r w:rsidR="00423B0C" w:rsidRPr="005B4DCD">
          <w:rPr>
            <w:rStyle w:val="Hyperlink"/>
          </w:rPr>
          <w:t>Figure 3.7</w:t>
        </w:r>
        <w:r w:rsidR="00423B0C">
          <w:rPr>
            <w:rFonts w:asciiTheme="minorHAnsi" w:eastAsiaTheme="minorEastAsia" w:hAnsiTheme="minorHAnsi" w:cstheme="minorBidi"/>
            <w:szCs w:val="22"/>
            <w:lang w:val="en-AU" w:eastAsia="en-AU"/>
          </w:rPr>
          <w:tab/>
        </w:r>
        <w:r w:rsidR="00423B0C" w:rsidRPr="005B4DCD">
          <w:rPr>
            <w:rStyle w:val="Hyperlink"/>
          </w:rPr>
          <w:t>Electricity customer numbers and contract type by jurisdiction, 31 March 2016</w:t>
        </w:r>
        <w:r w:rsidR="00423B0C">
          <w:rPr>
            <w:webHidden/>
          </w:rPr>
          <w:tab/>
        </w:r>
        <w:r>
          <w:rPr>
            <w:webHidden/>
          </w:rPr>
          <w:fldChar w:fldCharType="begin"/>
        </w:r>
        <w:r w:rsidR="00423B0C">
          <w:rPr>
            <w:webHidden/>
          </w:rPr>
          <w:instrText xml:space="preserve"> PAGEREF _Toc464735389 \h </w:instrText>
        </w:r>
        <w:r>
          <w:rPr>
            <w:webHidden/>
          </w:rPr>
        </w:r>
        <w:r>
          <w:rPr>
            <w:webHidden/>
          </w:rPr>
          <w:fldChar w:fldCharType="separate"/>
        </w:r>
        <w:r w:rsidR="00423B0C">
          <w:rPr>
            <w:webHidden/>
          </w:rPr>
          <w:t>22</w:t>
        </w:r>
        <w:r>
          <w:rPr>
            <w:webHidden/>
          </w:rPr>
          <w:fldChar w:fldCharType="end"/>
        </w:r>
      </w:hyperlink>
    </w:p>
    <w:p w:rsidR="00423B0C" w:rsidRDefault="00E2593B">
      <w:pPr>
        <w:pStyle w:val="TableofFigures"/>
        <w:rPr>
          <w:rFonts w:asciiTheme="minorHAnsi" w:eastAsiaTheme="minorEastAsia" w:hAnsiTheme="minorHAnsi" w:cstheme="minorBidi"/>
          <w:szCs w:val="22"/>
          <w:lang w:val="en-AU" w:eastAsia="en-AU"/>
        </w:rPr>
      </w:pPr>
      <w:hyperlink w:anchor="_Toc464735390" w:history="1">
        <w:r w:rsidR="00423B0C" w:rsidRPr="005B4DCD">
          <w:rPr>
            <w:rStyle w:val="Hyperlink"/>
          </w:rPr>
          <w:t>Figure 3.8</w:t>
        </w:r>
        <w:r w:rsidR="00423B0C">
          <w:rPr>
            <w:rFonts w:asciiTheme="minorHAnsi" w:eastAsiaTheme="minorEastAsia" w:hAnsiTheme="minorHAnsi" w:cstheme="minorBidi"/>
            <w:szCs w:val="22"/>
            <w:lang w:val="en-AU" w:eastAsia="en-AU"/>
          </w:rPr>
          <w:tab/>
        </w:r>
        <w:r w:rsidR="00423B0C" w:rsidRPr="005B4DCD">
          <w:rPr>
            <w:rStyle w:val="Hyperlink"/>
          </w:rPr>
          <w:t>Retail market share for small customers, residential and business, 31 March 2016</w:t>
        </w:r>
        <w:r w:rsidR="00423B0C">
          <w:rPr>
            <w:webHidden/>
          </w:rPr>
          <w:tab/>
        </w:r>
        <w:r>
          <w:rPr>
            <w:webHidden/>
          </w:rPr>
          <w:fldChar w:fldCharType="begin"/>
        </w:r>
        <w:r w:rsidR="00423B0C">
          <w:rPr>
            <w:webHidden/>
          </w:rPr>
          <w:instrText xml:space="preserve"> PAGEREF _Toc464735390 \h </w:instrText>
        </w:r>
        <w:r>
          <w:rPr>
            <w:webHidden/>
          </w:rPr>
        </w:r>
        <w:r>
          <w:rPr>
            <w:webHidden/>
          </w:rPr>
          <w:fldChar w:fldCharType="separate"/>
        </w:r>
        <w:r w:rsidR="00423B0C">
          <w:rPr>
            <w:webHidden/>
          </w:rPr>
          <w:t>23</w:t>
        </w:r>
        <w:r>
          <w:rPr>
            <w:webHidden/>
          </w:rPr>
          <w:fldChar w:fldCharType="end"/>
        </w:r>
      </w:hyperlink>
    </w:p>
    <w:p w:rsidR="00423B0C" w:rsidRDefault="00E2593B">
      <w:pPr>
        <w:pStyle w:val="TableofFigures"/>
        <w:rPr>
          <w:rFonts w:asciiTheme="minorHAnsi" w:eastAsiaTheme="minorEastAsia" w:hAnsiTheme="minorHAnsi" w:cstheme="minorBidi"/>
          <w:szCs w:val="22"/>
          <w:lang w:val="en-AU" w:eastAsia="en-AU"/>
        </w:rPr>
      </w:pPr>
      <w:hyperlink w:anchor="_Toc464735391" w:history="1">
        <w:r w:rsidR="00423B0C" w:rsidRPr="005B4DCD">
          <w:rPr>
            <w:rStyle w:val="Hyperlink"/>
          </w:rPr>
          <w:t>Figure 3.9</w:t>
        </w:r>
        <w:r w:rsidR="00423B0C">
          <w:rPr>
            <w:rFonts w:asciiTheme="minorHAnsi" w:eastAsiaTheme="minorEastAsia" w:hAnsiTheme="minorHAnsi" w:cstheme="minorBidi"/>
            <w:szCs w:val="22"/>
            <w:lang w:val="en-AU" w:eastAsia="en-AU"/>
          </w:rPr>
          <w:tab/>
        </w:r>
        <w:r w:rsidR="00423B0C" w:rsidRPr="005B4DCD">
          <w:rPr>
            <w:rStyle w:val="Hyperlink"/>
          </w:rPr>
          <w:t>Small customer complaints as percentage of total customers, 31 March 2016</w:t>
        </w:r>
        <w:r w:rsidR="00423B0C">
          <w:rPr>
            <w:webHidden/>
          </w:rPr>
          <w:tab/>
        </w:r>
        <w:r>
          <w:rPr>
            <w:webHidden/>
          </w:rPr>
          <w:fldChar w:fldCharType="begin"/>
        </w:r>
        <w:r w:rsidR="00423B0C">
          <w:rPr>
            <w:webHidden/>
          </w:rPr>
          <w:instrText xml:space="preserve"> PAGEREF _Toc464735391 \h </w:instrText>
        </w:r>
        <w:r>
          <w:rPr>
            <w:webHidden/>
          </w:rPr>
        </w:r>
        <w:r>
          <w:rPr>
            <w:webHidden/>
          </w:rPr>
          <w:fldChar w:fldCharType="separate"/>
        </w:r>
        <w:r w:rsidR="00423B0C">
          <w:rPr>
            <w:webHidden/>
          </w:rPr>
          <w:t>24</w:t>
        </w:r>
        <w:r>
          <w:rPr>
            <w:webHidden/>
          </w:rPr>
          <w:fldChar w:fldCharType="end"/>
        </w:r>
      </w:hyperlink>
    </w:p>
    <w:p w:rsidR="00423B0C" w:rsidRDefault="00E2593B">
      <w:pPr>
        <w:pStyle w:val="TableofFigures"/>
        <w:rPr>
          <w:rFonts w:asciiTheme="minorHAnsi" w:eastAsiaTheme="minorEastAsia" w:hAnsiTheme="minorHAnsi" w:cstheme="minorBidi"/>
          <w:szCs w:val="22"/>
          <w:lang w:val="en-AU" w:eastAsia="en-AU"/>
        </w:rPr>
      </w:pPr>
      <w:hyperlink w:anchor="_Toc464735392" w:history="1">
        <w:r w:rsidR="00423B0C" w:rsidRPr="005B4DCD">
          <w:rPr>
            <w:rStyle w:val="Hyperlink"/>
          </w:rPr>
          <w:t xml:space="preserve">Figure 3.10  </w:t>
        </w:r>
        <w:r w:rsidR="00423B0C">
          <w:rPr>
            <w:rFonts w:asciiTheme="minorHAnsi" w:eastAsiaTheme="minorEastAsia" w:hAnsiTheme="minorHAnsi" w:cstheme="minorBidi"/>
            <w:szCs w:val="22"/>
            <w:lang w:val="en-AU" w:eastAsia="en-AU"/>
          </w:rPr>
          <w:tab/>
        </w:r>
        <w:r w:rsidR="00423B0C" w:rsidRPr="005B4DCD">
          <w:rPr>
            <w:rStyle w:val="Hyperlink"/>
          </w:rPr>
          <w:t>Number of offers by estimated annual bill (including discounts), September 2016</w:t>
        </w:r>
        <w:r w:rsidR="00423B0C">
          <w:rPr>
            <w:webHidden/>
          </w:rPr>
          <w:tab/>
        </w:r>
        <w:r>
          <w:rPr>
            <w:webHidden/>
          </w:rPr>
          <w:fldChar w:fldCharType="begin"/>
        </w:r>
        <w:r w:rsidR="00423B0C">
          <w:rPr>
            <w:webHidden/>
          </w:rPr>
          <w:instrText xml:space="preserve"> PAGEREF _Toc464735392 \h </w:instrText>
        </w:r>
        <w:r>
          <w:rPr>
            <w:webHidden/>
          </w:rPr>
        </w:r>
        <w:r>
          <w:rPr>
            <w:webHidden/>
          </w:rPr>
          <w:fldChar w:fldCharType="separate"/>
        </w:r>
        <w:r w:rsidR="00423B0C">
          <w:rPr>
            <w:webHidden/>
          </w:rPr>
          <w:t>25</w:t>
        </w:r>
        <w:r>
          <w:rPr>
            <w:webHidden/>
          </w:rPr>
          <w:fldChar w:fldCharType="end"/>
        </w:r>
      </w:hyperlink>
    </w:p>
    <w:p w:rsidR="00423B0C" w:rsidRDefault="00E2593B">
      <w:pPr>
        <w:pStyle w:val="TableofFigures"/>
        <w:rPr>
          <w:rFonts w:asciiTheme="minorHAnsi" w:eastAsiaTheme="minorEastAsia" w:hAnsiTheme="minorHAnsi" w:cstheme="minorBidi"/>
          <w:szCs w:val="22"/>
          <w:lang w:val="en-AU" w:eastAsia="en-AU"/>
        </w:rPr>
      </w:pPr>
      <w:hyperlink w:anchor="_Toc464735393" w:history="1">
        <w:r w:rsidR="00423B0C" w:rsidRPr="005B4DCD">
          <w:rPr>
            <w:rStyle w:val="Hyperlink"/>
          </w:rPr>
          <w:t>Figure 3.11</w:t>
        </w:r>
        <w:r w:rsidR="00423B0C">
          <w:rPr>
            <w:rFonts w:asciiTheme="minorHAnsi" w:eastAsiaTheme="minorEastAsia" w:hAnsiTheme="minorHAnsi" w:cstheme="minorBidi"/>
            <w:szCs w:val="22"/>
            <w:lang w:val="en-AU" w:eastAsia="en-AU"/>
          </w:rPr>
          <w:tab/>
        </w:r>
        <w:r w:rsidR="00423B0C" w:rsidRPr="005B4DCD">
          <w:rPr>
            <w:rStyle w:val="Hyperlink"/>
          </w:rPr>
          <w:t>Estimated annual small customer electricity bills based on standing offers, 2014</w:t>
        </w:r>
        <w:r w:rsidR="00423B0C" w:rsidRPr="005B4DCD">
          <w:rPr>
            <w:rStyle w:val="Hyperlink"/>
          </w:rPr>
          <w:sym w:font="Symbol" w:char="F02D"/>
        </w:r>
        <w:r w:rsidR="00423B0C" w:rsidRPr="005B4DCD">
          <w:rPr>
            <w:rStyle w:val="Hyperlink"/>
          </w:rPr>
          <w:t>15</w:t>
        </w:r>
        <w:r w:rsidR="00423B0C">
          <w:rPr>
            <w:webHidden/>
          </w:rPr>
          <w:tab/>
        </w:r>
        <w:r>
          <w:rPr>
            <w:webHidden/>
          </w:rPr>
          <w:fldChar w:fldCharType="begin"/>
        </w:r>
        <w:r w:rsidR="00423B0C">
          <w:rPr>
            <w:webHidden/>
          </w:rPr>
          <w:instrText xml:space="preserve"> PAGEREF _Toc464735393 \h </w:instrText>
        </w:r>
        <w:r>
          <w:rPr>
            <w:webHidden/>
          </w:rPr>
        </w:r>
        <w:r>
          <w:rPr>
            <w:webHidden/>
          </w:rPr>
          <w:fldChar w:fldCharType="separate"/>
        </w:r>
        <w:r w:rsidR="00423B0C">
          <w:rPr>
            <w:webHidden/>
          </w:rPr>
          <w:t>26</w:t>
        </w:r>
        <w:r>
          <w:rPr>
            <w:webHidden/>
          </w:rPr>
          <w:fldChar w:fldCharType="end"/>
        </w:r>
      </w:hyperlink>
    </w:p>
    <w:p w:rsidR="00022CFE" w:rsidRDefault="00E2593B" w:rsidP="008A1C91">
      <w:pPr>
        <w:pStyle w:val="References"/>
        <w:rPr>
          <w:lang w:val="en-AU"/>
        </w:rPr>
      </w:pPr>
      <w:r w:rsidRPr="00570879">
        <w:rPr>
          <w:lang w:val="en-AU"/>
        </w:rPr>
        <w:fldChar w:fldCharType="end"/>
      </w:r>
      <w:bookmarkStart w:id="11" w:name="_Toc118359367"/>
      <w:bookmarkStart w:id="12" w:name="_Toc202785427"/>
      <w:bookmarkStart w:id="13" w:name="_Toc260327869"/>
    </w:p>
    <w:p w:rsidR="00440F18" w:rsidRDefault="00DF2628" w:rsidP="00440F18">
      <w:pPr>
        <w:rPr>
          <w:sz w:val="24"/>
          <w:szCs w:val="24"/>
          <w:lang w:val="en-AU"/>
        </w:rPr>
      </w:pPr>
      <w:r>
        <w:rPr>
          <w:rFonts w:ascii="Arial" w:hAnsi="Arial" w:cs="Arial"/>
          <w:b/>
          <w:sz w:val="26"/>
          <w:szCs w:val="26"/>
        </w:rPr>
        <w:t>List of boxes</w:t>
      </w:r>
    </w:p>
    <w:p w:rsidR="00423B0C" w:rsidRDefault="00E2593B">
      <w:pPr>
        <w:pStyle w:val="TableofFigures"/>
        <w:rPr>
          <w:rFonts w:asciiTheme="minorHAnsi" w:eastAsiaTheme="minorEastAsia" w:hAnsiTheme="minorHAnsi" w:cstheme="minorBidi"/>
          <w:szCs w:val="22"/>
          <w:lang w:val="en-AU" w:eastAsia="en-AU"/>
        </w:rPr>
      </w:pPr>
      <w:r>
        <w:rPr>
          <w:sz w:val="24"/>
          <w:szCs w:val="24"/>
          <w:lang w:val="en-AU"/>
        </w:rPr>
        <w:fldChar w:fldCharType="begin"/>
      </w:r>
      <w:r w:rsidR="00DF2628">
        <w:rPr>
          <w:sz w:val="24"/>
          <w:szCs w:val="24"/>
          <w:lang w:val="en-AU"/>
        </w:rPr>
        <w:instrText xml:space="preserve"> TOC \h \z \c "Box" </w:instrText>
      </w:r>
      <w:r>
        <w:rPr>
          <w:sz w:val="24"/>
          <w:szCs w:val="24"/>
          <w:lang w:val="en-AU"/>
        </w:rPr>
        <w:fldChar w:fldCharType="separate"/>
      </w:r>
      <w:hyperlink w:anchor="_Toc464735394" w:history="1">
        <w:r w:rsidR="00423B0C" w:rsidRPr="006C0009">
          <w:rPr>
            <w:rStyle w:val="Hyperlink"/>
          </w:rPr>
          <w:t>Box 1.1</w:t>
        </w:r>
        <w:r w:rsidR="00423B0C">
          <w:rPr>
            <w:rFonts w:asciiTheme="minorHAnsi" w:eastAsiaTheme="minorEastAsia" w:hAnsiTheme="minorHAnsi" w:cstheme="minorBidi"/>
            <w:szCs w:val="22"/>
            <w:lang w:val="en-AU" w:eastAsia="en-AU"/>
          </w:rPr>
          <w:tab/>
        </w:r>
        <w:r w:rsidR="00423B0C" w:rsidRPr="006C0009">
          <w:rPr>
            <w:rStyle w:val="Hyperlink"/>
          </w:rPr>
          <w:t>Section 7: ICRC Objectives</w:t>
        </w:r>
        <w:r w:rsidR="00423B0C">
          <w:rPr>
            <w:webHidden/>
          </w:rPr>
          <w:tab/>
        </w:r>
        <w:r>
          <w:rPr>
            <w:webHidden/>
          </w:rPr>
          <w:fldChar w:fldCharType="begin"/>
        </w:r>
        <w:r w:rsidR="00423B0C">
          <w:rPr>
            <w:webHidden/>
          </w:rPr>
          <w:instrText xml:space="preserve"> PAGEREF _Toc464735394 \h </w:instrText>
        </w:r>
        <w:r>
          <w:rPr>
            <w:webHidden/>
          </w:rPr>
        </w:r>
        <w:r>
          <w:rPr>
            <w:webHidden/>
          </w:rPr>
          <w:fldChar w:fldCharType="separate"/>
        </w:r>
        <w:r w:rsidR="00423B0C">
          <w:rPr>
            <w:webHidden/>
          </w:rPr>
          <w:t>2</w:t>
        </w:r>
        <w:r>
          <w:rPr>
            <w:webHidden/>
          </w:rPr>
          <w:fldChar w:fldCharType="end"/>
        </w:r>
      </w:hyperlink>
    </w:p>
    <w:p w:rsidR="00423B0C" w:rsidRDefault="00E2593B">
      <w:pPr>
        <w:pStyle w:val="TableofFigures"/>
        <w:rPr>
          <w:rFonts w:asciiTheme="minorHAnsi" w:eastAsiaTheme="minorEastAsia" w:hAnsiTheme="minorHAnsi" w:cstheme="minorBidi"/>
          <w:szCs w:val="22"/>
          <w:lang w:val="en-AU" w:eastAsia="en-AU"/>
        </w:rPr>
      </w:pPr>
      <w:hyperlink w:anchor="_Toc464735395" w:history="1">
        <w:r w:rsidR="00423B0C" w:rsidRPr="006C0009">
          <w:rPr>
            <w:rStyle w:val="Hyperlink"/>
          </w:rPr>
          <w:t>Box 1.2</w:t>
        </w:r>
        <w:r w:rsidR="00423B0C">
          <w:rPr>
            <w:rFonts w:asciiTheme="minorHAnsi" w:eastAsiaTheme="minorEastAsia" w:hAnsiTheme="minorHAnsi" w:cstheme="minorBidi"/>
            <w:szCs w:val="22"/>
            <w:lang w:val="en-AU" w:eastAsia="en-AU"/>
          </w:rPr>
          <w:tab/>
        </w:r>
        <w:r w:rsidR="00423B0C" w:rsidRPr="006C0009">
          <w:rPr>
            <w:rStyle w:val="Hyperlink"/>
          </w:rPr>
          <w:t>Section 20(2): ICRC Functions</w:t>
        </w:r>
        <w:r w:rsidR="00423B0C">
          <w:rPr>
            <w:webHidden/>
          </w:rPr>
          <w:tab/>
        </w:r>
        <w:r>
          <w:rPr>
            <w:webHidden/>
          </w:rPr>
          <w:fldChar w:fldCharType="begin"/>
        </w:r>
        <w:r w:rsidR="00423B0C">
          <w:rPr>
            <w:webHidden/>
          </w:rPr>
          <w:instrText xml:space="preserve"> PAGEREF _Toc464735395 \h </w:instrText>
        </w:r>
        <w:r>
          <w:rPr>
            <w:webHidden/>
          </w:rPr>
        </w:r>
        <w:r>
          <w:rPr>
            <w:webHidden/>
          </w:rPr>
          <w:fldChar w:fldCharType="separate"/>
        </w:r>
        <w:r w:rsidR="00423B0C">
          <w:rPr>
            <w:webHidden/>
          </w:rPr>
          <w:t>3</w:t>
        </w:r>
        <w:r>
          <w:rPr>
            <w:webHidden/>
          </w:rPr>
          <w:fldChar w:fldCharType="end"/>
        </w:r>
      </w:hyperlink>
    </w:p>
    <w:p w:rsidR="00423B0C" w:rsidRDefault="00E2593B">
      <w:pPr>
        <w:pStyle w:val="TableofFigures"/>
        <w:rPr>
          <w:rFonts w:asciiTheme="minorHAnsi" w:eastAsiaTheme="minorEastAsia" w:hAnsiTheme="minorHAnsi" w:cstheme="minorBidi"/>
          <w:szCs w:val="22"/>
          <w:lang w:val="en-AU" w:eastAsia="en-AU"/>
        </w:rPr>
      </w:pPr>
      <w:hyperlink w:anchor="_Toc464735396" w:history="1">
        <w:r w:rsidR="00423B0C" w:rsidRPr="006C0009">
          <w:rPr>
            <w:rStyle w:val="Hyperlink"/>
          </w:rPr>
          <w:t>Box 1.3</w:t>
        </w:r>
        <w:r w:rsidR="00423B0C">
          <w:rPr>
            <w:rFonts w:asciiTheme="minorHAnsi" w:eastAsiaTheme="minorEastAsia" w:hAnsiTheme="minorHAnsi" w:cstheme="minorBidi"/>
            <w:szCs w:val="22"/>
            <w:lang w:val="en-AU" w:eastAsia="en-AU"/>
          </w:rPr>
          <w:tab/>
        </w:r>
        <w:r w:rsidR="00423B0C" w:rsidRPr="006C0009">
          <w:rPr>
            <w:rStyle w:val="Hyperlink"/>
          </w:rPr>
          <w:t>Scope of the terms of reference</w:t>
        </w:r>
        <w:r w:rsidR="00423B0C">
          <w:rPr>
            <w:webHidden/>
          </w:rPr>
          <w:tab/>
        </w:r>
        <w:r>
          <w:rPr>
            <w:webHidden/>
          </w:rPr>
          <w:fldChar w:fldCharType="begin"/>
        </w:r>
        <w:r w:rsidR="00423B0C">
          <w:rPr>
            <w:webHidden/>
          </w:rPr>
          <w:instrText xml:space="preserve"> PAGEREF _Toc464735396 \h </w:instrText>
        </w:r>
        <w:r>
          <w:rPr>
            <w:webHidden/>
          </w:rPr>
        </w:r>
        <w:r>
          <w:rPr>
            <w:webHidden/>
          </w:rPr>
          <w:fldChar w:fldCharType="separate"/>
        </w:r>
        <w:r w:rsidR="00423B0C">
          <w:rPr>
            <w:webHidden/>
          </w:rPr>
          <w:t>5</w:t>
        </w:r>
        <w:r>
          <w:rPr>
            <w:webHidden/>
          </w:rPr>
          <w:fldChar w:fldCharType="end"/>
        </w:r>
      </w:hyperlink>
    </w:p>
    <w:p w:rsidR="00440F18" w:rsidRDefault="00E2593B" w:rsidP="00440F18">
      <w:pPr>
        <w:rPr>
          <w:sz w:val="24"/>
          <w:szCs w:val="24"/>
          <w:lang w:val="en-AU"/>
        </w:rPr>
        <w:sectPr w:rsidR="00440F18" w:rsidSect="00662C7A">
          <w:headerReference w:type="even" r:id="rId26"/>
          <w:headerReference w:type="default" r:id="rId27"/>
          <w:endnotePr>
            <w:numFmt w:val="decimal"/>
          </w:endnotePr>
          <w:type w:val="continuous"/>
          <w:pgSz w:w="11907" w:h="16840" w:code="9"/>
          <w:pgMar w:top="2268" w:right="2098" w:bottom="1701" w:left="2098" w:header="578" w:footer="578" w:gutter="0"/>
          <w:pgNumType w:fmt="lowerRoman"/>
          <w:cols w:space="720"/>
          <w:docGrid w:linePitch="299"/>
        </w:sectPr>
      </w:pPr>
      <w:r>
        <w:rPr>
          <w:sz w:val="24"/>
          <w:szCs w:val="24"/>
          <w:lang w:val="en-AU"/>
        </w:rPr>
        <w:fldChar w:fldCharType="end"/>
      </w:r>
    </w:p>
    <w:p w:rsidR="00E2786A" w:rsidRDefault="00DC784F" w:rsidP="007176CC">
      <w:pPr>
        <w:pStyle w:val="Heading1"/>
      </w:pPr>
      <w:bookmarkStart w:id="14" w:name="Chap1"/>
      <w:bookmarkStart w:id="15" w:name="_Ref364695177"/>
      <w:bookmarkStart w:id="16" w:name="_Toc200251148"/>
      <w:bookmarkStart w:id="17" w:name="_Toc264971521"/>
      <w:bookmarkStart w:id="18" w:name="_Toc464735355"/>
      <w:bookmarkEnd w:id="10"/>
      <w:bookmarkEnd w:id="11"/>
      <w:bookmarkEnd w:id="12"/>
      <w:bookmarkEnd w:id="13"/>
      <w:bookmarkEnd w:id="14"/>
      <w:r>
        <w:lastRenderedPageBreak/>
        <w:t>Introduction</w:t>
      </w:r>
      <w:bookmarkStart w:id="19" w:name="_Ref349552218"/>
      <w:bookmarkStart w:id="20" w:name="_Toc349563150"/>
      <w:bookmarkStart w:id="21" w:name="_Toc349563312"/>
      <w:bookmarkStart w:id="22" w:name="_Toc349563390"/>
      <w:bookmarkStart w:id="23" w:name="_Toc349571506"/>
      <w:bookmarkEnd w:id="15"/>
      <w:bookmarkEnd w:id="16"/>
      <w:bookmarkEnd w:id="17"/>
      <w:bookmarkEnd w:id="18"/>
    </w:p>
    <w:p w:rsidR="000D1D6E" w:rsidRPr="000D1D6E" w:rsidRDefault="000D1D6E" w:rsidP="000D1D6E">
      <w:pPr>
        <w:sectPr w:rsidR="000D1D6E" w:rsidRPr="000D1D6E" w:rsidSect="00662C7A">
          <w:headerReference w:type="even" r:id="rId28"/>
          <w:headerReference w:type="default" r:id="rId29"/>
          <w:endnotePr>
            <w:numFmt w:val="decimal"/>
          </w:endnotePr>
          <w:type w:val="oddPage"/>
          <w:pgSz w:w="11907" w:h="16840" w:code="9"/>
          <w:pgMar w:top="2268" w:right="2098" w:bottom="1701" w:left="2098" w:header="578" w:footer="578" w:gutter="0"/>
          <w:pgNumType w:start="1"/>
          <w:cols w:space="720"/>
          <w:docGrid w:linePitch="299"/>
        </w:sectPr>
      </w:pPr>
    </w:p>
    <w:p w:rsidR="007D4436" w:rsidRDefault="00B92427" w:rsidP="005D0466">
      <w:pPr>
        <w:pStyle w:val="Heading2"/>
      </w:pPr>
      <w:bookmarkStart w:id="24" w:name="Tariffs_vs_prices"/>
      <w:bookmarkStart w:id="25" w:name="_Toc464735356"/>
      <w:bookmarkStart w:id="26" w:name="_Toc368572032"/>
      <w:bookmarkStart w:id="27" w:name="_Ref429400976"/>
      <w:bookmarkStart w:id="28" w:name="_Toc378334065"/>
      <w:bookmarkStart w:id="29" w:name="_Toc389642362"/>
      <w:bookmarkEnd w:id="19"/>
      <w:bookmarkEnd w:id="20"/>
      <w:bookmarkEnd w:id="21"/>
      <w:bookmarkEnd w:id="22"/>
      <w:bookmarkEnd w:id="23"/>
      <w:bookmarkEnd w:id="24"/>
      <w:r>
        <w:lastRenderedPageBreak/>
        <w:t xml:space="preserve">Background </w:t>
      </w:r>
      <w:r w:rsidR="009B412B">
        <w:t>to the investigation</w:t>
      </w:r>
      <w:bookmarkEnd w:id="25"/>
    </w:p>
    <w:p w:rsidR="00EF5058" w:rsidRDefault="00F22737" w:rsidP="00724AAF">
      <w:r>
        <w:t xml:space="preserve">The </w:t>
      </w:r>
      <w:r w:rsidR="006C4A45">
        <w:t>Independent Competition and Regulatory</w:t>
      </w:r>
      <w:r w:rsidR="00961718">
        <w:t xml:space="preserve"> Commission (the Commission) is a statutory body set up to regulate prices, access to infrastructure services and other matters in relation to regulated industries. </w:t>
      </w:r>
      <w:r w:rsidR="00CD76FE">
        <w:t xml:space="preserve">The Commission </w:t>
      </w:r>
      <w:r w:rsidR="00B979AA">
        <w:t xml:space="preserve">is the independent regulator of the </w:t>
      </w:r>
      <w:r w:rsidR="00CD76FE">
        <w:t xml:space="preserve">retail </w:t>
      </w:r>
      <w:r w:rsidR="00B979AA">
        <w:t>electricity market in the ACT</w:t>
      </w:r>
      <w:r w:rsidR="00EF5FD5">
        <w:t xml:space="preserve">, </w:t>
      </w:r>
      <w:r w:rsidR="00961718">
        <w:t xml:space="preserve">responsible for setting regulated retail prices </w:t>
      </w:r>
      <w:r>
        <w:t>for the supply of electricity to small customers on ActewAGL</w:t>
      </w:r>
      <w:r w:rsidR="00CD76FE">
        <w:t xml:space="preserve"> </w:t>
      </w:r>
      <w:r>
        <w:t>Retail’s regulated tariffs</w:t>
      </w:r>
      <w:r w:rsidR="009F0F83">
        <w:t>.</w:t>
      </w:r>
    </w:p>
    <w:p w:rsidR="00724AAF" w:rsidRDefault="005E2146" w:rsidP="00724AAF">
      <w:r>
        <w:t xml:space="preserve">The Commission undertakes </w:t>
      </w:r>
      <w:r w:rsidR="00CD76FE">
        <w:t xml:space="preserve">price </w:t>
      </w:r>
      <w:r>
        <w:rPr>
          <w:lang w:val="en-AU" w:eastAsia="en-AU"/>
        </w:rPr>
        <w:t xml:space="preserve">investigations in accordance with </w:t>
      </w:r>
      <w:r w:rsidR="004325DB">
        <w:rPr>
          <w:lang w:val="en-AU" w:eastAsia="en-AU"/>
        </w:rPr>
        <w:t>s</w:t>
      </w:r>
      <w:r w:rsidR="0071418D">
        <w:rPr>
          <w:lang w:val="en-AU" w:eastAsia="en-AU"/>
        </w:rPr>
        <w:t>ection</w:t>
      </w:r>
      <w:r w:rsidR="008E7CEF">
        <w:rPr>
          <w:lang w:val="en-AU" w:eastAsia="en-AU"/>
        </w:rPr>
        <w:t>s</w:t>
      </w:r>
      <w:r w:rsidR="0071418D">
        <w:rPr>
          <w:lang w:val="en-AU" w:eastAsia="en-AU"/>
        </w:rPr>
        <w:t xml:space="preserve"> 15, 16 and 17 </w:t>
      </w:r>
      <w:r w:rsidR="00F27ABC">
        <w:rPr>
          <w:lang w:val="en-AU" w:eastAsia="en-AU"/>
        </w:rPr>
        <w:t>under</w:t>
      </w:r>
      <w:r w:rsidR="0071418D">
        <w:rPr>
          <w:lang w:val="en-AU" w:eastAsia="en-AU"/>
        </w:rPr>
        <w:t xml:space="preserve"> Part 3 of </w:t>
      </w:r>
      <w:r w:rsidR="0071418D">
        <w:t xml:space="preserve">the </w:t>
      </w:r>
      <w:r w:rsidR="0071418D" w:rsidRPr="0079320B">
        <w:rPr>
          <w:i/>
        </w:rPr>
        <w:t>Independent Competition and Regulatory Commission Act 1997</w:t>
      </w:r>
      <w:r w:rsidR="0071418D">
        <w:t xml:space="preserve"> (the ICRC Act), </w:t>
      </w:r>
      <w:r>
        <w:rPr>
          <w:lang w:val="en-AU" w:eastAsia="en-AU"/>
        </w:rPr>
        <w:t>and issues price direction</w:t>
      </w:r>
      <w:r w:rsidR="000978B4">
        <w:rPr>
          <w:lang w:val="en-AU" w:eastAsia="en-AU"/>
        </w:rPr>
        <w:t>s</w:t>
      </w:r>
      <w:r>
        <w:rPr>
          <w:lang w:val="en-AU" w:eastAsia="en-AU"/>
        </w:rPr>
        <w:t xml:space="preserve"> under </w:t>
      </w:r>
      <w:r w:rsidR="0071418D">
        <w:rPr>
          <w:lang w:val="en-AU" w:eastAsia="en-AU"/>
        </w:rPr>
        <w:t>Part 4 of the ICRC Act.</w:t>
      </w:r>
      <w:r>
        <w:t xml:space="preserve"> </w:t>
      </w:r>
      <w:r w:rsidR="00724AAF">
        <w:t>The current price direction</w:t>
      </w:r>
      <w:r w:rsidR="00F22D55">
        <w:t xml:space="preserve"> </w:t>
      </w:r>
      <w:r w:rsidR="00EE2DAF">
        <w:t xml:space="preserve">requires the Commission to determine </w:t>
      </w:r>
      <w:r w:rsidR="00FB051C">
        <w:t xml:space="preserve">the </w:t>
      </w:r>
      <w:r w:rsidR="00EE2DAF">
        <w:t xml:space="preserve">maximum prices </w:t>
      </w:r>
      <w:r w:rsidR="00AC00AA">
        <w:t>that ActewAGL</w:t>
      </w:r>
      <w:r w:rsidR="00604B6B">
        <w:t xml:space="preserve"> Retail can charge for its regulated retail tariffs </w:t>
      </w:r>
      <w:r w:rsidR="00EE2DAF">
        <w:t xml:space="preserve">from </w:t>
      </w:r>
      <w:r w:rsidR="00D65C68">
        <w:t>1</w:t>
      </w:r>
      <w:r w:rsidR="00FF60EF">
        <w:t> </w:t>
      </w:r>
      <w:r w:rsidR="00D65C68">
        <w:t>July</w:t>
      </w:r>
      <w:r w:rsidR="00FF60EF">
        <w:t> </w:t>
      </w:r>
      <w:r w:rsidR="00EE2DAF">
        <w:t xml:space="preserve">2014 to </w:t>
      </w:r>
      <w:r w:rsidR="00D65C68">
        <w:t>30</w:t>
      </w:r>
      <w:r w:rsidR="00FF60EF">
        <w:t> </w:t>
      </w:r>
      <w:r w:rsidR="00D65C68">
        <w:t>June</w:t>
      </w:r>
      <w:r w:rsidR="00FF60EF">
        <w:t> </w:t>
      </w:r>
      <w:r w:rsidR="001855F5">
        <w:t>2017</w:t>
      </w:r>
      <w:r w:rsidR="00D65C68">
        <w:t xml:space="preserve">. </w:t>
      </w:r>
      <w:r w:rsidR="00724AAF">
        <w:t>Under this price direction, the Commission</w:t>
      </w:r>
      <w:r w:rsidR="00077215">
        <w:t xml:space="preserve">’s most recent decision was to determine </w:t>
      </w:r>
      <w:r w:rsidR="00724AAF">
        <w:t>a real (inflation- adjusted) increase of 4.46 per cent in regulated retail electricity prices for 2016</w:t>
      </w:r>
      <w:r w:rsidR="00724AAF" w:rsidRPr="00A015EC">
        <w:sym w:font="Symbol" w:char="F02D"/>
      </w:r>
      <w:r w:rsidR="00724AAF">
        <w:t>17.</w:t>
      </w:r>
      <w:r w:rsidR="00724AAF">
        <w:rPr>
          <w:rStyle w:val="FootnoteReference"/>
        </w:rPr>
        <w:footnoteReference w:id="2"/>
      </w:r>
    </w:p>
    <w:p w:rsidR="00724AAF" w:rsidRDefault="0010347B" w:rsidP="00724AAF">
      <w:r>
        <w:t>On 22 June </w:t>
      </w:r>
      <w:r w:rsidR="00724AAF">
        <w:t xml:space="preserve">2016 the Treasurer signed terms of reference under the </w:t>
      </w:r>
      <w:r w:rsidR="006714DA">
        <w:t xml:space="preserve">ICRC Act </w:t>
      </w:r>
      <w:r w:rsidR="00724AAF">
        <w:t xml:space="preserve">for a price direction for the supply of electricity by ActewAGL Retail </w:t>
      </w:r>
      <w:r w:rsidR="00724AAF" w:rsidRPr="00981329">
        <w:t xml:space="preserve">to </w:t>
      </w:r>
      <w:r w:rsidR="00724AAF">
        <w:t>customers on its regulated retail tariff</w:t>
      </w:r>
      <w:r w:rsidR="006714DA">
        <w:t>s</w:t>
      </w:r>
      <w:r w:rsidR="00724AAF">
        <w:t xml:space="preserve"> </w:t>
      </w:r>
      <w:r w:rsidR="00724AAF" w:rsidRPr="00981329">
        <w:t>for the</w:t>
      </w:r>
      <w:r w:rsidR="00372CCC">
        <w:t xml:space="preserve"> period commencing 1</w:t>
      </w:r>
      <w:r w:rsidR="00724AAF">
        <w:t> July</w:t>
      </w:r>
      <w:r w:rsidR="00372CCC">
        <w:t> </w:t>
      </w:r>
      <w:r w:rsidR="00724AAF">
        <w:t>2017.</w:t>
      </w:r>
      <w:r w:rsidR="00046F16">
        <w:rPr>
          <w:rStyle w:val="FootnoteReference"/>
        </w:rPr>
        <w:footnoteReference w:id="3"/>
      </w:r>
    </w:p>
    <w:p w:rsidR="00724AAF" w:rsidRPr="0072503B" w:rsidRDefault="00724AAF" w:rsidP="00724AAF">
      <w:r>
        <w:t xml:space="preserve">This issues paper </w:t>
      </w:r>
      <w:r w:rsidR="00D16542">
        <w:t xml:space="preserve">begins </w:t>
      </w:r>
      <w:r>
        <w:t xml:space="preserve">the consultation process to determine retail electricity </w:t>
      </w:r>
      <w:r w:rsidR="00504538">
        <w:t>prices from 1</w:t>
      </w:r>
      <w:r w:rsidR="001855F5">
        <w:t> J</w:t>
      </w:r>
      <w:r w:rsidR="00504538">
        <w:t>uly</w:t>
      </w:r>
      <w:r w:rsidR="001855F5">
        <w:t> </w:t>
      </w:r>
      <w:r w:rsidR="00504538">
        <w:t>2017</w:t>
      </w:r>
      <w:r w:rsidR="009F0F83">
        <w:t xml:space="preserve"> to</w:t>
      </w:r>
      <w:r w:rsidR="00652088">
        <w:t xml:space="preserve"> 30</w:t>
      </w:r>
      <w:r w:rsidR="007E59FB">
        <w:t> </w:t>
      </w:r>
      <w:r w:rsidR="009F0F83">
        <w:t>June</w:t>
      </w:r>
      <w:r w:rsidR="007E59FB">
        <w:t> </w:t>
      </w:r>
      <w:r w:rsidR="009F0F83">
        <w:t>2020. It</w:t>
      </w:r>
      <w:r w:rsidR="006E77C1">
        <w:t xml:space="preserve"> sets out </w:t>
      </w:r>
      <w:r w:rsidR="007A79B8">
        <w:t xml:space="preserve">the Commission’s proposed </w:t>
      </w:r>
      <w:r w:rsidR="002A13D1">
        <w:t xml:space="preserve">approach </w:t>
      </w:r>
      <w:r w:rsidR="00717A10">
        <w:t xml:space="preserve">in setting retail electricity prices </w:t>
      </w:r>
      <w:r w:rsidR="006E77C1">
        <w:t>for the next regulatory period</w:t>
      </w:r>
      <w:r w:rsidR="00717A10">
        <w:t xml:space="preserve"> and d</w:t>
      </w:r>
      <w:r w:rsidR="006E77C1">
        <w:t>iscuss</w:t>
      </w:r>
      <w:r w:rsidR="00717A10">
        <w:t xml:space="preserve">es </w:t>
      </w:r>
      <w:r w:rsidR="004C23F4">
        <w:t xml:space="preserve">specific </w:t>
      </w:r>
      <w:r w:rsidR="006E77C1">
        <w:t xml:space="preserve">issues </w:t>
      </w:r>
      <w:r w:rsidR="004C23F4">
        <w:t>relating to th</w:t>
      </w:r>
      <w:r w:rsidR="00652088">
        <w:t>is approach.</w:t>
      </w:r>
    </w:p>
    <w:p w:rsidR="00BF6EE5" w:rsidRDefault="001B1FAF" w:rsidP="005D0466">
      <w:pPr>
        <w:pStyle w:val="Heading2"/>
      </w:pPr>
      <w:bookmarkStart w:id="30" w:name="Scope"/>
      <w:bookmarkStart w:id="31" w:name="Timeline"/>
      <w:bookmarkStart w:id="32" w:name="_Toc368572036"/>
      <w:bookmarkStart w:id="33" w:name="_Toc464735357"/>
      <w:bookmarkEnd w:id="26"/>
      <w:bookmarkEnd w:id="27"/>
      <w:bookmarkEnd w:id="30"/>
      <w:bookmarkEnd w:id="31"/>
      <w:r>
        <w:t>Purpose of the issues paper</w:t>
      </w:r>
      <w:bookmarkEnd w:id="32"/>
      <w:bookmarkEnd w:id="33"/>
    </w:p>
    <w:p w:rsidR="009402AF" w:rsidRDefault="00724AAF" w:rsidP="00724AAF">
      <w:pPr>
        <w:rPr>
          <w:lang w:val="en-AU" w:eastAsia="en-AU"/>
        </w:rPr>
      </w:pPr>
      <w:r w:rsidRPr="00A70180">
        <w:rPr>
          <w:lang w:val="en-AU" w:eastAsia="en-AU"/>
        </w:rPr>
        <w:t xml:space="preserve">The purpose </w:t>
      </w:r>
      <w:r>
        <w:rPr>
          <w:lang w:val="en-AU" w:eastAsia="en-AU"/>
        </w:rPr>
        <w:t>of this issues paper is</w:t>
      </w:r>
      <w:r w:rsidR="009402AF">
        <w:rPr>
          <w:lang w:val="en-AU" w:eastAsia="en-AU"/>
        </w:rPr>
        <w:t xml:space="preserve"> twofold.</w:t>
      </w:r>
      <w:r w:rsidR="006462F0">
        <w:rPr>
          <w:lang w:val="en-AU" w:eastAsia="en-AU"/>
        </w:rPr>
        <w:t xml:space="preserve"> </w:t>
      </w:r>
    </w:p>
    <w:p w:rsidR="00724AAF" w:rsidRDefault="009402AF" w:rsidP="00724AAF">
      <w:pPr>
        <w:rPr>
          <w:lang w:val="en-AU" w:eastAsia="en-AU"/>
        </w:rPr>
      </w:pPr>
      <w:r>
        <w:rPr>
          <w:lang w:val="en-AU" w:eastAsia="en-AU"/>
        </w:rPr>
        <w:t xml:space="preserve">The first is </w:t>
      </w:r>
      <w:r w:rsidR="00724AAF">
        <w:rPr>
          <w:lang w:val="en-AU" w:eastAsia="en-AU"/>
        </w:rPr>
        <w:t>to alert stakeholders that the Commission is undertaking an investigation into retail electricity pri</w:t>
      </w:r>
      <w:r w:rsidR="001855F5">
        <w:rPr>
          <w:lang w:val="en-AU" w:eastAsia="en-AU"/>
        </w:rPr>
        <w:t xml:space="preserve">ces for the </w:t>
      </w:r>
      <w:r w:rsidR="005F1601">
        <w:rPr>
          <w:lang w:val="en-AU" w:eastAsia="en-AU"/>
        </w:rPr>
        <w:t xml:space="preserve">three year </w:t>
      </w:r>
      <w:r w:rsidR="001855F5">
        <w:rPr>
          <w:lang w:val="en-AU" w:eastAsia="en-AU"/>
        </w:rPr>
        <w:t>period commencing 1 July </w:t>
      </w:r>
      <w:r w:rsidR="00724AAF">
        <w:rPr>
          <w:lang w:val="en-AU" w:eastAsia="en-AU"/>
        </w:rPr>
        <w:t>2017, and seeking stakeholder input</w:t>
      </w:r>
      <w:r w:rsidR="006714DA">
        <w:rPr>
          <w:lang w:val="en-AU" w:eastAsia="en-AU"/>
        </w:rPr>
        <w:t xml:space="preserve"> on any issues they consider relevant</w:t>
      </w:r>
      <w:r w:rsidR="00724AAF">
        <w:rPr>
          <w:lang w:val="en-AU" w:eastAsia="en-AU"/>
        </w:rPr>
        <w:t>.</w:t>
      </w:r>
    </w:p>
    <w:p w:rsidR="00724AAF" w:rsidRDefault="002E49CD" w:rsidP="00724AAF">
      <w:pPr>
        <w:rPr>
          <w:lang w:val="en-AU" w:eastAsia="en-AU"/>
        </w:rPr>
      </w:pPr>
      <w:r>
        <w:rPr>
          <w:lang w:val="en-AU" w:eastAsia="en-AU"/>
        </w:rPr>
        <w:t xml:space="preserve">The second purpose is </w:t>
      </w:r>
      <w:r w:rsidR="00724AAF">
        <w:rPr>
          <w:lang w:val="en-AU" w:eastAsia="en-AU"/>
        </w:rPr>
        <w:t>to inform stakeholders of th</w:t>
      </w:r>
      <w:r w:rsidR="006714DA">
        <w:rPr>
          <w:lang w:val="en-AU" w:eastAsia="en-AU"/>
        </w:rPr>
        <w:t>ose</w:t>
      </w:r>
      <w:r w:rsidR="00724AAF">
        <w:rPr>
          <w:lang w:val="en-AU" w:eastAsia="en-AU"/>
        </w:rPr>
        <w:t xml:space="preserve"> issues that the Commission has identified as relevant to this </w:t>
      </w:r>
      <w:r w:rsidR="006714DA">
        <w:rPr>
          <w:lang w:val="en-AU" w:eastAsia="en-AU"/>
        </w:rPr>
        <w:t xml:space="preserve">price </w:t>
      </w:r>
      <w:r w:rsidR="00724AAF">
        <w:rPr>
          <w:lang w:val="en-AU" w:eastAsia="en-AU"/>
        </w:rPr>
        <w:t xml:space="preserve">investigation, including those arising from the terms </w:t>
      </w:r>
      <w:r w:rsidR="00724AAF">
        <w:rPr>
          <w:lang w:val="en-AU" w:eastAsia="en-AU"/>
        </w:rPr>
        <w:lastRenderedPageBreak/>
        <w:t>of reference and recent developments in the electricit</w:t>
      </w:r>
      <w:r w:rsidR="00504538">
        <w:rPr>
          <w:lang w:val="en-AU" w:eastAsia="en-AU"/>
        </w:rPr>
        <w:t xml:space="preserve">y market and regulatory </w:t>
      </w:r>
      <w:r w:rsidR="007F386B">
        <w:rPr>
          <w:lang w:val="en-AU" w:eastAsia="en-AU"/>
        </w:rPr>
        <w:t>arrangements</w:t>
      </w:r>
      <w:r w:rsidR="00504538">
        <w:rPr>
          <w:lang w:val="en-AU" w:eastAsia="en-AU"/>
        </w:rPr>
        <w:t>.</w:t>
      </w:r>
    </w:p>
    <w:p w:rsidR="007F386B" w:rsidRDefault="00C01053" w:rsidP="005D0466">
      <w:pPr>
        <w:pStyle w:val="Heading2"/>
      </w:pPr>
      <w:bookmarkStart w:id="34" w:name="_Toc464735358"/>
      <w:r>
        <w:t xml:space="preserve">ICRC Act: </w:t>
      </w:r>
      <w:r w:rsidR="00F21429">
        <w:t>l</w:t>
      </w:r>
      <w:r>
        <w:t>egislative requirements</w:t>
      </w:r>
      <w:bookmarkEnd w:id="34"/>
    </w:p>
    <w:p w:rsidR="00590945" w:rsidRDefault="00590945" w:rsidP="001F7EFD">
      <w:pPr>
        <w:pStyle w:val="Heading3"/>
      </w:pPr>
      <w:r>
        <w:t>Introduction</w:t>
      </w:r>
      <w:r w:rsidR="00027B74">
        <w:t xml:space="preserve"> </w:t>
      </w:r>
    </w:p>
    <w:p w:rsidR="00590945" w:rsidRDefault="00590945" w:rsidP="00590945">
      <w:r>
        <w:t xml:space="preserve">In carrying out its functions under the ICRC Act, the </w:t>
      </w:r>
      <w:r w:rsidRPr="00A50EA4">
        <w:t>Commission has the following objectives set out in section 7</w:t>
      </w:r>
      <w:r w:rsidR="00CE11ED">
        <w:t xml:space="preserve"> (</w:t>
      </w:r>
      <w:r w:rsidR="00E2593B">
        <w:fldChar w:fldCharType="begin"/>
      </w:r>
      <w:r w:rsidR="00CE11ED">
        <w:instrText xml:space="preserve"> REF _Ref462999967 \h </w:instrText>
      </w:r>
      <w:r w:rsidR="00E2593B">
        <w:fldChar w:fldCharType="separate"/>
      </w:r>
      <w:r w:rsidR="004325DB">
        <w:t xml:space="preserve">Box </w:t>
      </w:r>
      <w:r w:rsidR="004325DB">
        <w:rPr>
          <w:noProof/>
        </w:rPr>
        <w:t>1</w:t>
      </w:r>
      <w:r w:rsidR="004325DB">
        <w:t>.</w:t>
      </w:r>
      <w:r w:rsidR="004325DB">
        <w:rPr>
          <w:noProof/>
        </w:rPr>
        <w:t>1</w:t>
      </w:r>
      <w:r w:rsidR="00E2593B">
        <w:fldChar w:fldCharType="end"/>
      </w:r>
      <w:r w:rsidR="00CE11ED">
        <w:t>).</w:t>
      </w:r>
    </w:p>
    <w:p w:rsidR="00253BA5" w:rsidRDefault="00253BA5" w:rsidP="00253BA5">
      <w:pPr>
        <w:pStyle w:val="FigureName"/>
        <w:keepNext/>
      </w:pPr>
      <w:bookmarkStart w:id="35" w:name="_Ref462999967"/>
      <w:bookmarkStart w:id="36" w:name="_Toc464735394"/>
      <w:r>
        <w:t xml:space="preserve">Box </w:t>
      </w:r>
      <w:r w:rsidR="00E2593B">
        <w:fldChar w:fldCharType="begin"/>
      </w:r>
      <w:r>
        <w:instrText xml:space="preserve"> STYLEREF 1 \s </w:instrText>
      </w:r>
      <w:r w:rsidR="00E2593B">
        <w:fldChar w:fldCharType="separate"/>
      </w:r>
      <w:r w:rsidR="004325DB">
        <w:rPr>
          <w:noProof/>
        </w:rPr>
        <w:t>1</w:t>
      </w:r>
      <w:r w:rsidR="00E2593B">
        <w:fldChar w:fldCharType="end"/>
      </w:r>
      <w:r>
        <w:t>.</w:t>
      </w:r>
      <w:r w:rsidR="00E2593B">
        <w:fldChar w:fldCharType="begin"/>
      </w:r>
      <w:r>
        <w:instrText xml:space="preserve"> SEQ Box \* ARABIC \s 1 </w:instrText>
      </w:r>
      <w:r w:rsidR="00E2593B">
        <w:fldChar w:fldCharType="separate"/>
      </w:r>
      <w:r w:rsidR="004325DB">
        <w:rPr>
          <w:noProof/>
        </w:rPr>
        <w:t>1</w:t>
      </w:r>
      <w:r w:rsidR="00E2593B">
        <w:fldChar w:fldCharType="end"/>
      </w:r>
      <w:bookmarkEnd w:id="35"/>
      <w:r>
        <w:tab/>
      </w:r>
      <w:r w:rsidR="006F71D4">
        <w:t xml:space="preserve">Section 7: </w:t>
      </w:r>
      <w:r w:rsidR="00255761">
        <w:t xml:space="preserve">ICRC </w:t>
      </w:r>
      <w:r>
        <w:t>Objectives</w:t>
      </w:r>
      <w:bookmarkEnd w:id="36"/>
      <w:r>
        <w:t xml:space="preserve">  </w:t>
      </w:r>
    </w:p>
    <w:tbl>
      <w:tblPr>
        <w:tblW w:w="7927"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7927"/>
      </w:tblGrid>
      <w:tr w:rsidR="00253BA5" w:rsidTr="00EF5FD5">
        <w:trPr>
          <w:cantSplit/>
          <w:trHeight w:val="1501"/>
        </w:trPr>
        <w:tc>
          <w:tcPr>
            <w:tcW w:w="7927" w:type="dxa"/>
            <w:shd w:val="clear" w:color="auto" w:fill="DBE5F1"/>
          </w:tcPr>
          <w:p w:rsidR="00253BA5" w:rsidRDefault="00253BA5" w:rsidP="00253BA5">
            <w:pPr>
              <w:pStyle w:val="LetteredList"/>
              <w:numPr>
                <w:ilvl w:val="0"/>
                <w:numId w:val="0"/>
              </w:numPr>
              <w:ind w:left="680"/>
              <w:rPr>
                <w:lang w:val="en-AU" w:eastAsia="en-AU"/>
              </w:rPr>
            </w:pPr>
          </w:p>
          <w:p w:rsidR="00253BA5" w:rsidRPr="00425FF6" w:rsidRDefault="00253BA5" w:rsidP="00253BA5">
            <w:pPr>
              <w:pStyle w:val="LetteredList"/>
              <w:rPr>
                <w:lang w:val="en-AU" w:eastAsia="en-AU"/>
              </w:rPr>
            </w:pPr>
            <w:r w:rsidRPr="00425FF6">
              <w:rPr>
                <w:lang w:val="en-AU" w:eastAsia="en-AU"/>
              </w:rPr>
              <w:t>to promote effective competition in the interests of consumers;</w:t>
            </w:r>
          </w:p>
          <w:p w:rsidR="00253BA5" w:rsidRPr="00425FF6" w:rsidRDefault="00253BA5" w:rsidP="00253BA5">
            <w:pPr>
              <w:pStyle w:val="LetteredList"/>
              <w:rPr>
                <w:lang w:val="en-AU" w:eastAsia="en-AU"/>
              </w:rPr>
            </w:pPr>
            <w:r w:rsidRPr="00425FF6">
              <w:rPr>
                <w:lang w:val="en-AU" w:eastAsia="en-AU"/>
              </w:rPr>
              <w:t>to facilitate an appropriate balance between efficiency and environmental and social considerations;</w:t>
            </w:r>
          </w:p>
          <w:p w:rsidR="00253BA5" w:rsidRPr="00425FF6" w:rsidRDefault="00253BA5" w:rsidP="00253BA5">
            <w:pPr>
              <w:pStyle w:val="LetteredList"/>
              <w:spacing w:after="240"/>
              <w:ind w:left="681" w:hanging="397"/>
              <w:rPr>
                <w:lang w:val="en-AU" w:eastAsia="en-AU"/>
              </w:rPr>
            </w:pPr>
            <w:r w:rsidRPr="00425FF6">
              <w:rPr>
                <w:lang w:val="en-AU" w:eastAsia="en-AU"/>
              </w:rPr>
              <w:t>to ensure non-discriminatory access to monopoly and near-monopoly infrastructure.</w:t>
            </w:r>
            <w:r>
              <w:rPr>
                <w:rStyle w:val="FootnoteReference"/>
                <w:lang w:val="en-AU" w:eastAsia="en-AU"/>
              </w:rPr>
              <w:footnoteReference w:id="4"/>
            </w:r>
          </w:p>
          <w:p w:rsidR="00253BA5" w:rsidRDefault="00253BA5" w:rsidP="00253BA5">
            <w:pPr>
              <w:pStyle w:val="Bullet"/>
              <w:keepNext/>
              <w:ind w:left="644" w:hanging="360"/>
            </w:pPr>
          </w:p>
        </w:tc>
      </w:tr>
    </w:tbl>
    <w:p w:rsidR="008247AE" w:rsidRDefault="008247AE" w:rsidP="00590945"/>
    <w:p w:rsidR="00590945" w:rsidRDefault="00590945" w:rsidP="00590945">
      <w:r>
        <w:t xml:space="preserve">When making a price direction, in addition to the terms of reference, the Commission is also required to have regard to the provisions set out in </w:t>
      </w:r>
      <w:r w:rsidRPr="00F523C4">
        <w:t>section 20</w:t>
      </w:r>
      <w:r>
        <w:t>(2)</w:t>
      </w:r>
      <w:r w:rsidR="00CE11ED">
        <w:t xml:space="preserve"> (</w:t>
      </w:r>
      <w:r w:rsidR="00E2593B">
        <w:fldChar w:fldCharType="begin"/>
      </w:r>
      <w:r w:rsidR="00CE11ED">
        <w:instrText xml:space="preserve"> REF _Ref462999989 \h </w:instrText>
      </w:r>
      <w:r w:rsidR="00E2593B">
        <w:fldChar w:fldCharType="separate"/>
      </w:r>
      <w:r w:rsidR="004325DB">
        <w:t xml:space="preserve">Box </w:t>
      </w:r>
      <w:r w:rsidR="004325DB">
        <w:rPr>
          <w:noProof/>
        </w:rPr>
        <w:t>1</w:t>
      </w:r>
      <w:r w:rsidR="004325DB">
        <w:t>.</w:t>
      </w:r>
      <w:r w:rsidR="004325DB">
        <w:rPr>
          <w:noProof/>
        </w:rPr>
        <w:t>2</w:t>
      </w:r>
      <w:r w:rsidR="00E2593B">
        <w:fldChar w:fldCharType="end"/>
      </w:r>
      <w:r w:rsidR="00CE11ED">
        <w:t>).</w:t>
      </w:r>
    </w:p>
    <w:p w:rsidR="00253BA5" w:rsidRDefault="00253BA5" w:rsidP="00CC29DF">
      <w:pPr>
        <w:pStyle w:val="FigureName"/>
        <w:keepNext/>
      </w:pPr>
      <w:bookmarkStart w:id="37" w:name="_Ref462999989"/>
      <w:bookmarkStart w:id="38" w:name="_Toc464735395"/>
      <w:r>
        <w:lastRenderedPageBreak/>
        <w:t xml:space="preserve">Box </w:t>
      </w:r>
      <w:r w:rsidR="00E2593B">
        <w:fldChar w:fldCharType="begin"/>
      </w:r>
      <w:r>
        <w:instrText xml:space="preserve"> STYLEREF 1 \s </w:instrText>
      </w:r>
      <w:r w:rsidR="00E2593B">
        <w:fldChar w:fldCharType="separate"/>
      </w:r>
      <w:r w:rsidR="004325DB">
        <w:rPr>
          <w:noProof/>
        </w:rPr>
        <w:t>1</w:t>
      </w:r>
      <w:r w:rsidR="00E2593B">
        <w:fldChar w:fldCharType="end"/>
      </w:r>
      <w:r>
        <w:t>.</w:t>
      </w:r>
      <w:r w:rsidR="00E2593B">
        <w:fldChar w:fldCharType="begin"/>
      </w:r>
      <w:r>
        <w:instrText xml:space="preserve"> SEQ Box \* ARABIC \s 1 </w:instrText>
      </w:r>
      <w:r w:rsidR="00E2593B">
        <w:fldChar w:fldCharType="separate"/>
      </w:r>
      <w:r w:rsidR="004325DB">
        <w:rPr>
          <w:noProof/>
        </w:rPr>
        <w:t>2</w:t>
      </w:r>
      <w:r w:rsidR="00E2593B">
        <w:fldChar w:fldCharType="end"/>
      </w:r>
      <w:bookmarkEnd w:id="37"/>
      <w:r>
        <w:tab/>
      </w:r>
      <w:r w:rsidR="006F71D4">
        <w:t xml:space="preserve">Section 20(2): </w:t>
      </w:r>
      <w:r w:rsidR="00255761">
        <w:t xml:space="preserve">ICRC </w:t>
      </w:r>
      <w:r>
        <w:t>Functions</w:t>
      </w:r>
      <w:bookmarkEnd w:id="38"/>
      <w:r>
        <w:t xml:space="preserve"> </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7700"/>
      </w:tblGrid>
      <w:tr w:rsidR="00255761" w:rsidTr="00EF5FD5">
        <w:trPr>
          <w:cantSplit/>
          <w:trHeight w:val="3349"/>
        </w:trPr>
        <w:tc>
          <w:tcPr>
            <w:tcW w:w="7700" w:type="dxa"/>
            <w:shd w:val="clear" w:color="auto" w:fill="DBE5F1"/>
          </w:tcPr>
          <w:p w:rsidR="007E4587" w:rsidRPr="007E4587" w:rsidRDefault="007E4587" w:rsidP="007E4587">
            <w:pPr>
              <w:pStyle w:val="LetteredList"/>
              <w:keepNext/>
              <w:numPr>
                <w:ilvl w:val="0"/>
                <w:numId w:val="60"/>
              </w:numPr>
              <w:rPr>
                <w:lang w:val="en-AU" w:eastAsia="en-AU"/>
              </w:rPr>
            </w:pPr>
            <w:r w:rsidRPr="007E4587">
              <w:rPr>
                <w:lang w:val="en-AU" w:eastAsia="en-AU"/>
              </w:rPr>
              <w:t>the protection of consumers from abuses of monopoly power in terms of prices, pricing policies (including policies relating to the level or structure of prices for services) and standard of regulated services; and</w:t>
            </w:r>
          </w:p>
          <w:p w:rsidR="00255761" w:rsidRPr="007E4587" w:rsidRDefault="00255761" w:rsidP="007E4587">
            <w:pPr>
              <w:pStyle w:val="LetteredList"/>
              <w:keepNext/>
              <w:numPr>
                <w:ilvl w:val="0"/>
                <w:numId w:val="60"/>
              </w:numPr>
              <w:rPr>
                <w:b/>
                <w:szCs w:val="24"/>
                <w:lang w:val="en-AU" w:eastAsia="en-AU"/>
              </w:rPr>
            </w:pPr>
            <w:r w:rsidRPr="007E4587">
              <w:rPr>
                <w:lang w:val="en-AU" w:eastAsia="en-AU"/>
              </w:rPr>
              <w:t>standards of quality, reliability and safety of the regulated services; and</w:t>
            </w:r>
          </w:p>
          <w:p w:rsidR="00255761" w:rsidRPr="007E4587" w:rsidRDefault="00255761" w:rsidP="007E4587">
            <w:pPr>
              <w:pStyle w:val="LetteredList"/>
              <w:keepNext/>
              <w:numPr>
                <w:ilvl w:val="0"/>
                <w:numId w:val="60"/>
              </w:numPr>
              <w:rPr>
                <w:b/>
                <w:szCs w:val="24"/>
                <w:lang w:val="en-AU" w:eastAsia="en-AU"/>
              </w:rPr>
            </w:pPr>
            <w:r w:rsidRPr="007E4587">
              <w:rPr>
                <w:lang w:val="en-AU" w:eastAsia="en-AU"/>
              </w:rPr>
              <w:t>the need for greater efficiency in the provision of regulated services to reduce costs to consumers and taxpayers; and</w:t>
            </w:r>
          </w:p>
          <w:p w:rsidR="00255761" w:rsidRPr="007E4587" w:rsidRDefault="00255761" w:rsidP="007E4587">
            <w:pPr>
              <w:pStyle w:val="LetteredList"/>
              <w:keepNext/>
              <w:numPr>
                <w:ilvl w:val="0"/>
                <w:numId w:val="60"/>
              </w:numPr>
              <w:rPr>
                <w:b/>
                <w:szCs w:val="24"/>
              </w:rPr>
            </w:pPr>
            <w:r w:rsidRPr="007E4587">
              <w:rPr>
                <w:lang w:val="en-AU" w:eastAsia="en-AU"/>
              </w:rPr>
              <w:t>an appropriate rate of return on any investment in the regulated industry; and</w:t>
            </w:r>
          </w:p>
          <w:p w:rsidR="00255761" w:rsidRPr="007E4587" w:rsidRDefault="00255761" w:rsidP="007E4587">
            <w:pPr>
              <w:pStyle w:val="LetteredList"/>
              <w:keepNext/>
              <w:numPr>
                <w:ilvl w:val="0"/>
                <w:numId w:val="60"/>
              </w:numPr>
              <w:rPr>
                <w:b/>
                <w:szCs w:val="24"/>
                <w:lang w:val="en-AU" w:eastAsia="en-AU"/>
              </w:rPr>
            </w:pPr>
            <w:r w:rsidRPr="007E4587">
              <w:rPr>
                <w:lang w:val="en-AU" w:eastAsia="en-AU"/>
              </w:rPr>
              <w:t>the cost of providing the regulated services; and</w:t>
            </w:r>
          </w:p>
          <w:p w:rsidR="00255761" w:rsidRPr="007E4587" w:rsidRDefault="00255761" w:rsidP="007E4587">
            <w:pPr>
              <w:pStyle w:val="LetteredList"/>
              <w:keepNext/>
              <w:numPr>
                <w:ilvl w:val="0"/>
                <w:numId w:val="60"/>
              </w:numPr>
              <w:rPr>
                <w:b/>
                <w:szCs w:val="24"/>
                <w:lang w:val="en-AU" w:eastAsia="en-AU"/>
              </w:rPr>
            </w:pPr>
            <w:r w:rsidRPr="007E4587">
              <w:rPr>
                <w:lang w:val="en-AU" w:eastAsia="en-AU"/>
              </w:rPr>
              <w:t>the principles of ecologically sustainable development mentioned in subsection (5);</w:t>
            </w:r>
          </w:p>
          <w:p w:rsidR="00255761" w:rsidRPr="007E4587" w:rsidRDefault="00255761" w:rsidP="007E4587">
            <w:pPr>
              <w:pStyle w:val="LetteredList"/>
              <w:keepNext/>
              <w:numPr>
                <w:ilvl w:val="0"/>
                <w:numId w:val="60"/>
              </w:numPr>
              <w:rPr>
                <w:b/>
                <w:szCs w:val="24"/>
                <w:lang w:val="en-AU" w:eastAsia="en-AU"/>
              </w:rPr>
            </w:pPr>
            <w:r w:rsidRPr="007E4587">
              <w:rPr>
                <w:lang w:val="en-AU" w:eastAsia="en-AU"/>
              </w:rPr>
              <w:t>the social impacts of the decision; and</w:t>
            </w:r>
          </w:p>
          <w:p w:rsidR="00255761" w:rsidRPr="007E4587" w:rsidRDefault="00255761" w:rsidP="007E4587">
            <w:pPr>
              <w:pStyle w:val="LetteredList"/>
              <w:keepNext/>
              <w:numPr>
                <w:ilvl w:val="0"/>
                <w:numId w:val="60"/>
              </w:numPr>
              <w:rPr>
                <w:b/>
                <w:szCs w:val="24"/>
                <w:lang w:val="en-AU" w:eastAsia="en-AU"/>
              </w:rPr>
            </w:pPr>
            <w:r w:rsidRPr="007E4587">
              <w:rPr>
                <w:lang w:val="en-AU" w:eastAsia="en-AU"/>
              </w:rPr>
              <w:t>considerations of demand management and least cost planning; and</w:t>
            </w:r>
          </w:p>
          <w:p w:rsidR="00255761" w:rsidRPr="007E4587" w:rsidRDefault="00255761" w:rsidP="007E4587">
            <w:pPr>
              <w:pStyle w:val="LetteredList"/>
              <w:keepNext/>
              <w:numPr>
                <w:ilvl w:val="0"/>
                <w:numId w:val="60"/>
              </w:numPr>
              <w:rPr>
                <w:b/>
                <w:szCs w:val="24"/>
                <w:lang w:val="en-AU" w:eastAsia="en-AU"/>
              </w:rPr>
            </w:pPr>
            <w:r w:rsidRPr="007E4587">
              <w:rPr>
                <w:lang w:val="en-AU" w:eastAsia="en-AU"/>
              </w:rPr>
              <w:t>the borrowing, capital and cash flow requirements of people providing regulated services and the need to renew or increase relevant assets in the regulated industry; and</w:t>
            </w:r>
          </w:p>
          <w:p w:rsidR="00255761" w:rsidRPr="007E4587" w:rsidRDefault="00255761" w:rsidP="007E4587">
            <w:pPr>
              <w:pStyle w:val="LetteredList"/>
              <w:keepNext/>
              <w:numPr>
                <w:ilvl w:val="0"/>
                <w:numId w:val="60"/>
              </w:numPr>
              <w:rPr>
                <w:b/>
                <w:szCs w:val="24"/>
              </w:rPr>
            </w:pPr>
            <w:r w:rsidRPr="007E4587">
              <w:rPr>
                <w:lang w:val="en-AU" w:eastAsia="en-AU"/>
              </w:rPr>
              <w:t>the effect on general price inflation over the medium term; and</w:t>
            </w:r>
          </w:p>
          <w:p w:rsidR="00255761" w:rsidRPr="007E4587" w:rsidRDefault="00255761" w:rsidP="007E4587">
            <w:pPr>
              <w:pStyle w:val="LetteredList"/>
              <w:keepNext/>
              <w:numPr>
                <w:ilvl w:val="0"/>
                <w:numId w:val="60"/>
              </w:numPr>
              <w:spacing w:after="240"/>
              <w:rPr>
                <w:b/>
                <w:szCs w:val="24"/>
              </w:rPr>
            </w:pPr>
            <w:r w:rsidRPr="007E4587">
              <w:rPr>
                <w:lang w:val="en-AU" w:eastAsia="en-AU"/>
              </w:rPr>
              <w:t>any arrangements that a person providing regulated services has entered into for the exercise of its functions by some other person.</w:t>
            </w:r>
            <w:r>
              <w:rPr>
                <w:rStyle w:val="FootnoteReference"/>
                <w:lang w:val="en-AU" w:eastAsia="en-AU"/>
              </w:rPr>
              <w:footnoteReference w:id="5"/>
            </w:r>
          </w:p>
          <w:p w:rsidR="00255761" w:rsidRDefault="00255761" w:rsidP="00CC29DF">
            <w:pPr>
              <w:pStyle w:val="Bullet"/>
              <w:keepNext/>
            </w:pPr>
          </w:p>
        </w:tc>
      </w:tr>
    </w:tbl>
    <w:p w:rsidR="00255761" w:rsidRDefault="00255761" w:rsidP="00590945">
      <w:pPr>
        <w:pStyle w:val="Heading4"/>
      </w:pPr>
    </w:p>
    <w:p w:rsidR="00590945" w:rsidRDefault="00590945" w:rsidP="001F7EFD">
      <w:pPr>
        <w:pStyle w:val="Heading3"/>
      </w:pPr>
      <w:r>
        <w:t>Recent amendments</w:t>
      </w:r>
      <w:r w:rsidR="00027B74">
        <w:t xml:space="preserve"> </w:t>
      </w:r>
    </w:p>
    <w:p w:rsidR="00590945" w:rsidRDefault="00590945" w:rsidP="00590945">
      <w:r>
        <w:t>A number of recent amendments to the ICRC Act, effective from 1 July 2016, are relevant to this investigation, as follows</w:t>
      </w:r>
      <w:r w:rsidR="00CC29DF">
        <w:t>.</w:t>
      </w:r>
    </w:p>
    <w:p w:rsidR="00590945" w:rsidRDefault="00590945" w:rsidP="00BB4E16">
      <w:pPr>
        <w:pStyle w:val="ListNumber"/>
      </w:pPr>
      <w:r>
        <w:t xml:space="preserve">The ICRC Act now includes an overarching efficiency objective specific to the making of a price direction. Section 19L in Part 4 states: </w:t>
      </w:r>
    </w:p>
    <w:p w:rsidR="00590945" w:rsidRPr="004E47D8" w:rsidRDefault="00590945" w:rsidP="00033F1E">
      <w:pPr>
        <w:pStyle w:val="ListNumber"/>
        <w:numPr>
          <w:ilvl w:val="0"/>
          <w:numId w:val="0"/>
        </w:numPr>
        <w:ind w:left="360"/>
      </w:pPr>
      <w:r>
        <w:t>The objective of the commission, when making a price direction in a regulated industry, is to promote the efficient investment in, and efficient operation and use of regulated services for the long term interests of consumers in relation to the price, quality, safety, reliability and security of the service.</w:t>
      </w:r>
    </w:p>
    <w:p w:rsidR="00590945" w:rsidRDefault="00115106" w:rsidP="00BB4E16">
      <w:pPr>
        <w:pStyle w:val="ListNumber"/>
      </w:pPr>
      <w:r>
        <w:t xml:space="preserve">Section 17(4)(a) </w:t>
      </w:r>
      <w:r w:rsidR="00590945">
        <w:t xml:space="preserve">requires the Commission, within 1 month after receiving the industry reference, to give each relevant person for the investigation written notice of the information it requires from the person in relation to the investigation, and </w:t>
      </w:r>
      <w:r w:rsidR="00590945">
        <w:lastRenderedPageBreak/>
        <w:t>the date, decided after consultation with the person, when the person must give the Commission the information</w:t>
      </w:r>
      <w:r w:rsidR="00D16542">
        <w:t xml:space="preserve">. </w:t>
      </w:r>
    </w:p>
    <w:p w:rsidR="00590945" w:rsidRDefault="00590945" w:rsidP="00BB4E16">
      <w:pPr>
        <w:pStyle w:val="ListNumber"/>
        <w:numPr>
          <w:ilvl w:val="0"/>
          <w:numId w:val="0"/>
        </w:numPr>
        <w:ind w:left="360"/>
      </w:pPr>
      <w:r>
        <w:t>In accordance with this new requirement, on 21 July 2016</w:t>
      </w:r>
      <w:r w:rsidR="00AC550A">
        <w:t>,</w:t>
      </w:r>
      <w:r>
        <w:t xml:space="preserve"> the Commission sent ActewAGL Retail an information request requiring the provision of the following:</w:t>
      </w:r>
    </w:p>
    <w:p w:rsidR="000F7CB0" w:rsidRDefault="000F7CB0" w:rsidP="000F7CB0">
      <w:pPr>
        <w:pStyle w:val="LetteredList"/>
        <w:numPr>
          <w:ilvl w:val="0"/>
          <w:numId w:val="59"/>
        </w:numPr>
      </w:pPr>
      <w:r>
        <w:t xml:space="preserve">estimated Energy Efficiency Improvement </w:t>
      </w:r>
      <w:r w:rsidRPr="000F7CB0">
        <w:t>Scheme</w:t>
      </w:r>
      <w:r>
        <w:t xml:space="preserve"> (EEIS) costs for 2017</w:t>
      </w:r>
      <w:r>
        <w:sym w:font="Symbol" w:char="F02D"/>
      </w:r>
      <w:r>
        <w:t>18 by 23 January 2017, and updated EEIS costs by 8 May 2017;</w:t>
      </w:r>
    </w:p>
    <w:p w:rsidR="00590945" w:rsidRDefault="00590945" w:rsidP="000F7CB0">
      <w:pPr>
        <w:pStyle w:val="LetteredList"/>
        <w:numPr>
          <w:ilvl w:val="0"/>
          <w:numId w:val="59"/>
        </w:numPr>
      </w:pPr>
      <w:r>
        <w:t>the network cost allowance for the regulated load for 2017</w:t>
      </w:r>
      <w:r>
        <w:sym w:font="Symbol" w:char="F02D"/>
      </w:r>
      <w:r>
        <w:t xml:space="preserve">18, following the approval of ActewAGL Distribution’s network charges by the </w:t>
      </w:r>
      <w:r w:rsidR="00960919">
        <w:t>Australian Energy Regulator (</w:t>
      </w:r>
      <w:r>
        <w:t>AER</w:t>
      </w:r>
      <w:r w:rsidR="00960919">
        <w:t>)</w:t>
      </w:r>
      <w:r>
        <w:t>; and</w:t>
      </w:r>
    </w:p>
    <w:p w:rsidR="00590945" w:rsidRDefault="00590945" w:rsidP="00590945">
      <w:pPr>
        <w:pStyle w:val="LetteredList"/>
        <w:spacing w:after="240"/>
        <w:ind w:left="681" w:hanging="397"/>
      </w:pPr>
      <w:r>
        <w:t>regulated tariff customer numbers and electricity usage for the year to 31 March 2017 by 8 May 2017.</w:t>
      </w:r>
    </w:p>
    <w:p w:rsidR="00590945" w:rsidRPr="004E47D8" w:rsidRDefault="00590945" w:rsidP="00BB4E16">
      <w:pPr>
        <w:pStyle w:val="ListNumber"/>
      </w:pPr>
      <w:r>
        <w:t>Section 18(5</w:t>
      </w:r>
      <w:r w:rsidR="00BF22BA">
        <w:t>)(</w:t>
      </w:r>
      <w:r>
        <w:t xml:space="preserve">b) has also been amended to require the Commission, in the draft (as well as in the final) report, to produce a statement outlining the extent to which </w:t>
      </w:r>
      <w:r w:rsidR="008E7CEF">
        <w:t xml:space="preserve">it </w:t>
      </w:r>
      <w:r>
        <w:t xml:space="preserve">has had regard to the key matters listed in </w:t>
      </w:r>
      <w:r w:rsidR="00532C3F">
        <w:t>s</w:t>
      </w:r>
      <w:r>
        <w:t>ection 20(2).</w:t>
      </w:r>
    </w:p>
    <w:p w:rsidR="00AE2910" w:rsidRDefault="001B1FAF" w:rsidP="005D0466">
      <w:pPr>
        <w:pStyle w:val="Heading2"/>
      </w:pPr>
      <w:bookmarkStart w:id="39" w:name="_Toc462988109"/>
      <w:bookmarkStart w:id="40" w:name="_Toc463000655"/>
      <w:bookmarkStart w:id="41" w:name="_Toc463001657"/>
      <w:bookmarkStart w:id="42" w:name="_Toc463001725"/>
      <w:bookmarkStart w:id="43" w:name="_Toc463001755"/>
      <w:bookmarkStart w:id="44" w:name="_Toc463001845"/>
      <w:bookmarkStart w:id="45" w:name="_Toc463001923"/>
      <w:bookmarkStart w:id="46" w:name="_Toc463007410"/>
      <w:bookmarkStart w:id="47" w:name="What_happens_next"/>
      <w:bookmarkStart w:id="48" w:name="_Toc368572035"/>
      <w:bookmarkStart w:id="49" w:name="_Toc464735359"/>
      <w:bookmarkEnd w:id="39"/>
      <w:bookmarkEnd w:id="40"/>
      <w:bookmarkEnd w:id="41"/>
      <w:bookmarkEnd w:id="42"/>
      <w:bookmarkEnd w:id="43"/>
      <w:bookmarkEnd w:id="44"/>
      <w:bookmarkEnd w:id="45"/>
      <w:bookmarkEnd w:id="46"/>
      <w:bookmarkEnd w:id="47"/>
      <w:r>
        <w:lastRenderedPageBreak/>
        <w:t>Scope of the terms of reference</w:t>
      </w:r>
      <w:bookmarkEnd w:id="48"/>
      <w:bookmarkEnd w:id="49"/>
    </w:p>
    <w:p w:rsidR="00724AAF" w:rsidRDefault="00D65E6B" w:rsidP="005506DA">
      <w:pPr>
        <w:keepNext/>
      </w:pPr>
      <w:r>
        <w:t>T</w:t>
      </w:r>
      <w:r w:rsidR="00724AAF">
        <w:t>he terms of reference require the Commission to consider the following matters in this investigation</w:t>
      </w:r>
      <w:r w:rsidR="00DF2628">
        <w:t xml:space="preserve"> (</w:t>
      </w:r>
      <w:r w:rsidR="00E2593B">
        <w:fldChar w:fldCharType="begin"/>
      </w:r>
      <w:r w:rsidR="00577102">
        <w:instrText xml:space="preserve"> REF _Ref462998582 \h </w:instrText>
      </w:r>
      <w:r w:rsidR="00E2593B">
        <w:fldChar w:fldCharType="separate"/>
      </w:r>
      <w:r w:rsidR="004325DB">
        <w:t xml:space="preserve">Box </w:t>
      </w:r>
      <w:r w:rsidR="004325DB">
        <w:rPr>
          <w:noProof/>
        </w:rPr>
        <w:t>1</w:t>
      </w:r>
      <w:r w:rsidR="004325DB">
        <w:t>.</w:t>
      </w:r>
      <w:r w:rsidR="004325DB">
        <w:rPr>
          <w:noProof/>
        </w:rPr>
        <w:t>3</w:t>
      </w:r>
      <w:r w:rsidR="00E2593B">
        <w:fldChar w:fldCharType="end"/>
      </w:r>
      <w:r w:rsidR="00577102">
        <w:t>).</w:t>
      </w:r>
    </w:p>
    <w:p w:rsidR="00DF2628" w:rsidRDefault="00DF2628" w:rsidP="005506DA">
      <w:pPr>
        <w:pStyle w:val="FigureName"/>
        <w:keepNext/>
      </w:pPr>
      <w:bookmarkStart w:id="50" w:name="_Ref462998582"/>
      <w:bookmarkStart w:id="51" w:name="_Toc464735396"/>
      <w:r>
        <w:t xml:space="preserve">Box </w:t>
      </w:r>
      <w:r w:rsidR="00E2593B">
        <w:fldChar w:fldCharType="begin"/>
      </w:r>
      <w:r>
        <w:instrText xml:space="preserve"> STYLEREF 1 \s </w:instrText>
      </w:r>
      <w:r w:rsidR="00E2593B">
        <w:fldChar w:fldCharType="separate"/>
      </w:r>
      <w:r w:rsidR="004325DB">
        <w:rPr>
          <w:noProof/>
        </w:rPr>
        <w:t>1</w:t>
      </w:r>
      <w:r w:rsidR="00E2593B">
        <w:fldChar w:fldCharType="end"/>
      </w:r>
      <w:r>
        <w:t>.</w:t>
      </w:r>
      <w:r w:rsidR="00E2593B">
        <w:fldChar w:fldCharType="begin"/>
      </w:r>
      <w:r>
        <w:instrText xml:space="preserve"> SEQ Box \* ARABIC \s 1 </w:instrText>
      </w:r>
      <w:r w:rsidR="00E2593B">
        <w:fldChar w:fldCharType="separate"/>
      </w:r>
      <w:r w:rsidR="004325DB">
        <w:rPr>
          <w:noProof/>
        </w:rPr>
        <w:t>3</w:t>
      </w:r>
      <w:r w:rsidR="00E2593B">
        <w:fldChar w:fldCharType="end"/>
      </w:r>
      <w:bookmarkEnd w:id="50"/>
      <w:r>
        <w:tab/>
        <w:t>Scope of the terms of reference</w:t>
      </w:r>
      <w:bookmarkEnd w:id="51"/>
      <w:r>
        <w:t xml:space="preserve"> </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tblPr>
      <w:tblGrid>
        <w:gridCol w:w="7701"/>
      </w:tblGrid>
      <w:tr w:rsidR="008B4490" w:rsidTr="00D62095">
        <w:trPr>
          <w:cantSplit/>
          <w:trHeight w:val="3773"/>
        </w:trPr>
        <w:tc>
          <w:tcPr>
            <w:tcW w:w="7701" w:type="dxa"/>
            <w:shd w:val="clear" w:color="auto" w:fill="DBE5F1"/>
          </w:tcPr>
          <w:p w:rsidR="008B4490" w:rsidRDefault="008B4490" w:rsidP="00385B0F">
            <w:pPr>
              <w:pStyle w:val="ListNumber"/>
              <w:keepNext/>
              <w:numPr>
                <w:ilvl w:val="0"/>
                <w:numId w:val="55"/>
              </w:numPr>
            </w:pPr>
            <w:r>
              <w:t>The Commission must consider:</w:t>
            </w:r>
          </w:p>
          <w:p w:rsidR="008B4490" w:rsidRDefault="008B4490" w:rsidP="00385B0F">
            <w:pPr>
              <w:pStyle w:val="LetteredList"/>
              <w:numPr>
                <w:ilvl w:val="0"/>
                <w:numId w:val="56"/>
              </w:numPr>
            </w:pPr>
            <w:r>
              <w:t>The direct impact on electricity costs of government policies and pass through of costs and savings to regulated prices including, but not restricted to:</w:t>
            </w:r>
          </w:p>
          <w:p w:rsidR="007E4587" w:rsidRDefault="007E4587" w:rsidP="007E4587">
            <w:pPr>
              <w:pStyle w:val="Bullet"/>
              <w:keepNext/>
              <w:numPr>
                <w:ilvl w:val="1"/>
                <w:numId w:val="57"/>
              </w:numPr>
              <w:ind w:left="1474" w:hanging="397"/>
            </w:pPr>
            <w:r>
              <w:t>the ACT retailer obligations under the Energy Efficiency Improvement Scheme (EEIS);</w:t>
            </w:r>
          </w:p>
          <w:p w:rsidR="007E4587" w:rsidRDefault="007E4587" w:rsidP="007E4587">
            <w:pPr>
              <w:pStyle w:val="Bullet"/>
              <w:keepNext/>
              <w:numPr>
                <w:ilvl w:val="1"/>
                <w:numId w:val="1"/>
              </w:numPr>
              <w:ind w:left="1474" w:hanging="397"/>
            </w:pPr>
            <w:r>
              <w:t>the Commonwealth Government’s Large-scale Renewable Energy Target (LRET) and Small-scale Renewable Energy Scheme (SRES); and</w:t>
            </w:r>
          </w:p>
          <w:p w:rsidR="007E4587" w:rsidRDefault="007E4587" w:rsidP="007E4587">
            <w:pPr>
              <w:pStyle w:val="Bullet"/>
              <w:keepNext/>
              <w:numPr>
                <w:ilvl w:val="1"/>
                <w:numId w:val="1"/>
              </w:numPr>
              <w:ind w:left="1474" w:hanging="397"/>
            </w:pPr>
            <w:r>
              <w:t>any other schemes implemented to address climate change relevant to electricity pricing.</w:t>
            </w:r>
          </w:p>
          <w:p w:rsidR="007E4587" w:rsidRDefault="007E4587" w:rsidP="00385B0F">
            <w:pPr>
              <w:pStyle w:val="LetteredList"/>
              <w:numPr>
                <w:ilvl w:val="0"/>
                <w:numId w:val="56"/>
              </w:numPr>
            </w:pPr>
            <w:r>
              <w:t>The efficient and prudent cost of managing risk in the cost of purchasing electricity for the period of the price direction</w:t>
            </w:r>
          </w:p>
          <w:p w:rsidR="008B4490" w:rsidRDefault="008B4490" w:rsidP="005506DA">
            <w:pPr>
              <w:pStyle w:val="ListNumber"/>
              <w:keepNext/>
            </w:pPr>
            <w:r>
              <w:t xml:space="preserve">The Commission must identify and report on the efficient costs of complying with the </w:t>
            </w:r>
            <w:r w:rsidRPr="002207B9">
              <w:rPr>
                <w:i/>
              </w:rPr>
              <w:t>Energy Efficiency (Cost of Living) improvement A</w:t>
            </w:r>
            <w:r>
              <w:rPr>
                <w:i/>
              </w:rPr>
              <w:t>ct</w:t>
            </w:r>
            <w:r w:rsidRPr="002207B9">
              <w:rPr>
                <w:i/>
              </w:rPr>
              <w:t xml:space="preserve"> 2012</w:t>
            </w:r>
            <w:r>
              <w:t xml:space="preserve"> for the period that the determination is being made. </w:t>
            </w:r>
          </w:p>
          <w:p w:rsidR="008B4490" w:rsidRDefault="008B4490" w:rsidP="005506DA">
            <w:pPr>
              <w:pStyle w:val="ListNumber"/>
              <w:keepNext/>
            </w:pPr>
            <w:r>
              <w:t>The Commission must identify and report on the cost allowance of the ACT Feed-in Tariffs (small and large scale) for the period that the determination is being made.</w:t>
            </w:r>
          </w:p>
          <w:p w:rsidR="008B4490" w:rsidRDefault="008B4490" w:rsidP="005506DA">
            <w:pPr>
              <w:pStyle w:val="ListNumber"/>
              <w:keepNext/>
            </w:pPr>
            <w:r>
              <w:t>The Commission must release its final report within the period of 1 January 2017 to 7 June 2017, to provide sufficient time to allow ActewAGL Retail to make any necessary changes to its billing system and to provide information on the new tariff to customers for implementation from 1 July 2017.</w:t>
            </w:r>
          </w:p>
          <w:p w:rsidR="008B4490" w:rsidRDefault="008B4490" w:rsidP="005506DA">
            <w:pPr>
              <w:pStyle w:val="Bullet"/>
              <w:keepNext/>
            </w:pPr>
          </w:p>
        </w:tc>
      </w:tr>
    </w:tbl>
    <w:p w:rsidR="007B1397" w:rsidRDefault="00515D4F" w:rsidP="005D0466">
      <w:pPr>
        <w:pStyle w:val="Heading2"/>
      </w:pPr>
      <w:bookmarkStart w:id="52" w:name="_Toc464735360"/>
      <w:bookmarkEnd w:id="28"/>
      <w:bookmarkEnd w:id="29"/>
      <w:r>
        <w:t>Structure of the issues paper</w:t>
      </w:r>
      <w:bookmarkEnd w:id="52"/>
    </w:p>
    <w:p w:rsidR="00724AAF" w:rsidRPr="00724AAF" w:rsidRDefault="00724AAF" w:rsidP="00724AAF">
      <w:r w:rsidRPr="00724AAF">
        <w:t>The remainder of this paper is</w:t>
      </w:r>
      <w:r w:rsidR="00F45DAA">
        <w:t xml:space="preserve"> </w:t>
      </w:r>
      <w:r w:rsidRPr="00724AAF">
        <w:t>structured as follows:</w:t>
      </w:r>
    </w:p>
    <w:p w:rsidR="007949DC" w:rsidRDefault="00730D6D" w:rsidP="007949DC">
      <w:pPr>
        <w:pStyle w:val="Bullet"/>
        <w:rPr>
          <w:rFonts w:eastAsiaTheme="minorEastAsia"/>
          <w:szCs w:val="22"/>
          <w:lang w:val="en-AU" w:eastAsia="en-AU"/>
        </w:rPr>
      </w:pPr>
      <w:r>
        <w:rPr>
          <w:rFonts w:eastAsiaTheme="minorEastAsia"/>
          <w:szCs w:val="22"/>
          <w:lang w:val="en-AU" w:eastAsia="en-AU"/>
        </w:rPr>
        <w:t xml:space="preserve">Chapter </w:t>
      </w:r>
      <w:r w:rsidR="00E2593B">
        <w:rPr>
          <w:rFonts w:eastAsiaTheme="minorEastAsia"/>
          <w:szCs w:val="22"/>
          <w:lang w:val="en-AU" w:eastAsia="en-AU"/>
        </w:rPr>
        <w:fldChar w:fldCharType="begin"/>
      </w:r>
      <w:r>
        <w:rPr>
          <w:rFonts w:eastAsiaTheme="minorEastAsia"/>
          <w:szCs w:val="22"/>
          <w:lang w:val="en-AU" w:eastAsia="en-AU"/>
        </w:rPr>
        <w:instrText xml:space="preserve"> REF _Ref459274372 \r \h </w:instrText>
      </w:r>
      <w:r w:rsidR="00E2593B">
        <w:rPr>
          <w:rFonts w:eastAsiaTheme="minorEastAsia"/>
          <w:szCs w:val="22"/>
          <w:lang w:val="en-AU" w:eastAsia="en-AU"/>
        </w:rPr>
      </w:r>
      <w:r w:rsidR="00E2593B">
        <w:rPr>
          <w:rFonts w:eastAsiaTheme="minorEastAsia"/>
          <w:szCs w:val="22"/>
          <w:lang w:val="en-AU" w:eastAsia="en-AU"/>
        </w:rPr>
        <w:fldChar w:fldCharType="separate"/>
      </w:r>
      <w:r w:rsidR="004325DB">
        <w:rPr>
          <w:rFonts w:eastAsiaTheme="minorEastAsia"/>
          <w:szCs w:val="22"/>
          <w:lang w:val="en-AU" w:eastAsia="en-AU"/>
        </w:rPr>
        <w:t>2</w:t>
      </w:r>
      <w:r w:rsidR="00E2593B">
        <w:rPr>
          <w:rFonts w:eastAsiaTheme="minorEastAsia"/>
          <w:szCs w:val="22"/>
          <w:lang w:val="en-AU" w:eastAsia="en-AU"/>
        </w:rPr>
        <w:fldChar w:fldCharType="end"/>
      </w:r>
      <w:r w:rsidR="007949DC">
        <w:rPr>
          <w:rFonts w:eastAsiaTheme="minorEastAsia"/>
          <w:szCs w:val="22"/>
          <w:lang w:val="en-AU" w:eastAsia="en-AU"/>
        </w:rPr>
        <w:t xml:space="preserve"> </w:t>
      </w:r>
      <w:r w:rsidR="00CC29DF">
        <w:rPr>
          <w:szCs w:val="22"/>
          <w:lang w:val="en-AU" w:eastAsia="en-AU"/>
        </w:rPr>
        <w:t xml:space="preserve">briefly </w:t>
      </w:r>
      <w:r w:rsidR="00CC29DF" w:rsidRPr="00CA64D3">
        <w:rPr>
          <w:webHidden/>
          <w:szCs w:val="22"/>
        </w:rPr>
        <w:t>sets out the Commission’s current regulatory approach and pricing methodology</w:t>
      </w:r>
      <w:r w:rsidR="00CC29DF">
        <w:rPr>
          <w:webHidden/>
          <w:szCs w:val="22"/>
        </w:rPr>
        <w:t>, and discusses specific issues relevant to the next regulatory period</w:t>
      </w:r>
      <w:r w:rsidR="00CC29DF">
        <w:rPr>
          <w:rFonts w:eastAsiaTheme="minorEastAsia"/>
          <w:szCs w:val="22"/>
          <w:lang w:val="en-AU" w:eastAsia="en-AU"/>
        </w:rPr>
        <w:t>.</w:t>
      </w:r>
    </w:p>
    <w:p w:rsidR="007949DC" w:rsidRDefault="007949DC" w:rsidP="00A23909">
      <w:pPr>
        <w:pStyle w:val="Bullet"/>
        <w:rPr>
          <w:lang w:val="en-AU" w:eastAsia="en-AU"/>
        </w:rPr>
      </w:pPr>
      <w:r w:rsidRPr="00CC29DF">
        <w:rPr>
          <w:szCs w:val="22"/>
          <w:lang w:val="en-AU" w:eastAsia="en-AU"/>
        </w:rPr>
        <w:t xml:space="preserve">Chapter </w:t>
      </w:r>
      <w:r w:rsidR="00E2593B">
        <w:rPr>
          <w:szCs w:val="22"/>
          <w:lang w:val="en-AU" w:eastAsia="en-AU"/>
        </w:rPr>
        <w:fldChar w:fldCharType="begin"/>
      </w:r>
      <w:r w:rsidR="00005150">
        <w:rPr>
          <w:szCs w:val="22"/>
          <w:lang w:val="en-AU" w:eastAsia="en-AU"/>
        </w:rPr>
        <w:instrText xml:space="preserve"> REF _Ref463352377 \r \h </w:instrText>
      </w:r>
      <w:r w:rsidR="00E2593B">
        <w:rPr>
          <w:szCs w:val="22"/>
          <w:lang w:val="en-AU" w:eastAsia="en-AU"/>
        </w:rPr>
      </w:r>
      <w:r w:rsidR="00E2593B">
        <w:rPr>
          <w:szCs w:val="22"/>
          <w:lang w:val="en-AU" w:eastAsia="en-AU"/>
        </w:rPr>
        <w:fldChar w:fldCharType="separate"/>
      </w:r>
      <w:r w:rsidR="004325DB">
        <w:rPr>
          <w:szCs w:val="22"/>
          <w:lang w:val="en-AU" w:eastAsia="en-AU"/>
        </w:rPr>
        <w:t>3</w:t>
      </w:r>
      <w:r w:rsidR="00E2593B">
        <w:rPr>
          <w:szCs w:val="22"/>
          <w:lang w:val="en-AU" w:eastAsia="en-AU"/>
        </w:rPr>
        <w:fldChar w:fldCharType="end"/>
      </w:r>
      <w:r w:rsidRPr="00F017F9">
        <w:rPr>
          <w:szCs w:val="22"/>
          <w:lang w:val="en-AU" w:eastAsia="en-AU"/>
        </w:rPr>
        <w:t xml:space="preserve"> </w:t>
      </w:r>
      <w:r w:rsidR="00CC29DF" w:rsidRPr="00F017F9">
        <w:rPr>
          <w:rFonts w:eastAsiaTheme="minorEastAsia"/>
          <w:szCs w:val="22"/>
          <w:lang w:val="en-AU" w:eastAsia="en-AU"/>
        </w:rPr>
        <w:t xml:space="preserve">discusses </w:t>
      </w:r>
      <w:r w:rsidR="00CC29DF">
        <w:t>recent developments in the electricity market and regulatory issues that may be relevant to this investigation.</w:t>
      </w:r>
      <w:r w:rsidR="00AC550A">
        <w:t xml:space="preserve"> </w:t>
      </w:r>
    </w:p>
    <w:p w:rsidR="009B5C82" w:rsidRDefault="009B5C82" w:rsidP="00A23909">
      <w:pPr>
        <w:pStyle w:val="Bullet"/>
        <w:rPr>
          <w:lang w:val="en-AU" w:eastAsia="en-AU"/>
        </w:rPr>
      </w:pPr>
      <w:r>
        <w:rPr>
          <w:lang w:val="en-AU" w:eastAsia="en-AU"/>
        </w:rPr>
        <w:lastRenderedPageBreak/>
        <w:t xml:space="preserve">Chapter </w:t>
      </w:r>
      <w:r w:rsidR="00E2593B">
        <w:rPr>
          <w:lang w:val="en-AU" w:eastAsia="en-AU"/>
        </w:rPr>
        <w:fldChar w:fldCharType="begin"/>
      </w:r>
      <w:r w:rsidR="00BF22BA">
        <w:rPr>
          <w:lang w:val="en-AU" w:eastAsia="en-AU"/>
        </w:rPr>
        <w:instrText xml:space="preserve"> REF _Ref463352870 \r \h </w:instrText>
      </w:r>
      <w:r w:rsidR="00E2593B">
        <w:rPr>
          <w:lang w:val="en-AU" w:eastAsia="en-AU"/>
        </w:rPr>
      </w:r>
      <w:r w:rsidR="00E2593B">
        <w:rPr>
          <w:lang w:val="en-AU" w:eastAsia="en-AU"/>
        </w:rPr>
        <w:fldChar w:fldCharType="separate"/>
      </w:r>
      <w:r w:rsidR="004325DB">
        <w:rPr>
          <w:lang w:val="en-AU" w:eastAsia="en-AU"/>
        </w:rPr>
        <w:t>4</w:t>
      </w:r>
      <w:r w:rsidR="00E2593B">
        <w:rPr>
          <w:lang w:val="en-AU" w:eastAsia="en-AU"/>
        </w:rPr>
        <w:fldChar w:fldCharType="end"/>
      </w:r>
      <w:r>
        <w:rPr>
          <w:lang w:val="en-AU" w:eastAsia="en-AU"/>
        </w:rPr>
        <w:t xml:space="preserve"> summarises the issues raised in this paper.</w:t>
      </w:r>
    </w:p>
    <w:p w:rsidR="002D4E91" w:rsidRPr="002D5777" w:rsidRDefault="002D4E91" w:rsidP="00A23909">
      <w:pPr>
        <w:pStyle w:val="Bullet"/>
        <w:rPr>
          <w:lang w:val="en-AU" w:eastAsia="en-AU"/>
        </w:rPr>
      </w:pPr>
      <w:r>
        <w:rPr>
          <w:lang w:val="en-AU" w:eastAsia="en-AU"/>
        </w:rPr>
        <w:t xml:space="preserve">Chapter </w:t>
      </w:r>
      <w:r w:rsidR="00E2593B">
        <w:rPr>
          <w:lang w:val="en-AU" w:eastAsia="en-AU"/>
        </w:rPr>
        <w:fldChar w:fldCharType="begin"/>
      </w:r>
      <w:r w:rsidR="00BF22BA">
        <w:rPr>
          <w:lang w:val="en-AU" w:eastAsia="en-AU"/>
        </w:rPr>
        <w:instrText xml:space="preserve"> REF _Ref463352887 \r \h </w:instrText>
      </w:r>
      <w:r w:rsidR="00E2593B">
        <w:rPr>
          <w:lang w:val="en-AU" w:eastAsia="en-AU"/>
        </w:rPr>
      </w:r>
      <w:r w:rsidR="00E2593B">
        <w:rPr>
          <w:lang w:val="en-AU" w:eastAsia="en-AU"/>
        </w:rPr>
        <w:fldChar w:fldCharType="separate"/>
      </w:r>
      <w:r w:rsidR="004325DB">
        <w:rPr>
          <w:lang w:val="en-AU" w:eastAsia="en-AU"/>
        </w:rPr>
        <w:t>5</w:t>
      </w:r>
      <w:r w:rsidR="00E2593B">
        <w:rPr>
          <w:lang w:val="en-AU" w:eastAsia="en-AU"/>
        </w:rPr>
        <w:fldChar w:fldCharType="end"/>
      </w:r>
      <w:r>
        <w:rPr>
          <w:lang w:val="en-AU" w:eastAsia="en-AU"/>
        </w:rPr>
        <w:t xml:space="preserve"> outlines the next steps </w:t>
      </w:r>
      <w:r w:rsidR="00BA5A28">
        <w:rPr>
          <w:lang w:val="en-AU" w:eastAsia="en-AU"/>
        </w:rPr>
        <w:t xml:space="preserve">in the investigation process. </w:t>
      </w:r>
    </w:p>
    <w:p w:rsidR="007949DC" w:rsidRPr="00062E84" w:rsidRDefault="00E2593B" w:rsidP="006368B5">
      <w:pPr>
        <w:rPr>
          <w:lang w:val="en-AU" w:eastAsia="en-AU"/>
        </w:rPr>
      </w:pPr>
      <w:fldSimple w:instr=" REF _Ref459711230 \r \h  \* MERGEFORMAT ">
        <w:r w:rsidR="004325DB">
          <w:t>Appendix 1</w:t>
        </w:r>
      </w:fldSimple>
      <w:r w:rsidR="00BA752F">
        <w:t xml:space="preserve"> </w:t>
      </w:r>
      <w:r w:rsidR="007949DC" w:rsidRPr="00AE2809">
        <w:t>reproduces the terms of reference</w:t>
      </w:r>
      <w:r w:rsidR="007949DC">
        <w:t>.</w:t>
      </w:r>
    </w:p>
    <w:p w:rsidR="00515D4F" w:rsidRDefault="00515D4F" w:rsidP="005D0466">
      <w:pPr>
        <w:pStyle w:val="Heading2"/>
      </w:pPr>
      <w:bookmarkStart w:id="53" w:name="_Toc464735361"/>
      <w:r>
        <w:t>Investigation timeline</w:t>
      </w:r>
      <w:bookmarkEnd w:id="53"/>
    </w:p>
    <w:p w:rsidR="00724AAF" w:rsidRDefault="00724AAF" w:rsidP="00724AAF">
      <w:pPr>
        <w:spacing w:line="360" w:lineRule="auto"/>
        <w:rPr>
          <w:webHidden/>
        </w:rPr>
      </w:pPr>
      <w:r>
        <w:rPr>
          <w:webHidden/>
        </w:rPr>
        <w:t xml:space="preserve">The Commission proposes to adopt the timeline set out in </w:t>
      </w:r>
      <w:r w:rsidR="00E2593B">
        <w:rPr>
          <w:webHidden/>
        </w:rPr>
        <w:fldChar w:fldCharType="begin"/>
      </w:r>
      <w:r w:rsidR="00730D6D">
        <w:rPr>
          <w:webHidden/>
        </w:rPr>
        <w:instrText xml:space="preserve"> REF _Ref459274452 \h </w:instrText>
      </w:r>
      <w:r w:rsidR="00E2593B">
        <w:rPr>
          <w:webHidden/>
        </w:rPr>
      </w:r>
      <w:r w:rsidR="00E2593B">
        <w:rPr>
          <w:webHidden/>
        </w:rPr>
        <w:fldChar w:fldCharType="separate"/>
      </w:r>
      <w:r w:rsidR="004325DB" w:rsidRPr="00E4260E">
        <w:t xml:space="preserve">Table </w:t>
      </w:r>
      <w:r w:rsidR="004325DB">
        <w:rPr>
          <w:noProof/>
        </w:rPr>
        <w:t>1</w:t>
      </w:r>
      <w:r w:rsidR="004325DB" w:rsidRPr="00E4260E">
        <w:t>.</w:t>
      </w:r>
      <w:r w:rsidR="004325DB">
        <w:rPr>
          <w:noProof/>
        </w:rPr>
        <w:t>1</w:t>
      </w:r>
      <w:r w:rsidR="00E2593B">
        <w:rPr>
          <w:webHidden/>
        </w:rPr>
        <w:fldChar w:fldCharType="end"/>
      </w:r>
      <w:r w:rsidR="00730D6D">
        <w:rPr>
          <w:webHidden/>
        </w:rPr>
        <w:t>.</w:t>
      </w:r>
    </w:p>
    <w:p w:rsidR="00724AAF" w:rsidRPr="00E4260E" w:rsidRDefault="00724AAF" w:rsidP="007C5BF9">
      <w:pPr>
        <w:pStyle w:val="FigureName"/>
      </w:pPr>
      <w:bookmarkStart w:id="54" w:name="_Ref459274452"/>
      <w:bookmarkStart w:id="55" w:name="_Toc464735377"/>
      <w:r w:rsidRPr="00E4260E">
        <w:t xml:space="preserve">Table </w:t>
      </w:r>
      <w:r w:rsidR="00E2593B" w:rsidRPr="00E4260E">
        <w:fldChar w:fldCharType="begin"/>
      </w:r>
      <w:r w:rsidRPr="00E4260E">
        <w:instrText xml:space="preserve"> STYLEREF 1 \s </w:instrText>
      </w:r>
      <w:r w:rsidR="00E2593B" w:rsidRPr="00E4260E">
        <w:fldChar w:fldCharType="separate"/>
      </w:r>
      <w:r w:rsidR="004325DB">
        <w:rPr>
          <w:noProof/>
        </w:rPr>
        <w:t>1</w:t>
      </w:r>
      <w:r w:rsidR="00E2593B" w:rsidRPr="00E4260E">
        <w:fldChar w:fldCharType="end"/>
      </w:r>
      <w:r w:rsidRPr="00E4260E">
        <w:t>.</w:t>
      </w:r>
      <w:r w:rsidR="00E2593B" w:rsidRPr="00E4260E">
        <w:fldChar w:fldCharType="begin"/>
      </w:r>
      <w:r w:rsidRPr="00E4260E">
        <w:instrText xml:space="preserve"> SEQ Table \* ARABIC \s 1 </w:instrText>
      </w:r>
      <w:r w:rsidR="00E2593B" w:rsidRPr="00E4260E">
        <w:fldChar w:fldCharType="separate"/>
      </w:r>
      <w:r w:rsidR="004325DB">
        <w:rPr>
          <w:noProof/>
        </w:rPr>
        <w:t>1</w:t>
      </w:r>
      <w:r w:rsidR="00E2593B" w:rsidRPr="00E4260E">
        <w:fldChar w:fldCharType="end"/>
      </w:r>
      <w:bookmarkEnd w:id="54"/>
      <w:r w:rsidRPr="00E4260E">
        <w:tab/>
      </w:r>
      <w:r w:rsidR="007C5BF9">
        <w:t>Indicative timeline for the retail electricity price investigation</w:t>
      </w:r>
      <w:bookmarkEnd w:id="55"/>
    </w:p>
    <w:tbl>
      <w:tblPr>
        <w:tblW w:w="3743" w:type="pct"/>
        <w:tblBorders>
          <w:top w:val="single" w:sz="12" w:space="0" w:color="333399"/>
          <w:bottom w:val="single" w:sz="12" w:space="0" w:color="333399"/>
        </w:tblBorders>
        <w:tblCellMar>
          <w:left w:w="115" w:type="dxa"/>
          <w:right w:w="115" w:type="dxa"/>
        </w:tblCellMar>
        <w:tblLook w:val="0000"/>
      </w:tblPr>
      <w:tblGrid>
        <w:gridCol w:w="3686"/>
        <w:gridCol w:w="2259"/>
      </w:tblGrid>
      <w:tr w:rsidR="00724AAF" w:rsidRPr="00144F8C" w:rsidTr="005C03C6">
        <w:trPr>
          <w:cantSplit/>
        </w:trPr>
        <w:tc>
          <w:tcPr>
            <w:tcW w:w="3100"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724AAF" w:rsidRPr="00347ADB" w:rsidRDefault="00724AAF" w:rsidP="005C03C6">
            <w:pPr>
              <w:pStyle w:val="TableHeadingLeft"/>
            </w:pPr>
            <w:r w:rsidRPr="00901DA4">
              <w:t>Task</w:t>
            </w:r>
          </w:p>
        </w:tc>
        <w:tc>
          <w:tcPr>
            <w:tcW w:w="1900"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724AAF" w:rsidRPr="00347ADB" w:rsidRDefault="00724AAF" w:rsidP="005C03C6">
            <w:pPr>
              <w:pStyle w:val="TableHeadingLeft"/>
            </w:pPr>
            <w:r w:rsidRPr="00901DA4">
              <w:t>Date</w:t>
            </w:r>
          </w:p>
        </w:tc>
      </w:tr>
      <w:tr w:rsidR="00724AAF" w:rsidRPr="00144F8C" w:rsidTr="005C03C6">
        <w:trPr>
          <w:cantSplit/>
        </w:trPr>
        <w:tc>
          <w:tcPr>
            <w:tcW w:w="3100" w:type="pct"/>
            <w:tcBorders>
              <w:top w:val="nil"/>
              <w:left w:val="nil"/>
              <w:bottom w:val="nil"/>
              <w:right w:val="nil"/>
            </w:tcBorders>
            <w:vAlign w:val="bottom"/>
          </w:tcPr>
          <w:p w:rsidR="00724AAF" w:rsidRPr="007C5BF9" w:rsidRDefault="00724AAF" w:rsidP="005C03C6">
            <w:pPr>
              <w:pStyle w:val="TableTextLeft"/>
              <w:rPr>
                <w:rStyle w:val="Bold"/>
              </w:rPr>
            </w:pPr>
            <w:r w:rsidRPr="007C5BF9">
              <w:rPr>
                <w:rStyle w:val="Bold"/>
              </w:rPr>
              <w:t>Terms of reference signed</w:t>
            </w:r>
          </w:p>
        </w:tc>
        <w:tc>
          <w:tcPr>
            <w:tcW w:w="1900" w:type="pct"/>
            <w:tcBorders>
              <w:top w:val="nil"/>
              <w:left w:val="nil"/>
              <w:bottom w:val="nil"/>
              <w:right w:val="nil"/>
            </w:tcBorders>
            <w:vAlign w:val="bottom"/>
          </w:tcPr>
          <w:p w:rsidR="00724AAF" w:rsidRPr="007C5BF9" w:rsidRDefault="00724AAF" w:rsidP="005C03C6">
            <w:pPr>
              <w:pStyle w:val="TableTextLeft"/>
              <w:rPr>
                <w:rStyle w:val="Bold"/>
              </w:rPr>
            </w:pPr>
            <w:r w:rsidRPr="007C5BF9">
              <w:rPr>
                <w:rStyle w:val="Bold"/>
              </w:rPr>
              <w:t>22 June 2016</w:t>
            </w:r>
          </w:p>
        </w:tc>
      </w:tr>
      <w:tr w:rsidR="00724AAF" w:rsidRPr="00144F8C" w:rsidTr="005506DA">
        <w:trPr>
          <w:cantSplit/>
        </w:trPr>
        <w:tc>
          <w:tcPr>
            <w:tcW w:w="3100" w:type="pct"/>
            <w:tcBorders>
              <w:top w:val="nil"/>
              <w:left w:val="nil"/>
              <w:bottom w:val="nil"/>
              <w:right w:val="nil"/>
            </w:tcBorders>
            <w:vAlign w:val="bottom"/>
          </w:tcPr>
          <w:p w:rsidR="00724AAF" w:rsidRPr="004926E2" w:rsidRDefault="00724AAF" w:rsidP="005C03C6">
            <w:pPr>
              <w:pStyle w:val="TableTextLeft"/>
              <w:rPr>
                <w:b/>
              </w:rPr>
            </w:pPr>
            <w:r w:rsidRPr="004926E2">
              <w:rPr>
                <w:b/>
              </w:rPr>
              <w:t>Release of issues paper</w:t>
            </w:r>
          </w:p>
        </w:tc>
        <w:tc>
          <w:tcPr>
            <w:tcW w:w="1900" w:type="pct"/>
            <w:tcBorders>
              <w:top w:val="nil"/>
              <w:left w:val="nil"/>
              <w:bottom w:val="nil"/>
              <w:right w:val="nil"/>
            </w:tcBorders>
            <w:shd w:val="clear" w:color="auto" w:fill="auto"/>
            <w:vAlign w:val="bottom"/>
          </w:tcPr>
          <w:p w:rsidR="00724AAF" w:rsidRPr="005506DA" w:rsidRDefault="00DC2A85" w:rsidP="005506DA">
            <w:pPr>
              <w:pStyle w:val="TableTextLeft"/>
              <w:rPr>
                <w:b/>
              </w:rPr>
            </w:pPr>
            <w:r>
              <w:rPr>
                <w:b/>
              </w:rPr>
              <w:t>24</w:t>
            </w:r>
            <w:r w:rsidRPr="005506DA">
              <w:rPr>
                <w:b/>
              </w:rPr>
              <w:t xml:space="preserve"> </w:t>
            </w:r>
            <w:r w:rsidR="00D225CA" w:rsidRPr="005506DA">
              <w:rPr>
                <w:b/>
              </w:rPr>
              <w:t xml:space="preserve">October </w:t>
            </w:r>
            <w:r w:rsidR="00724AAF" w:rsidRPr="005506DA">
              <w:rPr>
                <w:b/>
              </w:rPr>
              <w:t xml:space="preserve"> 2016</w:t>
            </w:r>
          </w:p>
        </w:tc>
      </w:tr>
      <w:tr w:rsidR="00724AAF" w:rsidRPr="00144F8C" w:rsidTr="005506DA">
        <w:trPr>
          <w:cantSplit/>
        </w:trPr>
        <w:tc>
          <w:tcPr>
            <w:tcW w:w="3100" w:type="pct"/>
            <w:tcBorders>
              <w:top w:val="nil"/>
              <w:left w:val="nil"/>
              <w:bottom w:val="nil"/>
              <w:right w:val="nil"/>
            </w:tcBorders>
            <w:vAlign w:val="bottom"/>
          </w:tcPr>
          <w:p w:rsidR="00724AAF" w:rsidRPr="00347ADB" w:rsidRDefault="00724AAF" w:rsidP="005C03C6">
            <w:pPr>
              <w:pStyle w:val="TableTextLeft"/>
            </w:pPr>
            <w:r>
              <w:t>Submissions on issues paper close</w:t>
            </w:r>
          </w:p>
        </w:tc>
        <w:tc>
          <w:tcPr>
            <w:tcW w:w="1900" w:type="pct"/>
            <w:tcBorders>
              <w:top w:val="nil"/>
              <w:left w:val="nil"/>
              <w:bottom w:val="nil"/>
              <w:right w:val="nil"/>
            </w:tcBorders>
            <w:shd w:val="clear" w:color="auto" w:fill="FFFFFF" w:themeFill="background1"/>
            <w:vAlign w:val="bottom"/>
          </w:tcPr>
          <w:p w:rsidR="00724AAF" w:rsidRPr="005506DA" w:rsidRDefault="00DC2A85" w:rsidP="00DC2A85">
            <w:pPr>
              <w:pStyle w:val="TableTextLeft"/>
            </w:pPr>
            <w:r>
              <w:t>30</w:t>
            </w:r>
            <w:r w:rsidR="00DB5501" w:rsidRPr="005506DA">
              <w:t xml:space="preserve"> </w:t>
            </w:r>
            <w:r w:rsidR="00724AAF" w:rsidRPr="005506DA">
              <w:t>November 2016</w:t>
            </w:r>
          </w:p>
        </w:tc>
      </w:tr>
      <w:tr w:rsidR="00724AAF" w:rsidRPr="00144F8C" w:rsidTr="005C03C6">
        <w:trPr>
          <w:cantSplit/>
        </w:trPr>
        <w:tc>
          <w:tcPr>
            <w:tcW w:w="3100" w:type="pct"/>
            <w:tcBorders>
              <w:top w:val="nil"/>
              <w:left w:val="nil"/>
              <w:bottom w:val="nil"/>
              <w:right w:val="nil"/>
            </w:tcBorders>
            <w:vAlign w:val="bottom"/>
          </w:tcPr>
          <w:p w:rsidR="00724AAF" w:rsidRPr="00347ADB" w:rsidRDefault="004200AF" w:rsidP="005C03C6">
            <w:pPr>
              <w:pStyle w:val="TableTextLeft"/>
            </w:pPr>
            <w:r>
              <w:t>D</w:t>
            </w:r>
            <w:r w:rsidR="00724AAF" w:rsidRPr="00A258B5">
              <w:t>raft report</w:t>
            </w:r>
            <w:r w:rsidR="00724AAF">
              <w:t xml:space="preserve"> and proposed price direction</w:t>
            </w:r>
          </w:p>
        </w:tc>
        <w:tc>
          <w:tcPr>
            <w:tcW w:w="1900" w:type="pct"/>
            <w:tcBorders>
              <w:top w:val="nil"/>
              <w:left w:val="nil"/>
              <w:bottom w:val="nil"/>
              <w:right w:val="nil"/>
            </w:tcBorders>
            <w:vAlign w:val="bottom"/>
          </w:tcPr>
          <w:p w:rsidR="00724AAF" w:rsidRPr="00347ADB" w:rsidRDefault="00724AAF" w:rsidP="00594E67">
            <w:pPr>
              <w:pStyle w:val="TableTextLeft"/>
            </w:pPr>
            <w:r w:rsidRPr="00347ADB">
              <w:t>February 201</w:t>
            </w:r>
            <w:r>
              <w:t>7</w:t>
            </w:r>
          </w:p>
        </w:tc>
      </w:tr>
      <w:tr w:rsidR="00724AAF" w:rsidRPr="00144F8C" w:rsidTr="005C03C6">
        <w:trPr>
          <w:cantSplit/>
          <w:trHeight w:val="318"/>
        </w:trPr>
        <w:tc>
          <w:tcPr>
            <w:tcW w:w="3100" w:type="pct"/>
            <w:tcBorders>
              <w:top w:val="nil"/>
              <w:left w:val="nil"/>
              <w:bottom w:val="nil"/>
              <w:right w:val="nil"/>
            </w:tcBorders>
            <w:vAlign w:val="bottom"/>
          </w:tcPr>
          <w:p w:rsidR="00724AAF" w:rsidRPr="00347ADB" w:rsidRDefault="00724AAF" w:rsidP="005C03C6">
            <w:pPr>
              <w:pStyle w:val="TableTextLeft"/>
            </w:pPr>
            <w:r w:rsidRPr="00A258B5">
              <w:t>Submissions on draft report close</w:t>
            </w:r>
          </w:p>
        </w:tc>
        <w:tc>
          <w:tcPr>
            <w:tcW w:w="1900" w:type="pct"/>
            <w:tcBorders>
              <w:top w:val="nil"/>
              <w:left w:val="nil"/>
              <w:bottom w:val="nil"/>
              <w:right w:val="nil"/>
            </w:tcBorders>
            <w:vAlign w:val="bottom"/>
          </w:tcPr>
          <w:p w:rsidR="00724AAF" w:rsidRPr="00347ADB" w:rsidRDefault="00724AAF" w:rsidP="00594E67">
            <w:pPr>
              <w:pStyle w:val="TableTextLeft"/>
              <w:rPr>
                <w:rStyle w:val="HighlightYellow"/>
                <w:highlight w:val="yellow"/>
              </w:rPr>
            </w:pPr>
            <w:r>
              <w:t>March</w:t>
            </w:r>
            <w:r w:rsidRPr="005B50F4">
              <w:t xml:space="preserve"> 201</w:t>
            </w:r>
            <w:r>
              <w:t>7</w:t>
            </w:r>
          </w:p>
        </w:tc>
      </w:tr>
      <w:tr w:rsidR="00724AAF" w:rsidRPr="00144F8C" w:rsidTr="005C03C6">
        <w:trPr>
          <w:cantSplit/>
          <w:trHeight w:val="200"/>
        </w:trPr>
        <w:tc>
          <w:tcPr>
            <w:tcW w:w="3100" w:type="pct"/>
            <w:tcBorders>
              <w:top w:val="nil"/>
              <w:left w:val="nil"/>
              <w:bottom w:val="nil"/>
              <w:right w:val="nil"/>
            </w:tcBorders>
            <w:vAlign w:val="bottom"/>
          </w:tcPr>
          <w:p w:rsidR="00724AAF" w:rsidRPr="00347ADB" w:rsidRDefault="00724AAF" w:rsidP="005C03C6">
            <w:pPr>
              <w:pStyle w:val="TableTextLeft"/>
            </w:pPr>
            <w:r w:rsidRPr="00A258B5">
              <w:t>Public hearing</w:t>
            </w:r>
          </w:p>
        </w:tc>
        <w:tc>
          <w:tcPr>
            <w:tcW w:w="1900" w:type="pct"/>
            <w:tcBorders>
              <w:top w:val="nil"/>
              <w:left w:val="nil"/>
              <w:bottom w:val="nil"/>
              <w:right w:val="nil"/>
            </w:tcBorders>
            <w:vAlign w:val="bottom"/>
          </w:tcPr>
          <w:p w:rsidR="00724AAF" w:rsidRDefault="00724AAF" w:rsidP="00594E67">
            <w:pPr>
              <w:pStyle w:val="TableTextLeft"/>
              <w:rPr>
                <w:rStyle w:val="HighlightYellow"/>
                <w:highlight w:val="yellow"/>
              </w:rPr>
            </w:pPr>
            <w:r>
              <w:t>March 2017</w:t>
            </w:r>
          </w:p>
        </w:tc>
      </w:tr>
      <w:tr w:rsidR="00724AAF" w:rsidRPr="00144F8C" w:rsidTr="005C03C6">
        <w:trPr>
          <w:cantSplit/>
        </w:trPr>
        <w:tc>
          <w:tcPr>
            <w:tcW w:w="3100" w:type="pct"/>
            <w:tcBorders>
              <w:top w:val="nil"/>
              <w:left w:val="nil"/>
              <w:bottom w:val="single" w:sz="12" w:space="0" w:color="1F497D" w:themeColor="text2"/>
              <w:right w:val="nil"/>
            </w:tcBorders>
            <w:vAlign w:val="bottom"/>
          </w:tcPr>
          <w:p w:rsidR="00724AAF" w:rsidRPr="00347ADB" w:rsidRDefault="00724AAF" w:rsidP="005C03C6">
            <w:pPr>
              <w:pStyle w:val="TableTextLeft"/>
            </w:pPr>
            <w:r>
              <w:t>Release of f</w:t>
            </w:r>
            <w:r w:rsidRPr="00347ADB">
              <w:t xml:space="preserve">inal report </w:t>
            </w:r>
            <w:r w:rsidRPr="008F4176">
              <w:t>and price direction</w:t>
            </w:r>
          </w:p>
        </w:tc>
        <w:tc>
          <w:tcPr>
            <w:tcW w:w="1900" w:type="pct"/>
            <w:tcBorders>
              <w:top w:val="nil"/>
              <w:left w:val="nil"/>
              <w:bottom w:val="single" w:sz="12" w:space="0" w:color="1F497D" w:themeColor="text2"/>
              <w:right w:val="nil"/>
            </w:tcBorders>
            <w:vAlign w:val="bottom"/>
          </w:tcPr>
          <w:p w:rsidR="00724AAF" w:rsidRPr="00347ADB" w:rsidRDefault="00724AAF" w:rsidP="00594E67">
            <w:pPr>
              <w:pStyle w:val="TableTextLeft"/>
              <w:rPr>
                <w:rStyle w:val="HighlightYellow"/>
                <w:highlight w:val="yellow"/>
              </w:rPr>
            </w:pPr>
            <w:r w:rsidRPr="005B50F4">
              <w:t>June 201</w:t>
            </w:r>
            <w:r>
              <w:t>7</w:t>
            </w:r>
          </w:p>
        </w:tc>
      </w:tr>
    </w:tbl>
    <w:p w:rsidR="002D186B" w:rsidRDefault="002D186B" w:rsidP="002D186B"/>
    <w:p w:rsidR="002D186B" w:rsidRDefault="006D14FB" w:rsidP="006D14FB">
      <w:r>
        <w:t xml:space="preserve">The closing date for submissions on the issues paper </w:t>
      </w:r>
      <w:r w:rsidRPr="005506DA">
        <w:t xml:space="preserve">is </w:t>
      </w:r>
      <w:r w:rsidR="00DC2A85">
        <w:t>30</w:t>
      </w:r>
      <w:r w:rsidR="005506DA" w:rsidRPr="005506DA">
        <w:t> </w:t>
      </w:r>
      <w:r w:rsidR="00227F23" w:rsidRPr="005506DA">
        <w:t>November 2016. Written</w:t>
      </w:r>
      <w:r w:rsidR="00227F23" w:rsidRPr="005662AB">
        <w:t xml:space="preserve"> submissions received by the closing date will be considered in the development of the </w:t>
      </w:r>
      <w:r w:rsidR="00227F23">
        <w:t xml:space="preserve">draft </w:t>
      </w:r>
      <w:r w:rsidR="00227F23" w:rsidRPr="005662AB">
        <w:t>report</w:t>
      </w:r>
      <w:r w:rsidR="00227F23">
        <w:t xml:space="preserve"> and </w:t>
      </w:r>
      <w:r w:rsidR="00C45259">
        <w:t>the proposed price direction.</w:t>
      </w:r>
      <w:r w:rsidR="005F0710">
        <w:t xml:space="preserve"> The Commission is required under </w:t>
      </w:r>
      <w:r w:rsidR="00532C3F">
        <w:t>s</w:t>
      </w:r>
      <w:r w:rsidR="00685102">
        <w:t>ection</w:t>
      </w:r>
      <w:r w:rsidR="005F0710">
        <w:t xml:space="preserve"> 17(4)(b) of the ICRC Act to conduct a public hearing for all price regulation investigations. The Commission intends to conduct a hearing after the release of the draft report.</w:t>
      </w:r>
    </w:p>
    <w:p w:rsidR="00D17F58" w:rsidRPr="00D17F58" w:rsidRDefault="00D17F58" w:rsidP="00D17F58">
      <w:pPr>
        <w:rPr>
          <w:lang w:val="en-AU" w:eastAsia="en-AU"/>
        </w:rPr>
      </w:pPr>
    </w:p>
    <w:p w:rsidR="00D17F58" w:rsidRPr="00D17F58" w:rsidRDefault="00D17F58" w:rsidP="00D17F58">
      <w:pPr>
        <w:rPr>
          <w:lang w:val="en-AU" w:eastAsia="en-AU"/>
        </w:rPr>
        <w:sectPr w:rsidR="00D17F58" w:rsidRPr="00D17F58" w:rsidSect="00662C7A">
          <w:headerReference w:type="even" r:id="rId30"/>
          <w:headerReference w:type="default" r:id="rId31"/>
          <w:endnotePr>
            <w:numFmt w:val="decimal"/>
          </w:endnotePr>
          <w:type w:val="continuous"/>
          <w:pgSz w:w="11907" w:h="16840" w:code="9"/>
          <w:pgMar w:top="2268" w:right="2098" w:bottom="1701" w:left="2098" w:header="578" w:footer="578" w:gutter="0"/>
          <w:cols w:space="720"/>
          <w:docGrid w:linePitch="299"/>
        </w:sectPr>
      </w:pPr>
    </w:p>
    <w:p w:rsidR="008A39FC" w:rsidRDefault="008A39FC" w:rsidP="008A1C91">
      <w:pPr>
        <w:pStyle w:val="Heading1"/>
        <w:sectPr w:rsidR="008A39FC" w:rsidSect="00B3693F">
          <w:headerReference w:type="even" r:id="rId32"/>
          <w:headerReference w:type="default" r:id="rId33"/>
          <w:endnotePr>
            <w:numFmt w:val="decimal"/>
          </w:endnotePr>
          <w:type w:val="oddPage"/>
          <w:pgSz w:w="11907" w:h="16840" w:code="9"/>
          <w:pgMar w:top="2268" w:right="2098" w:bottom="1701" w:left="2098" w:header="578" w:footer="578" w:gutter="0"/>
          <w:cols w:space="720"/>
          <w:docGrid w:linePitch="299"/>
        </w:sectPr>
      </w:pPr>
      <w:bookmarkStart w:id="56" w:name="Chap2"/>
      <w:bookmarkStart w:id="57" w:name="_Ref462987379"/>
      <w:bookmarkStart w:id="58" w:name="_Toc464735362"/>
      <w:bookmarkStart w:id="59" w:name="_Ref415046117"/>
      <w:bookmarkStart w:id="60" w:name="_Ref429472550"/>
      <w:bookmarkStart w:id="61" w:name="_Ref435008895"/>
      <w:bookmarkStart w:id="62" w:name="_Ref435008912"/>
      <w:bookmarkStart w:id="63" w:name="_Ref447870428"/>
      <w:bookmarkStart w:id="64" w:name="_Ref447870472"/>
      <w:bookmarkStart w:id="65" w:name="_Ref459274372"/>
      <w:bookmarkEnd w:id="56"/>
      <w:r>
        <w:lastRenderedPageBreak/>
        <w:t>Commission’s regulatory approach and pricing model</w:t>
      </w:r>
      <w:bookmarkEnd w:id="57"/>
      <w:bookmarkEnd w:id="58"/>
    </w:p>
    <w:p w:rsidR="00B3693F" w:rsidRDefault="00B3693F" w:rsidP="005D0466">
      <w:pPr>
        <w:pStyle w:val="Heading2"/>
        <w:rPr>
          <w:webHidden/>
        </w:rPr>
      </w:pPr>
      <w:bookmarkStart w:id="66" w:name="_Toc464735363"/>
      <w:r>
        <w:rPr>
          <w:webHidden/>
        </w:rPr>
        <w:lastRenderedPageBreak/>
        <w:t>Introduction</w:t>
      </w:r>
      <w:bookmarkEnd w:id="66"/>
    </w:p>
    <w:p w:rsidR="00B3693F" w:rsidRDefault="00B3693F" w:rsidP="00B3693F">
      <w:pPr>
        <w:rPr>
          <w:webHidden/>
        </w:rPr>
      </w:pPr>
      <w:r>
        <w:rPr>
          <w:webHidden/>
        </w:rPr>
        <w:t xml:space="preserve">The main elements of the Commission’s methodology or form of regulation comprise a </w:t>
      </w:r>
      <w:r>
        <w:t>price control mechanism</w:t>
      </w:r>
      <w:r>
        <w:rPr>
          <w:webHidden/>
        </w:rPr>
        <w:t>, the cost-index model and pass-through arrangements.</w:t>
      </w:r>
    </w:p>
    <w:p w:rsidR="00B3693F" w:rsidRPr="00CC79E7" w:rsidRDefault="00B3693F" w:rsidP="00B3693F">
      <w:r w:rsidRPr="003875C5">
        <w:t xml:space="preserve">The price control mechanism sets out how and when a price change </w:t>
      </w:r>
      <w:r>
        <w:t xml:space="preserve">can be applied to ActewAGL Retail’s </w:t>
      </w:r>
      <w:r w:rsidRPr="003875C5">
        <w:t>regulated retail electricity tariff</w:t>
      </w:r>
      <w:r>
        <w:t>s</w:t>
      </w:r>
      <w:r w:rsidRPr="003875C5">
        <w:t xml:space="preserve">. </w:t>
      </w:r>
      <w:r w:rsidRPr="00CC79E7">
        <w:t xml:space="preserve">The </w:t>
      </w:r>
      <w:r w:rsidRPr="003875C5">
        <w:t xml:space="preserve">cost-index model is used </w:t>
      </w:r>
      <w:r w:rsidRPr="00CC79E7">
        <w:t xml:space="preserve">to determine the </w:t>
      </w:r>
      <w:r>
        <w:t xml:space="preserve">maximum </w:t>
      </w:r>
      <w:r w:rsidRPr="00CC79E7">
        <w:t xml:space="preserve">allowable </w:t>
      </w:r>
      <w:r>
        <w:t xml:space="preserve">price </w:t>
      </w:r>
      <w:r w:rsidRPr="00CC79E7">
        <w:t xml:space="preserve">change </w:t>
      </w:r>
      <w:r>
        <w:t xml:space="preserve">across the basket of regulated tariffs </w:t>
      </w:r>
      <w:r w:rsidRPr="00CC79E7">
        <w:t xml:space="preserve">from one year to the next. </w:t>
      </w:r>
      <w:r w:rsidRPr="003875C5">
        <w:t>The pass-through arrangements provide for the treatment of unexpected events</w:t>
      </w:r>
      <w:r w:rsidR="002B26E8">
        <w:t>, beyond the control of ActewAGL,</w:t>
      </w:r>
      <w:r w:rsidRPr="003875C5">
        <w:t xml:space="preserve"> that occur after the price direction has been made.</w:t>
      </w:r>
    </w:p>
    <w:p w:rsidR="004C54F9" w:rsidRDefault="004C54F9" w:rsidP="005D0466">
      <w:pPr>
        <w:pStyle w:val="Heading2"/>
      </w:pPr>
      <w:bookmarkStart w:id="67" w:name="_Toc464735364"/>
      <w:r>
        <w:t>Regulatory approach</w:t>
      </w:r>
      <w:bookmarkEnd w:id="67"/>
    </w:p>
    <w:p w:rsidR="00B3693F" w:rsidRDefault="00B3693F" w:rsidP="00B3693F">
      <w:r>
        <w:t xml:space="preserve">The key elements of the Commission’s current regulatory approach are described below. The Commission welcomes </w:t>
      </w:r>
      <w:r w:rsidR="00187313">
        <w:t>feedback on our approach</w:t>
      </w:r>
      <w:r w:rsidR="004D5DFE">
        <w:t>.</w:t>
      </w:r>
      <w:r>
        <w:t xml:space="preserve"> </w:t>
      </w:r>
    </w:p>
    <w:p w:rsidR="00B3693F" w:rsidRPr="00CA64D3" w:rsidRDefault="00B3693F" w:rsidP="000D0A0D">
      <w:pPr>
        <w:pStyle w:val="Heading3"/>
      </w:pPr>
      <w:r w:rsidRPr="00CA64D3">
        <w:t>Length of the regulatory period</w:t>
      </w:r>
    </w:p>
    <w:p w:rsidR="00B3693F" w:rsidRDefault="00B3693F" w:rsidP="00B3693F">
      <w:r>
        <w:t xml:space="preserve">As specified in the terms of reference, the price direction will be for the three-year period of 1 July 2017 to 30 June 2020. </w:t>
      </w:r>
    </w:p>
    <w:p w:rsidR="00B3693F" w:rsidRPr="00CA64D3" w:rsidRDefault="00B3693F" w:rsidP="000D0A0D">
      <w:pPr>
        <w:pStyle w:val="Heading3"/>
        <w:rPr>
          <w:webHidden/>
        </w:rPr>
      </w:pPr>
      <w:r>
        <w:rPr>
          <w:webHidden/>
        </w:rPr>
        <w:t xml:space="preserve">Form of price control </w:t>
      </w:r>
    </w:p>
    <w:p w:rsidR="00B3693F" w:rsidRDefault="00B3693F" w:rsidP="00B3693F">
      <w:r>
        <w:rPr>
          <w:webHidden/>
        </w:rPr>
        <w:t xml:space="preserve">The Commission currently applies a weighted average price cap form of regulation to determine the maximum allowable average percentage change that </w:t>
      </w:r>
      <w:r w:rsidR="0001166E">
        <w:rPr>
          <w:webHidden/>
        </w:rPr>
        <w:t xml:space="preserve">ActewAGL Retail </w:t>
      </w:r>
      <w:r>
        <w:rPr>
          <w:webHidden/>
        </w:rPr>
        <w:t>can apply to its suite of regulated tariffs. This approach</w:t>
      </w:r>
      <w:r w:rsidRPr="00887266">
        <w:rPr>
          <w:webHidden/>
        </w:rPr>
        <w:t xml:space="preserve"> allows </w:t>
      </w:r>
      <w:r>
        <w:rPr>
          <w:webHidden/>
        </w:rPr>
        <w:t xml:space="preserve">ActewAGL Retail </w:t>
      </w:r>
      <w:r w:rsidRPr="00887266">
        <w:rPr>
          <w:webHidden/>
        </w:rPr>
        <w:t xml:space="preserve">to adjust individual prices, as long </w:t>
      </w:r>
      <w:r>
        <w:rPr>
          <w:webHidden/>
        </w:rPr>
        <w:t>as the total adjustment does not exceed the maximum allowable percentage change</w:t>
      </w:r>
      <w:r w:rsidR="002B26E8">
        <w:rPr>
          <w:webHidden/>
        </w:rPr>
        <w:t xml:space="preserve"> for the overall price cap, as</w:t>
      </w:r>
      <w:r>
        <w:rPr>
          <w:webHidden/>
        </w:rPr>
        <w:t xml:space="preserve"> determined by the Commission.</w:t>
      </w:r>
    </w:p>
    <w:p w:rsidR="00B3693F" w:rsidRPr="00F5611E" w:rsidRDefault="00B3693F">
      <w:pPr>
        <w:pStyle w:val="Heading3"/>
        <w:rPr>
          <w:webHidden/>
        </w:rPr>
      </w:pPr>
      <w:r>
        <w:rPr>
          <w:webHidden/>
        </w:rPr>
        <w:t>Annual recalibrations</w:t>
      </w:r>
    </w:p>
    <w:p w:rsidR="00B3693F" w:rsidRDefault="00B3693F" w:rsidP="00B3693F">
      <w:pPr>
        <w:rPr>
          <w:webHidden/>
        </w:rPr>
      </w:pPr>
      <w:r w:rsidRPr="00D72096">
        <w:t>As specified in the terms of reference, t</w:t>
      </w:r>
      <w:r w:rsidRPr="00D72096">
        <w:rPr>
          <w:webHidden/>
        </w:rPr>
        <w:t xml:space="preserve">he Commission is required to undertake </w:t>
      </w:r>
      <w:r>
        <w:rPr>
          <w:webHidden/>
        </w:rPr>
        <w:t xml:space="preserve">two </w:t>
      </w:r>
      <w:r w:rsidRPr="00D72096">
        <w:rPr>
          <w:webHidden/>
        </w:rPr>
        <w:t xml:space="preserve">annual recalibrations </w:t>
      </w:r>
      <w:r>
        <w:rPr>
          <w:webHidden/>
        </w:rPr>
        <w:t>for the regulatory period commencing 1 July 2017. The first will determine regulated retail electricity prices for</w:t>
      </w:r>
      <w:r w:rsidRPr="00D72096">
        <w:rPr>
          <w:webHidden/>
        </w:rPr>
        <w:t xml:space="preserve"> 2018</w:t>
      </w:r>
      <w:r w:rsidRPr="00A015EC">
        <w:sym w:font="Symbol" w:char="F02D"/>
      </w:r>
      <w:r w:rsidRPr="00D72096">
        <w:rPr>
          <w:webHidden/>
        </w:rPr>
        <w:t xml:space="preserve">19 and </w:t>
      </w:r>
      <w:r>
        <w:rPr>
          <w:webHidden/>
        </w:rPr>
        <w:t xml:space="preserve">the second will determine prices for </w:t>
      </w:r>
      <w:r w:rsidRPr="00D72096">
        <w:rPr>
          <w:webHidden/>
        </w:rPr>
        <w:t>2019</w:t>
      </w:r>
      <w:r w:rsidRPr="00A015EC">
        <w:sym w:font="Symbol" w:char="F02D"/>
      </w:r>
      <w:r w:rsidRPr="00D72096">
        <w:rPr>
          <w:webHidden/>
        </w:rPr>
        <w:t>20.</w:t>
      </w:r>
    </w:p>
    <w:p w:rsidR="00B3693F" w:rsidRDefault="00B3693F" w:rsidP="00B3693F">
      <w:pPr>
        <w:rPr>
          <w:webHidden/>
        </w:rPr>
      </w:pPr>
      <w:r>
        <w:rPr>
          <w:webHidden/>
        </w:rPr>
        <w:t xml:space="preserve">The annual recalibration process involves updating </w:t>
      </w:r>
      <w:r w:rsidRPr="00D72096">
        <w:rPr>
          <w:webHidden/>
        </w:rPr>
        <w:t>the parameters of the retail electricity cost-index model to determine regulated retail prices</w:t>
      </w:r>
      <w:r>
        <w:rPr>
          <w:webHidden/>
        </w:rPr>
        <w:t>. This process draws on, for instance, more recent forward price and load data</w:t>
      </w:r>
      <w:r w:rsidR="002B26E8">
        <w:rPr>
          <w:webHidden/>
        </w:rPr>
        <w:t xml:space="preserve"> relating to the wholesale cost of </w:t>
      </w:r>
      <w:r w:rsidR="002B26E8">
        <w:rPr>
          <w:webHidden/>
        </w:rPr>
        <w:lastRenderedPageBreak/>
        <w:t>energy</w:t>
      </w:r>
      <w:r>
        <w:rPr>
          <w:webHidden/>
        </w:rPr>
        <w:t xml:space="preserve">, updated network costs and the new estimates of green costs. A number of model components, such as retail operating costs and </w:t>
      </w:r>
      <w:r w:rsidR="002B26E8">
        <w:rPr>
          <w:webHidden/>
        </w:rPr>
        <w:t xml:space="preserve">wholesale </w:t>
      </w:r>
      <w:r>
        <w:rPr>
          <w:webHidden/>
        </w:rPr>
        <w:t>energy contract costs, are adjusted by the change in the consumer price index. The recalibration process can also incorporate additional costs from a pass-through event</w:t>
      </w:r>
      <w:r w:rsidR="00BA5746">
        <w:rPr>
          <w:webHidden/>
        </w:rPr>
        <w:t xml:space="preserve">. Pass-through events are set out in the price direction. </w:t>
      </w:r>
    </w:p>
    <w:p w:rsidR="00B3693F" w:rsidRPr="00CA64D3" w:rsidRDefault="00B3693F">
      <w:pPr>
        <w:pStyle w:val="Heading3"/>
      </w:pPr>
      <w:r w:rsidRPr="00CA64D3">
        <w:t>Cost pass-through arrangements</w:t>
      </w:r>
    </w:p>
    <w:p w:rsidR="00B3693F" w:rsidRDefault="00B3693F" w:rsidP="00B3693F">
      <w:r>
        <w:t>Pass-through arrangements typically apply to events that are unplanned, or whose extent is uncertain and that are beyond the control of the regulated entity. The Commission currently allows for pass-through arrangements for a range of regulatory change and tax change events.</w:t>
      </w:r>
      <w:r>
        <w:rPr>
          <w:rStyle w:val="FootnoteReference"/>
        </w:rPr>
        <w:footnoteReference w:id="6"/>
      </w:r>
      <w:r>
        <w:t xml:space="preserve"> Pass-through reviews for these regulatory and tax change events are undertaken as part of the annual recalibration process.</w:t>
      </w:r>
    </w:p>
    <w:p w:rsidR="00B3693F" w:rsidRDefault="00B3693F" w:rsidP="005D0466">
      <w:pPr>
        <w:pStyle w:val="Heading2"/>
      </w:pPr>
      <w:bookmarkStart w:id="68" w:name="_Toc462988116"/>
      <w:bookmarkStart w:id="69" w:name="_Toc463000662"/>
      <w:bookmarkStart w:id="70" w:name="_Toc463001664"/>
      <w:bookmarkStart w:id="71" w:name="_Toc463001732"/>
      <w:bookmarkStart w:id="72" w:name="_Toc463001762"/>
      <w:bookmarkStart w:id="73" w:name="_Toc463001852"/>
      <w:bookmarkStart w:id="74" w:name="_Toc463001930"/>
      <w:bookmarkStart w:id="75" w:name="_Toc463007417"/>
      <w:bookmarkStart w:id="76" w:name="_Toc464735365"/>
      <w:bookmarkEnd w:id="68"/>
      <w:bookmarkEnd w:id="69"/>
      <w:bookmarkEnd w:id="70"/>
      <w:bookmarkEnd w:id="71"/>
      <w:bookmarkEnd w:id="72"/>
      <w:bookmarkEnd w:id="73"/>
      <w:bookmarkEnd w:id="74"/>
      <w:bookmarkEnd w:id="75"/>
      <w:r>
        <w:t>Pricing model</w:t>
      </w:r>
      <w:bookmarkEnd w:id="76"/>
    </w:p>
    <w:p w:rsidR="00B3693F" w:rsidRDefault="00B3693F" w:rsidP="000D0A0D">
      <w:pPr>
        <w:pStyle w:val="Heading3"/>
      </w:pPr>
      <w:r>
        <w:t>Introduction</w:t>
      </w:r>
    </w:p>
    <w:p w:rsidR="00C605BA" w:rsidRDefault="00C605BA" w:rsidP="0064611E">
      <w:r w:rsidRPr="0064611E">
        <w:t xml:space="preserve">The key elements of the Commission’s current pricing model are described below. It </w:t>
      </w:r>
      <w:r w:rsidR="00EB1C4C" w:rsidRPr="0064611E">
        <w:t xml:space="preserve">details </w:t>
      </w:r>
      <w:r w:rsidR="007A79B8">
        <w:t xml:space="preserve">the Commission’s </w:t>
      </w:r>
      <w:r w:rsidR="00777B2D">
        <w:t xml:space="preserve">proposed </w:t>
      </w:r>
      <w:r w:rsidR="00777B2D" w:rsidRPr="0064611E">
        <w:t>approach</w:t>
      </w:r>
      <w:r w:rsidRPr="0064611E">
        <w:t xml:space="preserve"> in setting retail electricity prices for the next regulatory period</w:t>
      </w:r>
      <w:r w:rsidR="004D512B" w:rsidRPr="0064611E">
        <w:t>.</w:t>
      </w:r>
      <w:r w:rsidRPr="0064611E">
        <w:t xml:space="preserve"> The Commission welcomes feedback on our approach.</w:t>
      </w:r>
      <w:r>
        <w:t xml:space="preserve"> </w:t>
      </w:r>
    </w:p>
    <w:p w:rsidR="00B3693F" w:rsidRPr="00F33AB7" w:rsidRDefault="00B3693F" w:rsidP="00B3693F">
      <w:r>
        <w:t>The Commission</w:t>
      </w:r>
      <w:r w:rsidR="008A1AC8">
        <w:t>’s pricing model</w:t>
      </w:r>
      <w:r w:rsidR="00196AF3">
        <w:t xml:space="preserve"> </w:t>
      </w:r>
      <w:r>
        <w:t>determines the maximum average percentage change that ActewAGL can apply to its suite of regulated tariffs</w:t>
      </w:r>
      <w:r w:rsidR="009331BF">
        <w:t xml:space="preserve"> on an annual basis</w:t>
      </w:r>
      <w:r w:rsidR="00196AF3">
        <w:t xml:space="preserve">. </w:t>
      </w:r>
      <w:r w:rsidRPr="00F33AB7">
        <w:t xml:space="preserve">It does </w:t>
      </w:r>
      <w:r>
        <w:t xml:space="preserve">so </w:t>
      </w:r>
      <w:r w:rsidRPr="00F33AB7">
        <w:t xml:space="preserve">by estimating the individual cost components that would be incurred by an efficient </w:t>
      </w:r>
      <w:r>
        <w:t xml:space="preserve">incumbent retailer </w:t>
      </w:r>
      <w:r w:rsidRPr="00F33AB7">
        <w:t>in the same position as ActewAGL Retail when providing electricity supply services to customers</w:t>
      </w:r>
      <w:r>
        <w:t xml:space="preserve"> on the regulated tariff.</w:t>
      </w:r>
    </w:p>
    <w:p w:rsidR="00B3693F" w:rsidRDefault="00B3693F" w:rsidP="00B3693F">
      <w:r>
        <w:t>The Commission’s current pricing model relies on cost benchmarks for three main cost categories:</w:t>
      </w:r>
    </w:p>
    <w:p w:rsidR="00033F1E" w:rsidRDefault="00033F1E" w:rsidP="00033F1E">
      <w:pPr>
        <w:pStyle w:val="Bullet"/>
        <w:numPr>
          <w:ilvl w:val="0"/>
          <w:numId w:val="62"/>
        </w:numPr>
      </w:pPr>
      <w:r w:rsidRPr="00033F1E">
        <w:t>wholesale energy costs, which comprise energy purchase costs, LRET and SRES costs, energy losses, energy contracting costs and National Electricity Market (NEM) fees;</w:t>
      </w:r>
    </w:p>
    <w:p w:rsidR="00033F1E" w:rsidRPr="00033F1E" w:rsidRDefault="00033F1E" w:rsidP="00033F1E">
      <w:pPr>
        <w:pStyle w:val="BulletLast"/>
        <w:numPr>
          <w:ilvl w:val="0"/>
          <w:numId w:val="62"/>
        </w:numPr>
      </w:pPr>
      <w:r w:rsidRPr="00033F1E">
        <w:t>network costs, which include transmission and distribution costs; and</w:t>
      </w:r>
    </w:p>
    <w:p w:rsidR="00B3693F" w:rsidRDefault="00B3693F" w:rsidP="00033F1E">
      <w:pPr>
        <w:pStyle w:val="BulletLast"/>
        <w:numPr>
          <w:ilvl w:val="0"/>
          <w:numId w:val="62"/>
        </w:numPr>
      </w:pPr>
      <w:r>
        <w:t>r</w:t>
      </w:r>
      <w:r w:rsidRPr="00F33AB7">
        <w:t>etail</w:t>
      </w:r>
      <w:r>
        <w:t xml:space="preserve"> costs, which comprise retail operating costs and EEIS compliance costs</w:t>
      </w:r>
      <w:r w:rsidRPr="00F33AB7">
        <w:t>.</w:t>
      </w:r>
    </w:p>
    <w:p w:rsidR="00A232DF" w:rsidRDefault="00B3693F" w:rsidP="00A232DF">
      <w:r w:rsidRPr="00F33AB7">
        <w:t xml:space="preserve">Once these </w:t>
      </w:r>
      <w:r>
        <w:t xml:space="preserve">three </w:t>
      </w:r>
      <w:r w:rsidRPr="00F33AB7">
        <w:t xml:space="preserve">cost </w:t>
      </w:r>
      <w:r>
        <w:t>categories</w:t>
      </w:r>
      <w:r w:rsidRPr="00F33AB7">
        <w:t xml:space="preserve"> are estimated, they are added together </w:t>
      </w:r>
      <w:r>
        <w:t>and multiplied by a retail margin</w:t>
      </w:r>
      <w:r w:rsidR="002B26E8">
        <w:t xml:space="preserve"> (to provide a profit allowance)</w:t>
      </w:r>
      <w:r w:rsidRPr="001E2B8B">
        <w:t xml:space="preserve"> </w:t>
      </w:r>
      <w:r w:rsidRPr="00F33AB7">
        <w:t xml:space="preserve">to produce </w:t>
      </w:r>
      <w:r>
        <w:t>total costs</w:t>
      </w:r>
      <w:r w:rsidR="002B26E8">
        <w:t xml:space="preserve"> to be recovered</w:t>
      </w:r>
      <w:r>
        <w:t xml:space="preserve"> </w:t>
      </w:r>
      <w:r w:rsidRPr="00F33AB7">
        <w:t xml:space="preserve">in </w:t>
      </w:r>
      <w:r>
        <w:t>dollars per megawatt hour (</w:t>
      </w:r>
      <w:r w:rsidRPr="00F33AB7">
        <w:t>$</w:t>
      </w:r>
      <w:r>
        <w:t xml:space="preserve"> </w:t>
      </w:r>
      <w:r w:rsidRPr="002A572E">
        <w:t>per</w:t>
      </w:r>
      <w:r>
        <w:t xml:space="preserve"> </w:t>
      </w:r>
      <w:r w:rsidRPr="00F33AB7">
        <w:t xml:space="preserve">MWh). </w:t>
      </w:r>
      <w:r>
        <w:t xml:space="preserve">This </w:t>
      </w:r>
      <w:r w:rsidRPr="00F33AB7">
        <w:t xml:space="preserve">cost is then compared to the </w:t>
      </w:r>
      <w:r>
        <w:t xml:space="preserve">total </w:t>
      </w:r>
      <w:r w:rsidRPr="00F33AB7">
        <w:t>cost</w:t>
      </w:r>
      <w:r w:rsidR="009331BF">
        <w:t>s</w:t>
      </w:r>
      <w:r w:rsidRPr="00F33AB7">
        <w:t xml:space="preserve"> calculated for the previous year</w:t>
      </w:r>
      <w:r>
        <w:t xml:space="preserve">. This produces </w:t>
      </w:r>
      <w:r w:rsidRPr="00F33AB7">
        <w:t>a</w:t>
      </w:r>
      <w:r>
        <w:t xml:space="preserve"> maximum </w:t>
      </w:r>
      <w:r w:rsidRPr="00F33AB7">
        <w:t>allowable</w:t>
      </w:r>
      <w:r>
        <w:t xml:space="preserve"> </w:t>
      </w:r>
      <w:r w:rsidRPr="00F33AB7">
        <w:t xml:space="preserve">percentage </w:t>
      </w:r>
      <w:r w:rsidRPr="00F33AB7">
        <w:lastRenderedPageBreak/>
        <w:t>change</w:t>
      </w:r>
      <w:r>
        <w:t xml:space="preserve"> that </w:t>
      </w:r>
      <w:r w:rsidRPr="00F33AB7">
        <w:t xml:space="preserve">ActewAGL Retail </w:t>
      </w:r>
      <w:r>
        <w:t xml:space="preserve">can apply under the weighted average price cap </w:t>
      </w:r>
      <w:r w:rsidRPr="00F33AB7">
        <w:t xml:space="preserve">to </w:t>
      </w:r>
      <w:r>
        <w:t xml:space="preserve">its regulated retail </w:t>
      </w:r>
      <w:r w:rsidRPr="00F33AB7">
        <w:t>tariffs.</w:t>
      </w:r>
      <w:r w:rsidR="0057222F">
        <w:rPr>
          <w:rStyle w:val="FootnoteReference"/>
        </w:rPr>
        <w:footnoteReference w:id="7"/>
      </w:r>
      <w:r w:rsidR="00992562">
        <w:t xml:space="preserve"> </w:t>
      </w:r>
    </w:p>
    <w:p w:rsidR="00B3693F" w:rsidRDefault="00B3693F" w:rsidP="00A232DF">
      <w:r>
        <w:t xml:space="preserve">The Commission’s current pricing model </w:t>
      </w:r>
      <w:proofErr w:type="gramStart"/>
      <w:r>
        <w:t>is illustrated</w:t>
      </w:r>
      <w:proofErr w:type="gramEnd"/>
      <w:r>
        <w:t xml:space="preserve"> in</w:t>
      </w:r>
      <w:r w:rsidR="00CB0759">
        <w:t xml:space="preserve"> </w:t>
      </w:r>
      <w:r w:rsidR="00E2593B">
        <w:fldChar w:fldCharType="begin"/>
      </w:r>
      <w:r w:rsidR="00CB0759">
        <w:instrText xml:space="preserve"> REF _Ref463353860 \h </w:instrText>
      </w:r>
      <w:r w:rsidR="00E2593B">
        <w:fldChar w:fldCharType="separate"/>
      </w:r>
      <w:r w:rsidR="004325DB" w:rsidRPr="00E4260E">
        <w:t xml:space="preserve">Figure </w:t>
      </w:r>
      <w:r w:rsidR="004325DB">
        <w:rPr>
          <w:noProof/>
        </w:rPr>
        <w:t>2</w:t>
      </w:r>
      <w:r w:rsidR="004325DB" w:rsidRPr="00E4260E">
        <w:t>.</w:t>
      </w:r>
      <w:r w:rsidR="004325DB">
        <w:rPr>
          <w:noProof/>
        </w:rPr>
        <w:t>1</w:t>
      </w:r>
      <w:r w:rsidR="00E2593B">
        <w:fldChar w:fldCharType="end"/>
      </w:r>
      <w:r>
        <w:t>.</w:t>
      </w:r>
    </w:p>
    <w:p w:rsidR="00B3693F" w:rsidRDefault="00B3693F" w:rsidP="00A232DF">
      <w:pPr>
        <w:pStyle w:val="FigureName0"/>
        <w:keepNext w:val="0"/>
        <w:keepLines/>
      </w:pPr>
      <w:bookmarkStart w:id="77" w:name="_Ref463353860"/>
      <w:bookmarkStart w:id="78" w:name="_Toc464735381"/>
      <w:r w:rsidRPr="00E4260E">
        <w:t xml:space="preserve">Figure </w:t>
      </w:r>
      <w:r w:rsidR="00E2593B" w:rsidRPr="00E4260E">
        <w:fldChar w:fldCharType="begin"/>
      </w:r>
      <w:r w:rsidRPr="00E4260E">
        <w:instrText xml:space="preserve"> STYLEREF 1 \s </w:instrText>
      </w:r>
      <w:r w:rsidR="00E2593B" w:rsidRPr="00E4260E">
        <w:fldChar w:fldCharType="separate"/>
      </w:r>
      <w:r w:rsidR="004325DB">
        <w:rPr>
          <w:noProof/>
        </w:rPr>
        <w:t>2</w:t>
      </w:r>
      <w:r w:rsidR="00E2593B" w:rsidRPr="00E4260E">
        <w:fldChar w:fldCharType="end"/>
      </w:r>
      <w:r w:rsidRPr="00E4260E">
        <w:t>.</w:t>
      </w:r>
      <w:r w:rsidR="00E2593B" w:rsidRPr="00E4260E">
        <w:fldChar w:fldCharType="begin"/>
      </w:r>
      <w:r w:rsidRPr="00E4260E">
        <w:instrText xml:space="preserve"> SEQ Figure \* ARABIC \s 1 </w:instrText>
      </w:r>
      <w:r w:rsidR="00E2593B" w:rsidRPr="00E4260E">
        <w:fldChar w:fldCharType="separate"/>
      </w:r>
      <w:r w:rsidR="004325DB">
        <w:rPr>
          <w:noProof/>
        </w:rPr>
        <w:t>1</w:t>
      </w:r>
      <w:r w:rsidR="00E2593B" w:rsidRPr="00E4260E">
        <w:fldChar w:fldCharType="end"/>
      </w:r>
      <w:bookmarkEnd w:id="77"/>
      <w:r w:rsidRPr="00E4260E">
        <w:tab/>
      </w:r>
      <w:r>
        <w:t>The Commission’s current pricing model</w:t>
      </w:r>
      <w:bookmarkEnd w:id="78"/>
    </w:p>
    <w:p w:rsidR="00B3693F" w:rsidRDefault="00B3693F" w:rsidP="00A232DF">
      <w:pPr>
        <w:keepLines/>
      </w:pPr>
      <w:r w:rsidRPr="00EE662C">
        <w:rPr>
          <w:noProof/>
          <w:lang w:val="en-AU" w:eastAsia="en-AU"/>
        </w:rPr>
        <w:drawing>
          <wp:inline distT="0" distB="0" distL="0" distR="0">
            <wp:extent cx="4452730" cy="3129211"/>
            <wp:effectExtent l="19050" t="19050" r="2413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0866" cy="3156012"/>
                    </a:xfrm>
                    <a:prstGeom prst="rect">
                      <a:avLst/>
                    </a:prstGeom>
                    <a:noFill/>
                    <a:ln>
                      <a:solidFill>
                        <a:sysClr val="window" lastClr="FFFFFF">
                          <a:lumMod val="50000"/>
                        </a:sysClr>
                      </a:solidFill>
                    </a:ln>
                  </pic:spPr>
                </pic:pic>
              </a:graphicData>
            </a:graphic>
          </wp:inline>
        </w:drawing>
      </w:r>
    </w:p>
    <w:p w:rsidR="00B3693F" w:rsidRDefault="00E2593B" w:rsidP="00A232DF">
      <w:pPr>
        <w:keepNext/>
      </w:pPr>
      <w:r>
        <w:lastRenderedPageBreak/>
        <w:fldChar w:fldCharType="begin"/>
      </w:r>
      <w:r w:rsidR="00D77DEF">
        <w:instrText xml:space="preserve"> REF _Ref463426722 \h </w:instrText>
      </w:r>
      <w:r>
        <w:fldChar w:fldCharType="separate"/>
      </w:r>
      <w:r w:rsidR="004325DB" w:rsidRPr="00E4260E">
        <w:t xml:space="preserve">Table </w:t>
      </w:r>
      <w:r w:rsidR="004325DB">
        <w:rPr>
          <w:noProof/>
        </w:rPr>
        <w:t>2</w:t>
      </w:r>
      <w:r w:rsidR="004325DB" w:rsidRPr="00E4260E">
        <w:t>.</w:t>
      </w:r>
      <w:r w:rsidR="004325DB">
        <w:rPr>
          <w:noProof/>
        </w:rPr>
        <w:t>1</w:t>
      </w:r>
      <w:r>
        <w:fldChar w:fldCharType="end"/>
      </w:r>
      <w:r w:rsidR="00D77DEF">
        <w:t xml:space="preserve"> </w:t>
      </w:r>
      <w:r w:rsidR="00B3693F">
        <w:t xml:space="preserve">details the cost </w:t>
      </w:r>
      <w:r w:rsidR="00F27ABC">
        <w:t>benchmarks</w:t>
      </w:r>
      <w:r w:rsidR="00B3693F">
        <w:t xml:space="preserve"> calculated for 2016</w:t>
      </w:r>
      <w:r w:rsidR="00B3693F" w:rsidRPr="00A015EC">
        <w:sym w:font="Symbol" w:char="F02D"/>
      </w:r>
      <w:r w:rsidR="00B3693F">
        <w:t>17 and their percentage contribution to total costs.</w:t>
      </w:r>
    </w:p>
    <w:p w:rsidR="00B3693F" w:rsidRDefault="00B3693F" w:rsidP="00A232DF">
      <w:pPr>
        <w:pStyle w:val="FigureName"/>
        <w:keepNext/>
        <w:keepLines/>
        <w:ind w:left="1077" w:hanging="1077"/>
      </w:pPr>
      <w:bookmarkStart w:id="79" w:name="_Ref463426722"/>
      <w:bookmarkStart w:id="80" w:name="_Toc464735378"/>
      <w:r w:rsidRPr="00E4260E">
        <w:t xml:space="preserve">Table </w:t>
      </w:r>
      <w:r w:rsidR="00E2593B" w:rsidRPr="00E4260E">
        <w:fldChar w:fldCharType="begin"/>
      </w:r>
      <w:r w:rsidRPr="00E4260E">
        <w:instrText xml:space="preserve"> STYLEREF 1 \s </w:instrText>
      </w:r>
      <w:r w:rsidR="00E2593B" w:rsidRPr="00E4260E">
        <w:fldChar w:fldCharType="separate"/>
      </w:r>
      <w:r w:rsidR="004325DB">
        <w:rPr>
          <w:noProof/>
        </w:rPr>
        <w:t>2</w:t>
      </w:r>
      <w:r w:rsidR="00E2593B" w:rsidRPr="00E4260E">
        <w:fldChar w:fldCharType="end"/>
      </w:r>
      <w:r w:rsidRPr="00E4260E">
        <w:t>.</w:t>
      </w:r>
      <w:r w:rsidR="00E2593B" w:rsidRPr="00E4260E">
        <w:fldChar w:fldCharType="begin"/>
      </w:r>
      <w:r w:rsidRPr="00E4260E">
        <w:instrText xml:space="preserve"> SEQ Table \* ARABIC \s 1 </w:instrText>
      </w:r>
      <w:r w:rsidR="00E2593B" w:rsidRPr="00E4260E">
        <w:fldChar w:fldCharType="separate"/>
      </w:r>
      <w:r w:rsidR="004325DB">
        <w:rPr>
          <w:noProof/>
        </w:rPr>
        <w:t>1</w:t>
      </w:r>
      <w:r w:rsidR="00E2593B" w:rsidRPr="00E4260E">
        <w:fldChar w:fldCharType="end"/>
      </w:r>
      <w:bookmarkEnd w:id="79"/>
      <w:r w:rsidRPr="00E4260E">
        <w:tab/>
      </w:r>
      <w:r w:rsidRPr="00776BA9">
        <w:t xml:space="preserve">Composition of regulated retail electricity </w:t>
      </w:r>
      <w:r>
        <w:t xml:space="preserve">costs </w:t>
      </w:r>
      <w:r w:rsidRPr="00776BA9">
        <w:t>for 20</w:t>
      </w:r>
      <w:r>
        <w:t>16</w:t>
      </w:r>
      <w:r w:rsidRPr="00776BA9">
        <w:t>–1</w:t>
      </w:r>
      <w:r>
        <w:t>7</w:t>
      </w:r>
      <w:bookmarkEnd w:id="80"/>
    </w:p>
    <w:tbl>
      <w:tblPr>
        <w:tblW w:w="7033" w:type="dxa"/>
        <w:tblLook w:val="04A0"/>
      </w:tblPr>
      <w:tblGrid>
        <w:gridCol w:w="3468"/>
        <w:gridCol w:w="2220"/>
        <w:gridCol w:w="1345"/>
      </w:tblGrid>
      <w:tr w:rsidR="00B3693F" w:rsidRPr="00630335" w:rsidTr="00A232DF">
        <w:trPr>
          <w:trHeight w:val="276"/>
        </w:trPr>
        <w:tc>
          <w:tcPr>
            <w:tcW w:w="3468" w:type="dxa"/>
            <w:tcBorders>
              <w:top w:val="single" w:sz="12" w:space="0" w:color="1F497D"/>
              <w:left w:val="nil"/>
              <w:bottom w:val="single" w:sz="4" w:space="0" w:color="auto"/>
              <w:right w:val="nil"/>
            </w:tcBorders>
            <w:shd w:val="clear" w:color="auto" w:fill="DBE5F1" w:themeFill="accent1" w:themeFillTint="33"/>
            <w:vAlign w:val="center"/>
            <w:hideMark/>
          </w:tcPr>
          <w:p w:rsidR="00B3693F" w:rsidRPr="00630335" w:rsidRDefault="00B3693F" w:rsidP="00A232DF">
            <w:pPr>
              <w:keepNext/>
              <w:spacing w:after="0" w:line="240" w:lineRule="auto"/>
              <w:rPr>
                <w:rFonts w:ascii="Arial Narrow" w:eastAsia="Times New Roman" w:hAnsi="Arial Narrow"/>
                <w:b/>
                <w:bCs/>
                <w:color w:val="000000"/>
                <w:sz w:val="18"/>
                <w:szCs w:val="18"/>
                <w:lang w:val="en-AU" w:eastAsia="en-AU"/>
              </w:rPr>
            </w:pPr>
            <w:r w:rsidRPr="00630335">
              <w:rPr>
                <w:rFonts w:ascii="Arial Narrow" w:eastAsia="Times New Roman" w:hAnsi="Arial Narrow"/>
                <w:b/>
                <w:bCs/>
                <w:color w:val="000000"/>
                <w:sz w:val="18"/>
                <w:szCs w:val="18"/>
                <w:lang w:val="en-AU" w:eastAsia="en-AU"/>
              </w:rPr>
              <w:t> </w:t>
            </w:r>
          </w:p>
        </w:tc>
        <w:tc>
          <w:tcPr>
            <w:tcW w:w="2220" w:type="dxa"/>
            <w:tcBorders>
              <w:top w:val="single" w:sz="12" w:space="0" w:color="1F497D"/>
              <w:left w:val="nil"/>
              <w:bottom w:val="single" w:sz="4" w:space="0" w:color="auto"/>
              <w:right w:val="nil"/>
            </w:tcBorders>
            <w:shd w:val="clear" w:color="auto" w:fill="DBE5F1" w:themeFill="accent1" w:themeFillTint="33"/>
            <w:noWrap/>
            <w:vAlign w:val="center"/>
            <w:hideMark/>
          </w:tcPr>
          <w:p w:rsidR="00B3693F" w:rsidRPr="00630335" w:rsidRDefault="00B3693F" w:rsidP="00A232DF">
            <w:pPr>
              <w:keepNext/>
              <w:spacing w:after="0" w:line="240" w:lineRule="auto"/>
              <w:jc w:val="right"/>
              <w:rPr>
                <w:rFonts w:ascii="Arial Narrow" w:eastAsia="Times New Roman" w:hAnsi="Arial Narrow"/>
                <w:b/>
                <w:bCs/>
                <w:color w:val="000000"/>
                <w:sz w:val="18"/>
                <w:szCs w:val="18"/>
                <w:lang w:val="en-AU" w:eastAsia="en-AU"/>
              </w:rPr>
            </w:pPr>
            <w:r w:rsidRPr="00630335">
              <w:rPr>
                <w:rFonts w:ascii="Arial Narrow" w:eastAsia="Times New Roman" w:hAnsi="Arial Narrow"/>
                <w:b/>
                <w:bCs/>
                <w:color w:val="000000"/>
                <w:sz w:val="18"/>
                <w:szCs w:val="18"/>
                <w:lang w:val="en-AU" w:eastAsia="en-AU"/>
              </w:rPr>
              <w:t>2016–17 final decision</w:t>
            </w:r>
          </w:p>
        </w:tc>
        <w:tc>
          <w:tcPr>
            <w:tcW w:w="1345" w:type="dxa"/>
            <w:tcBorders>
              <w:top w:val="single" w:sz="12" w:space="0" w:color="1F497D"/>
              <w:left w:val="nil"/>
              <w:bottom w:val="single" w:sz="4" w:space="0" w:color="auto"/>
              <w:right w:val="nil"/>
            </w:tcBorders>
            <w:shd w:val="clear" w:color="auto" w:fill="DBE5F1" w:themeFill="accent1" w:themeFillTint="33"/>
            <w:vAlign w:val="center"/>
            <w:hideMark/>
          </w:tcPr>
          <w:p w:rsidR="00B3693F" w:rsidRPr="00630335" w:rsidRDefault="00B3693F" w:rsidP="00A232DF">
            <w:pPr>
              <w:keepNext/>
              <w:spacing w:after="0" w:line="240" w:lineRule="auto"/>
              <w:jc w:val="center"/>
              <w:rPr>
                <w:rFonts w:ascii="Arial Narrow" w:eastAsia="Times New Roman" w:hAnsi="Arial Narrow"/>
                <w:b/>
                <w:bCs/>
                <w:color w:val="000000"/>
                <w:sz w:val="18"/>
                <w:szCs w:val="18"/>
                <w:lang w:val="en-AU" w:eastAsia="en-AU"/>
              </w:rPr>
            </w:pPr>
            <w:r w:rsidRPr="00630335">
              <w:rPr>
                <w:rFonts w:ascii="Arial Narrow" w:eastAsia="Times New Roman" w:hAnsi="Arial Narrow"/>
                <w:b/>
                <w:bCs/>
                <w:color w:val="000000"/>
                <w:sz w:val="18"/>
                <w:szCs w:val="18"/>
                <w:lang w:val="en-AU" w:eastAsia="en-AU"/>
              </w:rPr>
              <w:t>% of total cost</w:t>
            </w:r>
          </w:p>
        </w:tc>
      </w:tr>
      <w:tr w:rsidR="00B3693F" w:rsidRPr="00630335" w:rsidTr="00A232DF">
        <w:trPr>
          <w:trHeight w:val="276"/>
        </w:trPr>
        <w:tc>
          <w:tcPr>
            <w:tcW w:w="3468"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 xml:space="preserve"> Energy purchase cost</w:t>
            </w:r>
          </w:p>
        </w:tc>
        <w:tc>
          <w:tcPr>
            <w:tcW w:w="2220"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50.6</w:t>
            </w:r>
          </w:p>
        </w:tc>
        <w:tc>
          <w:tcPr>
            <w:tcW w:w="1345"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26.8</w:t>
            </w:r>
          </w:p>
        </w:tc>
      </w:tr>
      <w:tr w:rsidR="00B3693F" w:rsidRPr="00630335" w:rsidTr="00A232DF">
        <w:trPr>
          <w:trHeight w:val="276"/>
        </w:trPr>
        <w:tc>
          <w:tcPr>
            <w:tcW w:w="3468"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 xml:space="preserve"> LRET and SRES costs</w:t>
            </w:r>
          </w:p>
        </w:tc>
        <w:tc>
          <w:tcPr>
            <w:tcW w:w="2220"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13.15</w:t>
            </w:r>
          </w:p>
        </w:tc>
        <w:tc>
          <w:tcPr>
            <w:tcW w:w="1345"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7.0</w:t>
            </w:r>
          </w:p>
        </w:tc>
      </w:tr>
      <w:tr w:rsidR="00B3693F" w:rsidRPr="00630335" w:rsidTr="00A232DF">
        <w:trPr>
          <w:trHeight w:val="276"/>
        </w:trPr>
        <w:tc>
          <w:tcPr>
            <w:tcW w:w="3468"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 xml:space="preserve"> Energy losses</w:t>
            </w:r>
          </w:p>
        </w:tc>
        <w:tc>
          <w:tcPr>
            <w:tcW w:w="2220"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3.79</w:t>
            </w:r>
          </w:p>
        </w:tc>
        <w:tc>
          <w:tcPr>
            <w:tcW w:w="1345"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2.0</w:t>
            </w:r>
          </w:p>
        </w:tc>
      </w:tr>
      <w:tr w:rsidR="00B3693F" w:rsidRPr="00630335" w:rsidTr="00A232DF">
        <w:trPr>
          <w:trHeight w:val="276"/>
        </w:trPr>
        <w:tc>
          <w:tcPr>
            <w:tcW w:w="3468"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 xml:space="preserve"> Energy contracting cost</w:t>
            </w:r>
          </w:p>
        </w:tc>
        <w:tc>
          <w:tcPr>
            <w:tcW w:w="2220"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0.87</w:t>
            </w:r>
          </w:p>
        </w:tc>
        <w:tc>
          <w:tcPr>
            <w:tcW w:w="1345"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0.5</w:t>
            </w:r>
          </w:p>
        </w:tc>
      </w:tr>
      <w:tr w:rsidR="00B3693F" w:rsidRPr="00630335" w:rsidTr="00A232DF">
        <w:trPr>
          <w:trHeight w:val="276"/>
        </w:trPr>
        <w:tc>
          <w:tcPr>
            <w:tcW w:w="3468" w:type="dxa"/>
            <w:tcBorders>
              <w:top w:val="nil"/>
              <w:left w:val="nil"/>
              <w:bottom w:val="single" w:sz="8" w:space="0" w:color="auto"/>
              <w:right w:val="nil"/>
            </w:tcBorders>
            <w:shd w:val="clear" w:color="auto" w:fill="auto"/>
            <w:vAlign w:val="center"/>
            <w:hideMark/>
          </w:tcPr>
          <w:p w:rsidR="00B3693F" w:rsidRPr="00630335" w:rsidRDefault="00B3693F" w:rsidP="00A232DF">
            <w:pPr>
              <w:keepNext/>
              <w:spacing w:after="0" w:line="240" w:lineRule="auto"/>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 xml:space="preserve"> NEM fees</w:t>
            </w:r>
          </w:p>
        </w:tc>
        <w:tc>
          <w:tcPr>
            <w:tcW w:w="2220" w:type="dxa"/>
            <w:tcBorders>
              <w:top w:val="nil"/>
              <w:left w:val="nil"/>
              <w:bottom w:val="single" w:sz="8" w:space="0" w:color="auto"/>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0.87</w:t>
            </w:r>
          </w:p>
        </w:tc>
        <w:tc>
          <w:tcPr>
            <w:tcW w:w="1345" w:type="dxa"/>
            <w:tcBorders>
              <w:top w:val="nil"/>
              <w:left w:val="nil"/>
              <w:bottom w:val="single" w:sz="8" w:space="0" w:color="auto"/>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0.5</w:t>
            </w:r>
          </w:p>
        </w:tc>
      </w:tr>
      <w:tr w:rsidR="00B3693F" w:rsidRPr="00630335" w:rsidTr="00A232DF">
        <w:trPr>
          <w:trHeight w:val="276"/>
        </w:trPr>
        <w:tc>
          <w:tcPr>
            <w:tcW w:w="3468"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rPr>
                <w:rFonts w:ascii="Arial Narrow" w:eastAsia="Times New Roman" w:hAnsi="Arial Narrow"/>
                <w:b/>
                <w:bCs/>
                <w:color w:val="000000"/>
                <w:sz w:val="18"/>
                <w:szCs w:val="18"/>
                <w:lang w:val="en-AU" w:eastAsia="en-AU"/>
              </w:rPr>
            </w:pPr>
            <w:r w:rsidRPr="00630335">
              <w:rPr>
                <w:rFonts w:ascii="Arial Narrow" w:eastAsia="Times New Roman" w:hAnsi="Arial Narrow"/>
                <w:b/>
                <w:bCs/>
                <w:color w:val="000000"/>
                <w:sz w:val="18"/>
                <w:szCs w:val="18"/>
                <w:lang w:val="en-AU" w:eastAsia="en-AU"/>
              </w:rPr>
              <w:t>Total energy purchase cost</w:t>
            </w:r>
          </w:p>
        </w:tc>
        <w:tc>
          <w:tcPr>
            <w:tcW w:w="2220"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b/>
                <w:bCs/>
                <w:color w:val="000000"/>
                <w:sz w:val="18"/>
                <w:szCs w:val="18"/>
                <w:lang w:val="en-AU" w:eastAsia="en-AU"/>
              </w:rPr>
            </w:pPr>
            <w:r w:rsidRPr="00630335">
              <w:rPr>
                <w:rFonts w:ascii="Arial Narrow" w:eastAsia="Times New Roman" w:hAnsi="Arial Narrow"/>
                <w:b/>
                <w:bCs/>
                <w:color w:val="000000"/>
                <w:sz w:val="18"/>
                <w:szCs w:val="18"/>
                <w:lang w:val="en-AU" w:eastAsia="en-AU"/>
              </w:rPr>
              <w:t>69.28</w:t>
            </w:r>
          </w:p>
        </w:tc>
        <w:tc>
          <w:tcPr>
            <w:tcW w:w="1345"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b/>
                <w:bCs/>
                <w:color w:val="000000"/>
                <w:sz w:val="18"/>
                <w:szCs w:val="18"/>
                <w:lang w:val="en-AU" w:eastAsia="en-AU"/>
              </w:rPr>
            </w:pPr>
            <w:r w:rsidRPr="00630335">
              <w:rPr>
                <w:rFonts w:ascii="Arial Narrow" w:eastAsia="Times New Roman" w:hAnsi="Arial Narrow"/>
                <w:b/>
                <w:bCs/>
                <w:color w:val="000000"/>
                <w:sz w:val="18"/>
                <w:szCs w:val="18"/>
                <w:lang w:val="en-AU" w:eastAsia="en-AU"/>
              </w:rPr>
              <w:t>36.7</w:t>
            </w:r>
          </w:p>
        </w:tc>
      </w:tr>
      <w:tr w:rsidR="00B3693F" w:rsidRPr="00630335" w:rsidTr="00A232DF">
        <w:trPr>
          <w:trHeight w:val="276"/>
        </w:trPr>
        <w:tc>
          <w:tcPr>
            <w:tcW w:w="3468"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 xml:space="preserve"> Retail operating costs</w:t>
            </w:r>
          </w:p>
        </w:tc>
        <w:tc>
          <w:tcPr>
            <w:tcW w:w="2220"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14.56</w:t>
            </w:r>
          </w:p>
        </w:tc>
        <w:tc>
          <w:tcPr>
            <w:tcW w:w="1345"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7.7</w:t>
            </w:r>
          </w:p>
        </w:tc>
      </w:tr>
      <w:tr w:rsidR="00B3693F" w:rsidRPr="00630335" w:rsidTr="00A232DF">
        <w:trPr>
          <w:trHeight w:val="276"/>
        </w:trPr>
        <w:tc>
          <w:tcPr>
            <w:tcW w:w="3468" w:type="dxa"/>
            <w:tcBorders>
              <w:top w:val="nil"/>
              <w:left w:val="nil"/>
              <w:bottom w:val="single" w:sz="8" w:space="0" w:color="auto"/>
              <w:right w:val="nil"/>
            </w:tcBorders>
            <w:shd w:val="clear" w:color="auto" w:fill="auto"/>
            <w:vAlign w:val="center"/>
            <w:hideMark/>
          </w:tcPr>
          <w:p w:rsidR="00B3693F" w:rsidRPr="00630335" w:rsidRDefault="00B3693F" w:rsidP="00A232DF">
            <w:pPr>
              <w:keepNext/>
              <w:spacing w:after="0" w:line="240" w:lineRule="auto"/>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 xml:space="preserve"> Energy Efficiency Improvement Scheme costs</w:t>
            </w:r>
          </w:p>
        </w:tc>
        <w:tc>
          <w:tcPr>
            <w:tcW w:w="2220" w:type="dxa"/>
            <w:tcBorders>
              <w:top w:val="nil"/>
              <w:left w:val="nil"/>
              <w:bottom w:val="single" w:sz="8" w:space="0" w:color="auto"/>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4.93</w:t>
            </w:r>
          </w:p>
        </w:tc>
        <w:tc>
          <w:tcPr>
            <w:tcW w:w="1345" w:type="dxa"/>
            <w:tcBorders>
              <w:top w:val="nil"/>
              <w:left w:val="nil"/>
              <w:bottom w:val="single" w:sz="8" w:space="0" w:color="auto"/>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2.6</w:t>
            </w:r>
          </w:p>
        </w:tc>
      </w:tr>
      <w:tr w:rsidR="00B3693F" w:rsidRPr="00630335" w:rsidTr="00A232DF">
        <w:trPr>
          <w:trHeight w:val="276"/>
        </w:trPr>
        <w:tc>
          <w:tcPr>
            <w:tcW w:w="3468"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rPr>
                <w:rFonts w:ascii="Arial Narrow" w:eastAsia="Times New Roman" w:hAnsi="Arial Narrow"/>
                <w:b/>
                <w:bCs/>
                <w:color w:val="000000"/>
                <w:sz w:val="18"/>
                <w:szCs w:val="18"/>
                <w:lang w:val="en-AU" w:eastAsia="en-AU"/>
              </w:rPr>
            </w:pPr>
            <w:r w:rsidRPr="00630335">
              <w:rPr>
                <w:rFonts w:ascii="Arial Narrow" w:eastAsia="Times New Roman" w:hAnsi="Arial Narrow"/>
                <w:b/>
                <w:bCs/>
                <w:color w:val="000000"/>
                <w:sz w:val="18"/>
                <w:szCs w:val="18"/>
                <w:lang w:val="en-AU" w:eastAsia="en-AU"/>
              </w:rPr>
              <w:t>Total retail costs</w:t>
            </w:r>
          </w:p>
        </w:tc>
        <w:tc>
          <w:tcPr>
            <w:tcW w:w="2220"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b/>
                <w:bCs/>
                <w:color w:val="000000"/>
                <w:sz w:val="18"/>
                <w:szCs w:val="18"/>
                <w:lang w:val="en-AU" w:eastAsia="en-AU"/>
              </w:rPr>
            </w:pPr>
            <w:r w:rsidRPr="00630335">
              <w:rPr>
                <w:rFonts w:ascii="Arial Narrow" w:eastAsia="Times New Roman" w:hAnsi="Arial Narrow"/>
                <w:b/>
                <w:bCs/>
                <w:color w:val="000000"/>
                <w:sz w:val="18"/>
                <w:szCs w:val="18"/>
                <w:lang w:val="en-AU" w:eastAsia="en-AU"/>
              </w:rPr>
              <w:t>19.49</w:t>
            </w:r>
          </w:p>
        </w:tc>
        <w:tc>
          <w:tcPr>
            <w:tcW w:w="1345" w:type="dxa"/>
            <w:tcBorders>
              <w:top w:val="nil"/>
              <w:left w:val="nil"/>
              <w:bottom w:val="nil"/>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b/>
                <w:bCs/>
                <w:color w:val="000000"/>
                <w:sz w:val="18"/>
                <w:szCs w:val="18"/>
                <w:lang w:val="en-AU" w:eastAsia="en-AU"/>
              </w:rPr>
            </w:pPr>
            <w:r w:rsidRPr="00630335">
              <w:rPr>
                <w:rFonts w:ascii="Arial Narrow" w:eastAsia="Times New Roman" w:hAnsi="Arial Narrow"/>
                <w:b/>
                <w:bCs/>
                <w:color w:val="000000"/>
                <w:sz w:val="18"/>
                <w:szCs w:val="18"/>
                <w:lang w:val="en-AU" w:eastAsia="en-AU"/>
              </w:rPr>
              <w:t>10.3</w:t>
            </w:r>
          </w:p>
        </w:tc>
      </w:tr>
      <w:tr w:rsidR="00B3693F" w:rsidRPr="00630335" w:rsidTr="00A232DF">
        <w:trPr>
          <w:trHeight w:val="276"/>
        </w:trPr>
        <w:tc>
          <w:tcPr>
            <w:tcW w:w="3468" w:type="dxa"/>
            <w:tcBorders>
              <w:top w:val="nil"/>
              <w:left w:val="nil"/>
              <w:bottom w:val="single" w:sz="8" w:space="0" w:color="auto"/>
              <w:right w:val="nil"/>
            </w:tcBorders>
            <w:shd w:val="clear" w:color="auto" w:fill="auto"/>
            <w:vAlign w:val="center"/>
            <w:hideMark/>
          </w:tcPr>
          <w:p w:rsidR="00B3693F" w:rsidRPr="00630335" w:rsidRDefault="00B3693F" w:rsidP="00A232DF">
            <w:pPr>
              <w:keepNext/>
              <w:spacing w:after="0" w:line="240" w:lineRule="auto"/>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 xml:space="preserve"> Network costs</w:t>
            </w:r>
          </w:p>
        </w:tc>
        <w:tc>
          <w:tcPr>
            <w:tcW w:w="2220" w:type="dxa"/>
            <w:tcBorders>
              <w:top w:val="nil"/>
              <w:left w:val="nil"/>
              <w:bottom w:val="single" w:sz="8" w:space="0" w:color="auto"/>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89.28</w:t>
            </w:r>
          </w:p>
        </w:tc>
        <w:tc>
          <w:tcPr>
            <w:tcW w:w="1345" w:type="dxa"/>
            <w:tcBorders>
              <w:top w:val="nil"/>
              <w:left w:val="nil"/>
              <w:bottom w:val="single" w:sz="8" w:space="0" w:color="auto"/>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47.3</w:t>
            </w:r>
          </w:p>
        </w:tc>
      </w:tr>
      <w:tr w:rsidR="00B3693F" w:rsidRPr="00630335" w:rsidTr="00A232DF">
        <w:trPr>
          <w:trHeight w:val="276"/>
        </w:trPr>
        <w:tc>
          <w:tcPr>
            <w:tcW w:w="3468" w:type="dxa"/>
            <w:tcBorders>
              <w:top w:val="nil"/>
              <w:left w:val="nil"/>
              <w:bottom w:val="single" w:sz="8" w:space="0" w:color="auto"/>
              <w:right w:val="nil"/>
            </w:tcBorders>
            <w:shd w:val="clear" w:color="auto" w:fill="auto"/>
            <w:vAlign w:val="center"/>
            <w:hideMark/>
          </w:tcPr>
          <w:p w:rsidR="00B3693F" w:rsidRPr="00630335" w:rsidRDefault="00B3693F" w:rsidP="00A232DF">
            <w:pPr>
              <w:keepNext/>
              <w:spacing w:after="0" w:line="240" w:lineRule="auto"/>
              <w:rPr>
                <w:rFonts w:ascii="Arial Narrow" w:eastAsia="Times New Roman" w:hAnsi="Arial Narrow"/>
                <w:b/>
                <w:bCs/>
                <w:color w:val="000000"/>
                <w:sz w:val="18"/>
                <w:szCs w:val="18"/>
                <w:lang w:val="en-AU" w:eastAsia="en-AU"/>
              </w:rPr>
            </w:pPr>
            <w:r w:rsidRPr="00630335">
              <w:rPr>
                <w:rFonts w:ascii="Arial Narrow" w:eastAsia="Times New Roman" w:hAnsi="Arial Narrow"/>
                <w:b/>
                <w:bCs/>
                <w:color w:val="000000"/>
                <w:sz w:val="18"/>
                <w:szCs w:val="18"/>
                <w:lang w:val="en-AU" w:eastAsia="en-AU"/>
              </w:rPr>
              <w:t>Total energy + retail + network costs</w:t>
            </w:r>
          </w:p>
        </w:tc>
        <w:tc>
          <w:tcPr>
            <w:tcW w:w="2220" w:type="dxa"/>
            <w:tcBorders>
              <w:top w:val="nil"/>
              <w:left w:val="nil"/>
              <w:bottom w:val="single" w:sz="8" w:space="0" w:color="auto"/>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b/>
                <w:bCs/>
                <w:color w:val="000000"/>
                <w:sz w:val="18"/>
                <w:szCs w:val="18"/>
                <w:lang w:val="en-AU" w:eastAsia="en-AU"/>
              </w:rPr>
            </w:pPr>
            <w:r w:rsidRPr="00630335">
              <w:rPr>
                <w:rFonts w:ascii="Arial Narrow" w:eastAsia="Times New Roman" w:hAnsi="Arial Narrow"/>
                <w:b/>
                <w:bCs/>
                <w:color w:val="000000"/>
                <w:sz w:val="18"/>
                <w:szCs w:val="18"/>
                <w:lang w:val="en-AU" w:eastAsia="en-AU"/>
              </w:rPr>
              <w:t>178.05</w:t>
            </w:r>
          </w:p>
        </w:tc>
        <w:tc>
          <w:tcPr>
            <w:tcW w:w="1345" w:type="dxa"/>
            <w:tcBorders>
              <w:top w:val="nil"/>
              <w:left w:val="nil"/>
              <w:bottom w:val="single" w:sz="8" w:space="0" w:color="auto"/>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b/>
                <w:bCs/>
                <w:color w:val="000000"/>
                <w:sz w:val="18"/>
                <w:szCs w:val="18"/>
                <w:lang w:val="en-AU" w:eastAsia="en-AU"/>
              </w:rPr>
            </w:pPr>
            <w:r w:rsidRPr="00630335">
              <w:rPr>
                <w:rFonts w:ascii="Arial Narrow" w:eastAsia="Times New Roman" w:hAnsi="Arial Narrow"/>
                <w:b/>
                <w:bCs/>
                <w:color w:val="000000"/>
                <w:sz w:val="18"/>
                <w:szCs w:val="18"/>
                <w:lang w:val="en-AU" w:eastAsia="en-AU"/>
              </w:rPr>
              <w:t>94.3</w:t>
            </w:r>
          </w:p>
        </w:tc>
      </w:tr>
      <w:tr w:rsidR="00B3693F" w:rsidRPr="00630335" w:rsidTr="00A232DF">
        <w:trPr>
          <w:trHeight w:val="276"/>
        </w:trPr>
        <w:tc>
          <w:tcPr>
            <w:tcW w:w="3468" w:type="dxa"/>
            <w:tcBorders>
              <w:top w:val="nil"/>
              <w:left w:val="nil"/>
              <w:bottom w:val="single" w:sz="8" w:space="0" w:color="auto"/>
              <w:right w:val="nil"/>
            </w:tcBorders>
            <w:shd w:val="clear" w:color="auto" w:fill="auto"/>
            <w:vAlign w:val="center"/>
            <w:hideMark/>
          </w:tcPr>
          <w:p w:rsidR="00B3693F" w:rsidRPr="00630335" w:rsidRDefault="00B3693F" w:rsidP="00A232DF">
            <w:pPr>
              <w:keepNext/>
              <w:spacing w:after="0" w:line="240" w:lineRule="auto"/>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 xml:space="preserve"> Retail margin</w:t>
            </w:r>
            <w:r>
              <w:rPr>
                <w:rFonts w:ascii="Arial Narrow" w:eastAsia="Times New Roman" w:hAnsi="Arial Narrow"/>
                <w:color w:val="000000"/>
                <w:sz w:val="18"/>
                <w:szCs w:val="18"/>
                <w:lang w:val="en-AU" w:eastAsia="en-AU"/>
              </w:rPr>
              <w:t xml:space="preserve"> (6.04%)</w:t>
            </w:r>
          </w:p>
        </w:tc>
        <w:tc>
          <w:tcPr>
            <w:tcW w:w="2220" w:type="dxa"/>
            <w:tcBorders>
              <w:top w:val="nil"/>
              <w:left w:val="nil"/>
              <w:bottom w:val="single" w:sz="8" w:space="0" w:color="auto"/>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10.76</w:t>
            </w:r>
          </w:p>
        </w:tc>
        <w:tc>
          <w:tcPr>
            <w:tcW w:w="1345" w:type="dxa"/>
            <w:tcBorders>
              <w:top w:val="nil"/>
              <w:left w:val="nil"/>
              <w:bottom w:val="single" w:sz="8" w:space="0" w:color="auto"/>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color w:val="000000"/>
                <w:sz w:val="18"/>
                <w:szCs w:val="18"/>
                <w:lang w:val="en-AU" w:eastAsia="en-AU"/>
              </w:rPr>
            </w:pPr>
            <w:r w:rsidRPr="00630335">
              <w:rPr>
                <w:rFonts w:ascii="Arial Narrow" w:eastAsia="Times New Roman" w:hAnsi="Arial Narrow"/>
                <w:color w:val="000000"/>
                <w:sz w:val="18"/>
                <w:szCs w:val="18"/>
                <w:lang w:val="en-AU" w:eastAsia="en-AU"/>
              </w:rPr>
              <w:t>5.7</w:t>
            </w:r>
          </w:p>
        </w:tc>
      </w:tr>
      <w:tr w:rsidR="00B3693F" w:rsidRPr="00630335" w:rsidTr="00A232DF">
        <w:trPr>
          <w:trHeight w:val="276"/>
        </w:trPr>
        <w:tc>
          <w:tcPr>
            <w:tcW w:w="3468" w:type="dxa"/>
            <w:tcBorders>
              <w:top w:val="nil"/>
              <w:left w:val="nil"/>
              <w:bottom w:val="single" w:sz="12" w:space="0" w:color="1F497D"/>
              <w:right w:val="nil"/>
            </w:tcBorders>
            <w:shd w:val="clear" w:color="auto" w:fill="auto"/>
            <w:vAlign w:val="center"/>
            <w:hideMark/>
          </w:tcPr>
          <w:p w:rsidR="00B3693F" w:rsidRPr="00630335" w:rsidRDefault="00B3693F" w:rsidP="00A232DF">
            <w:pPr>
              <w:keepNext/>
              <w:spacing w:after="0" w:line="240" w:lineRule="auto"/>
              <w:rPr>
                <w:rFonts w:ascii="Arial Narrow" w:eastAsia="Times New Roman" w:hAnsi="Arial Narrow"/>
                <w:b/>
                <w:bCs/>
                <w:color w:val="000000"/>
                <w:sz w:val="18"/>
                <w:szCs w:val="18"/>
                <w:lang w:val="en-AU" w:eastAsia="en-AU"/>
              </w:rPr>
            </w:pPr>
            <w:r w:rsidRPr="00630335">
              <w:rPr>
                <w:rFonts w:ascii="Arial Narrow" w:eastAsia="Times New Roman" w:hAnsi="Arial Narrow"/>
                <w:b/>
                <w:bCs/>
                <w:color w:val="000000"/>
                <w:sz w:val="18"/>
                <w:szCs w:val="18"/>
                <w:lang w:val="en-AU" w:eastAsia="en-AU"/>
              </w:rPr>
              <w:t>Total costs</w:t>
            </w:r>
          </w:p>
        </w:tc>
        <w:tc>
          <w:tcPr>
            <w:tcW w:w="2220" w:type="dxa"/>
            <w:tcBorders>
              <w:top w:val="nil"/>
              <w:left w:val="nil"/>
              <w:bottom w:val="single" w:sz="12" w:space="0" w:color="1F497D"/>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b/>
                <w:bCs/>
                <w:color w:val="000000"/>
                <w:sz w:val="18"/>
                <w:szCs w:val="18"/>
                <w:lang w:val="en-AU" w:eastAsia="en-AU"/>
              </w:rPr>
            </w:pPr>
            <w:r w:rsidRPr="00630335">
              <w:rPr>
                <w:rFonts w:ascii="Arial Narrow" w:eastAsia="Times New Roman" w:hAnsi="Arial Narrow"/>
                <w:b/>
                <w:bCs/>
                <w:color w:val="000000"/>
                <w:sz w:val="18"/>
                <w:szCs w:val="18"/>
                <w:lang w:val="en-AU" w:eastAsia="en-AU"/>
              </w:rPr>
              <w:t xml:space="preserve">                                 188.81 </w:t>
            </w:r>
          </w:p>
        </w:tc>
        <w:tc>
          <w:tcPr>
            <w:tcW w:w="1345" w:type="dxa"/>
            <w:tcBorders>
              <w:top w:val="nil"/>
              <w:left w:val="nil"/>
              <w:bottom w:val="single" w:sz="12" w:space="0" w:color="1F497D"/>
              <w:right w:val="nil"/>
            </w:tcBorders>
            <w:shd w:val="clear" w:color="auto" w:fill="auto"/>
            <w:vAlign w:val="center"/>
            <w:hideMark/>
          </w:tcPr>
          <w:p w:rsidR="00B3693F" w:rsidRPr="00630335" w:rsidRDefault="00B3693F" w:rsidP="00A232DF">
            <w:pPr>
              <w:keepNext/>
              <w:spacing w:after="0" w:line="240" w:lineRule="auto"/>
              <w:jc w:val="right"/>
              <w:rPr>
                <w:rFonts w:ascii="Arial Narrow" w:eastAsia="Times New Roman" w:hAnsi="Arial Narrow"/>
                <w:b/>
                <w:bCs/>
                <w:color w:val="000000"/>
                <w:sz w:val="18"/>
                <w:szCs w:val="18"/>
                <w:lang w:val="en-AU" w:eastAsia="en-AU"/>
              </w:rPr>
            </w:pPr>
            <w:r w:rsidRPr="00630335">
              <w:rPr>
                <w:rFonts w:ascii="Arial Narrow" w:eastAsia="Times New Roman" w:hAnsi="Arial Narrow"/>
                <w:b/>
                <w:bCs/>
                <w:color w:val="000000"/>
                <w:sz w:val="18"/>
                <w:szCs w:val="18"/>
                <w:lang w:val="en-AU" w:eastAsia="en-AU"/>
              </w:rPr>
              <w:t xml:space="preserve">                100.00 </w:t>
            </w:r>
          </w:p>
        </w:tc>
      </w:tr>
    </w:tbl>
    <w:p w:rsidR="00B3693F" w:rsidRPr="001F67F8" w:rsidRDefault="00B3693F" w:rsidP="00A232DF">
      <w:pPr>
        <w:pStyle w:val="TableNotesLast0"/>
        <w:keepNext/>
      </w:pPr>
      <w:r w:rsidRPr="00E6627A">
        <w:t>Source:</w:t>
      </w:r>
      <w:r>
        <w:tab/>
      </w:r>
      <w:r w:rsidRPr="00E6627A">
        <w:t>Commission’s calculations</w:t>
      </w:r>
      <w:r>
        <w:t>.</w:t>
      </w:r>
    </w:p>
    <w:p w:rsidR="00B3693F" w:rsidRDefault="00B3693F" w:rsidP="00A232DF">
      <w:pPr>
        <w:pStyle w:val="Heading3"/>
      </w:pPr>
      <w:r>
        <w:t xml:space="preserve">Components of the </w:t>
      </w:r>
      <w:r w:rsidR="00BB6A0E">
        <w:t xml:space="preserve">current </w:t>
      </w:r>
      <w:r>
        <w:t>pricing model</w:t>
      </w:r>
    </w:p>
    <w:p w:rsidR="00B3693F" w:rsidRDefault="00B3693F" w:rsidP="00A232DF">
      <w:pPr>
        <w:keepNext/>
      </w:pPr>
      <w:r>
        <w:t xml:space="preserve">This section </w:t>
      </w:r>
      <w:r w:rsidR="0070706B">
        <w:t xml:space="preserve">briefly </w:t>
      </w:r>
      <w:r w:rsidR="00F72D2E">
        <w:t xml:space="preserve">describes </w:t>
      </w:r>
      <w:r w:rsidRPr="00597CC6">
        <w:rPr>
          <w:szCs w:val="22"/>
        </w:rPr>
        <w:t>the</w:t>
      </w:r>
      <w:r>
        <w:rPr>
          <w:szCs w:val="22"/>
        </w:rPr>
        <w:t xml:space="preserve"> cost component</w:t>
      </w:r>
      <w:r w:rsidR="00BB6A0E">
        <w:rPr>
          <w:szCs w:val="22"/>
        </w:rPr>
        <w:t>s</w:t>
      </w:r>
      <w:r w:rsidRPr="00597CC6">
        <w:rPr>
          <w:szCs w:val="22"/>
        </w:rPr>
        <w:t xml:space="preserve"> </w:t>
      </w:r>
      <w:r>
        <w:rPr>
          <w:szCs w:val="22"/>
        </w:rPr>
        <w:t xml:space="preserve">of the Commission’s pricing model and discusses </w:t>
      </w:r>
      <w:r w:rsidRPr="00597CC6">
        <w:rPr>
          <w:szCs w:val="22"/>
        </w:rPr>
        <w:t xml:space="preserve">specific issues relevant to the </w:t>
      </w:r>
      <w:r w:rsidR="00F72D2E">
        <w:rPr>
          <w:szCs w:val="22"/>
        </w:rPr>
        <w:t>next regulatory period</w:t>
      </w:r>
      <w:r>
        <w:t>. To assist stakeholders in understanding the current version of the model, this section also highlights the revisions undertaken by the Commission as part of the 2014 price investigation leading up to the current price direction.</w:t>
      </w:r>
      <w:r>
        <w:rPr>
          <w:rStyle w:val="FootnoteReference"/>
        </w:rPr>
        <w:footnoteReference w:id="8"/>
      </w:r>
    </w:p>
    <w:p w:rsidR="00B3693F" w:rsidRDefault="00B3693F" w:rsidP="00B3693F">
      <w:pPr>
        <w:pStyle w:val="Heading4"/>
      </w:pPr>
      <w:r>
        <w:t>Energy purchase cost</w:t>
      </w:r>
    </w:p>
    <w:p w:rsidR="00B3693F" w:rsidRDefault="00B3693F" w:rsidP="00EF5FD5">
      <w:r w:rsidRPr="00C23AC7">
        <w:t>Ener</w:t>
      </w:r>
      <w:r>
        <w:t xml:space="preserve">gy purchase costs are the costs incurred by the incumbent retailer in purchasing electricity from the wholesale electricity market. Due to the high volatility inherent in the wholesale electricity market, retailers hedge their exposure to risk by forward purchasing electricity in the contract market or by taking positions in the futures market. </w:t>
      </w:r>
      <w:r w:rsidR="002B26E8">
        <w:t>This</w:t>
      </w:r>
      <w:r w:rsidR="0000476E">
        <w:t xml:space="preserve"> greatly reduces the risk of price volatility for</w:t>
      </w:r>
      <w:r w:rsidR="00E619DC">
        <w:t xml:space="preserve"> the retailer, contributing to financial stability.</w:t>
      </w:r>
      <w:r w:rsidR="0000476E">
        <w:t xml:space="preserve"> </w:t>
      </w:r>
    </w:p>
    <w:p w:rsidR="00DF65C7" w:rsidRDefault="00B3693F" w:rsidP="00DF65C7">
      <w:r>
        <w:t xml:space="preserve">The energy purchase cost component is </w:t>
      </w:r>
      <w:r w:rsidR="00DB5501">
        <w:t xml:space="preserve">a </w:t>
      </w:r>
      <w:r>
        <w:t xml:space="preserve">complex </w:t>
      </w:r>
      <w:r w:rsidR="00DB5501">
        <w:t xml:space="preserve">and significant </w:t>
      </w:r>
      <w:r>
        <w:t xml:space="preserve">part of the Commission’s model. </w:t>
      </w:r>
      <w:r w:rsidR="00DF65C7" w:rsidRPr="00DF65C7">
        <w:t xml:space="preserve">As part of the 2014 review, the energy purchase cost model was reviewed, with particular attention paid to its hedging strategy. The Commission reaffirmed its preference for a market-based approach for determining the energy purchase cost component over the long run marginal cost approach. The Commission concluded that it was confident that the current energy purchase cost model accurately </w:t>
      </w:r>
      <w:r w:rsidR="00DF65C7" w:rsidRPr="00DF65C7">
        <w:lastRenderedPageBreak/>
        <w:t>reflects the costs, including hedging costs, that would be incurred by an efficient retailer in providing retail electricity services in the ACT.</w:t>
      </w:r>
    </w:p>
    <w:p w:rsidR="00B3693F" w:rsidRDefault="00B3693F" w:rsidP="00B3693F">
      <w:r>
        <w:t>The Commission’s energy purchase cost model consists of six components: the forward price, the load shape, the load ratio, the forward price margin, the quarterly load weights and the cost of carbon.</w:t>
      </w:r>
      <w:r w:rsidRPr="00E56F84">
        <w:t xml:space="preserve"> </w:t>
      </w:r>
      <w:r w:rsidRPr="00BF0E21">
        <w:t xml:space="preserve">The forward price represents the cost of </w:t>
      </w:r>
      <w:r w:rsidR="00331AC4">
        <w:t>pre-</w:t>
      </w:r>
      <w:r w:rsidRPr="00BF0E21">
        <w:t>purchasing electricity</w:t>
      </w:r>
      <w:r w:rsidR="00331AC4">
        <w:t xml:space="preserve"> </w:t>
      </w:r>
      <w:r w:rsidR="00A42DA0">
        <w:t>to be delivered at a later date</w:t>
      </w:r>
      <w:r>
        <w:t xml:space="preserve">. </w:t>
      </w:r>
      <w:r w:rsidR="00EC6A6E">
        <w:t xml:space="preserve">A retailer is exposed </w:t>
      </w:r>
      <w:r>
        <w:t>to spot market risk</w:t>
      </w:r>
      <w:r w:rsidR="00EC6A6E">
        <w:t>,</w:t>
      </w:r>
      <w:r>
        <w:t xml:space="preserve"> when its</w:t>
      </w:r>
      <w:r w:rsidR="00CC5C30">
        <w:t xml:space="preserve"> pre-contracted </w:t>
      </w:r>
      <w:r>
        <w:t xml:space="preserve">load is less than </w:t>
      </w:r>
      <w:r w:rsidR="00EC6A6E">
        <w:t>its</w:t>
      </w:r>
      <w:r>
        <w:t xml:space="preserve"> demanded load and it sells electricity back into the market when its </w:t>
      </w:r>
      <w:r w:rsidR="00EC6A6E">
        <w:t xml:space="preserve">demanded </w:t>
      </w:r>
      <w:r>
        <w:t>load is less than the pre-purchased load. The load shape captures this relationship.</w:t>
      </w:r>
      <w:r w:rsidRPr="0019452C">
        <w:t xml:space="preserve"> </w:t>
      </w:r>
      <w:r>
        <w:t xml:space="preserve">The load ratio </w:t>
      </w:r>
      <w:r w:rsidR="00887470">
        <w:t xml:space="preserve">takes account of more extreme effects. </w:t>
      </w:r>
      <w:r w:rsidRPr="0037205D">
        <w:t xml:space="preserve">The forward price margin captures the </w:t>
      </w:r>
      <w:r>
        <w:t xml:space="preserve">market </w:t>
      </w:r>
      <w:r w:rsidRPr="0037205D">
        <w:t>observation that forward prices generally exceed average spot prices</w:t>
      </w:r>
      <w:r w:rsidR="00EC6A6E">
        <w:t xml:space="preserve"> in order to cover the cost of reducing risk</w:t>
      </w:r>
      <w:r w:rsidRPr="0037205D">
        <w:t>.</w:t>
      </w:r>
      <w:r w:rsidRPr="0019452C">
        <w:t xml:space="preserve"> </w:t>
      </w:r>
      <w:r w:rsidRPr="00103EB8">
        <w:t>The load shape, the load ratio and the forward price margin</w:t>
      </w:r>
      <w:r w:rsidR="00887470">
        <w:t xml:space="preserve"> are used to calculate </w:t>
      </w:r>
      <w:r w:rsidRPr="00103EB8">
        <w:t>the uplift factor that is applied to the forward price</w:t>
      </w:r>
      <w:r>
        <w:t xml:space="preserve"> to reflect the retailer’s hedging cost.</w:t>
      </w:r>
    </w:p>
    <w:p w:rsidR="00B3693F" w:rsidRDefault="00B3693F" w:rsidP="00EF5FD5">
      <w:pPr>
        <w:pStyle w:val="Heading5"/>
      </w:pPr>
      <w:r>
        <w:t>Forward price</w:t>
      </w:r>
      <w:r w:rsidRPr="0025666F">
        <w:t xml:space="preserve"> </w:t>
      </w:r>
    </w:p>
    <w:p w:rsidR="00B3693F" w:rsidRDefault="00B3693F" w:rsidP="00B3693F">
      <w:r w:rsidRPr="00BF0E21">
        <w:t xml:space="preserve">The forward price </w:t>
      </w:r>
      <w:r>
        <w:t xml:space="preserve">in the Commission’s model </w:t>
      </w:r>
      <w:r w:rsidRPr="00BF0E21">
        <w:t>represents the cost of purchasing electricity</w:t>
      </w:r>
      <w:r>
        <w:t>. The Commission accesses two sources of forward prices: Australian Stock Exchange (</w:t>
      </w:r>
      <w:r w:rsidRPr="004A0908">
        <w:t>ASX</w:t>
      </w:r>
      <w:r>
        <w:t xml:space="preserve">) market data and </w:t>
      </w:r>
      <w:r w:rsidRPr="004A0908">
        <w:t>over the counter (O</w:t>
      </w:r>
      <w:r>
        <w:t>TC) contract data from ICAP.</w:t>
      </w:r>
      <w:r>
        <w:rPr>
          <w:rStyle w:val="FootnoteReference"/>
        </w:rPr>
        <w:footnoteReference w:id="9"/>
      </w:r>
      <w:r>
        <w:t xml:space="preserve"> </w:t>
      </w:r>
    </w:p>
    <w:p w:rsidR="00B3693F" w:rsidRDefault="00B3693F" w:rsidP="00EF5FD5">
      <w:r>
        <w:t>The Commission used ASX data</w:t>
      </w:r>
      <w:r w:rsidRPr="00C33D64">
        <w:t xml:space="preserve"> </w:t>
      </w:r>
      <w:r>
        <w:t>p</w:t>
      </w:r>
      <w:r w:rsidRPr="0025666F">
        <w:t>rior to the 2012</w:t>
      </w:r>
      <w:r w:rsidRPr="00A015EC">
        <w:sym w:font="Symbol" w:char="F02D"/>
      </w:r>
      <w:r w:rsidRPr="0025666F">
        <w:t xml:space="preserve">14 </w:t>
      </w:r>
      <w:r>
        <w:t xml:space="preserve">regulatory period. While recognising that electricity retailers in fact entered into OTC contracts, the Commission relied on ASX futures prices. This was based on the assumption that arbitrage between the ASX futures market and the OTC market ensured that ASX futures prices were reflective of OTC contract prices. The introduction of a price on carbon in 2012 changed the nature of the electricity contracting market, and ASX prices were no longer an accurate representation of OTC contracts. Confronted by these issues, </w:t>
      </w:r>
      <w:r w:rsidRPr="0025666F">
        <w:t xml:space="preserve">the Commission </w:t>
      </w:r>
      <w:r>
        <w:t xml:space="preserve">started using OTC carbon-exclusive contract </w:t>
      </w:r>
      <w:r w:rsidRPr="00271B7E">
        <w:t>data</w:t>
      </w:r>
      <w:r>
        <w:t xml:space="preserve"> as the basis of the forward price of electricity</w:t>
      </w:r>
      <w:r w:rsidRPr="00271B7E">
        <w:t xml:space="preserve"> for </w:t>
      </w:r>
      <w:r>
        <w:t>the 2012</w:t>
      </w:r>
      <w:r w:rsidRPr="00A015EC">
        <w:sym w:font="Symbol" w:char="F02D"/>
      </w:r>
      <w:r>
        <w:t>14 price direction.</w:t>
      </w:r>
      <w:r w:rsidRPr="00B12481">
        <w:t xml:space="preserve"> </w:t>
      </w:r>
      <w:r>
        <w:t xml:space="preserve">The Commission continued to use ICAP OTC data in the current regulatory period. </w:t>
      </w:r>
    </w:p>
    <w:p w:rsidR="00B3693F" w:rsidRDefault="00B3693F" w:rsidP="00B3693F">
      <w:r>
        <w:t xml:space="preserve">The Commission’s general preference is to use exchange-traded ASX market data instead of OTC contract data due to the lack of transparency inherent in the OTC market. </w:t>
      </w:r>
      <w:r w:rsidR="00E2593B">
        <w:fldChar w:fldCharType="begin"/>
      </w:r>
      <w:r w:rsidR="00FB1F46">
        <w:instrText xml:space="preserve"> REF _Ref462990362 \h </w:instrText>
      </w:r>
      <w:r w:rsidR="00E2593B">
        <w:fldChar w:fldCharType="separate"/>
      </w:r>
      <w:r w:rsidR="004325DB" w:rsidRPr="00E4260E">
        <w:t xml:space="preserve">Figure </w:t>
      </w:r>
      <w:r w:rsidR="004325DB">
        <w:rPr>
          <w:noProof/>
        </w:rPr>
        <w:t>2</w:t>
      </w:r>
      <w:r w:rsidR="004325DB" w:rsidRPr="00E4260E">
        <w:t>.</w:t>
      </w:r>
      <w:r w:rsidR="004325DB">
        <w:rPr>
          <w:noProof/>
        </w:rPr>
        <w:t>2</w:t>
      </w:r>
      <w:r w:rsidR="00E2593B">
        <w:fldChar w:fldCharType="end"/>
      </w:r>
      <w:r w:rsidR="00FB1F46">
        <w:t xml:space="preserve"> shows that f</w:t>
      </w:r>
      <w:r>
        <w:t xml:space="preserve">ollowing the removal of </w:t>
      </w:r>
      <w:r w:rsidRPr="0068334B">
        <w:t xml:space="preserve">the </w:t>
      </w:r>
      <w:r w:rsidR="006131B5">
        <w:t xml:space="preserve">carbon </w:t>
      </w:r>
      <w:r w:rsidRPr="0068334B">
        <w:t>price from 1</w:t>
      </w:r>
      <w:r w:rsidR="006131B5">
        <w:t> </w:t>
      </w:r>
      <w:r w:rsidRPr="0068334B">
        <w:t>July</w:t>
      </w:r>
      <w:r w:rsidR="006131B5">
        <w:t> </w:t>
      </w:r>
      <w:r w:rsidRPr="0068334B">
        <w:t xml:space="preserve">2014, </w:t>
      </w:r>
      <w:r w:rsidR="00A2235D">
        <w:t>both data series have mov</w:t>
      </w:r>
      <w:r w:rsidR="006131B5">
        <w:t xml:space="preserve">ed </w:t>
      </w:r>
      <w:r w:rsidR="00A2235D">
        <w:t>together with t</w:t>
      </w:r>
      <w:r w:rsidR="00A2235D" w:rsidRPr="0068334B">
        <w:t xml:space="preserve">he </w:t>
      </w:r>
      <w:r w:rsidRPr="0068334B">
        <w:t xml:space="preserve">ASX data </w:t>
      </w:r>
      <w:r w:rsidR="00A2235D">
        <w:t xml:space="preserve">being </w:t>
      </w:r>
      <w:r w:rsidRPr="0068334B">
        <w:t>reflective of OTC contract prices.</w:t>
      </w:r>
      <w:r w:rsidRPr="0068334B">
        <w:rPr>
          <w:rStyle w:val="FootnoteReference"/>
        </w:rPr>
        <w:footnoteReference w:id="10"/>
      </w:r>
      <w:r w:rsidRPr="0068334B">
        <w:t xml:space="preserve"> </w:t>
      </w:r>
      <w:r w:rsidRPr="00A2235D">
        <w:t xml:space="preserve">This implies that </w:t>
      </w:r>
      <w:r w:rsidR="00056AD3">
        <w:t xml:space="preserve">the </w:t>
      </w:r>
      <w:r w:rsidR="00A2235D">
        <w:t>us</w:t>
      </w:r>
      <w:r w:rsidR="006131B5">
        <w:t xml:space="preserve">e of </w:t>
      </w:r>
      <w:r w:rsidRPr="00A2235D">
        <w:t>ASX</w:t>
      </w:r>
      <w:r w:rsidR="00A2235D">
        <w:t xml:space="preserve"> data, instead of OTC data,</w:t>
      </w:r>
      <w:r w:rsidRPr="00A2235D">
        <w:t xml:space="preserve"> would not </w:t>
      </w:r>
      <w:r w:rsidR="00DB5501">
        <w:t xml:space="preserve">make </w:t>
      </w:r>
      <w:r w:rsidR="00061E3D">
        <w:t xml:space="preserve">a </w:t>
      </w:r>
      <w:r w:rsidR="00DB5501">
        <w:t xml:space="preserve">significant difference </w:t>
      </w:r>
      <w:r w:rsidR="001F1485">
        <w:t xml:space="preserve">in </w:t>
      </w:r>
      <w:r w:rsidR="00DB5501">
        <w:t xml:space="preserve">the outcome. </w:t>
      </w:r>
    </w:p>
    <w:p w:rsidR="00B3693F" w:rsidRDefault="00B3693F" w:rsidP="00B3693F">
      <w:pPr>
        <w:pStyle w:val="FigureName0"/>
        <w:keepLines/>
      </w:pPr>
      <w:bookmarkStart w:id="81" w:name="_Ref462990362"/>
      <w:bookmarkStart w:id="82" w:name="_Toc464735382"/>
      <w:r w:rsidRPr="00E4260E">
        <w:lastRenderedPageBreak/>
        <w:t xml:space="preserve">Figure </w:t>
      </w:r>
      <w:r w:rsidR="00E2593B" w:rsidRPr="00E4260E">
        <w:fldChar w:fldCharType="begin"/>
      </w:r>
      <w:r w:rsidRPr="00E4260E">
        <w:instrText xml:space="preserve"> STYLEREF 1 \s </w:instrText>
      </w:r>
      <w:r w:rsidR="00E2593B" w:rsidRPr="00E4260E">
        <w:fldChar w:fldCharType="separate"/>
      </w:r>
      <w:r w:rsidR="004325DB">
        <w:rPr>
          <w:noProof/>
        </w:rPr>
        <w:t>2</w:t>
      </w:r>
      <w:r w:rsidR="00E2593B" w:rsidRPr="00E4260E">
        <w:fldChar w:fldCharType="end"/>
      </w:r>
      <w:r w:rsidRPr="00E4260E">
        <w:t>.</w:t>
      </w:r>
      <w:r w:rsidR="00E2593B" w:rsidRPr="00E4260E">
        <w:fldChar w:fldCharType="begin"/>
      </w:r>
      <w:r w:rsidRPr="00E4260E">
        <w:instrText xml:space="preserve"> SEQ Figure \* ARABIC \s 1 </w:instrText>
      </w:r>
      <w:r w:rsidR="00E2593B" w:rsidRPr="00E4260E">
        <w:fldChar w:fldCharType="separate"/>
      </w:r>
      <w:r w:rsidR="004325DB">
        <w:rPr>
          <w:noProof/>
        </w:rPr>
        <w:t>2</w:t>
      </w:r>
      <w:r w:rsidR="00E2593B" w:rsidRPr="00E4260E">
        <w:fldChar w:fldCharType="end"/>
      </w:r>
      <w:bookmarkEnd w:id="81"/>
      <w:r w:rsidRPr="00E4260E">
        <w:tab/>
      </w:r>
      <w:r>
        <w:t>ICAP OTC versus ASX forward prices, 2017</w:t>
      </w:r>
      <w:r>
        <w:sym w:font="Symbol" w:char="F02D"/>
      </w:r>
      <w:r>
        <w:t>18</w:t>
      </w:r>
      <w:bookmarkEnd w:id="82"/>
    </w:p>
    <w:p w:rsidR="00B3693F" w:rsidRDefault="00B3693F" w:rsidP="00B3693F">
      <w:pPr>
        <w:keepNext/>
        <w:keepLines/>
      </w:pPr>
      <w:r>
        <w:rPr>
          <w:noProof/>
          <w:lang w:val="en-AU" w:eastAsia="en-AU"/>
        </w:rPr>
        <w:drawing>
          <wp:inline distT="0" distB="0" distL="0" distR="0">
            <wp:extent cx="4896485" cy="2438400"/>
            <wp:effectExtent l="0" t="0" r="1841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3693F" w:rsidRDefault="00B3693F" w:rsidP="00B3693F">
      <w:pPr>
        <w:pStyle w:val="TableNotesLast0"/>
      </w:pPr>
      <w:r>
        <w:t>Source:</w:t>
      </w:r>
      <w:r>
        <w:tab/>
        <w:t>ASX Energy and ICAP data.</w:t>
      </w:r>
    </w:p>
    <w:p w:rsidR="00B3693F" w:rsidRDefault="00B3693F" w:rsidP="00B3693F">
      <w:r>
        <w:t>The current price direction prescribes forward prices based on a simple average over a 23-month period. This averaging period was originally adopted on the basis that prudent retailers typically hedge well in advance of the year in which they supply customers. This period was applied in calculating the 2014</w:t>
      </w:r>
      <w:r>
        <w:sym w:font="Symbol" w:char="F02D"/>
      </w:r>
      <w:r>
        <w:t>15 forward price.</w:t>
      </w:r>
    </w:p>
    <w:p w:rsidR="00B3693F" w:rsidRDefault="00B3693F" w:rsidP="00B3693F">
      <w:r>
        <w:t>However, due to a lack of liquidity in the contract market in July and August 2013, ICAP only started reporting price data for 2015</w:t>
      </w:r>
      <w:r>
        <w:sym w:font="Symbol" w:char="F02D"/>
      </w:r>
      <w:r>
        <w:t>16 contracts from 2 September 2013. This had the practical effect of limiting the averaging period to a maximum of 21-months for the 2015</w:t>
      </w:r>
      <w:r>
        <w:sym w:font="Symbol" w:char="F02D"/>
      </w:r>
      <w:r>
        <w:t>16 price reset. In order to maintain comparability across adjacent years, a 21-month averaging period was also applied in the 2016</w:t>
      </w:r>
      <w:r>
        <w:sym w:font="Symbol" w:char="F02D"/>
      </w:r>
      <w:r>
        <w:t xml:space="preserve">17 price reset. </w:t>
      </w:r>
    </w:p>
    <w:p w:rsidR="00B3693F" w:rsidRDefault="00B3693F" w:rsidP="00B3693F">
      <w:r>
        <w:t xml:space="preserve">Based on the </w:t>
      </w:r>
      <w:r w:rsidR="00C00236">
        <w:t xml:space="preserve">information </w:t>
      </w:r>
      <w:r>
        <w:t>presented above, a possible approach that the Commission could adopt for 2017</w:t>
      </w:r>
      <w:r>
        <w:sym w:font="Symbol" w:char="F02D"/>
      </w:r>
      <w:r>
        <w:t xml:space="preserve">20 is to return to ASX </w:t>
      </w:r>
      <w:r w:rsidR="00D614BB">
        <w:t xml:space="preserve">forward price </w:t>
      </w:r>
      <w:r>
        <w:t>data averaging over a 23-month period</w:t>
      </w:r>
      <w:r w:rsidR="00D614BB">
        <w:t xml:space="preserve">. </w:t>
      </w:r>
      <w:r>
        <w:t xml:space="preserve">The Commission welcomes </w:t>
      </w:r>
      <w:r w:rsidR="00B44028">
        <w:t xml:space="preserve">feedback on this approach. </w:t>
      </w:r>
    </w:p>
    <w:p w:rsidR="00B3693F" w:rsidRPr="00CA64D3" w:rsidRDefault="00B3693F" w:rsidP="00EF5FD5">
      <w:pPr>
        <w:pStyle w:val="Heading5"/>
      </w:pPr>
      <w:r w:rsidRPr="00CA64D3">
        <w:t xml:space="preserve">Removal of </w:t>
      </w:r>
      <w:r>
        <w:t xml:space="preserve">cost of </w:t>
      </w:r>
      <w:r w:rsidRPr="00CA64D3">
        <w:t>carbon</w:t>
      </w:r>
      <w:r>
        <w:t xml:space="preserve"> component</w:t>
      </w:r>
    </w:p>
    <w:p w:rsidR="00B3693F" w:rsidRDefault="00B3693F" w:rsidP="00B3693F">
      <w:r>
        <w:t xml:space="preserve">The Commission’s current pricing model incorporates an adjustment to the wholesale energy purchase cost to account for the cost of carbon. The national carbon-pricing scheme was abolished effective from 1 July 2014. Since then, the cost of carbon has been treated as zero in the pricing model. </w:t>
      </w:r>
    </w:p>
    <w:p w:rsidR="00B3693F" w:rsidRPr="004B64A4" w:rsidRDefault="00B3693F" w:rsidP="00B3693F">
      <w:r w:rsidRPr="008C5FA6">
        <w:t>As the carbon pricing scheme is no longer in effect</w:t>
      </w:r>
      <w:r>
        <w:t>, there are two possible approaches that the Commission could follow for 2017</w:t>
      </w:r>
      <w:r>
        <w:sym w:font="Symbol" w:char="F02D"/>
      </w:r>
      <w:r>
        <w:t xml:space="preserve">20. First, </w:t>
      </w:r>
      <w:r w:rsidR="007A3024">
        <w:t xml:space="preserve">the </w:t>
      </w:r>
      <w:r>
        <w:t xml:space="preserve">Commission could continue the current approach of setting the carbon </w:t>
      </w:r>
      <w:r w:rsidR="007A3024">
        <w:t xml:space="preserve">cost </w:t>
      </w:r>
      <w:r w:rsidR="00C974A8">
        <w:t>equal to</w:t>
      </w:r>
      <w:r>
        <w:t xml:space="preserve"> zero. Second, the carbon cost </w:t>
      </w:r>
      <w:r w:rsidRPr="004B64A4">
        <w:t>component could be removed from the pricing model.</w:t>
      </w:r>
      <w:r w:rsidR="004F150C">
        <w:t xml:space="preserve"> The outcome in either case would be the same.</w:t>
      </w:r>
      <w:r w:rsidRPr="004B64A4">
        <w:t xml:space="preserve"> </w:t>
      </w:r>
    </w:p>
    <w:p w:rsidR="007D07BC" w:rsidRPr="004B64A4" w:rsidRDefault="007D07BC" w:rsidP="007D07BC">
      <w:pPr>
        <w:pStyle w:val="Heading5"/>
      </w:pPr>
      <w:r w:rsidRPr="004B64A4">
        <w:lastRenderedPageBreak/>
        <w:t>Commission’s hedging strategy and uplift factor</w:t>
      </w:r>
    </w:p>
    <w:p w:rsidR="007D07BC" w:rsidRPr="004B64A4" w:rsidRDefault="007D07BC" w:rsidP="007D07BC">
      <w:r w:rsidRPr="004B64A4">
        <w:t>The Commission’s current energy purchase cost model incorporates a</w:t>
      </w:r>
      <w:r w:rsidR="00C80FB5" w:rsidRPr="004B64A4">
        <w:t xml:space="preserve"> conservative </w:t>
      </w:r>
      <w:r w:rsidRPr="004B64A4">
        <w:t xml:space="preserve">hedging strategy </w:t>
      </w:r>
      <w:r w:rsidR="003A76C0" w:rsidRPr="004B64A4">
        <w:t xml:space="preserve">in </w:t>
      </w:r>
      <w:r w:rsidRPr="004B64A4">
        <w:t>estimat</w:t>
      </w:r>
      <w:r w:rsidR="003A76C0" w:rsidRPr="004B64A4">
        <w:t xml:space="preserve">ing </w:t>
      </w:r>
      <w:r w:rsidR="00C80FB5" w:rsidRPr="004B64A4">
        <w:t xml:space="preserve">the </w:t>
      </w:r>
      <w:r w:rsidRPr="004B64A4">
        <w:t>cost of purchasing wholesale electricity by a prudent incumbent retailer. The current h</w:t>
      </w:r>
      <w:r w:rsidR="00C80FB5" w:rsidRPr="004B64A4">
        <w:t>edging strategy assumes that the</w:t>
      </w:r>
      <w:r w:rsidRPr="004B64A4">
        <w:t xml:space="preserve"> i</w:t>
      </w:r>
      <w:r w:rsidR="000003CD" w:rsidRPr="004B64A4">
        <w:t>ncumbent retailer purchases enough</w:t>
      </w:r>
      <w:r w:rsidRPr="004B64A4">
        <w:t xml:space="preserve"> forward contracts</w:t>
      </w:r>
      <w:r w:rsidR="000003CD" w:rsidRPr="004B64A4">
        <w:t xml:space="preserve"> to reduce to a negligible level the possibility of having insufficient forward cover to meet demand in any trading interval. </w:t>
      </w:r>
      <w:r w:rsidRPr="004B64A4">
        <w:t xml:space="preserve">The Commission’s model </w:t>
      </w:r>
      <w:r w:rsidR="000003CD" w:rsidRPr="004B64A4">
        <w:t>adjusts</w:t>
      </w:r>
      <w:r w:rsidRPr="004B64A4">
        <w:t xml:space="preserve"> the forward price by an uplift factor to ensure that the retailer is adequately compensated for the market risks that it faces in purchasing electricity. The uplift </w:t>
      </w:r>
      <w:r w:rsidR="00C05821" w:rsidRPr="004B64A4">
        <w:t>factor take</w:t>
      </w:r>
      <w:r w:rsidR="000003CD" w:rsidRPr="004B64A4">
        <w:t>s account of first and higher order variability in the wholesale cost as a result of both standard and more extreme variability in the load profile</w:t>
      </w:r>
      <w:r w:rsidRPr="004B64A4">
        <w:t>.</w:t>
      </w:r>
      <w:r w:rsidR="000003CD" w:rsidRPr="004B64A4">
        <w:t xml:space="preserve"> The strategy also assumes that excess forward contracts can be sold on the spot market. </w:t>
      </w:r>
    </w:p>
    <w:p w:rsidR="004A57E9" w:rsidRPr="004B64A4" w:rsidRDefault="00C41E2D" w:rsidP="007D07BC">
      <w:r w:rsidRPr="004B64A4">
        <w:t xml:space="preserve">As part of its </w:t>
      </w:r>
      <w:r w:rsidR="004A57E9" w:rsidRPr="004B64A4">
        <w:t>2014</w:t>
      </w:r>
      <w:r w:rsidRPr="004B64A4">
        <w:t xml:space="preserve"> review</w:t>
      </w:r>
      <w:r w:rsidR="003A76C0" w:rsidRPr="004B64A4">
        <w:t>, the</w:t>
      </w:r>
      <w:r w:rsidRPr="004B64A4">
        <w:t xml:space="preserve"> Commission concluded that its hedging strategy remained appropriate and accurately reflected the hedging costs incurred by an efficient retailer. </w:t>
      </w:r>
    </w:p>
    <w:p w:rsidR="00B3693F" w:rsidRDefault="00B3693F" w:rsidP="00EF5FD5">
      <w:pPr>
        <w:pStyle w:val="Heading4"/>
      </w:pPr>
      <w:r>
        <w:t>LRET and SRES costs</w:t>
      </w:r>
    </w:p>
    <w:p w:rsidR="00B3693F" w:rsidRDefault="00B3693F" w:rsidP="00EF5FD5">
      <w:r>
        <w:t>The LRET and the SRES</w:t>
      </w:r>
      <w:r w:rsidR="001C592E">
        <w:t xml:space="preserve"> </w:t>
      </w:r>
      <w:r>
        <w:t xml:space="preserve">are national environmental obligations imposed by the Australian </w:t>
      </w:r>
      <w:r w:rsidR="00A83761">
        <w:t xml:space="preserve">Government </w:t>
      </w:r>
      <w:r>
        <w:t>that create financial incentives for investment in renewable energy sources. The schemes require electricity retailers to purchase and surrender Large-scale Generation Certificates (LGC) and Small-scale Technology Certificates (STC) to the Clean Energy Regulator in percentages set by the regulation each year.</w:t>
      </w:r>
      <w:r>
        <w:rPr>
          <w:rStyle w:val="FootnoteReference"/>
        </w:rPr>
        <w:footnoteReference w:id="11"/>
      </w:r>
      <w:r>
        <w:t xml:space="preserve"> The renewable power percentage</w:t>
      </w:r>
      <w:r w:rsidR="001C592E">
        <w:t xml:space="preserve"> t</w:t>
      </w:r>
      <w:r>
        <w:t xml:space="preserve">o achieve the LRET target </w:t>
      </w:r>
      <w:r w:rsidR="0044514C">
        <w:t xml:space="preserve">for 2016 </w:t>
      </w:r>
      <w:r w:rsidR="001C592E">
        <w:t>is</w:t>
      </w:r>
      <w:r>
        <w:t xml:space="preserve"> 12.75 per </w:t>
      </w:r>
      <w:r w:rsidRPr="005D374D">
        <w:t>cent</w:t>
      </w:r>
      <w:r w:rsidR="0044514C">
        <w:t xml:space="preserve">. </w:t>
      </w:r>
      <w:r w:rsidR="005A06C2">
        <w:t>T</w:t>
      </w:r>
      <w:r>
        <w:t xml:space="preserve">he small-scale technology percentage </w:t>
      </w:r>
      <w:r w:rsidR="005A06C2">
        <w:t>s</w:t>
      </w:r>
      <w:r>
        <w:t xml:space="preserve">et to achieve the 2016 SRES target is 9.68 per cent. </w:t>
      </w:r>
    </w:p>
    <w:p w:rsidR="00B3693F" w:rsidRDefault="00B3693F" w:rsidP="00EF5FD5">
      <w:r>
        <w:t>The Commission applies a market-based approach for determining efficient LRET and SRES costs. The model determines LGCs and STCs prices based on publicly available spot price data averaged over an 11-month period, and includes an allowance for funding costs</w:t>
      </w:r>
      <w:r w:rsidRPr="006875A3">
        <w:t xml:space="preserve">. Full details of the Commission’s approach can be found in the </w:t>
      </w:r>
      <w:r w:rsidR="00DD3345" w:rsidRPr="006875A3">
        <w:t>201</w:t>
      </w:r>
      <w:r w:rsidR="00DD3345">
        <w:t>4</w:t>
      </w:r>
      <w:r w:rsidR="00DD3345" w:rsidRPr="006875A3">
        <w:t xml:space="preserve"> </w:t>
      </w:r>
      <w:r w:rsidR="00C6572D">
        <w:t xml:space="preserve">draft and </w:t>
      </w:r>
      <w:r w:rsidRPr="006875A3">
        <w:t>final report</w:t>
      </w:r>
      <w:r w:rsidR="00C6572D">
        <w:t>s</w:t>
      </w:r>
      <w:r w:rsidRPr="006875A3">
        <w:t>.</w:t>
      </w:r>
      <w:r>
        <w:rPr>
          <w:rStyle w:val="FootnoteReference"/>
        </w:rPr>
        <w:footnoteReference w:id="12"/>
      </w:r>
    </w:p>
    <w:p w:rsidR="00B3693F" w:rsidRDefault="00B3693F" w:rsidP="00EF5FD5">
      <w:pPr>
        <w:pStyle w:val="Heading4"/>
      </w:pPr>
      <w:r>
        <w:t>Energy losses</w:t>
      </w:r>
    </w:p>
    <w:p w:rsidR="00B3693F" w:rsidRDefault="00B3693F" w:rsidP="00EF5FD5">
      <w:r>
        <w:t xml:space="preserve">Some electricity is lost in transporting from generators to customers via transmission and distribution networks. Retailers purchase additional electricity to allow for these losses. </w:t>
      </w:r>
      <w:r w:rsidRPr="00A76386">
        <w:t xml:space="preserve">The loss factors are calculated by </w:t>
      </w:r>
      <w:r w:rsidR="00F13EF3">
        <w:t>Australian Energy Market Operator (</w:t>
      </w:r>
      <w:r w:rsidRPr="00A76386">
        <w:t>AEMO</w:t>
      </w:r>
      <w:r w:rsidR="00F13EF3">
        <w:t>)</w:t>
      </w:r>
      <w:r>
        <w:t>,</w:t>
      </w:r>
      <w:r w:rsidRPr="00A76386">
        <w:t xml:space="preserve"> and are used by all regulators to determine </w:t>
      </w:r>
      <w:r>
        <w:t xml:space="preserve">the </w:t>
      </w:r>
      <w:r w:rsidRPr="00A76386">
        <w:t>energy loss allowances where regulated tariffs apply.</w:t>
      </w:r>
      <w:r>
        <w:t xml:space="preserve"> </w:t>
      </w:r>
      <w:r w:rsidRPr="00A76386">
        <w:t>AEMO reports</w:t>
      </w:r>
      <w:r>
        <w:t xml:space="preserve"> marginal </w:t>
      </w:r>
      <w:r w:rsidRPr="00A76386">
        <w:t xml:space="preserve">and distribution loss factors for </w:t>
      </w:r>
      <w:r>
        <w:t xml:space="preserve">the </w:t>
      </w:r>
      <w:r w:rsidRPr="00A76386">
        <w:t xml:space="preserve">forthcoming </w:t>
      </w:r>
      <w:r w:rsidRPr="00A76386">
        <w:lastRenderedPageBreak/>
        <w:t>financial year.</w:t>
      </w:r>
      <w:r>
        <w:rPr>
          <w:rStyle w:val="FootnoteReference"/>
        </w:rPr>
        <w:footnoteReference w:id="13"/>
      </w:r>
      <w:r w:rsidRPr="00A76386">
        <w:t xml:space="preserve"> The Commission calculates </w:t>
      </w:r>
      <w:r>
        <w:t xml:space="preserve">an adjustment factor combining the marginal and distribution </w:t>
      </w:r>
      <w:r w:rsidRPr="00A76386">
        <w:t>loss factor</w:t>
      </w:r>
      <w:r>
        <w:t xml:space="preserve">s </w:t>
      </w:r>
      <w:r w:rsidRPr="00A76386">
        <w:t>applicable to the ACT.</w:t>
      </w:r>
    </w:p>
    <w:p w:rsidR="00B3693F" w:rsidRDefault="00B3693F" w:rsidP="00B3693F">
      <w:r>
        <w:t>As part of the 2014 review, two changes were made to the way the Commission estimates the costs of energy losses. The changes comprised the inclusion of NEM fees in the energy loss equation and the application of the distribution loss factor only to the LRET and SRES costs and NEM fees.</w:t>
      </w:r>
      <w:r>
        <w:rPr>
          <w:rStyle w:val="FootnoteReference"/>
        </w:rPr>
        <w:footnoteReference w:id="14"/>
      </w:r>
      <w:r w:rsidRPr="007D0DF3">
        <w:t xml:space="preserve"> </w:t>
      </w:r>
    </w:p>
    <w:p w:rsidR="00B3693F" w:rsidRDefault="00B3693F" w:rsidP="00B3693F">
      <w:pPr>
        <w:pStyle w:val="Heading4"/>
      </w:pPr>
      <w:r>
        <w:t xml:space="preserve">Energy contracting costs </w:t>
      </w:r>
    </w:p>
    <w:p w:rsidR="00B3693F" w:rsidRPr="00E2308C" w:rsidRDefault="00B3693F" w:rsidP="00EF5FD5">
      <w:r>
        <w:t xml:space="preserve">Energy contracting costs represent </w:t>
      </w:r>
      <w:r w:rsidRPr="006F4206">
        <w:t xml:space="preserve">the costs incurred by the incumbent retailer in managing an </w:t>
      </w:r>
      <w:r w:rsidR="00BF22BA" w:rsidRPr="006F4206">
        <w:t>electricity-trading</w:t>
      </w:r>
      <w:r w:rsidRPr="006F4206">
        <w:t xml:space="preserve"> desk.</w:t>
      </w:r>
      <w:r>
        <w:t xml:space="preserve"> </w:t>
      </w:r>
      <w:r w:rsidRPr="007864D2">
        <w:t xml:space="preserve">The Commission </w:t>
      </w:r>
      <w:r>
        <w:t xml:space="preserve">estimated the energy contracting costs of the incumbent retailer in 2003, and has </w:t>
      </w:r>
      <w:r w:rsidRPr="007864D2">
        <w:t>adjust</w:t>
      </w:r>
      <w:r>
        <w:t>ed</w:t>
      </w:r>
      <w:r w:rsidRPr="007864D2">
        <w:t xml:space="preserve"> th</w:t>
      </w:r>
      <w:r>
        <w:t>is</w:t>
      </w:r>
      <w:r w:rsidRPr="007864D2">
        <w:t xml:space="preserve"> component </w:t>
      </w:r>
      <w:r>
        <w:t>each year by the change in the consumer price index (CPI)</w:t>
      </w:r>
      <w:r w:rsidRPr="007864D2">
        <w:t xml:space="preserve"> </w:t>
      </w:r>
      <w:r>
        <w:t>since then</w:t>
      </w:r>
      <w:r w:rsidRPr="00FD4F2F">
        <w:t>.</w:t>
      </w:r>
    </w:p>
    <w:p w:rsidR="00B3693F" w:rsidRDefault="00B3693F" w:rsidP="00EF5FD5">
      <w:pPr>
        <w:pStyle w:val="Heading4"/>
      </w:pPr>
      <w:r>
        <w:t>NEM fees</w:t>
      </w:r>
    </w:p>
    <w:p w:rsidR="00B3693F" w:rsidRDefault="00B3693F" w:rsidP="00B3693F">
      <w:r>
        <w:t xml:space="preserve">The NEM is managed by AEMO, which is funded through user fees that are paid by customers. </w:t>
      </w:r>
      <w:r w:rsidRPr="007864D2">
        <w:t xml:space="preserve">The Commission </w:t>
      </w:r>
      <w:r>
        <w:t xml:space="preserve">estimated the NEM fees of the incumbent retailer in 2003, and has </w:t>
      </w:r>
      <w:r w:rsidRPr="007864D2">
        <w:t>adjust</w:t>
      </w:r>
      <w:r>
        <w:t>ed</w:t>
      </w:r>
      <w:r w:rsidRPr="007864D2">
        <w:t xml:space="preserve"> th</w:t>
      </w:r>
      <w:r>
        <w:t>is</w:t>
      </w:r>
      <w:r w:rsidRPr="007864D2">
        <w:t xml:space="preserve"> component to reflect the </w:t>
      </w:r>
      <w:r>
        <w:t xml:space="preserve">annual </w:t>
      </w:r>
      <w:r w:rsidRPr="007864D2">
        <w:t>change in</w:t>
      </w:r>
      <w:r>
        <w:t xml:space="preserve"> the </w:t>
      </w:r>
      <w:r w:rsidRPr="007864D2">
        <w:t>CPI</w:t>
      </w:r>
      <w:r>
        <w:t xml:space="preserve"> since then. </w:t>
      </w:r>
    </w:p>
    <w:p w:rsidR="00B3693F" w:rsidRDefault="00B3693F" w:rsidP="00B3693F">
      <w:pPr>
        <w:pStyle w:val="Heading4"/>
      </w:pPr>
      <w:r>
        <w:t>Retail operating costs</w:t>
      </w:r>
    </w:p>
    <w:p w:rsidR="00B3693F" w:rsidRDefault="00B3693F" w:rsidP="00EF5FD5">
      <w:r>
        <w:t xml:space="preserve">Retail operating costs are the efficient costs incurred by the retailer in providing retail services to its customers. </w:t>
      </w:r>
      <w:r w:rsidRPr="00234FF3">
        <w:t>In 2003</w:t>
      </w:r>
      <w:r>
        <w:t>,</w:t>
      </w:r>
      <w:r w:rsidRPr="00234FF3">
        <w:t xml:space="preserve"> the Commission </w:t>
      </w:r>
      <w:r>
        <w:t>estimated the retail operating costs allowance based on the cost estimates provided by ActewAGL Retail and benchmark observations of other regulatory decisions</w:t>
      </w:r>
      <w:r w:rsidR="0067636E">
        <w:t>.</w:t>
      </w:r>
      <w:r>
        <w:t xml:space="preserve"> </w:t>
      </w:r>
    </w:p>
    <w:p w:rsidR="00B3693F" w:rsidRDefault="00B3693F" w:rsidP="00B3693F">
      <w:r>
        <w:t xml:space="preserve">As part of the 2014 review, two changes were made to the way in which retail operating costs are calculated. The first was to increase the per MWh allowance for 2014–15 to match </w:t>
      </w:r>
      <w:r w:rsidR="00866081">
        <w:t xml:space="preserve">New South Wales’ </w:t>
      </w:r>
      <w:r w:rsidR="00075D91">
        <w:t>Independent Pricing and Regulatory Tribunal (</w:t>
      </w:r>
      <w:r>
        <w:t>IPART</w:t>
      </w:r>
      <w:r w:rsidR="00075D91">
        <w:t>)</w:t>
      </w:r>
      <w:r>
        <w:t xml:space="preserve"> benchmark. The second involved an ongoing adjustment in the per customer allowance each year by the change in the consumer price index.</w:t>
      </w:r>
    </w:p>
    <w:p w:rsidR="00B3693F" w:rsidRDefault="00B3693F" w:rsidP="00B3693F">
      <w:r w:rsidRPr="00C004AB">
        <w:rPr>
          <w:rFonts w:eastAsiaTheme="minorHAnsi"/>
          <w:szCs w:val="22"/>
          <w:lang w:val="en-AU"/>
        </w:rPr>
        <w:t>The Commission’s current pricing model does not incorporate a headroom</w:t>
      </w:r>
      <w:r w:rsidR="009D53C6">
        <w:rPr>
          <w:rFonts w:eastAsiaTheme="minorHAnsi"/>
          <w:szCs w:val="22"/>
          <w:lang w:val="en-AU"/>
        </w:rPr>
        <w:t xml:space="preserve"> (competition)</w:t>
      </w:r>
      <w:r w:rsidRPr="00C004AB">
        <w:rPr>
          <w:rFonts w:eastAsiaTheme="minorHAnsi"/>
          <w:szCs w:val="22"/>
          <w:lang w:val="en-AU"/>
        </w:rPr>
        <w:t xml:space="preserve"> allowance.</w:t>
      </w:r>
      <w:r w:rsidR="00137187">
        <w:rPr>
          <w:rFonts w:eastAsiaTheme="minorHAnsi"/>
          <w:szCs w:val="22"/>
          <w:lang w:val="en-AU"/>
        </w:rPr>
        <w:t xml:space="preserve"> </w:t>
      </w:r>
    </w:p>
    <w:p w:rsidR="00B3693F" w:rsidRDefault="00B3693F" w:rsidP="00B3693F">
      <w:pPr>
        <w:pStyle w:val="Heading4"/>
      </w:pPr>
      <w:r>
        <w:t>EEIS costs</w:t>
      </w:r>
    </w:p>
    <w:p w:rsidR="00B3693F" w:rsidRDefault="00B3693F" w:rsidP="00EF5FD5">
      <w:r>
        <w:t>The ACT Government’s EEIS</w:t>
      </w:r>
      <w:r w:rsidR="00D5151B">
        <w:t xml:space="preserve"> scheme</w:t>
      </w:r>
      <w:r>
        <w:t xml:space="preserve"> places a mandatory obligation on all active retailers in the ACT to promote energy efficiency measures in households and small businesses. The EEIS Scheme, which was initially legislated to finish on 31 December 2015, has been extended for the period 2016 to 2020. </w:t>
      </w:r>
    </w:p>
    <w:p w:rsidR="00B3693F" w:rsidRDefault="00B3693F" w:rsidP="00EF5FD5">
      <w:r>
        <w:lastRenderedPageBreak/>
        <w:t xml:space="preserve">The Commission determines the EEIS cost allowance using the Commission’s methodology and cost estimates provided by ActewAGL Retail, subject to a forward-looking prudence and efficiency assessment. Since the Commission’s methodology relies on forecast and estimated costs in advance of the actual cost being incurred, provision is made for an ex-post adjustment. </w:t>
      </w:r>
    </w:p>
    <w:p w:rsidR="00B3693F" w:rsidRDefault="00B3693F" w:rsidP="00B3693F">
      <w:r>
        <w:t>The Commission’s final decision on EEIS costs in 2014 was to continue its previous approach, with the addition of a forward-looking assessment of the prudence and efficiency of ActewAGL Retail’s forecast abatement costs.</w:t>
      </w:r>
    </w:p>
    <w:p w:rsidR="00B3693F" w:rsidRDefault="00B3693F" w:rsidP="00B3693F">
      <w:pPr>
        <w:pStyle w:val="Heading4"/>
      </w:pPr>
      <w:r>
        <w:t>Network costs</w:t>
      </w:r>
    </w:p>
    <w:p w:rsidR="00B3693F" w:rsidRDefault="00B3693F" w:rsidP="00B3693F">
      <w:r>
        <w:t>The network costs are equal to the sum of transmission and distribution charges paid by ActewAGL Retail.</w:t>
      </w:r>
      <w:r w:rsidRPr="00140354">
        <w:t xml:space="preserve"> </w:t>
      </w:r>
      <w:r>
        <w:t xml:space="preserve">Transmission and distribution charges are determined by the AER and released each year in June. The Commission passes through the AER’s final determination to the standard customer contract retail load. </w:t>
      </w:r>
    </w:p>
    <w:p w:rsidR="00B3693F" w:rsidRDefault="00B3693F" w:rsidP="00B3693F">
      <w:pPr>
        <w:pStyle w:val="Heading4"/>
      </w:pPr>
      <w:r>
        <w:t>Retail margin</w:t>
      </w:r>
    </w:p>
    <w:p w:rsidR="00B3693F" w:rsidRPr="00264805" w:rsidRDefault="00B3693F" w:rsidP="00EF5FD5">
      <w:r w:rsidRPr="00264805">
        <w:t xml:space="preserve">The retail margin represents the return to the investment made by the incumbent retailer in providing retail electricity services. </w:t>
      </w:r>
      <w:r>
        <w:t xml:space="preserve">Once the aforementioned cost categories are estimated, they are added together and multiplied by the retail margin to produce the total cost. </w:t>
      </w:r>
    </w:p>
    <w:p w:rsidR="00B3693F" w:rsidRDefault="00B3693F" w:rsidP="00B3693F">
      <w:r>
        <w:t>Two changes were made to the retail margin calculation in 2014. First, the benchmark retail margin was increased from 5.4 to 5.7 per cent drawing on research undertaken by IPART in New South Wales.</w:t>
      </w:r>
      <w:r>
        <w:rPr>
          <w:rStyle w:val="FootnoteReference"/>
        </w:rPr>
        <w:footnoteReference w:id="15"/>
      </w:r>
      <w:r>
        <w:t xml:space="preserve"> Second, the Commission changed the way it calculates the retail margin allowance to be consistent with the approach taken in New South Wales and Queensland. These changes resulted in the application of a retail margin of 6.04 per cent for the 2014</w:t>
      </w:r>
      <w:r>
        <w:sym w:font="Symbol" w:char="F02D"/>
      </w:r>
      <w:r>
        <w:t>17 regulatory period.</w:t>
      </w:r>
    </w:p>
    <w:p w:rsidR="00AC7F16" w:rsidRDefault="00AC7F16" w:rsidP="008A39FC">
      <w:bookmarkStart w:id="83" w:name="_Toc462988118"/>
      <w:bookmarkStart w:id="84" w:name="_Toc463000664"/>
      <w:bookmarkStart w:id="85" w:name="_Toc463001666"/>
      <w:bookmarkStart w:id="86" w:name="_Toc463001734"/>
      <w:bookmarkStart w:id="87" w:name="_Toc463001764"/>
      <w:bookmarkStart w:id="88" w:name="_Toc463001854"/>
      <w:bookmarkStart w:id="89" w:name="_Toc463001932"/>
      <w:bookmarkStart w:id="90" w:name="_Toc463007419"/>
      <w:bookmarkEnd w:id="83"/>
      <w:bookmarkEnd w:id="84"/>
      <w:bookmarkEnd w:id="85"/>
      <w:bookmarkEnd w:id="86"/>
      <w:bookmarkEnd w:id="87"/>
      <w:bookmarkEnd w:id="88"/>
      <w:bookmarkEnd w:id="89"/>
      <w:bookmarkEnd w:id="90"/>
    </w:p>
    <w:p w:rsidR="008A39FC" w:rsidRDefault="008A39FC" w:rsidP="008A39FC">
      <w:pPr>
        <w:sectPr w:rsidR="008A39FC" w:rsidSect="008A39FC">
          <w:headerReference w:type="default" r:id="rId36"/>
          <w:endnotePr>
            <w:numFmt w:val="decimal"/>
          </w:endnotePr>
          <w:type w:val="continuous"/>
          <w:pgSz w:w="11907" w:h="16840" w:code="9"/>
          <w:pgMar w:top="2268" w:right="2098" w:bottom="1701" w:left="2098" w:header="578" w:footer="578" w:gutter="0"/>
          <w:cols w:space="720"/>
          <w:docGrid w:linePitch="299"/>
        </w:sectPr>
      </w:pPr>
    </w:p>
    <w:p w:rsidR="004805EA" w:rsidRDefault="006B1018" w:rsidP="006B1018">
      <w:pPr>
        <w:pStyle w:val="Heading1"/>
      </w:pPr>
      <w:bookmarkStart w:id="91" w:name="_Toc463001736"/>
      <w:bookmarkStart w:id="92" w:name="_Toc463001766"/>
      <w:bookmarkStart w:id="93" w:name="_Toc463001856"/>
      <w:bookmarkStart w:id="94" w:name="_Toc463001934"/>
      <w:bookmarkStart w:id="95" w:name="_Toc463001935"/>
      <w:bookmarkStart w:id="96" w:name="_Toc463000667"/>
      <w:bookmarkStart w:id="97" w:name="_Toc463001669"/>
      <w:bookmarkStart w:id="98" w:name="_Toc463001738"/>
      <w:bookmarkStart w:id="99" w:name="_Toc463001768"/>
      <w:bookmarkStart w:id="100" w:name="_Toc463001858"/>
      <w:bookmarkStart w:id="101" w:name="_Ref463349286"/>
      <w:bookmarkStart w:id="102" w:name="_Ref463349310"/>
      <w:bookmarkStart w:id="103" w:name="_Ref463349343"/>
      <w:bookmarkStart w:id="104" w:name="_Ref463349374"/>
      <w:bookmarkStart w:id="105" w:name="_Ref463349392"/>
      <w:bookmarkStart w:id="106" w:name="_Ref463349410"/>
      <w:bookmarkStart w:id="107" w:name="_Ref463352377"/>
      <w:bookmarkStart w:id="108" w:name="_Toc464735366"/>
      <w:bookmarkEnd w:id="59"/>
      <w:bookmarkEnd w:id="60"/>
      <w:bookmarkEnd w:id="61"/>
      <w:bookmarkEnd w:id="62"/>
      <w:bookmarkEnd w:id="63"/>
      <w:bookmarkEnd w:id="64"/>
      <w:bookmarkEnd w:id="65"/>
      <w:bookmarkEnd w:id="91"/>
      <w:bookmarkEnd w:id="92"/>
      <w:bookmarkEnd w:id="93"/>
      <w:bookmarkEnd w:id="94"/>
      <w:bookmarkEnd w:id="95"/>
      <w:bookmarkEnd w:id="96"/>
      <w:bookmarkEnd w:id="97"/>
      <w:bookmarkEnd w:id="98"/>
      <w:bookmarkEnd w:id="99"/>
      <w:bookmarkEnd w:id="100"/>
      <w:r w:rsidRPr="006B1018">
        <w:lastRenderedPageBreak/>
        <w:t>State of the market and recent regulatory developments</w:t>
      </w:r>
      <w:bookmarkEnd w:id="101"/>
      <w:bookmarkEnd w:id="102"/>
      <w:bookmarkEnd w:id="103"/>
      <w:bookmarkEnd w:id="104"/>
      <w:bookmarkEnd w:id="105"/>
      <w:bookmarkEnd w:id="106"/>
      <w:bookmarkEnd w:id="107"/>
      <w:bookmarkEnd w:id="108"/>
    </w:p>
    <w:p w:rsidR="00D369A9" w:rsidRPr="00D369A9" w:rsidRDefault="00D369A9" w:rsidP="00D369A9">
      <w:pPr>
        <w:sectPr w:rsidR="00D369A9" w:rsidRPr="00D369A9" w:rsidSect="008F0BF9">
          <w:headerReference w:type="default" r:id="rId37"/>
          <w:endnotePr>
            <w:numFmt w:val="decimal"/>
          </w:endnotePr>
          <w:type w:val="oddPage"/>
          <w:pgSz w:w="11907" w:h="16840" w:code="9"/>
          <w:pgMar w:top="2268" w:right="2098" w:bottom="1701" w:left="2098" w:header="578" w:footer="578" w:gutter="0"/>
          <w:cols w:space="720"/>
          <w:docGrid w:linePitch="299"/>
        </w:sectPr>
      </w:pPr>
    </w:p>
    <w:p w:rsidR="00691EF6" w:rsidRDefault="00691EF6" w:rsidP="005D0466">
      <w:pPr>
        <w:pStyle w:val="Heading2"/>
      </w:pPr>
      <w:bookmarkStart w:id="109" w:name="_Toc464735367"/>
      <w:bookmarkStart w:id="110" w:name="_Ref429637090"/>
      <w:bookmarkStart w:id="111" w:name="_Ref429470714"/>
      <w:r>
        <w:lastRenderedPageBreak/>
        <w:t>Introduction</w:t>
      </w:r>
      <w:bookmarkEnd w:id="109"/>
    </w:p>
    <w:p w:rsidR="00275258" w:rsidRDefault="00BA426E" w:rsidP="00275258">
      <w:r>
        <w:t>T</w:t>
      </w:r>
      <w:r w:rsidR="00275258">
        <w:t xml:space="preserve">he </w:t>
      </w:r>
      <w:r w:rsidR="008072BE">
        <w:t>wholesale electricity spot market</w:t>
      </w:r>
      <w:r w:rsidR="002D409B">
        <w:t xml:space="preserve">, </w:t>
      </w:r>
      <w:r w:rsidR="008072BE">
        <w:t>futures market</w:t>
      </w:r>
      <w:r w:rsidR="00D864CC">
        <w:t xml:space="preserve"> </w:t>
      </w:r>
      <w:r w:rsidR="00BA4B36">
        <w:t xml:space="preserve">and recent </w:t>
      </w:r>
      <w:r w:rsidR="00902F32">
        <w:t>c</w:t>
      </w:r>
      <w:r w:rsidR="00275258">
        <w:t>hanges in the regulatory environment</w:t>
      </w:r>
      <w:r w:rsidR="0083799C">
        <w:t xml:space="preserve"> exert</w:t>
      </w:r>
      <w:r w:rsidR="008072BE">
        <w:t xml:space="preserve"> significant influence </w:t>
      </w:r>
      <w:r w:rsidR="0083799C">
        <w:t xml:space="preserve">on </w:t>
      </w:r>
      <w:r w:rsidR="00275258">
        <w:t xml:space="preserve">electricity </w:t>
      </w:r>
      <w:r w:rsidR="0083799C">
        <w:t xml:space="preserve">prices. </w:t>
      </w:r>
      <w:r w:rsidR="00275258">
        <w:t xml:space="preserve">To assist stakeholders in understanding </w:t>
      </w:r>
      <w:r w:rsidR="00733802">
        <w:t>underlying factors that impact on electricity prices</w:t>
      </w:r>
      <w:r w:rsidR="00275258">
        <w:t>, this chapter</w:t>
      </w:r>
      <w:r w:rsidR="00614898">
        <w:t xml:space="preserve"> summarizes </w:t>
      </w:r>
      <w:r w:rsidR="00275258">
        <w:t>the current state</w:t>
      </w:r>
      <w:r w:rsidR="00275258" w:rsidRPr="00264805">
        <w:t xml:space="preserve"> </w:t>
      </w:r>
      <w:r w:rsidR="00275258">
        <w:t xml:space="preserve">of the electricity </w:t>
      </w:r>
      <w:r w:rsidR="005307B5">
        <w:t>market</w:t>
      </w:r>
      <w:r w:rsidR="00275258" w:rsidRPr="00264805">
        <w:t xml:space="preserve"> </w:t>
      </w:r>
      <w:r w:rsidR="00275258">
        <w:t>at the wholesale and retail level</w:t>
      </w:r>
      <w:r w:rsidR="005307B5">
        <w:t xml:space="preserve">, and </w:t>
      </w:r>
      <w:r w:rsidR="00275258">
        <w:t>recent regulatory changes and jurisdictional regulatory decisions.</w:t>
      </w:r>
    </w:p>
    <w:p w:rsidR="00811EBA" w:rsidRDefault="00F1134D" w:rsidP="005D0466">
      <w:pPr>
        <w:pStyle w:val="Heading2"/>
      </w:pPr>
      <w:bookmarkStart w:id="112" w:name="_Toc464735368"/>
      <w:r>
        <w:t xml:space="preserve">State of the electricity </w:t>
      </w:r>
      <w:r w:rsidR="00211B2B">
        <w:t>m</w:t>
      </w:r>
      <w:r w:rsidR="00F60EB0">
        <w:t>arket</w:t>
      </w:r>
      <w:bookmarkEnd w:id="112"/>
    </w:p>
    <w:p w:rsidR="00811EBA" w:rsidRDefault="008E04F1" w:rsidP="000D0A0D">
      <w:pPr>
        <w:pStyle w:val="Heading3"/>
      </w:pPr>
      <w:r>
        <w:t>Wholesale e</w:t>
      </w:r>
      <w:r w:rsidR="0087635A">
        <w:t xml:space="preserve">lectricity </w:t>
      </w:r>
      <w:r w:rsidR="00CE65B6">
        <w:t xml:space="preserve">spot </w:t>
      </w:r>
      <w:r w:rsidR="00F60EB0" w:rsidRPr="009B1551">
        <w:t>market</w:t>
      </w:r>
    </w:p>
    <w:p w:rsidR="0098079B" w:rsidRDefault="0098079B" w:rsidP="0098079B">
      <w:r>
        <w:t xml:space="preserve">The ACT is included in the </w:t>
      </w:r>
      <w:r w:rsidR="00CF477F">
        <w:t>N</w:t>
      </w:r>
      <w:r w:rsidR="00136958">
        <w:t xml:space="preserve">ew South </w:t>
      </w:r>
      <w:r w:rsidR="00CF477F">
        <w:t>W</w:t>
      </w:r>
      <w:r w:rsidR="00136958">
        <w:t>ales</w:t>
      </w:r>
      <w:r>
        <w:t xml:space="preserve"> region of the </w:t>
      </w:r>
      <w:r w:rsidR="00211B2B">
        <w:t>N</w:t>
      </w:r>
      <w:r>
        <w:t>EM and therefore faces wholesale prices that are determined in N</w:t>
      </w:r>
      <w:r w:rsidR="00136958">
        <w:t>ew South Wales</w:t>
      </w:r>
      <w:r>
        <w:t xml:space="preserve">. </w:t>
      </w:r>
      <w:r w:rsidR="007B2EF8">
        <w:t xml:space="preserve">This implies that </w:t>
      </w:r>
      <w:r w:rsidR="00733802">
        <w:t xml:space="preserve">many of </w:t>
      </w:r>
      <w:r w:rsidR="007B2EF8">
        <w:t xml:space="preserve">the factors </w:t>
      </w:r>
      <w:r w:rsidR="00A329C5">
        <w:t xml:space="preserve">affecting </w:t>
      </w:r>
      <w:r w:rsidR="007B2EF8">
        <w:t xml:space="preserve">the </w:t>
      </w:r>
      <w:r w:rsidR="00136958">
        <w:t xml:space="preserve">New South Wales </w:t>
      </w:r>
      <w:r w:rsidR="007B2EF8">
        <w:t>market</w:t>
      </w:r>
      <w:r w:rsidR="00A329C5">
        <w:t xml:space="preserve"> also </w:t>
      </w:r>
      <w:r w:rsidR="007B2EF8">
        <w:t xml:space="preserve">affect the wholesale price of electricity </w:t>
      </w:r>
      <w:r w:rsidR="00AE11B6">
        <w:t xml:space="preserve">in </w:t>
      </w:r>
      <w:r w:rsidR="007B2EF8">
        <w:t>the ACT.</w:t>
      </w:r>
    </w:p>
    <w:p w:rsidR="0098079B" w:rsidRDefault="0098079B" w:rsidP="0098079B">
      <w:r>
        <w:t xml:space="preserve">An examination of the market </w:t>
      </w:r>
      <w:r w:rsidR="00424244">
        <w:t>over the last 10 years</w:t>
      </w:r>
      <w:r w:rsidR="004841D5">
        <w:t xml:space="preserve"> </w:t>
      </w:r>
      <w:r w:rsidR="00D76A4B">
        <w:t xml:space="preserve">indicates </w:t>
      </w:r>
      <w:r w:rsidR="00424244">
        <w:t xml:space="preserve">that </w:t>
      </w:r>
      <w:r>
        <w:t xml:space="preserve">the spot </w:t>
      </w:r>
      <w:r w:rsidR="00E377DF">
        <w:t xml:space="preserve">market </w:t>
      </w:r>
      <w:r>
        <w:t xml:space="preserve">price for electricity in </w:t>
      </w:r>
      <w:r w:rsidR="00136958">
        <w:t xml:space="preserve">New South Wales </w:t>
      </w:r>
      <w:r>
        <w:t>has remained relatively stable</w:t>
      </w:r>
      <w:r w:rsidR="009A736B">
        <w:t xml:space="preserve"> since 2011</w:t>
      </w:r>
      <w:r w:rsidR="004841D5">
        <w:t>(</w:t>
      </w:r>
      <w:r w:rsidR="00E2593B">
        <w:fldChar w:fldCharType="begin"/>
      </w:r>
      <w:r w:rsidR="004841D5">
        <w:instrText xml:space="preserve"> REF _Ref431986072 \h </w:instrText>
      </w:r>
      <w:r w:rsidR="00E2593B">
        <w:fldChar w:fldCharType="separate"/>
      </w:r>
      <w:r w:rsidR="004325DB" w:rsidRPr="00E4260E">
        <w:t xml:space="preserve">Figure </w:t>
      </w:r>
      <w:r w:rsidR="004325DB">
        <w:rPr>
          <w:noProof/>
        </w:rPr>
        <w:t>3</w:t>
      </w:r>
      <w:r w:rsidR="004325DB" w:rsidRPr="00E4260E">
        <w:t>.</w:t>
      </w:r>
      <w:r w:rsidR="004325DB">
        <w:rPr>
          <w:noProof/>
        </w:rPr>
        <w:t>1</w:t>
      </w:r>
      <w:r w:rsidR="00E2593B">
        <w:fldChar w:fldCharType="end"/>
      </w:r>
      <w:r w:rsidR="004841D5">
        <w:t>)</w:t>
      </w:r>
      <w:r w:rsidR="00E377DF">
        <w:t>.</w:t>
      </w:r>
      <w:r w:rsidR="00B74504">
        <w:t xml:space="preserve"> Since 2011, except on two occasions, once in 2014 and the other in 2015, the average daily spot price has not exceeded $200 per MWh.</w:t>
      </w:r>
      <w:r w:rsidR="00B74504" w:rsidRPr="002C139E">
        <w:rPr>
          <w:rStyle w:val="FootnoteReference"/>
        </w:rPr>
        <w:footnoteReference w:id="16"/>
      </w:r>
      <w:r w:rsidR="00B74504">
        <w:t xml:space="preserve"> While </w:t>
      </w:r>
      <w:r w:rsidR="00952DBB">
        <w:t xml:space="preserve">spot price </w:t>
      </w:r>
      <w:r w:rsidR="00B74504">
        <w:t>volatility remains low</w:t>
      </w:r>
      <w:r w:rsidR="00B74504" w:rsidRPr="00BB2900">
        <w:t xml:space="preserve"> </w:t>
      </w:r>
      <w:r w:rsidR="00B74504">
        <w:t xml:space="preserve">in comparison to the pre-2011 period, </w:t>
      </w:r>
      <w:r w:rsidR="00952DBB">
        <w:t xml:space="preserve">it </w:t>
      </w:r>
      <w:r w:rsidR="00B74504">
        <w:t xml:space="preserve">has increased since </w:t>
      </w:r>
      <w:r w:rsidR="00AD6646">
        <w:t xml:space="preserve">around </w:t>
      </w:r>
      <w:r w:rsidR="00B74504">
        <w:t>October 2015.</w:t>
      </w:r>
    </w:p>
    <w:p w:rsidR="00E4260E" w:rsidRDefault="00E4260E" w:rsidP="00470146">
      <w:pPr>
        <w:pStyle w:val="FigureName0"/>
      </w:pPr>
      <w:bookmarkStart w:id="113" w:name="_Ref431986072"/>
      <w:bookmarkStart w:id="114" w:name="_Toc435700197"/>
      <w:bookmarkStart w:id="115" w:name="_Toc464735383"/>
      <w:r w:rsidRPr="00E4260E">
        <w:lastRenderedPageBreak/>
        <w:t xml:space="preserve">Figure </w:t>
      </w:r>
      <w:r w:rsidR="00E2593B" w:rsidRPr="00E4260E">
        <w:fldChar w:fldCharType="begin"/>
      </w:r>
      <w:r w:rsidRPr="00E4260E">
        <w:instrText xml:space="preserve"> STYLEREF 1 \s </w:instrText>
      </w:r>
      <w:r w:rsidR="00E2593B" w:rsidRPr="00E4260E">
        <w:fldChar w:fldCharType="separate"/>
      </w:r>
      <w:r w:rsidR="004325DB">
        <w:rPr>
          <w:noProof/>
        </w:rPr>
        <w:t>3</w:t>
      </w:r>
      <w:r w:rsidR="00E2593B" w:rsidRPr="00E4260E">
        <w:fldChar w:fldCharType="end"/>
      </w:r>
      <w:r w:rsidRPr="00E4260E">
        <w:t>.</w:t>
      </w:r>
      <w:r w:rsidR="00E2593B" w:rsidRPr="00E4260E">
        <w:fldChar w:fldCharType="begin"/>
      </w:r>
      <w:r w:rsidRPr="00E4260E">
        <w:instrText xml:space="preserve"> SEQ Figure \* ARABIC \s 1 </w:instrText>
      </w:r>
      <w:r w:rsidR="00E2593B" w:rsidRPr="00E4260E">
        <w:fldChar w:fldCharType="separate"/>
      </w:r>
      <w:r w:rsidR="004325DB">
        <w:rPr>
          <w:noProof/>
        </w:rPr>
        <w:t>1</w:t>
      </w:r>
      <w:r w:rsidR="00E2593B" w:rsidRPr="00E4260E">
        <w:fldChar w:fldCharType="end"/>
      </w:r>
      <w:bookmarkEnd w:id="113"/>
      <w:r w:rsidRPr="00E4260E">
        <w:tab/>
      </w:r>
      <w:bookmarkEnd w:id="114"/>
      <w:r w:rsidR="0098079B" w:rsidRPr="005D4090">
        <w:t xml:space="preserve">New South Wales average daily electricity spot prices, July 2005 to </w:t>
      </w:r>
      <w:r w:rsidR="00CE2AF3">
        <w:t>August</w:t>
      </w:r>
      <w:r w:rsidR="00321B94">
        <w:t xml:space="preserve"> </w:t>
      </w:r>
      <w:r w:rsidR="0098079B" w:rsidRPr="005D4090">
        <w:t>2016</w:t>
      </w:r>
      <w:bookmarkEnd w:id="115"/>
    </w:p>
    <w:p w:rsidR="0053340C" w:rsidRDefault="00CE2AF3" w:rsidP="00E6627A">
      <w:pPr>
        <w:pStyle w:val="TableNotesLast"/>
        <w:rPr>
          <w:noProof/>
          <w:lang w:val="en-AU" w:eastAsia="en-AU"/>
        </w:rPr>
      </w:pPr>
      <w:r>
        <w:rPr>
          <w:noProof/>
          <w:lang w:val="en-AU" w:eastAsia="en-AU"/>
        </w:rPr>
        <w:drawing>
          <wp:inline distT="0" distB="0" distL="0" distR="0">
            <wp:extent cx="5055398" cy="2078182"/>
            <wp:effectExtent l="19050" t="0" r="11902"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70970" w:rsidRDefault="00670970" w:rsidP="00E6627A">
      <w:pPr>
        <w:pStyle w:val="TableNotesLast"/>
      </w:pPr>
      <w:r>
        <w:t>Source:</w:t>
      </w:r>
      <w:r w:rsidR="00AB0AA7">
        <w:tab/>
      </w:r>
      <w:r>
        <w:t xml:space="preserve">AEMO data </w:t>
      </w:r>
    </w:p>
    <w:p w:rsidR="005E7CC7" w:rsidRDefault="001634E4" w:rsidP="005A706E">
      <w:r>
        <w:t xml:space="preserve">The AER </w:t>
      </w:r>
      <w:r w:rsidR="00B935CB">
        <w:t xml:space="preserve">recently published a report on winter energy prices, which noted that the </w:t>
      </w:r>
      <w:r>
        <w:t>average monthly wholesale electricity prices in eastern Australia, including New South Wales, were unusually high in June and July 2016, well above the long-term monthly averages.</w:t>
      </w:r>
      <w:r>
        <w:rPr>
          <w:rStyle w:val="FootnoteReference"/>
        </w:rPr>
        <w:footnoteReference w:id="17"/>
      </w:r>
      <w:r>
        <w:t xml:space="preserve"> According to the AER</w:t>
      </w:r>
      <w:r w:rsidR="00814363">
        <w:t>’s</w:t>
      </w:r>
      <w:r w:rsidR="00942C33">
        <w:t xml:space="preserve"> report</w:t>
      </w:r>
      <w:r>
        <w:t>, the primary driver of th</w:t>
      </w:r>
      <w:r w:rsidR="008F1F6D">
        <w:t>e</w:t>
      </w:r>
      <w:r>
        <w:t xml:space="preserve"> </w:t>
      </w:r>
      <w:r w:rsidR="00B0778C">
        <w:t xml:space="preserve">high winter prices </w:t>
      </w:r>
      <w:r>
        <w:t>w</w:t>
      </w:r>
      <w:r w:rsidR="008F1F6D">
        <w:t>as</w:t>
      </w:r>
      <w:r>
        <w:t xml:space="preserve"> reduced coal power capacity </w:t>
      </w:r>
      <w:r w:rsidR="008F1F6D">
        <w:t>coupled with high fuel costs for gas plants that were required to meet demand</w:t>
      </w:r>
      <w:r>
        <w:t>.</w:t>
      </w:r>
    </w:p>
    <w:p w:rsidR="00D76A4B" w:rsidRDefault="005E7CC7" w:rsidP="005A706E">
      <w:r>
        <w:t>A review of quarterly average spot prices</w:t>
      </w:r>
      <w:r w:rsidR="00554D83">
        <w:t xml:space="preserve"> shows</w:t>
      </w:r>
      <w:r w:rsidR="006958D6">
        <w:t xml:space="preserve"> the impact of the high spot prices in the second quarter of 2016, with an average spot price of $76.75 per MWh, more than double the average price for the same quarter the previous year</w:t>
      </w:r>
      <w:r w:rsidR="00554D83">
        <w:t xml:space="preserve"> (</w:t>
      </w:r>
      <w:r w:rsidR="00E2593B">
        <w:fldChar w:fldCharType="begin"/>
      </w:r>
      <w:r w:rsidR="00554D83">
        <w:instrText xml:space="preserve"> REF _Ref461183319 \h </w:instrText>
      </w:r>
      <w:r w:rsidR="00E2593B">
        <w:fldChar w:fldCharType="separate"/>
      </w:r>
      <w:r w:rsidR="004325DB" w:rsidRPr="00E4260E">
        <w:t xml:space="preserve">Figure </w:t>
      </w:r>
      <w:r w:rsidR="004325DB">
        <w:rPr>
          <w:noProof/>
        </w:rPr>
        <w:t>3</w:t>
      </w:r>
      <w:r w:rsidR="004325DB" w:rsidRPr="00E4260E">
        <w:t>.</w:t>
      </w:r>
      <w:r w:rsidR="004325DB">
        <w:rPr>
          <w:noProof/>
        </w:rPr>
        <w:t>2</w:t>
      </w:r>
      <w:r w:rsidR="00E2593B">
        <w:fldChar w:fldCharType="end"/>
      </w:r>
      <w:r w:rsidR="00554D83">
        <w:t>)</w:t>
      </w:r>
      <w:r w:rsidR="004439C3">
        <w:t xml:space="preserve">. </w:t>
      </w:r>
    </w:p>
    <w:p w:rsidR="005E7CC7" w:rsidRDefault="005E7CC7" w:rsidP="000168AD">
      <w:pPr>
        <w:pStyle w:val="FigureName0"/>
        <w:keepLines/>
      </w:pPr>
      <w:bookmarkStart w:id="116" w:name="_Ref461183319"/>
      <w:bookmarkStart w:id="117" w:name="_Toc464735384"/>
      <w:r w:rsidRPr="00E4260E">
        <w:t xml:space="preserve">Figure </w:t>
      </w:r>
      <w:r w:rsidR="00E2593B" w:rsidRPr="00E4260E">
        <w:fldChar w:fldCharType="begin"/>
      </w:r>
      <w:r w:rsidRPr="00E4260E">
        <w:instrText xml:space="preserve"> STYLEREF 1 \s </w:instrText>
      </w:r>
      <w:r w:rsidR="00E2593B" w:rsidRPr="00E4260E">
        <w:fldChar w:fldCharType="separate"/>
      </w:r>
      <w:r w:rsidR="004325DB">
        <w:rPr>
          <w:noProof/>
        </w:rPr>
        <w:t>3</w:t>
      </w:r>
      <w:r w:rsidR="00E2593B" w:rsidRPr="00E4260E">
        <w:fldChar w:fldCharType="end"/>
      </w:r>
      <w:r w:rsidRPr="00E4260E">
        <w:t>.</w:t>
      </w:r>
      <w:r w:rsidR="00E2593B" w:rsidRPr="00E4260E">
        <w:fldChar w:fldCharType="begin"/>
      </w:r>
      <w:r w:rsidRPr="00E4260E">
        <w:instrText xml:space="preserve"> SEQ Figure \* ARABIC \s 1 </w:instrText>
      </w:r>
      <w:r w:rsidR="00E2593B" w:rsidRPr="00E4260E">
        <w:fldChar w:fldCharType="separate"/>
      </w:r>
      <w:r w:rsidR="004325DB">
        <w:rPr>
          <w:noProof/>
        </w:rPr>
        <w:t>2</w:t>
      </w:r>
      <w:r w:rsidR="00E2593B" w:rsidRPr="00E4260E">
        <w:fldChar w:fldCharType="end"/>
      </w:r>
      <w:bookmarkEnd w:id="116"/>
      <w:r w:rsidRPr="00E4260E">
        <w:tab/>
      </w:r>
      <w:r w:rsidRPr="005D4090">
        <w:t xml:space="preserve">New South Wales average </w:t>
      </w:r>
      <w:r>
        <w:t xml:space="preserve">quarterly </w:t>
      </w:r>
      <w:r w:rsidRPr="005D4090">
        <w:t>electricity spot prices, 20</w:t>
      </w:r>
      <w:r>
        <w:t>14</w:t>
      </w:r>
      <w:r w:rsidRPr="005D4090">
        <w:t xml:space="preserve"> to 2016</w:t>
      </w:r>
      <w:bookmarkEnd w:id="117"/>
    </w:p>
    <w:p w:rsidR="005E7CC7" w:rsidRDefault="000168AD" w:rsidP="000168AD">
      <w:pPr>
        <w:pStyle w:val="TableNotesLast"/>
        <w:rPr>
          <w:noProof/>
          <w:lang w:val="en-AU" w:eastAsia="en-AU"/>
        </w:rPr>
      </w:pPr>
      <w:r>
        <w:rPr>
          <w:noProof/>
          <w:lang w:val="en-AU" w:eastAsia="en-AU"/>
        </w:rPr>
        <w:drawing>
          <wp:inline distT="0" distB="0" distL="0" distR="0">
            <wp:extent cx="4991100" cy="2072640"/>
            <wp:effectExtent l="0" t="0" r="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E7CC7" w:rsidRDefault="005E7CC7" w:rsidP="000168AD">
      <w:pPr>
        <w:pStyle w:val="TableNotesLast"/>
      </w:pPr>
      <w:r>
        <w:t>Source:</w:t>
      </w:r>
      <w:r>
        <w:tab/>
        <w:t xml:space="preserve">AEMO data </w:t>
      </w:r>
    </w:p>
    <w:p w:rsidR="005E7CC7" w:rsidRDefault="009C1545" w:rsidP="005A706E">
      <w:r>
        <w:lastRenderedPageBreak/>
        <w:t>The quarterly data also show that the decline in average quarterly prices in 2014</w:t>
      </w:r>
      <w:r>
        <w:sym w:font="Symbol" w:char="F02D"/>
      </w:r>
      <w:r>
        <w:t>15, primarily due to falling electricity demand, has been reversed.</w:t>
      </w:r>
      <w:r>
        <w:rPr>
          <w:rStyle w:val="FootnoteReference"/>
        </w:rPr>
        <w:footnoteReference w:id="18"/>
      </w:r>
      <w:r w:rsidR="006235B1">
        <w:t xml:space="preserve"> </w:t>
      </w:r>
      <w:r w:rsidR="00E2593B">
        <w:fldChar w:fldCharType="begin"/>
      </w:r>
      <w:r w:rsidR="006235B1">
        <w:instrText xml:space="preserve"> REF _Ref459276908 \h </w:instrText>
      </w:r>
      <w:r w:rsidR="00E2593B">
        <w:fldChar w:fldCharType="separate"/>
      </w:r>
      <w:r w:rsidR="004325DB" w:rsidRPr="00E4260E">
        <w:t xml:space="preserve">Figure </w:t>
      </w:r>
      <w:r w:rsidR="004325DB">
        <w:rPr>
          <w:noProof/>
        </w:rPr>
        <w:t>3</w:t>
      </w:r>
      <w:r w:rsidR="004325DB" w:rsidRPr="00E4260E">
        <w:t>.</w:t>
      </w:r>
      <w:r w:rsidR="004325DB">
        <w:rPr>
          <w:noProof/>
        </w:rPr>
        <w:t>3</w:t>
      </w:r>
      <w:r w:rsidR="00E2593B">
        <w:fldChar w:fldCharType="end"/>
      </w:r>
      <w:r w:rsidR="006235B1">
        <w:t xml:space="preserve"> shows total New South Wales electricity demand. The declining trend in evidence since 2008</w:t>
      </w:r>
      <w:r w:rsidR="006235B1">
        <w:sym w:font="Symbol" w:char="F02D"/>
      </w:r>
      <w:r w:rsidR="006235B1">
        <w:t xml:space="preserve">09 </w:t>
      </w:r>
      <w:r w:rsidR="0049414D">
        <w:t xml:space="preserve">was arrested </w:t>
      </w:r>
      <w:r w:rsidR="006235B1">
        <w:t>in 2014</w:t>
      </w:r>
      <w:r w:rsidR="006235B1">
        <w:sym w:font="Symbol" w:char="F02D"/>
      </w:r>
      <w:r w:rsidR="006235B1">
        <w:t>15, with 2015</w:t>
      </w:r>
      <w:r w:rsidR="006235B1">
        <w:sym w:font="Symbol" w:char="F02D"/>
      </w:r>
      <w:r w:rsidR="006235B1">
        <w:t>16 showing a</w:t>
      </w:r>
      <w:r w:rsidR="0049414D">
        <w:t xml:space="preserve"> rise </w:t>
      </w:r>
      <w:r w:rsidR="006235B1">
        <w:t>in demand.</w:t>
      </w:r>
    </w:p>
    <w:p w:rsidR="00CA70D7" w:rsidRDefault="00CA70D7" w:rsidP="00446D7D">
      <w:pPr>
        <w:pStyle w:val="FigureName0"/>
      </w:pPr>
      <w:bookmarkStart w:id="118" w:name="_Ref459276908"/>
      <w:bookmarkStart w:id="119" w:name="_Toc464735385"/>
      <w:r w:rsidRPr="00E4260E">
        <w:t xml:space="preserve">Figure </w:t>
      </w:r>
      <w:r w:rsidR="00E2593B" w:rsidRPr="00E4260E">
        <w:fldChar w:fldCharType="begin"/>
      </w:r>
      <w:r w:rsidRPr="00E4260E">
        <w:instrText xml:space="preserve"> STYLEREF 1 \s </w:instrText>
      </w:r>
      <w:r w:rsidR="00E2593B" w:rsidRPr="00E4260E">
        <w:fldChar w:fldCharType="separate"/>
      </w:r>
      <w:r w:rsidR="004325DB">
        <w:rPr>
          <w:noProof/>
        </w:rPr>
        <w:t>3</w:t>
      </w:r>
      <w:r w:rsidR="00E2593B" w:rsidRPr="00E4260E">
        <w:fldChar w:fldCharType="end"/>
      </w:r>
      <w:r w:rsidRPr="00E4260E">
        <w:t>.</w:t>
      </w:r>
      <w:r w:rsidR="00E2593B" w:rsidRPr="00E4260E">
        <w:fldChar w:fldCharType="begin"/>
      </w:r>
      <w:r w:rsidRPr="00E4260E">
        <w:instrText xml:space="preserve"> SEQ Figure \* ARABIC \s 1 </w:instrText>
      </w:r>
      <w:r w:rsidR="00E2593B" w:rsidRPr="00E4260E">
        <w:fldChar w:fldCharType="separate"/>
      </w:r>
      <w:r w:rsidR="004325DB">
        <w:rPr>
          <w:noProof/>
        </w:rPr>
        <w:t>3</w:t>
      </w:r>
      <w:r w:rsidR="00E2593B" w:rsidRPr="00E4260E">
        <w:fldChar w:fldCharType="end"/>
      </w:r>
      <w:bookmarkEnd w:id="118"/>
      <w:r w:rsidRPr="00E4260E">
        <w:tab/>
      </w:r>
      <w:r w:rsidR="00BA4FE5">
        <w:t>T</w:t>
      </w:r>
      <w:r>
        <w:t>otal annual energy consumption</w:t>
      </w:r>
      <w:r w:rsidR="00BA4FE5">
        <w:t xml:space="preserve"> by New South Wales</w:t>
      </w:r>
      <w:r w:rsidR="00E62515">
        <w:t xml:space="preserve">, </w:t>
      </w:r>
      <w:r w:rsidR="001C5E8F">
        <w:t>1999</w:t>
      </w:r>
      <w:r w:rsidRPr="00A015EC">
        <w:sym w:font="Symbol" w:char="F02D"/>
      </w:r>
      <w:r w:rsidR="001C5E8F">
        <w:t>00</w:t>
      </w:r>
      <w:r>
        <w:t xml:space="preserve"> to 2015</w:t>
      </w:r>
      <w:r w:rsidRPr="00A015EC">
        <w:sym w:font="Symbol" w:char="F02D"/>
      </w:r>
      <w:r>
        <w:t>16</w:t>
      </w:r>
      <w:bookmarkEnd w:id="119"/>
    </w:p>
    <w:p w:rsidR="006E1588" w:rsidRDefault="006C1CF1" w:rsidP="006E1588">
      <w:pPr>
        <w:pStyle w:val="TableNotesLast"/>
      </w:pPr>
      <w:r>
        <w:rPr>
          <w:noProof/>
          <w:lang w:val="en-AU" w:eastAsia="en-AU"/>
        </w:rPr>
        <w:drawing>
          <wp:inline distT="0" distB="0" distL="0" distR="0">
            <wp:extent cx="4702175" cy="2412787"/>
            <wp:effectExtent l="0" t="0" r="3175" b="698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A70D7" w:rsidRDefault="00CA70D7" w:rsidP="006E1588">
      <w:pPr>
        <w:pStyle w:val="TableNotesLast"/>
      </w:pPr>
      <w:r>
        <w:t>Source:</w:t>
      </w:r>
      <w:r w:rsidR="00AB0AA7">
        <w:tab/>
      </w:r>
      <w:r>
        <w:t>AER data</w:t>
      </w:r>
      <w:r w:rsidR="00504538">
        <w:t>.</w:t>
      </w:r>
    </w:p>
    <w:p w:rsidR="0082138C" w:rsidRPr="0082138C" w:rsidRDefault="00CE65B6" w:rsidP="000D0A0D">
      <w:pPr>
        <w:pStyle w:val="Heading3"/>
      </w:pPr>
      <w:r>
        <w:t>Wholesale electricity f</w:t>
      </w:r>
      <w:r w:rsidR="0082138C" w:rsidRPr="0082138C">
        <w:t>utures market</w:t>
      </w:r>
    </w:p>
    <w:p w:rsidR="0082138C" w:rsidRPr="0082138C" w:rsidRDefault="00551B78" w:rsidP="0082138C">
      <w:r>
        <w:t>T</w:t>
      </w:r>
      <w:r w:rsidR="00644C96">
        <w:t xml:space="preserve">he Commission </w:t>
      </w:r>
      <w:r w:rsidR="00B9494C">
        <w:t>relies on futures market data</w:t>
      </w:r>
      <w:r w:rsidR="009D7CDB">
        <w:t xml:space="preserve"> for its forward price calculation</w:t>
      </w:r>
      <w:r w:rsidR="00644C96">
        <w:t xml:space="preserve">. </w:t>
      </w:r>
      <w:r w:rsidR="00E2593B">
        <w:fldChar w:fldCharType="begin"/>
      </w:r>
      <w:r w:rsidR="009D7CDB">
        <w:instrText xml:space="preserve"> REF _Ref461185140 \h </w:instrText>
      </w:r>
      <w:r w:rsidR="00E2593B">
        <w:fldChar w:fldCharType="separate"/>
      </w:r>
      <w:r w:rsidR="004325DB" w:rsidRPr="00E4260E">
        <w:t xml:space="preserve">Figure </w:t>
      </w:r>
      <w:r w:rsidR="004325DB">
        <w:rPr>
          <w:noProof/>
        </w:rPr>
        <w:t>3</w:t>
      </w:r>
      <w:r w:rsidR="004325DB" w:rsidRPr="00E4260E">
        <w:t>.</w:t>
      </w:r>
      <w:r w:rsidR="004325DB">
        <w:rPr>
          <w:noProof/>
        </w:rPr>
        <w:t>4</w:t>
      </w:r>
      <w:r w:rsidR="00E2593B">
        <w:fldChar w:fldCharType="end"/>
      </w:r>
      <w:r w:rsidR="00644C96">
        <w:t xml:space="preserve"> </w:t>
      </w:r>
      <w:r w:rsidR="009D7CDB">
        <w:t xml:space="preserve">shows the </w:t>
      </w:r>
      <w:r w:rsidR="00BE1A03">
        <w:t xml:space="preserve">daily </w:t>
      </w:r>
      <w:r w:rsidR="009D7CDB">
        <w:t xml:space="preserve">forward </w:t>
      </w:r>
      <w:r w:rsidR="00BE1A03">
        <w:t xml:space="preserve">price </w:t>
      </w:r>
      <w:r w:rsidR="00AC6F3F">
        <w:t xml:space="preserve">data </w:t>
      </w:r>
      <w:r w:rsidR="0042029B">
        <w:t>for the upcoming 2017</w:t>
      </w:r>
      <w:r w:rsidR="0042029B">
        <w:sym w:font="Symbol" w:char="F02D"/>
      </w:r>
      <w:r w:rsidR="0042029B">
        <w:t>18 regulatory year.</w:t>
      </w:r>
      <w:r w:rsidR="00C66D3A">
        <w:rPr>
          <w:rStyle w:val="FootnoteReference"/>
        </w:rPr>
        <w:footnoteReference w:id="19"/>
      </w:r>
      <w:r w:rsidR="0042029B">
        <w:t xml:space="preserve"> </w:t>
      </w:r>
      <w:r w:rsidR="00954A86">
        <w:t>Since about April this year, t</w:t>
      </w:r>
      <w:r w:rsidR="006A6683">
        <w:t>he forward price has shown a</w:t>
      </w:r>
      <w:r w:rsidR="00BA7D88">
        <w:t xml:space="preserve"> significant </w:t>
      </w:r>
      <w:r w:rsidR="006A6683">
        <w:t>upward trend</w:t>
      </w:r>
      <w:r w:rsidR="00BA7D88">
        <w:t xml:space="preserve">. This may </w:t>
      </w:r>
      <w:r w:rsidR="008F1878">
        <w:rPr>
          <w:rStyle w:val="HighlightYellow"/>
          <w:shd w:val="clear" w:color="auto" w:fill="auto"/>
        </w:rPr>
        <w:t>exert</w:t>
      </w:r>
      <w:r w:rsidR="00BA7D88">
        <w:rPr>
          <w:rStyle w:val="HighlightYellow"/>
          <w:shd w:val="clear" w:color="auto" w:fill="auto"/>
        </w:rPr>
        <w:t xml:space="preserve"> s</w:t>
      </w:r>
      <w:r w:rsidR="008F1878">
        <w:t>ignificant influence on electricity prices</w:t>
      </w:r>
      <w:r w:rsidR="005555E1">
        <w:t xml:space="preserve">. </w:t>
      </w:r>
    </w:p>
    <w:p w:rsidR="00644C96" w:rsidRDefault="00644C96" w:rsidP="00644C96">
      <w:pPr>
        <w:pStyle w:val="FigureName0"/>
      </w:pPr>
      <w:bookmarkStart w:id="120" w:name="_Ref461185140"/>
      <w:bookmarkStart w:id="121" w:name="_Toc464735386"/>
      <w:r w:rsidRPr="00E4260E">
        <w:lastRenderedPageBreak/>
        <w:t xml:space="preserve">Figure </w:t>
      </w:r>
      <w:r w:rsidR="00E2593B" w:rsidRPr="00E4260E">
        <w:fldChar w:fldCharType="begin"/>
      </w:r>
      <w:r w:rsidRPr="00E4260E">
        <w:instrText xml:space="preserve"> STYLEREF 1 \s </w:instrText>
      </w:r>
      <w:r w:rsidR="00E2593B" w:rsidRPr="00E4260E">
        <w:fldChar w:fldCharType="separate"/>
      </w:r>
      <w:r w:rsidR="004325DB">
        <w:rPr>
          <w:noProof/>
        </w:rPr>
        <w:t>3</w:t>
      </w:r>
      <w:r w:rsidR="00E2593B" w:rsidRPr="00E4260E">
        <w:fldChar w:fldCharType="end"/>
      </w:r>
      <w:r w:rsidRPr="00E4260E">
        <w:t>.</w:t>
      </w:r>
      <w:r w:rsidR="00E2593B" w:rsidRPr="00E4260E">
        <w:fldChar w:fldCharType="begin"/>
      </w:r>
      <w:r w:rsidRPr="00E4260E">
        <w:instrText xml:space="preserve"> SEQ Figure \* ARABIC \s 1 </w:instrText>
      </w:r>
      <w:r w:rsidR="00E2593B" w:rsidRPr="00E4260E">
        <w:fldChar w:fldCharType="separate"/>
      </w:r>
      <w:r w:rsidR="004325DB">
        <w:rPr>
          <w:noProof/>
        </w:rPr>
        <w:t>4</w:t>
      </w:r>
      <w:r w:rsidR="00E2593B" w:rsidRPr="00E4260E">
        <w:fldChar w:fldCharType="end"/>
      </w:r>
      <w:bookmarkEnd w:id="120"/>
      <w:r w:rsidRPr="00E4260E">
        <w:tab/>
      </w:r>
      <w:r w:rsidR="00C66D3A">
        <w:t>ICAP over-the</w:t>
      </w:r>
      <w:r w:rsidR="00727ADE">
        <w:t>-</w:t>
      </w:r>
      <w:r w:rsidR="00C66D3A">
        <w:t>counter contract f</w:t>
      </w:r>
      <w:r>
        <w:t>orward prices</w:t>
      </w:r>
      <w:r w:rsidR="009E1194">
        <w:t>,</w:t>
      </w:r>
      <w:r w:rsidR="00BB5711">
        <w:t xml:space="preserve"> 2017</w:t>
      </w:r>
      <w:r w:rsidR="00BB5711">
        <w:sym w:font="Symbol" w:char="F02D"/>
      </w:r>
      <w:r w:rsidR="00BB5711">
        <w:t>18</w:t>
      </w:r>
      <w:bookmarkEnd w:id="121"/>
    </w:p>
    <w:p w:rsidR="00644C96" w:rsidRDefault="005C5EBF" w:rsidP="00644C96">
      <w:pPr>
        <w:pStyle w:val="TableNotesLast"/>
      </w:pPr>
      <w:r>
        <w:rPr>
          <w:noProof/>
          <w:lang w:val="en-AU" w:eastAsia="en-AU"/>
        </w:rPr>
        <w:drawing>
          <wp:inline distT="0" distB="0" distL="0" distR="0">
            <wp:extent cx="5071110" cy="2433145"/>
            <wp:effectExtent l="0" t="0" r="15240" b="57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2138C" w:rsidRPr="0082138C" w:rsidRDefault="00644C96" w:rsidP="00421488">
      <w:pPr>
        <w:pStyle w:val="TableNotesLast"/>
      </w:pPr>
      <w:r>
        <w:t>Source:</w:t>
      </w:r>
      <w:r>
        <w:tab/>
      </w:r>
      <w:r w:rsidR="00952E22">
        <w:t xml:space="preserve">ICAP </w:t>
      </w:r>
      <w:r>
        <w:t>data.</w:t>
      </w:r>
    </w:p>
    <w:p w:rsidR="0087635A" w:rsidRPr="0087635A" w:rsidRDefault="00BC0F7B" w:rsidP="000D0A0D">
      <w:pPr>
        <w:pStyle w:val="Heading3"/>
      </w:pPr>
      <w:r>
        <w:t xml:space="preserve">National environmental </w:t>
      </w:r>
      <w:r w:rsidR="00342A3B">
        <w:t xml:space="preserve">schemes </w:t>
      </w:r>
      <w:r>
        <w:t>spot market</w:t>
      </w:r>
    </w:p>
    <w:p w:rsidR="0087635A" w:rsidRDefault="003141F7" w:rsidP="0087635A">
      <w:r>
        <w:t xml:space="preserve">Clause </w:t>
      </w:r>
      <w:r w:rsidR="00BA2E07">
        <w:t>3(</w:t>
      </w:r>
      <w:r w:rsidR="004043B9">
        <w:t>1</w:t>
      </w:r>
      <w:r w:rsidR="00BA2E07">
        <w:t>)</w:t>
      </w:r>
      <w:r w:rsidR="004043B9">
        <w:t xml:space="preserve">(a) of the </w:t>
      </w:r>
      <w:r w:rsidR="008F3F17">
        <w:t>T</w:t>
      </w:r>
      <w:r w:rsidR="004043B9">
        <w:t xml:space="preserve">erms of </w:t>
      </w:r>
      <w:r w:rsidR="008F3F17">
        <w:t>R</w:t>
      </w:r>
      <w:r w:rsidR="004043B9">
        <w:t>eference requires the Commission to consider the direct impact on electricity costs of the Commonwealth Government’s LRE</w:t>
      </w:r>
      <w:r w:rsidR="00733802">
        <w:t>T</w:t>
      </w:r>
      <w:r w:rsidR="004043B9">
        <w:t xml:space="preserve"> and SRES schemes. </w:t>
      </w:r>
      <w:r w:rsidR="00DE3C17">
        <w:t>In order to calculate the cost of complying with the</w:t>
      </w:r>
      <w:r w:rsidR="00DD097B">
        <w:t xml:space="preserve">se </w:t>
      </w:r>
      <w:r w:rsidR="00DE3C17">
        <w:t>national environmental schemes, the Commission</w:t>
      </w:r>
      <w:r w:rsidR="00263DD9">
        <w:t xml:space="preserve"> </w:t>
      </w:r>
      <w:r w:rsidR="00DE3C17">
        <w:t>utilises spot market data for LGC</w:t>
      </w:r>
      <w:r w:rsidR="002B0CF3">
        <w:t>s</w:t>
      </w:r>
      <w:r w:rsidR="00DE3C17">
        <w:t xml:space="preserve"> and STC</w:t>
      </w:r>
      <w:r w:rsidR="002B0CF3">
        <w:t>s</w:t>
      </w:r>
      <w:r w:rsidR="00DE3C17">
        <w:t>.</w:t>
      </w:r>
      <w:r w:rsidR="004043B9">
        <w:t xml:space="preserve"> </w:t>
      </w:r>
    </w:p>
    <w:p w:rsidR="00F232D3" w:rsidRDefault="00E2593B" w:rsidP="00EF5FD5">
      <w:r>
        <w:fldChar w:fldCharType="begin"/>
      </w:r>
      <w:r w:rsidR="00A0527F">
        <w:instrText xml:space="preserve"> REF _Ref373322066 \h </w:instrText>
      </w:r>
      <w:r>
        <w:fldChar w:fldCharType="separate"/>
      </w:r>
      <w:r w:rsidR="004325DB" w:rsidRPr="00DB3C19">
        <w:t xml:space="preserve">Figure </w:t>
      </w:r>
      <w:r w:rsidR="004325DB">
        <w:rPr>
          <w:noProof/>
        </w:rPr>
        <w:t>3</w:t>
      </w:r>
      <w:r w:rsidR="004325DB" w:rsidRPr="00F33AB7">
        <w:t>.</w:t>
      </w:r>
      <w:r w:rsidR="004325DB">
        <w:rPr>
          <w:noProof/>
        </w:rPr>
        <w:t>5</w:t>
      </w:r>
      <w:r>
        <w:fldChar w:fldCharType="end"/>
      </w:r>
      <w:r w:rsidR="00A0527F">
        <w:t xml:space="preserve"> shows daily LGC spot prices since July 2013. </w:t>
      </w:r>
      <w:r w:rsidR="00D20F1C">
        <w:t>P</w:t>
      </w:r>
      <w:r w:rsidR="00ED571F">
        <w:t>rices remain</w:t>
      </w:r>
      <w:r w:rsidR="00D20F1C">
        <w:t xml:space="preserve"> at historically high levels with current prices at about $87.50 per certificate</w:t>
      </w:r>
      <w:r w:rsidR="00F656E0">
        <w:t xml:space="preserve">. </w:t>
      </w:r>
    </w:p>
    <w:p w:rsidR="001203E4" w:rsidRDefault="001203E4" w:rsidP="001203E4">
      <w:pPr>
        <w:pStyle w:val="TableName"/>
        <w:keepNext/>
      </w:pPr>
      <w:bookmarkStart w:id="122" w:name="_Ref373322066"/>
      <w:bookmarkStart w:id="123" w:name="_Toc378334228"/>
      <w:bookmarkStart w:id="124" w:name="_Toc380052177"/>
      <w:bookmarkStart w:id="125" w:name="_Toc453223692"/>
      <w:bookmarkStart w:id="126" w:name="_Toc464735387"/>
      <w:r w:rsidRPr="00DB3C19">
        <w:lastRenderedPageBreak/>
        <w:t xml:space="preserve">Figure </w:t>
      </w:r>
      <w:r w:rsidR="00E2593B">
        <w:fldChar w:fldCharType="begin"/>
      </w:r>
      <w:r>
        <w:instrText xml:space="preserve"> STYLEREF 1 \s </w:instrText>
      </w:r>
      <w:r w:rsidR="00E2593B">
        <w:fldChar w:fldCharType="separate"/>
      </w:r>
      <w:r w:rsidR="004325DB">
        <w:rPr>
          <w:noProof/>
        </w:rPr>
        <w:t>3</w:t>
      </w:r>
      <w:r w:rsidR="00E2593B">
        <w:fldChar w:fldCharType="end"/>
      </w:r>
      <w:r w:rsidRPr="00F33AB7">
        <w:t>.</w:t>
      </w:r>
      <w:r w:rsidR="00E2593B">
        <w:fldChar w:fldCharType="begin"/>
      </w:r>
      <w:r>
        <w:instrText xml:space="preserve"> SEQ Figure \* ARABIC \s 1 </w:instrText>
      </w:r>
      <w:r w:rsidR="00E2593B">
        <w:fldChar w:fldCharType="separate"/>
      </w:r>
      <w:r w:rsidR="004325DB">
        <w:rPr>
          <w:noProof/>
        </w:rPr>
        <w:t>5</w:t>
      </w:r>
      <w:r w:rsidR="00E2593B">
        <w:fldChar w:fldCharType="end"/>
      </w:r>
      <w:bookmarkEnd w:id="122"/>
      <w:r w:rsidRPr="00F33AB7">
        <w:tab/>
        <w:t>L</w:t>
      </w:r>
      <w:r>
        <w:t>GC</w:t>
      </w:r>
      <w:r w:rsidRPr="00F33AB7">
        <w:t xml:space="preserve"> spot price</w:t>
      </w:r>
      <w:r>
        <w:t xml:space="preserve">s, </w:t>
      </w:r>
      <w:r w:rsidRPr="00F33AB7">
        <w:t>July 2013</w:t>
      </w:r>
      <w:bookmarkEnd w:id="123"/>
      <w:bookmarkEnd w:id="124"/>
      <w:r>
        <w:t xml:space="preserve"> to September 2016</w:t>
      </w:r>
      <w:bookmarkEnd w:id="125"/>
      <w:bookmarkEnd w:id="126"/>
    </w:p>
    <w:p w:rsidR="001203E4" w:rsidRDefault="001203E4" w:rsidP="001203E4">
      <w:pPr>
        <w:keepNext/>
      </w:pPr>
      <w:r>
        <w:rPr>
          <w:noProof/>
          <w:lang w:val="en-AU" w:eastAsia="en-AU"/>
        </w:rPr>
        <w:drawing>
          <wp:inline distT="0" distB="0" distL="0" distR="0">
            <wp:extent cx="4591050" cy="2317532"/>
            <wp:effectExtent l="0" t="0" r="0" b="69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203E4" w:rsidRDefault="001203E4" w:rsidP="001203E4">
      <w:pPr>
        <w:pStyle w:val="TableNotesLast"/>
        <w:keepNext/>
      </w:pPr>
      <w:r>
        <w:t>Source:</w:t>
      </w:r>
      <w:r>
        <w:tab/>
        <w:t>ICAP data.</w:t>
      </w:r>
    </w:p>
    <w:p w:rsidR="001203E4" w:rsidRDefault="00DD097B" w:rsidP="0087635A">
      <w:r>
        <w:t xml:space="preserve">As shown in </w:t>
      </w:r>
      <w:r w:rsidR="00E2593B">
        <w:fldChar w:fldCharType="begin"/>
      </w:r>
      <w:r>
        <w:instrText xml:space="preserve"> REF _Ref373336862 \h </w:instrText>
      </w:r>
      <w:r w:rsidR="00E2593B">
        <w:fldChar w:fldCharType="separate"/>
      </w:r>
      <w:r w:rsidR="004325DB" w:rsidRPr="00DB3C19">
        <w:t xml:space="preserve">Figure </w:t>
      </w:r>
      <w:r w:rsidR="004325DB">
        <w:rPr>
          <w:noProof/>
        </w:rPr>
        <w:t>3</w:t>
      </w:r>
      <w:r w:rsidR="004325DB" w:rsidRPr="00180624">
        <w:t>.</w:t>
      </w:r>
      <w:r w:rsidR="004325DB">
        <w:rPr>
          <w:noProof/>
        </w:rPr>
        <w:t>6</w:t>
      </w:r>
      <w:r w:rsidR="00E2593B">
        <w:fldChar w:fldCharType="end"/>
      </w:r>
      <w:r>
        <w:t>, t</w:t>
      </w:r>
      <w:r w:rsidR="00290EE8" w:rsidRPr="006D5716">
        <w:t>he</w:t>
      </w:r>
      <w:r w:rsidR="00290EE8">
        <w:t xml:space="preserve"> </w:t>
      </w:r>
      <w:r w:rsidR="00290EE8" w:rsidRPr="006D5716">
        <w:t>STC</w:t>
      </w:r>
      <w:r w:rsidR="00290EE8">
        <w:t xml:space="preserve"> </w:t>
      </w:r>
      <w:r>
        <w:t xml:space="preserve">spot </w:t>
      </w:r>
      <w:r w:rsidR="00290EE8">
        <w:t>price</w:t>
      </w:r>
      <w:r>
        <w:t xml:space="preserve"> </w:t>
      </w:r>
      <w:r w:rsidR="00733802">
        <w:t xml:space="preserve">has </w:t>
      </w:r>
      <w:r>
        <w:rPr>
          <w:rStyle w:val="HighlightYellow"/>
          <w:shd w:val="clear" w:color="auto" w:fill="auto"/>
        </w:rPr>
        <w:t xml:space="preserve">also </w:t>
      </w:r>
      <w:r w:rsidR="00290EE8">
        <w:rPr>
          <w:rStyle w:val="HighlightYellow"/>
          <w:shd w:val="clear" w:color="auto" w:fill="auto"/>
        </w:rPr>
        <w:t>remain</w:t>
      </w:r>
      <w:r w:rsidR="00733802">
        <w:rPr>
          <w:rStyle w:val="HighlightYellow"/>
          <w:shd w:val="clear" w:color="auto" w:fill="auto"/>
        </w:rPr>
        <w:t>ed</w:t>
      </w:r>
      <w:r w:rsidR="00290EE8">
        <w:rPr>
          <w:rStyle w:val="HighlightYellow"/>
          <w:shd w:val="clear" w:color="auto" w:fill="auto"/>
        </w:rPr>
        <w:t xml:space="preserve"> </w:t>
      </w:r>
      <w:r>
        <w:rPr>
          <w:rStyle w:val="HighlightYellow"/>
          <w:shd w:val="clear" w:color="auto" w:fill="auto"/>
        </w:rPr>
        <w:t>high</w:t>
      </w:r>
      <w:r w:rsidRPr="00DD097B">
        <w:rPr>
          <w:rStyle w:val="HighlightYellow"/>
          <w:shd w:val="clear" w:color="auto" w:fill="auto"/>
        </w:rPr>
        <w:t xml:space="preserve"> </w:t>
      </w:r>
      <w:r>
        <w:rPr>
          <w:rStyle w:val="HighlightYellow"/>
          <w:shd w:val="clear" w:color="auto" w:fill="auto"/>
        </w:rPr>
        <w:t>since about April 2015 exerting</w:t>
      </w:r>
      <w:r w:rsidRPr="00DD097B">
        <w:t xml:space="preserve"> </w:t>
      </w:r>
      <w:r>
        <w:t>significant influence on the electricity prices.</w:t>
      </w:r>
      <w:r>
        <w:rPr>
          <w:rStyle w:val="FootnoteReference"/>
          <w:szCs w:val="24"/>
        </w:rPr>
        <w:footnoteReference w:id="20"/>
      </w:r>
      <w:r>
        <w:rPr>
          <w:rStyle w:val="HighlightYellow"/>
          <w:shd w:val="clear" w:color="auto" w:fill="auto"/>
        </w:rPr>
        <w:t xml:space="preserve"> </w:t>
      </w:r>
    </w:p>
    <w:p w:rsidR="001203E4" w:rsidRPr="00180624" w:rsidRDefault="001203E4" w:rsidP="001818B6">
      <w:pPr>
        <w:pStyle w:val="TableName"/>
        <w:keepNext/>
      </w:pPr>
      <w:bookmarkStart w:id="127" w:name="_Ref373336862"/>
      <w:bookmarkStart w:id="128" w:name="_Toc378334229"/>
      <w:bookmarkStart w:id="129" w:name="_Toc380052178"/>
      <w:bookmarkStart w:id="130" w:name="_Toc453223693"/>
      <w:bookmarkStart w:id="131" w:name="_Toc464735388"/>
      <w:r w:rsidRPr="00DB3C19">
        <w:t xml:space="preserve">Figure </w:t>
      </w:r>
      <w:r w:rsidR="00E2593B">
        <w:fldChar w:fldCharType="begin"/>
      </w:r>
      <w:r>
        <w:instrText xml:space="preserve"> STYLEREF 1 \s </w:instrText>
      </w:r>
      <w:r w:rsidR="00E2593B">
        <w:fldChar w:fldCharType="separate"/>
      </w:r>
      <w:r w:rsidR="004325DB">
        <w:rPr>
          <w:noProof/>
        </w:rPr>
        <w:t>3</w:t>
      </w:r>
      <w:r w:rsidR="00E2593B">
        <w:fldChar w:fldCharType="end"/>
      </w:r>
      <w:r w:rsidRPr="00180624">
        <w:t>.</w:t>
      </w:r>
      <w:r w:rsidR="00E2593B">
        <w:fldChar w:fldCharType="begin"/>
      </w:r>
      <w:r>
        <w:instrText xml:space="preserve"> SEQ Figure \* ARABIC \s 1 </w:instrText>
      </w:r>
      <w:r w:rsidR="00E2593B">
        <w:fldChar w:fldCharType="separate"/>
      </w:r>
      <w:r w:rsidR="004325DB">
        <w:rPr>
          <w:noProof/>
        </w:rPr>
        <w:t>6</w:t>
      </w:r>
      <w:r w:rsidR="00E2593B">
        <w:fldChar w:fldCharType="end"/>
      </w:r>
      <w:bookmarkEnd w:id="127"/>
      <w:r w:rsidRPr="00180624">
        <w:tab/>
      </w:r>
      <w:r w:rsidRPr="00F33AB7">
        <w:t>S</w:t>
      </w:r>
      <w:r>
        <w:t>TC spot</w:t>
      </w:r>
      <w:r w:rsidRPr="00180624">
        <w:t xml:space="preserve"> price</w:t>
      </w:r>
      <w:r>
        <w:t xml:space="preserve">s, </w:t>
      </w:r>
      <w:r w:rsidRPr="00180624">
        <w:t>July 2013</w:t>
      </w:r>
      <w:bookmarkEnd w:id="128"/>
      <w:bookmarkEnd w:id="129"/>
      <w:r>
        <w:t xml:space="preserve"> to September 2016</w:t>
      </w:r>
      <w:bookmarkEnd w:id="130"/>
      <w:bookmarkEnd w:id="131"/>
    </w:p>
    <w:p w:rsidR="001203E4" w:rsidRDefault="001203E4" w:rsidP="001818B6">
      <w:pPr>
        <w:keepNext/>
      </w:pPr>
      <w:r>
        <w:rPr>
          <w:noProof/>
          <w:lang w:val="en-AU" w:eastAsia="en-AU"/>
        </w:rPr>
        <w:drawing>
          <wp:inline distT="0" distB="0" distL="0" distR="0">
            <wp:extent cx="4265295" cy="2443655"/>
            <wp:effectExtent l="0" t="0" r="1905"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203E4" w:rsidRDefault="001203E4" w:rsidP="001818B6">
      <w:pPr>
        <w:pStyle w:val="TableNotesLast"/>
        <w:keepNext/>
        <w:keepLines w:val="0"/>
      </w:pPr>
      <w:r>
        <w:t>Source:</w:t>
      </w:r>
      <w:r w:rsidRPr="00180624">
        <w:tab/>
        <w:t>ICAP</w:t>
      </w:r>
      <w:r>
        <w:t xml:space="preserve"> data</w:t>
      </w:r>
      <w:r w:rsidRPr="00180624">
        <w:t>.</w:t>
      </w:r>
    </w:p>
    <w:p w:rsidR="00447538" w:rsidRDefault="00447538" w:rsidP="000D0A0D">
      <w:pPr>
        <w:pStyle w:val="Heading3"/>
      </w:pPr>
      <w:r>
        <w:t>ACT retail market</w:t>
      </w:r>
    </w:p>
    <w:p w:rsidR="00B42D9B" w:rsidRDefault="00B42D9B" w:rsidP="00B42D9B">
      <w:pPr>
        <w:pStyle w:val="Heading4"/>
      </w:pPr>
      <w:bookmarkStart w:id="132" w:name="_Ref366755611"/>
      <w:bookmarkStart w:id="133" w:name="_Toc367181957"/>
      <w:bookmarkStart w:id="134" w:name="_Toc368572051"/>
      <w:r>
        <w:t>Introduction</w:t>
      </w:r>
    </w:p>
    <w:p w:rsidR="00706211" w:rsidRDefault="00EE4001" w:rsidP="00447538">
      <w:r>
        <w:t>Unlike other states and territories, t</w:t>
      </w:r>
      <w:r w:rsidR="00447538" w:rsidRPr="008024BE">
        <w:t>he ACT relies almost entirely on electricity generated outside its border.</w:t>
      </w:r>
      <w:r w:rsidR="00447538">
        <w:t xml:space="preserve"> </w:t>
      </w:r>
      <w:r w:rsidR="00447538" w:rsidRPr="008024BE">
        <w:t>Electricity is transported to the ACT by the N</w:t>
      </w:r>
      <w:r w:rsidR="00447538">
        <w:t xml:space="preserve">ew South </w:t>
      </w:r>
      <w:r w:rsidR="00447538">
        <w:lastRenderedPageBreak/>
        <w:t xml:space="preserve">Wales </w:t>
      </w:r>
      <w:r w:rsidR="00447538" w:rsidRPr="008024BE">
        <w:t>transmission network operator TransGrid. Within the ACT</w:t>
      </w:r>
      <w:r w:rsidR="00447538">
        <w:t>,</w:t>
      </w:r>
      <w:r w:rsidR="00447538" w:rsidRPr="008024BE">
        <w:t xml:space="preserve"> electricity is distributed by ActewAGL Distribution</w:t>
      </w:r>
      <w:r w:rsidR="00447538">
        <w:t>,</w:t>
      </w:r>
      <w:r w:rsidR="00447538" w:rsidRPr="008024BE">
        <w:t xml:space="preserve"> which holds the </w:t>
      </w:r>
      <w:r w:rsidR="00447538">
        <w:t>t</w:t>
      </w:r>
      <w:r w:rsidR="00447538" w:rsidRPr="008024BE">
        <w:t>erritory</w:t>
      </w:r>
      <w:r w:rsidR="00447538">
        <w:t>’</w:t>
      </w:r>
      <w:r w:rsidR="00447538" w:rsidRPr="008024BE">
        <w:t>s only electricity distribution network licence.</w:t>
      </w:r>
      <w:r w:rsidR="00706211" w:rsidRPr="00706211">
        <w:t xml:space="preserve"> </w:t>
      </w:r>
      <w:r w:rsidR="00DB4784">
        <w:t>Like other distributors in the NEM, ActewAGL Distribution’s charges are regulated by the AER.</w:t>
      </w:r>
    </w:p>
    <w:p w:rsidR="00706211" w:rsidRDefault="00706211" w:rsidP="00447538">
      <w:r>
        <w:t>The ACT retail market is small relative to other retail markets in the NEM</w:t>
      </w:r>
      <w:r w:rsidR="000031A3">
        <w:t xml:space="preserve">, with </w:t>
      </w:r>
      <w:r w:rsidR="00EE4001">
        <w:t xml:space="preserve">about </w:t>
      </w:r>
      <w:r w:rsidR="000D4B25">
        <w:t>176,000 small customers</w:t>
      </w:r>
      <w:r w:rsidR="000031A3">
        <w:t xml:space="preserve"> as at 31 March 2016 (see </w:t>
      </w:r>
      <w:r w:rsidR="00E2593B">
        <w:fldChar w:fldCharType="begin"/>
      </w:r>
      <w:r w:rsidR="000031A3">
        <w:instrText xml:space="preserve"> REF _Ref459276839 \h </w:instrText>
      </w:r>
      <w:r w:rsidR="00E2593B">
        <w:fldChar w:fldCharType="separate"/>
      </w:r>
      <w:r w:rsidR="004325DB" w:rsidRPr="00E4260E">
        <w:t xml:space="preserve">Figure </w:t>
      </w:r>
      <w:r w:rsidR="004325DB">
        <w:rPr>
          <w:noProof/>
        </w:rPr>
        <w:t>3</w:t>
      </w:r>
      <w:r w:rsidR="004325DB" w:rsidRPr="00E4260E">
        <w:t>.</w:t>
      </w:r>
      <w:r w:rsidR="004325DB">
        <w:rPr>
          <w:noProof/>
        </w:rPr>
        <w:t>7</w:t>
      </w:r>
      <w:r w:rsidR="00E2593B">
        <w:fldChar w:fldCharType="end"/>
      </w:r>
      <w:r w:rsidR="000031A3">
        <w:t>)</w:t>
      </w:r>
      <w:r>
        <w:t>.</w:t>
      </w:r>
    </w:p>
    <w:p w:rsidR="00706211" w:rsidRDefault="00706211" w:rsidP="00706211">
      <w:pPr>
        <w:pStyle w:val="FigureName0"/>
        <w:ind w:left="1077" w:hanging="1077"/>
      </w:pPr>
      <w:bookmarkStart w:id="135" w:name="_Ref459276839"/>
      <w:bookmarkStart w:id="136" w:name="_Toc464735389"/>
      <w:r w:rsidRPr="00E4260E">
        <w:t xml:space="preserve">Figure </w:t>
      </w:r>
      <w:r w:rsidR="00E2593B" w:rsidRPr="00E4260E">
        <w:fldChar w:fldCharType="begin"/>
      </w:r>
      <w:r w:rsidRPr="00E4260E">
        <w:instrText xml:space="preserve"> STYLEREF 1 \s </w:instrText>
      </w:r>
      <w:r w:rsidR="00E2593B" w:rsidRPr="00E4260E">
        <w:fldChar w:fldCharType="separate"/>
      </w:r>
      <w:r w:rsidR="004325DB">
        <w:rPr>
          <w:noProof/>
        </w:rPr>
        <w:t>3</w:t>
      </w:r>
      <w:r w:rsidR="00E2593B" w:rsidRPr="00E4260E">
        <w:fldChar w:fldCharType="end"/>
      </w:r>
      <w:r w:rsidRPr="00E4260E">
        <w:t>.</w:t>
      </w:r>
      <w:r w:rsidR="00E2593B" w:rsidRPr="00E4260E">
        <w:fldChar w:fldCharType="begin"/>
      </w:r>
      <w:r w:rsidRPr="00E4260E">
        <w:instrText xml:space="preserve"> SEQ Figure \* ARABIC \s 1 </w:instrText>
      </w:r>
      <w:r w:rsidR="00E2593B" w:rsidRPr="00E4260E">
        <w:fldChar w:fldCharType="separate"/>
      </w:r>
      <w:r w:rsidR="004325DB">
        <w:rPr>
          <w:noProof/>
        </w:rPr>
        <w:t>7</w:t>
      </w:r>
      <w:r w:rsidR="00E2593B" w:rsidRPr="00E4260E">
        <w:fldChar w:fldCharType="end"/>
      </w:r>
      <w:bookmarkEnd w:id="135"/>
      <w:r w:rsidRPr="00E4260E">
        <w:tab/>
      </w:r>
      <w:r>
        <w:t>Electricity customer numbers and contract type by jurisdiction, 31 March 2016</w:t>
      </w:r>
      <w:bookmarkEnd w:id="136"/>
    </w:p>
    <w:p w:rsidR="00706211" w:rsidRDefault="00706211" w:rsidP="00706211">
      <w:pPr>
        <w:pStyle w:val="TableNotesLast"/>
        <w:rPr>
          <w:noProof/>
          <w:lang w:val="en-AU" w:eastAsia="en-AU"/>
        </w:rPr>
      </w:pPr>
      <w:r>
        <w:rPr>
          <w:noProof/>
          <w:lang w:val="en-AU" w:eastAsia="en-AU"/>
        </w:rPr>
        <w:drawing>
          <wp:inline distT="0" distB="0" distL="0" distR="0">
            <wp:extent cx="4896485" cy="2653862"/>
            <wp:effectExtent l="0" t="0" r="18415" b="133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06211" w:rsidRDefault="00706211" w:rsidP="00C44FE4">
      <w:pPr>
        <w:pStyle w:val="TableNotesLast"/>
        <w:keepNext/>
        <w:spacing w:after="0"/>
      </w:pPr>
      <w:r>
        <w:t>Source:</w:t>
      </w:r>
      <w:r>
        <w:tab/>
        <w:t>AER data.</w:t>
      </w:r>
    </w:p>
    <w:p w:rsidR="00C44FE4" w:rsidRDefault="00C44FE4" w:rsidP="00C44FE4">
      <w:pPr>
        <w:pStyle w:val="TableNotes"/>
        <w:spacing w:before="0"/>
      </w:pPr>
      <w:r>
        <w:t>Note:</w:t>
      </w:r>
      <w:r w:rsidR="009B38EA">
        <w:t xml:space="preserve"> </w:t>
      </w:r>
      <w:r w:rsidR="009A39E7">
        <w:tab/>
      </w:r>
      <w:r w:rsidR="009B38EA">
        <w:t>The AER</w:t>
      </w:r>
      <w:r w:rsidR="003D0CC9">
        <w:t xml:space="preserve"> does not report comparable data for Victoria. </w:t>
      </w:r>
    </w:p>
    <w:p w:rsidR="00C44FE4" w:rsidRDefault="00C44FE4" w:rsidP="00C44FE4">
      <w:pPr>
        <w:pStyle w:val="TableNotes"/>
      </w:pPr>
    </w:p>
    <w:p w:rsidR="00E55C6A" w:rsidRDefault="00E55C6A" w:rsidP="00EF5FD5">
      <w:pPr>
        <w:pStyle w:val="Heading4"/>
      </w:pPr>
      <w:r>
        <w:t>E</w:t>
      </w:r>
      <w:r w:rsidR="00516033">
        <w:t xml:space="preserve">EIS scheme </w:t>
      </w:r>
      <w:r>
        <w:t>and the feed-in-tariff scheme</w:t>
      </w:r>
    </w:p>
    <w:p w:rsidR="00E55C6A" w:rsidRPr="00E55C6A" w:rsidRDefault="00E55C6A" w:rsidP="00E55C6A">
      <w:r w:rsidRPr="00E55C6A">
        <w:t xml:space="preserve">There are jurisdictional requirements that are specific to operating in the </w:t>
      </w:r>
      <w:r w:rsidR="008D1F42">
        <w:t xml:space="preserve">retail electricity market in the </w:t>
      </w:r>
      <w:r w:rsidRPr="00E55C6A">
        <w:t>ACT</w:t>
      </w:r>
      <w:r w:rsidR="008D1F42">
        <w:t xml:space="preserve">. </w:t>
      </w:r>
      <w:r w:rsidRPr="00E55C6A">
        <w:t>Two ACT government policy schemes are particularly worth noting in this regard. These are the EEIS</w:t>
      </w:r>
      <w:r w:rsidR="003202CB">
        <w:t xml:space="preserve"> scheme</w:t>
      </w:r>
      <w:r w:rsidRPr="00E55C6A">
        <w:t xml:space="preserve"> and the feed-in tariff scheme. The EEIS scheme, under the </w:t>
      </w:r>
      <w:r w:rsidRPr="00E55C6A">
        <w:rPr>
          <w:i/>
        </w:rPr>
        <w:t>Energy Efficiency (Cost of Living) Improvement Act 2012</w:t>
      </w:r>
      <w:r w:rsidRPr="00E55C6A">
        <w:t xml:space="preserve">, places a mandatory obligation on all active retailers in the ACT to promote energy efficiency measures in households and small businesses. It requires energy retailers to either undertake energy efficiency programs on behalf of their customers or pay a fee per tonne of carbon emitted for electricity sold in the ACT. Under the </w:t>
      </w:r>
      <w:r w:rsidRPr="00E55C6A">
        <w:rPr>
          <w:i/>
        </w:rPr>
        <w:t>Electricity Feed-in (Renewable Energy Premium) Act 2008</w:t>
      </w:r>
      <w:r w:rsidRPr="00E55C6A">
        <w:t xml:space="preserve">, households and businesses </w:t>
      </w:r>
      <w:r w:rsidR="008F3F17">
        <w:t>can</w:t>
      </w:r>
      <w:r w:rsidRPr="00E55C6A">
        <w:t xml:space="preserve"> install solar </w:t>
      </w:r>
      <w:r w:rsidR="00CC6E9D" w:rsidRPr="00E55C6A">
        <w:t>rooftop</w:t>
      </w:r>
      <w:r w:rsidRPr="00E55C6A">
        <w:t xml:space="preserve"> panels to generate renewable energy, which is fed into the distribution network. The feed-in tariff scheme determines the rates at which these consumers are compensated for the electricity generated.</w:t>
      </w:r>
    </w:p>
    <w:p w:rsidR="00706211" w:rsidRDefault="00706211" w:rsidP="00706211">
      <w:pPr>
        <w:pStyle w:val="Heading4"/>
      </w:pPr>
      <w:r>
        <w:t>Small customer contract type</w:t>
      </w:r>
    </w:p>
    <w:p w:rsidR="00706211" w:rsidRDefault="00E2593B" w:rsidP="00706211">
      <w:r>
        <w:fldChar w:fldCharType="begin"/>
      </w:r>
      <w:r w:rsidR="00706211">
        <w:instrText xml:space="preserve"> REF _Ref459276839 \h </w:instrText>
      </w:r>
      <w:r>
        <w:fldChar w:fldCharType="separate"/>
      </w:r>
      <w:r w:rsidR="004325DB" w:rsidRPr="00E4260E">
        <w:t xml:space="preserve">Figure </w:t>
      </w:r>
      <w:r w:rsidR="004325DB">
        <w:rPr>
          <w:noProof/>
        </w:rPr>
        <w:t>3</w:t>
      </w:r>
      <w:r w:rsidR="004325DB" w:rsidRPr="00E4260E">
        <w:t>.</w:t>
      </w:r>
      <w:r w:rsidR="004325DB">
        <w:rPr>
          <w:noProof/>
        </w:rPr>
        <w:t>7</w:t>
      </w:r>
      <w:r>
        <w:fldChar w:fldCharType="end"/>
      </w:r>
      <w:r w:rsidR="00706211">
        <w:t xml:space="preserve"> </w:t>
      </w:r>
      <w:r w:rsidR="001F3BED">
        <w:t xml:space="preserve">also </w:t>
      </w:r>
      <w:r w:rsidR="00706211">
        <w:t xml:space="preserve">shows the proportion of residential and small business customers on standard and market retail contracts in Queensland, New South Wales, South Australia, Tasmania and the ACT as at 31 March 2016. About 76 per cent of small customers in </w:t>
      </w:r>
      <w:r w:rsidR="00706211">
        <w:lastRenderedPageBreak/>
        <w:t>the ACT were on standard contracts</w:t>
      </w:r>
      <w:r w:rsidR="00812A59">
        <w:t>. The ACT has a lower percentage of customers on market contracts than all other jurisdictions except Tasmania</w:t>
      </w:r>
      <w:r w:rsidR="00706211">
        <w:t>.</w:t>
      </w:r>
    </w:p>
    <w:p w:rsidR="00B42D9B" w:rsidRDefault="005C7186" w:rsidP="00B42D9B">
      <w:pPr>
        <w:pStyle w:val="Heading4"/>
      </w:pPr>
      <w:r>
        <w:t>Small customer m</w:t>
      </w:r>
      <w:r w:rsidR="00B42D9B">
        <w:t>arket share</w:t>
      </w:r>
    </w:p>
    <w:p w:rsidR="00447538" w:rsidRDefault="00E2593B" w:rsidP="00447538">
      <w:r>
        <w:fldChar w:fldCharType="begin"/>
      </w:r>
      <w:r w:rsidR="00447538">
        <w:instrText xml:space="preserve"> REF _Ref459274711 \h </w:instrText>
      </w:r>
      <w:r>
        <w:fldChar w:fldCharType="separate"/>
      </w:r>
      <w:r w:rsidR="004325DB" w:rsidRPr="00E4260E">
        <w:t xml:space="preserve">Figure </w:t>
      </w:r>
      <w:r w:rsidR="004325DB">
        <w:rPr>
          <w:noProof/>
        </w:rPr>
        <w:t>3</w:t>
      </w:r>
      <w:r w:rsidR="004325DB" w:rsidRPr="00E4260E">
        <w:t>.</w:t>
      </w:r>
      <w:r w:rsidR="004325DB">
        <w:rPr>
          <w:noProof/>
        </w:rPr>
        <w:t>8</w:t>
      </w:r>
      <w:r>
        <w:fldChar w:fldCharType="end"/>
      </w:r>
      <w:r w:rsidR="00447538">
        <w:t xml:space="preserve"> </w:t>
      </w:r>
      <w:r w:rsidR="00C338E0">
        <w:t xml:space="preserve">shows the retail market share of small customers in </w:t>
      </w:r>
      <w:r w:rsidR="006D2360">
        <w:t xml:space="preserve">the ACT, New South Wales, </w:t>
      </w:r>
      <w:r w:rsidR="00C338E0">
        <w:t xml:space="preserve">Queensland, </w:t>
      </w:r>
      <w:r w:rsidR="006D2360">
        <w:t xml:space="preserve">Tasmania </w:t>
      </w:r>
      <w:r w:rsidR="00C338E0">
        <w:t xml:space="preserve">and </w:t>
      </w:r>
      <w:r w:rsidR="006D2360">
        <w:t xml:space="preserve">South Australia </w:t>
      </w:r>
      <w:r w:rsidR="00C338E0">
        <w:t>as of March 2016</w:t>
      </w:r>
      <w:r w:rsidR="00447538">
        <w:t>.</w:t>
      </w:r>
      <w:r w:rsidR="00E43487">
        <w:t xml:space="preserve"> </w:t>
      </w:r>
      <w:r w:rsidR="00990DD1">
        <w:t xml:space="preserve">In South Australia, Queensland and New South Wales, three energy retailers account for more than 75 per cent of the market. </w:t>
      </w:r>
      <w:r w:rsidR="002631F0">
        <w:t xml:space="preserve">ActewAGL </w:t>
      </w:r>
      <w:r w:rsidR="002631F0" w:rsidRPr="00264805">
        <w:t xml:space="preserve">Retail </w:t>
      </w:r>
      <w:r w:rsidR="008D420F">
        <w:t xml:space="preserve">is </w:t>
      </w:r>
      <w:r w:rsidR="002631F0" w:rsidRPr="00264805">
        <w:t xml:space="preserve">the dominant </w:t>
      </w:r>
      <w:r w:rsidR="002631F0">
        <w:t>retailer in the ACT, with around 163,150 or 93 per cent of total small customers</w:t>
      </w:r>
      <w:r w:rsidR="00206157">
        <w:t xml:space="preserve"> in the ACT</w:t>
      </w:r>
      <w:r w:rsidR="002631F0">
        <w:t>.</w:t>
      </w:r>
    </w:p>
    <w:p w:rsidR="00447538" w:rsidRDefault="00447538" w:rsidP="00447538">
      <w:pPr>
        <w:pStyle w:val="FigureName0"/>
        <w:keepLines/>
        <w:ind w:left="1077" w:hanging="1077"/>
      </w:pPr>
      <w:bookmarkStart w:id="137" w:name="_Ref459274711"/>
      <w:bookmarkStart w:id="138" w:name="_Toc464735390"/>
      <w:r w:rsidRPr="00E4260E">
        <w:t xml:space="preserve">Figure </w:t>
      </w:r>
      <w:r w:rsidR="00E2593B" w:rsidRPr="00E4260E">
        <w:fldChar w:fldCharType="begin"/>
      </w:r>
      <w:r w:rsidRPr="00E4260E">
        <w:instrText xml:space="preserve"> STYLEREF 1 \s </w:instrText>
      </w:r>
      <w:r w:rsidR="00E2593B" w:rsidRPr="00E4260E">
        <w:fldChar w:fldCharType="separate"/>
      </w:r>
      <w:r w:rsidR="004325DB">
        <w:rPr>
          <w:noProof/>
        </w:rPr>
        <w:t>3</w:t>
      </w:r>
      <w:r w:rsidR="00E2593B" w:rsidRPr="00E4260E">
        <w:fldChar w:fldCharType="end"/>
      </w:r>
      <w:r w:rsidRPr="00E4260E">
        <w:t>.</w:t>
      </w:r>
      <w:r w:rsidR="00E2593B" w:rsidRPr="00E4260E">
        <w:fldChar w:fldCharType="begin"/>
      </w:r>
      <w:r w:rsidRPr="00E4260E">
        <w:instrText xml:space="preserve"> SEQ Figure \* ARABIC \s 1 </w:instrText>
      </w:r>
      <w:r w:rsidR="00E2593B" w:rsidRPr="00E4260E">
        <w:fldChar w:fldCharType="separate"/>
      </w:r>
      <w:r w:rsidR="004325DB">
        <w:rPr>
          <w:noProof/>
        </w:rPr>
        <w:t>8</w:t>
      </w:r>
      <w:r w:rsidR="00E2593B" w:rsidRPr="00E4260E">
        <w:fldChar w:fldCharType="end"/>
      </w:r>
      <w:bookmarkEnd w:id="137"/>
      <w:r w:rsidRPr="00E4260E">
        <w:tab/>
      </w:r>
      <w:r>
        <w:t>Retail market share for small customers</w:t>
      </w:r>
      <w:r w:rsidR="007777A1">
        <w:t xml:space="preserve">, </w:t>
      </w:r>
      <w:r w:rsidR="004C1479">
        <w:t xml:space="preserve">residential and business, </w:t>
      </w:r>
      <w:r w:rsidR="00AF7D7A">
        <w:t xml:space="preserve">31 </w:t>
      </w:r>
      <w:r>
        <w:t>March 2016</w:t>
      </w:r>
      <w:bookmarkEnd w:id="138"/>
    </w:p>
    <w:p w:rsidR="00447538" w:rsidRPr="004B707B" w:rsidRDefault="007777A1" w:rsidP="004B707B">
      <w:pPr>
        <w:pStyle w:val="TableTextRight"/>
      </w:pPr>
      <w:r>
        <w:rPr>
          <w:noProof/>
          <w:lang w:val="en-AU" w:eastAsia="en-AU"/>
        </w:rPr>
        <w:drawing>
          <wp:inline distT="0" distB="0" distL="0" distR="0">
            <wp:extent cx="4896485" cy="2853559"/>
            <wp:effectExtent l="0" t="0" r="18415" b="444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47538" w:rsidRPr="00640E23" w:rsidRDefault="00447538" w:rsidP="00447538">
      <w:pPr>
        <w:pStyle w:val="TableNotes"/>
        <w:keepNext/>
        <w:rPr>
          <w:szCs w:val="16"/>
        </w:rPr>
      </w:pPr>
      <w:r>
        <w:t>Source:</w:t>
      </w:r>
      <w:r>
        <w:tab/>
        <w:t>AER</w:t>
      </w:r>
      <w:r w:rsidR="00032A42">
        <w:t xml:space="preserve"> data.</w:t>
      </w:r>
    </w:p>
    <w:p w:rsidR="00447538" w:rsidRPr="00D94878" w:rsidRDefault="00447538" w:rsidP="00CE768F">
      <w:pPr>
        <w:pStyle w:val="TableNotesLast"/>
      </w:pPr>
      <w:r w:rsidRPr="00D94878">
        <w:t>Note:</w:t>
      </w:r>
      <w:r w:rsidR="00CE768F">
        <w:tab/>
        <w:t>‘</w:t>
      </w:r>
      <w:r w:rsidRPr="00D94878">
        <w:t xml:space="preserve">Other </w:t>
      </w:r>
      <w:r w:rsidRPr="00CE768F">
        <w:t>retailers’</w:t>
      </w:r>
      <w:r w:rsidRPr="00D94878">
        <w:t xml:space="preserve"> are those with less than 10 per cent market share in each customer market.</w:t>
      </w:r>
    </w:p>
    <w:p w:rsidR="00DC3CE3" w:rsidRDefault="00DC3CE3" w:rsidP="003E3327">
      <w:pPr>
        <w:pStyle w:val="Heading4"/>
      </w:pPr>
      <w:r>
        <w:t>Customer complaints</w:t>
      </w:r>
    </w:p>
    <w:p w:rsidR="00DC3CE3" w:rsidRDefault="00130347" w:rsidP="00DC3CE3">
      <w:r>
        <w:t xml:space="preserve">The AER also tracks small customer complaints about the service provided by electricity retailers. </w:t>
      </w:r>
      <w:r w:rsidR="00E2593B">
        <w:fldChar w:fldCharType="begin"/>
      </w:r>
      <w:r>
        <w:instrText xml:space="preserve"> REF _Ref461606341 \h </w:instrText>
      </w:r>
      <w:r w:rsidR="00E2593B">
        <w:fldChar w:fldCharType="separate"/>
      </w:r>
      <w:r w:rsidR="004325DB" w:rsidRPr="00E4260E">
        <w:t xml:space="preserve">Figure </w:t>
      </w:r>
      <w:r w:rsidR="004325DB">
        <w:rPr>
          <w:noProof/>
        </w:rPr>
        <w:t>3</w:t>
      </w:r>
      <w:r w:rsidR="004325DB" w:rsidRPr="00E4260E">
        <w:t>.</w:t>
      </w:r>
      <w:r w:rsidR="004325DB">
        <w:rPr>
          <w:noProof/>
        </w:rPr>
        <w:t>9</w:t>
      </w:r>
      <w:r w:rsidR="00E2593B">
        <w:fldChar w:fldCharType="end"/>
      </w:r>
      <w:r>
        <w:t xml:space="preserve"> shows the percentage of small customer complaints to electricity retailers in </w:t>
      </w:r>
      <w:r w:rsidR="006D2360">
        <w:t xml:space="preserve">the ACT, New South Wales, Queensland, Tasmania and South Australia </w:t>
      </w:r>
      <w:r>
        <w:t>in the third quarter of 2015</w:t>
      </w:r>
      <w:r w:rsidRPr="00A015EC">
        <w:sym w:font="Symbol" w:char="F02D"/>
      </w:r>
      <w:r>
        <w:t>16. This data indicates that a smaller percentage of ACT electricity customers make complaints about their service than in any other NEM jurisdiction</w:t>
      </w:r>
      <w:r w:rsidR="00F232D3">
        <w:t>,</w:t>
      </w:r>
      <w:r>
        <w:t xml:space="preserve"> except Tasmania.</w:t>
      </w:r>
    </w:p>
    <w:p w:rsidR="00DC3CE3" w:rsidRDefault="00DC3CE3" w:rsidP="00DC3CE3">
      <w:pPr>
        <w:pStyle w:val="FigureName0"/>
        <w:keepLines/>
        <w:ind w:left="1077" w:hanging="1077"/>
      </w:pPr>
      <w:bookmarkStart w:id="139" w:name="_Ref461606341"/>
      <w:bookmarkStart w:id="140" w:name="_Toc464735391"/>
      <w:r w:rsidRPr="00E4260E">
        <w:lastRenderedPageBreak/>
        <w:t xml:space="preserve">Figure </w:t>
      </w:r>
      <w:r w:rsidR="00E2593B" w:rsidRPr="00E4260E">
        <w:fldChar w:fldCharType="begin"/>
      </w:r>
      <w:r w:rsidRPr="00E4260E">
        <w:instrText xml:space="preserve"> STYLEREF 1 \s </w:instrText>
      </w:r>
      <w:r w:rsidR="00E2593B" w:rsidRPr="00E4260E">
        <w:fldChar w:fldCharType="separate"/>
      </w:r>
      <w:r w:rsidR="004325DB">
        <w:rPr>
          <w:noProof/>
        </w:rPr>
        <w:t>3</w:t>
      </w:r>
      <w:r w:rsidR="00E2593B" w:rsidRPr="00E4260E">
        <w:fldChar w:fldCharType="end"/>
      </w:r>
      <w:r w:rsidRPr="00E4260E">
        <w:t>.</w:t>
      </w:r>
      <w:r w:rsidR="00E2593B" w:rsidRPr="00E4260E">
        <w:fldChar w:fldCharType="begin"/>
      </w:r>
      <w:r w:rsidRPr="00E4260E">
        <w:instrText xml:space="preserve"> SEQ Figure \* ARABIC \s 1 </w:instrText>
      </w:r>
      <w:r w:rsidR="00E2593B" w:rsidRPr="00E4260E">
        <w:fldChar w:fldCharType="separate"/>
      </w:r>
      <w:r w:rsidR="004325DB">
        <w:rPr>
          <w:noProof/>
        </w:rPr>
        <w:t>9</w:t>
      </w:r>
      <w:r w:rsidR="00E2593B" w:rsidRPr="00E4260E">
        <w:fldChar w:fldCharType="end"/>
      </w:r>
      <w:bookmarkEnd w:id="139"/>
      <w:r w:rsidRPr="00E4260E">
        <w:tab/>
      </w:r>
      <w:r w:rsidR="00C65D8F">
        <w:t xml:space="preserve">Small customer complaints as percentage of total customers, </w:t>
      </w:r>
      <w:r>
        <w:t>31 March 2016</w:t>
      </w:r>
      <w:bookmarkEnd w:id="140"/>
    </w:p>
    <w:p w:rsidR="00DC3CE3" w:rsidRPr="004B707B" w:rsidRDefault="00DC3CE3" w:rsidP="00DC3CE3">
      <w:pPr>
        <w:pStyle w:val="TableTextRight"/>
        <w:jc w:val="left"/>
      </w:pPr>
      <w:r>
        <w:rPr>
          <w:noProof/>
          <w:lang w:val="en-AU" w:eastAsia="en-AU"/>
        </w:rPr>
        <w:drawing>
          <wp:inline distT="0" distB="0" distL="0" distR="0">
            <wp:extent cx="4572000" cy="2475186"/>
            <wp:effectExtent l="0" t="0" r="0" b="19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C3CE3" w:rsidRDefault="00DC3CE3" w:rsidP="00DC3CE3">
      <w:pPr>
        <w:pStyle w:val="TableNotes"/>
        <w:keepNext/>
      </w:pPr>
    </w:p>
    <w:p w:rsidR="00DC3CE3" w:rsidRPr="00640E23" w:rsidRDefault="00DC3CE3" w:rsidP="00336248">
      <w:pPr>
        <w:pStyle w:val="TableNotesLast0"/>
        <w:rPr>
          <w:szCs w:val="16"/>
        </w:rPr>
      </w:pPr>
      <w:r>
        <w:t>Source:</w:t>
      </w:r>
      <w:r>
        <w:tab/>
        <w:t>AER data.</w:t>
      </w:r>
    </w:p>
    <w:p w:rsidR="003E3327" w:rsidRDefault="003E3327" w:rsidP="003E3327">
      <w:pPr>
        <w:pStyle w:val="Heading4"/>
      </w:pPr>
      <w:r>
        <w:t xml:space="preserve">Electricity </w:t>
      </w:r>
      <w:r w:rsidR="00ED6218">
        <w:t xml:space="preserve">offers and </w:t>
      </w:r>
      <w:r>
        <w:t xml:space="preserve">bills </w:t>
      </w:r>
    </w:p>
    <w:p w:rsidR="00E665CF" w:rsidRDefault="00E2593B" w:rsidP="00E665CF">
      <w:r>
        <w:fldChar w:fldCharType="begin"/>
      </w:r>
      <w:r w:rsidR="003B6178">
        <w:instrText xml:space="preserve"> REF _Ref461453145 \h </w:instrText>
      </w:r>
      <w:r>
        <w:fldChar w:fldCharType="separate"/>
      </w:r>
      <w:r w:rsidR="004325DB" w:rsidRPr="00E4260E">
        <w:t xml:space="preserve">Table </w:t>
      </w:r>
      <w:r w:rsidR="004325DB">
        <w:rPr>
          <w:noProof/>
        </w:rPr>
        <w:t>3</w:t>
      </w:r>
      <w:r w:rsidR="004325DB" w:rsidRPr="00E4260E">
        <w:t>.</w:t>
      </w:r>
      <w:r w:rsidR="004325DB">
        <w:rPr>
          <w:noProof/>
        </w:rPr>
        <w:t>1</w:t>
      </w:r>
      <w:r>
        <w:fldChar w:fldCharType="end"/>
      </w:r>
      <w:r w:rsidR="003B6178">
        <w:t xml:space="preserve"> shows </w:t>
      </w:r>
      <w:r w:rsidR="00E665CF">
        <w:t>the number of single rate and time of use offers available to residential electricity consumers in the ACT, Sydney, Brisbane</w:t>
      </w:r>
      <w:r w:rsidR="00F1134D">
        <w:t xml:space="preserve">, </w:t>
      </w:r>
      <w:r w:rsidR="00E665CF">
        <w:t>Adelaide</w:t>
      </w:r>
      <w:r w:rsidR="00F1134D">
        <w:t xml:space="preserve"> and Hobart</w:t>
      </w:r>
      <w:r w:rsidR="00E665CF">
        <w:t>, sourced from the Energy Made Easy website.</w:t>
      </w:r>
      <w:r w:rsidR="00E665CF" w:rsidRPr="00E665CF">
        <w:t xml:space="preserve"> </w:t>
      </w:r>
      <w:r w:rsidR="00464957">
        <w:t xml:space="preserve">These offers are a mix of standard and market contracts. </w:t>
      </w:r>
      <w:r w:rsidR="00C56ED0">
        <w:t>Single rate offers in Melbourne are also included, sourced from the Victorian Energy Compare website.</w:t>
      </w:r>
      <w:r w:rsidR="00D05AF1">
        <w:rPr>
          <w:rStyle w:val="FootnoteReference"/>
        </w:rPr>
        <w:footnoteReference w:id="21"/>
      </w:r>
      <w:r w:rsidR="00C56ED0">
        <w:t xml:space="preserve"> </w:t>
      </w:r>
      <w:r>
        <w:fldChar w:fldCharType="begin"/>
      </w:r>
      <w:r w:rsidR="005D7DAC">
        <w:instrText xml:space="preserve"> REF _Ref461453145 \h </w:instrText>
      </w:r>
      <w:r>
        <w:fldChar w:fldCharType="separate"/>
      </w:r>
      <w:r w:rsidR="004325DB" w:rsidRPr="00E4260E">
        <w:t xml:space="preserve">Table </w:t>
      </w:r>
      <w:r w:rsidR="004325DB">
        <w:rPr>
          <w:noProof/>
        </w:rPr>
        <w:t>3</w:t>
      </w:r>
      <w:r w:rsidR="004325DB" w:rsidRPr="00E4260E">
        <w:t>.</w:t>
      </w:r>
      <w:r w:rsidR="004325DB">
        <w:rPr>
          <w:noProof/>
        </w:rPr>
        <w:t>1</w:t>
      </w:r>
      <w:r>
        <w:fldChar w:fldCharType="end"/>
      </w:r>
      <w:r w:rsidR="005D7DAC">
        <w:t xml:space="preserve"> indicates that ACT residential electricity users have fewer offerings to choose from compared to consumers in Sydney, Brisbane, Adelaide and Melbourne, but more than customers in </w:t>
      </w:r>
      <w:proofErr w:type="gramStart"/>
      <w:r w:rsidR="005D7DAC">
        <w:t>Hobart</w:t>
      </w:r>
      <w:proofErr w:type="gramEnd"/>
      <w:r w:rsidR="005D7DAC">
        <w:t>.</w:t>
      </w:r>
    </w:p>
    <w:p w:rsidR="00911CFB" w:rsidRPr="00E4260E" w:rsidRDefault="00911CFB" w:rsidP="00911CFB">
      <w:pPr>
        <w:pStyle w:val="FigureName"/>
      </w:pPr>
      <w:bookmarkStart w:id="141" w:name="_Ref461453145"/>
      <w:bookmarkStart w:id="142" w:name="_Toc464735379"/>
      <w:r w:rsidRPr="00E4260E">
        <w:t xml:space="preserve">Table </w:t>
      </w:r>
      <w:r w:rsidR="00E2593B" w:rsidRPr="00E4260E">
        <w:fldChar w:fldCharType="begin"/>
      </w:r>
      <w:r w:rsidRPr="00E4260E">
        <w:instrText xml:space="preserve"> STYLEREF 1 \s </w:instrText>
      </w:r>
      <w:r w:rsidR="00E2593B" w:rsidRPr="00E4260E">
        <w:fldChar w:fldCharType="separate"/>
      </w:r>
      <w:r w:rsidR="004325DB">
        <w:rPr>
          <w:noProof/>
        </w:rPr>
        <w:t>3</w:t>
      </w:r>
      <w:r w:rsidR="00E2593B" w:rsidRPr="00E4260E">
        <w:fldChar w:fldCharType="end"/>
      </w:r>
      <w:r w:rsidRPr="00E4260E">
        <w:t>.</w:t>
      </w:r>
      <w:r w:rsidR="00E2593B" w:rsidRPr="00E4260E">
        <w:fldChar w:fldCharType="begin"/>
      </w:r>
      <w:r w:rsidRPr="00E4260E">
        <w:instrText xml:space="preserve"> SEQ Table \* ARABIC \s 1 </w:instrText>
      </w:r>
      <w:r w:rsidR="00E2593B" w:rsidRPr="00E4260E">
        <w:fldChar w:fldCharType="separate"/>
      </w:r>
      <w:r w:rsidR="004325DB">
        <w:rPr>
          <w:noProof/>
        </w:rPr>
        <w:t>1</w:t>
      </w:r>
      <w:r w:rsidR="00E2593B" w:rsidRPr="00E4260E">
        <w:fldChar w:fldCharType="end"/>
      </w:r>
      <w:bookmarkEnd w:id="141"/>
      <w:r w:rsidRPr="00E4260E">
        <w:tab/>
      </w:r>
      <w:r>
        <w:t>Retail electricity offers, September 2016</w:t>
      </w:r>
      <w:bookmarkEnd w:id="142"/>
    </w:p>
    <w:tbl>
      <w:tblPr>
        <w:tblW w:w="2773" w:type="pct"/>
        <w:tblBorders>
          <w:top w:val="single" w:sz="12" w:space="0" w:color="333399"/>
          <w:bottom w:val="single" w:sz="12" w:space="0" w:color="333399"/>
        </w:tblBorders>
        <w:tblCellMar>
          <w:left w:w="115" w:type="dxa"/>
          <w:right w:w="115" w:type="dxa"/>
        </w:tblCellMar>
        <w:tblLook w:val="0000"/>
      </w:tblPr>
      <w:tblGrid>
        <w:gridCol w:w="977"/>
        <w:gridCol w:w="1098"/>
        <w:gridCol w:w="1165"/>
        <w:gridCol w:w="1164"/>
      </w:tblGrid>
      <w:tr w:rsidR="004D4EE6" w:rsidRPr="00144F8C" w:rsidTr="004B707B">
        <w:trPr>
          <w:cantSplit/>
        </w:trPr>
        <w:tc>
          <w:tcPr>
            <w:tcW w:w="1102"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4D4EE6" w:rsidRPr="00347ADB" w:rsidRDefault="004D4EE6" w:rsidP="00B93D2C">
            <w:pPr>
              <w:pStyle w:val="TableHeadingLeft"/>
            </w:pPr>
          </w:p>
        </w:tc>
        <w:tc>
          <w:tcPr>
            <w:tcW w:w="1249"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4D4EE6" w:rsidRPr="00347ADB" w:rsidRDefault="004D4EE6" w:rsidP="00911CFB">
            <w:pPr>
              <w:pStyle w:val="TableHeadingLeft"/>
              <w:jc w:val="right"/>
            </w:pPr>
            <w:r>
              <w:t>Single rate</w:t>
            </w:r>
          </w:p>
        </w:tc>
        <w:tc>
          <w:tcPr>
            <w:tcW w:w="1325" w:type="pct"/>
            <w:tcBorders>
              <w:top w:val="single" w:sz="12" w:space="0" w:color="1F497D" w:themeColor="text2"/>
              <w:left w:val="nil"/>
              <w:bottom w:val="single" w:sz="8" w:space="0" w:color="1F497D" w:themeColor="text2"/>
              <w:right w:val="nil"/>
            </w:tcBorders>
            <w:shd w:val="clear" w:color="auto" w:fill="DBE5F1" w:themeFill="accent1" w:themeFillTint="33"/>
          </w:tcPr>
          <w:p w:rsidR="004D4EE6" w:rsidRDefault="004D4EE6" w:rsidP="00911CFB">
            <w:pPr>
              <w:pStyle w:val="TableHeadingLeft"/>
              <w:jc w:val="right"/>
            </w:pPr>
            <w:r>
              <w:t>Time of use</w:t>
            </w:r>
          </w:p>
        </w:tc>
        <w:tc>
          <w:tcPr>
            <w:tcW w:w="1325" w:type="pct"/>
            <w:tcBorders>
              <w:top w:val="single" w:sz="12" w:space="0" w:color="1F497D" w:themeColor="text2"/>
              <w:left w:val="nil"/>
              <w:bottom w:val="single" w:sz="8" w:space="0" w:color="1F497D" w:themeColor="text2"/>
              <w:right w:val="nil"/>
            </w:tcBorders>
            <w:shd w:val="clear" w:color="auto" w:fill="DBE5F1" w:themeFill="accent1" w:themeFillTint="33"/>
          </w:tcPr>
          <w:p w:rsidR="004D4EE6" w:rsidRDefault="004D4EE6" w:rsidP="00911CFB">
            <w:pPr>
              <w:pStyle w:val="TableHeadingLeft"/>
              <w:jc w:val="right"/>
            </w:pPr>
            <w:r>
              <w:t>Total</w:t>
            </w:r>
          </w:p>
        </w:tc>
      </w:tr>
      <w:tr w:rsidR="004B707B" w:rsidRPr="00144F8C" w:rsidTr="004B707B">
        <w:trPr>
          <w:cantSplit/>
        </w:trPr>
        <w:tc>
          <w:tcPr>
            <w:tcW w:w="1102" w:type="pct"/>
            <w:tcBorders>
              <w:top w:val="nil"/>
              <w:left w:val="nil"/>
              <w:bottom w:val="nil"/>
              <w:right w:val="nil"/>
            </w:tcBorders>
            <w:vAlign w:val="bottom"/>
          </w:tcPr>
          <w:p w:rsidR="004B707B" w:rsidRPr="00911CFB" w:rsidRDefault="004B707B" w:rsidP="004B707B">
            <w:pPr>
              <w:pStyle w:val="TableTextLeft"/>
              <w:rPr>
                <w:rStyle w:val="Bold"/>
              </w:rPr>
            </w:pPr>
            <w:r w:rsidRPr="00911CFB">
              <w:rPr>
                <w:rStyle w:val="Bold"/>
              </w:rPr>
              <w:t>ACT</w:t>
            </w:r>
          </w:p>
        </w:tc>
        <w:tc>
          <w:tcPr>
            <w:tcW w:w="1249" w:type="pct"/>
            <w:tcBorders>
              <w:top w:val="nil"/>
              <w:left w:val="nil"/>
              <w:bottom w:val="nil"/>
              <w:right w:val="nil"/>
            </w:tcBorders>
            <w:vAlign w:val="bottom"/>
          </w:tcPr>
          <w:p w:rsidR="004B707B" w:rsidRDefault="004B707B" w:rsidP="004B707B">
            <w:pPr>
              <w:pStyle w:val="TableTextRight"/>
              <w:rPr>
                <w:lang w:val="en-AU" w:eastAsia="en-AU"/>
              </w:rPr>
            </w:pPr>
            <w:r>
              <w:t>23</w:t>
            </w:r>
          </w:p>
        </w:tc>
        <w:tc>
          <w:tcPr>
            <w:tcW w:w="1325" w:type="pct"/>
            <w:tcBorders>
              <w:top w:val="nil"/>
              <w:left w:val="nil"/>
              <w:bottom w:val="nil"/>
              <w:right w:val="nil"/>
            </w:tcBorders>
            <w:vAlign w:val="bottom"/>
          </w:tcPr>
          <w:p w:rsidR="004B707B" w:rsidRDefault="004B707B" w:rsidP="004B707B">
            <w:pPr>
              <w:pStyle w:val="TableTextRight"/>
            </w:pPr>
            <w:r>
              <w:t>15</w:t>
            </w:r>
          </w:p>
        </w:tc>
        <w:tc>
          <w:tcPr>
            <w:tcW w:w="1325" w:type="pct"/>
            <w:tcBorders>
              <w:top w:val="nil"/>
              <w:left w:val="nil"/>
              <w:bottom w:val="nil"/>
              <w:right w:val="nil"/>
            </w:tcBorders>
            <w:vAlign w:val="bottom"/>
          </w:tcPr>
          <w:p w:rsidR="004B707B" w:rsidRDefault="004B707B" w:rsidP="004B707B">
            <w:pPr>
              <w:pStyle w:val="TableHeadingRight"/>
              <w:rPr>
                <w:lang w:val="en-AU" w:eastAsia="en-AU"/>
              </w:rPr>
            </w:pPr>
            <w:r>
              <w:t>38</w:t>
            </w:r>
          </w:p>
        </w:tc>
      </w:tr>
      <w:tr w:rsidR="004B707B" w:rsidRPr="00144F8C" w:rsidTr="004B707B">
        <w:trPr>
          <w:cantSplit/>
        </w:trPr>
        <w:tc>
          <w:tcPr>
            <w:tcW w:w="1102" w:type="pct"/>
            <w:tcBorders>
              <w:top w:val="nil"/>
              <w:left w:val="nil"/>
              <w:bottom w:val="nil"/>
              <w:right w:val="nil"/>
            </w:tcBorders>
            <w:vAlign w:val="bottom"/>
          </w:tcPr>
          <w:p w:rsidR="004B707B" w:rsidRPr="00911CFB" w:rsidRDefault="004B707B" w:rsidP="004B707B">
            <w:pPr>
              <w:pStyle w:val="TableTextLeft"/>
              <w:rPr>
                <w:b/>
              </w:rPr>
            </w:pPr>
            <w:r w:rsidRPr="00911CFB">
              <w:rPr>
                <w:b/>
              </w:rPr>
              <w:t>Sydney</w:t>
            </w:r>
          </w:p>
        </w:tc>
        <w:tc>
          <w:tcPr>
            <w:tcW w:w="1249" w:type="pct"/>
            <w:tcBorders>
              <w:top w:val="nil"/>
              <w:left w:val="nil"/>
              <w:bottom w:val="nil"/>
              <w:right w:val="nil"/>
            </w:tcBorders>
            <w:vAlign w:val="bottom"/>
          </w:tcPr>
          <w:p w:rsidR="004B707B" w:rsidRDefault="004B707B" w:rsidP="004B707B">
            <w:pPr>
              <w:pStyle w:val="TableTextRight"/>
            </w:pPr>
            <w:r>
              <w:t>74</w:t>
            </w:r>
          </w:p>
        </w:tc>
        <w:tc>
          <w:tcPr>
            <w:tcW w:w="1325" w:type="pct"/>
            <w:tcBorders>
              <w:top w:val="nil"/>
              <w:left w:val="nil"/>
              <w:bottom w:val="nil"/>
              <w:right w:val="nil"/>
            </w:tcBorders>
            <w:vAlign w:val="bottom"/>
          </w:tcPr>
          <w:p w:rsidR="004B707B" w:rsidRDefault="004B707B" w:rsidP="004B707B">
            <w:pPr>
              <w:pStyle w:val="TableTextRight"/>
            </w:pPr>
            <w:r>
              <w:t>72</w:t>
            </w:r>
          </w:p>
        </w:tc>
        <w:tc>
          <w:tcPr>
            <w:tcW w:w="1325" w:type="pct"/>
            <w:tcBorders>
              <w:top w:val="nil"/>
              <w:left w:val="nil"/>
              <w:bottom w:val="nil"/>
              <w:right w:val="nil"/>
            </w:tcBorders>
            <w:vAlign w:val="bottom"/>
          </w:tcPr>
          <w:p w:rsidR="004B707B" w:rsidRDefault="004B707B" w:rsidP="004B707B">
            <w:pPr>
              <w:pStyle w:val="TableHeadingRight"/>
            </w:pPr>
            <w:r>
              <w:t>146</w:t>
            </w:r>
          </w:p>
        </w:tc>
      </w:tr>
      <w:tr w:rsidR="004B707B" w:rsidRPr="00144F8C" w:rsidTr="004B707B">
        <w:trPr>
          <w:cantSplit/>
        </w:trPr>
        <w:tc>
          <w:tcPr>
            <w:tcW w:w="1102" w:type="pct"/>
            <w:tcBorders>
              <w:top w:val="nil"/>
              <w:left w:val="nil"/>
              <w:bottom w:val="nil"/>
              <w:right w:val="nil"/>
            </w:tcBorders>
            <w:vAlign w:val="bottom"/>
          </w:tcPr>
          <w:p w:rsidR="004B707B" w:rsidRPr="00911CFB" w:rsidRDefault="004B707B" w:rsidP="004B707B">
            <w:pPr>
              <w:pStyle w:val="TableTextLeft"/>
              <w:rPr>
                <w:b/>
              </w:rPr>
            </w:pPr>
            <w:r w:rsidRPr="00911CFB">
              <w:rPr>
                <w:b/>
              </w:rPr>
              <w:t>Brisbane</w:t>
            </w:r>
          </w:p>
        </w:tc>
        <w:tc>
          <w:tcPr>
            <w:tcW w:w="1249" w:type="pct"/>
            <w:tcBorders>
              <w:top w:val="nil"/>
              <w:left w:val="nil"/>
              <w:bottom w:val="nil"/>
              <w:right w:val="nil"/>
            </w:tcBorders>
            <w:vAlign w:val="bottom"/>
          </w:tcPr>
          <w:p w:rsidR="004B707B" w:rsidRDefault="004B707B" w:rsidP="004B707B">
            <w:pPr>
              <w:pStyle w:val="TableTextRight"/>
            </w:pPr>
            <w:r>
              <w:t>43</w:t>
            </w:r>
          </w:p>
        </w:tc>
        <w:tc>
          <w:tcPr>
            <w:tcW w:w="1325" w:type="pct"/>
            <w:tcBorders>
              <w:top w:val="nil"/>
              <w:left w:val="nil"/>
              <w:bottom w:val="nil"/>
              <w:right w:val="nil"/>
            </w:tcBorders>
            <w:vAlign w:val="bottom"/>
          </w:tcPr>
          <w:p w:rsidR="004B707B" w:rsidRDefault="004B707B" w:rsidP="004B707B">
            <w:pPr>
              <w:pStyle w:val="TableTextRight"/>
            </w:pPr>
            <w:r>
              <w:t>39</w:t>
            </w:r>
          </w:p>
        </w:tc>
        <w:tc>
          <w:tcPr>
            <w:tcW w:w="1325" w:type="pct"/>
            <w:tcBorders>
              <w:top w:val="nil"/>
              <w:left w:val="nil"/>
              <w:bottom w:val="nil"/>
              <w:right w:val="nil"/>
            </w:tcBorders>
            <w:vAlign w:val="bottom"/>
          </w:tcPr>
          <w:p w:rsidR="004B707B" w:rsidRDefault="004B707B" w:rsidP="004B707B">
            <w:pPr>
              <w:pStyle w:val="TableHeadingRight"/>
            </w:pPr>
            <w:r>
              <w:t>82</w:t>
            </w:r>
          </w:p>
        </w:tc>
      </w:tr>
      <w:tr w:rsidR="004B707B" w:rsidRPr="00144F8C" w:rsidTr="00D7511F">
        <w:trPr>
          <w:cantSplit/>
        </w:trPr>
        <w:tc>
          <w:tcPr>
            <w:tcW w:w="1102" w:type="pct"/>
            <w:tcBorders>
              <w:top w:val="nil"/>
              <w:left w:val="nil"/>
              <w:bottom w:val="nil"/>
              <w:right w:val="nil"/>
            </w:tcBorders>
            <w:vAlign w:val="bottom"/>
          </w:tcPr>
          <w:p w:rsidR="004B707B" w:rsidRPr="00911CFB" w:rsidRDefault="004B707B" w:rsidP="004B707B">
            <w:pPr>
              <w:pStyle w:val="TableTextLeft"/>
              <w:rPr>
                <w:b/>
              </w:rPr>
            </w:pPr>
            <w:r w:rsidRPr="00911CFB">
              <w:rPr>
                <w:b/>
              </w:rPr>
              <w:t>Adelaide</w:t>
            </w:r>
          </w:p>
        </w:tc>
        <w:tc>
          <w:tcPr>
            <w:tcW w:w="1249" w:type="pct"/>
            <w:tcBorders>
              <w:top w:val="nil"/>
              <w:left w:val="nil"/>
              <w:bottom w:val="nil"/>
              <w:right w:val="nil"/>
            </w:tcBorders>
            <w:vAlign w:val="bottom"/>
          </w:tcPr>
          <w:p w:rsidR="004B707B" w:rsidRDefault="004B707B" w:rsidP="004B707B">
            <w:pPr>
              <w:pStyle w:val="TableTextRight"/>
            </w:pPr>
            <w:r>
              <w:t>60</w:t>
            </w:r>
          </w:p>
        </w:tc>
        <w:tc>
          <w:tcPr>
            <w:tcW w:w="1325" w:type="pct"/>
            <w:tcBorders>
              <w:top w:val="nil"/>
              <w:left w:val="nil"/>
              <w:bottom w:val="nil"/>
              <w:right w:val="nil"/>
            </w:tcBorders>
            <w:vAlign w:val="bottom"/>
          </w:tcPr>
          <w:p w:rsidR="004B707B" w:rsidRDefault="004B707B" w:rsidP="004B707B">
            <w:pPr>
              <w:pStyle w:val="TableTextRight"/>
            </w:pPr>
            <w:r>
              <w:t>8</w:t>
            </w:r>
          </w:p>
        </w:tc>
        <w:tc>
          <w:tcPr>
            <w:tcW w:w="1325" w:type="pct"/>
            <w:tcBorders>
              <w:top w:val="nil"/>
              <w:left w:val="nil"/>
              <w:bottom w:val="nil"/>
              <w:right w:val="nil"/>
            </w:tcBorders>
            <w:vAlign w:val="bottom"/>
          </w:tcPr>
          <w:p w:rsidR="004B707B" w:rsidRDefault="004B707B" w:rsidP="004B707B">
            <w:pPr>
              <w:pStyle w:val="TableHeadingRight"/>
            </w:pPr>
            <w:r>
              <w:t>68</w:t>
            </w:r>
          </w:p>
        </w:tc>
      </w:tr>
      <w:tr w:rsidR="00D7511F" w:rsidRPr="00144F8C" w:rsidTr="00D05AF1">
        <w:trPr>
          <w:cantSplit/>
        </w:trPr>
        <w:tc>
          <w:tcPr>
            <w:tcW w:w="1102" w:type="pct"/>
            <w:tcBorders>
              <w:top w:val="nil"/>
              <w:left w:val="nil"/>
              <w:bottom w:val="nil"/>
              <w:right w:val="nil"/>
            </w:tcBorders>
            <w:vAlign w:val="bottom"/>
          </w:tcPr>
          <w:p w:rsidR="00D7511F" w:rsidRPr="00911CFB" w:rsidRDefault="00D7511F" w:rsidP="004B707B">
            <w:pPr>
              <w:pStyle w:val="TableTextLeft"/>
              <w:rPr>
                <w:b/>
              </w:rPr>
            </w:pPr>
            <w:r>
              <w:rPr>
                <w:b/>
              </w:rPr>
              <w:t>Melbourne</w:t>
            </w:r>
          </w:p>
        </w:tc>
        <w:tc>
          <w:tcPr>
            <w:tcW w:w="1249" w:type="pct"/>
            <w:tcBorders>
              <w:top w:val="nil"/>
              <w:left w:val="nil"/>
              <w:bottom w:val="nil"/>
              <w:right w:val="nil"/>
            </w:tcBorders>
            <w:vAlign w:val="bottom"/>
          </w:tcPr>
          <w:p w:rsidR="00D7511F" w:rsidRDefault="00D2767D" w:rsidP="004B707B">
            <w:pPr>
              <w:pStyle w:val="TableTextRight"/>
            </w:pPr>
            <w:r>
              <w:t>216</w:t>
            </w:r>
          </w:p>
        </w:tc>
        <w:tc>
          <w:tcPr>
            <w:tcW w:w="1325" w:type="pct"/>
            <w:tcBorders>
              <w:top w:val="nil"/>
              <w:left w:val="nil"/>
              <w:bottom w:val="nil"/>
              <w:right w:val="nil"/>
            </w:tcBorders>
            <w:vAlign w:val="bottom"/>
          </w:tcPr>
          <w:p w:rsidR="00D7511F" w:rsidRDefault="00D2767D" w:rsidP="004B707B">
            <w:pPr>
              <w:pStyle w:val="TableTextRight"/>
            </w:pPr>
            <w:r>
              <w:t>N/A</w:t>
            </w:r>
          </w:p>
        </w:tc>
        <w:tc>
          <w:tcPr>
            <w:tcW w:w="1325" w:type="pct"/>
            <w:tcBorders>
              <w:top w:val="nil"/>
              <w:left w:val="nil"/>
              <w:bottom w:val="nil"/>
              <w:right w:val="nil"/>
            </w:tcBorders>
            <w:vAlign w:val="bottom"/>
          </w:tcPr>
          <w:p w:rsidR="00D7511F" w:rsidRDefault="00D2767D" w:rsidP="004B707B">
            <w:pPr>
              <w:pStyle w:val="TableHeadingRight"/>
            </w:pPr>
            <w:r>
              <w:t>216</w:t>
            </w:r>
          </w:p>
        </w:tc>
      </w:tr>
      <w:tr w:rsidR="00D05AF1" w:rsidRPr="00144F8C" w:rsidTr="004B707B">
        <w:trPr>
          <w:cantSplit/>
        </w:trPr>
        <w:tc>
          <w:tcPr>
            <w:tcW w:w="1102" w:type="pct"/>
            <w:tcBorders>
              <w:top w:val="nil"/>
              <w:left w:val="nil"/>
              <w:bottom w:val="single" w:sz="12" w:space="0" w:color="1F497D" w:themeColor="text2"/>
              <w:right w:val="nil"/>
            </w:tcBorders>
            <w:vAlign w:val="bottom"/>
          </w:tcPr>
          <w:p w:rsidR="00D05AF1" w:rsidRDefault="00D05AF1" w:rsidP="004B707B">
            <w:pPr>
              <w:pStyle w:val="TableTextLeft"/>
              <w:rPr>
                <w:b/>
              </w:rPr>
            </w:pPr>
            <w:r>
              <w:rPr>
                <w:b/>
              </w:rPr>
              <w:t>Hobart</w:t>
            </w:r>
          </w:p>
        </w:tc>
        <w:tc>
          <w:tcPr>
            <w:tcW w:w="1249" w:type="pct"/>
            <w:tcBorders>
              <w:top w:val="nil"/>
              <w:left w:val="nil"/>
              <w:bottom w:val="single" w:sz="12" w:space="0" w:color="1F497D" w:themeColor="text2"/>
              <w:right w:val="nil"/>
            </w:tcBorders>
            <w:vAlign w:val="bottom"/>
          </w:tcPr>
          <w:p w:rsidR="00D05AF1" w:rsidRDefault="00824F8B" w:rsidP="004B707B">
            <w:pPr>
              <w:pStyle w:val="TableTextRight"/>
            </w:pPr>
            <w:r>
              <w:t>1</w:t>
            </w:r>
          </w:p>
        </w:tc>
        <w:tc>
          <w:tcPr>
            <w:tcW w:w="1325" w:type="pct"/>
            <w:tcBorders>
              <w:top w:val="nil"/>
              <w:left w:val="nil"/>
              <w:bottom w:val="single" w:sz="12" w:space="0" w:color="1F497D" w:themeColor="text2"/>
              <w:right w:val="nil"/>
            </w:tcBorders>
            <w:vAlign w:val="bottom"/>
          </w:tcPr>
          <w:p w:rsidR="00D05AF1" w:rsidRDefault="00824F8B" w:rsidP="004B707B">
            <w:pPr>
              <w:pStyle w:val="TableTextRight"/>
            </w:pPr>
            <w:r>
              <w:t>1</w:t>
            </w:r>
          </w:p>
        </w:tc>
        <w:tc>
          <w:tcPr>
            <w:tcW w:w="1325" w:type="pct"/>
            <w:tcBorders>
              <w:top w:val="nil"/>
              <w:left w:val="nil"/>
              <w:bottom w:val="single" w:sz="12" w:space="0" w:color="1F497D" w:themeColor="text2"/>
              <w:right w:val="nil"/>
            </w:tcBorders>
            <w:vAlign w:val="bottom"/>
          </w:tcPr>
          <w:p w:rsidR="00D05AF1" w:rsidRDefault="00824F8B" w:rsidP="004B707B">
            <w:pPr>
              <w:pStyle w:val="TableHeadingRight"/>
            </w:pPr>
            <w:r>
              <w:t>2</w:t>
            </w:r>
          </w:p>
        </w:tc>
      </w:tr>
    </w:tbl>
    <w:p w:rsidR="00E665CF" w:rsidRDefault="00E665CF" w:rsidP="00E665CF">
      <w:pPr>
        <w:pStyle w:val="TableNotesLast"/>
      </w:pPr>
      <w:r>
        <w:t>Source:</w:t>
      </w:r>
      <w:r>
        <w:tab/>
      </w:r>
      <w:hyperlink r:id="rId47" w:history="1">
        <w:r w:rsidRPr="004076B8">
          <w:rPr>
            <w:rStyle w:val="Hyperlink"/>
            <w:rFonts w:ascii="Arial Narrow" w:hAnsi="Arial Narrow"/>
            <w:sz w:val="16"/>
          </w:rPr>
          <w:t>www.energymadeeasy.gov.au</w:t>
        </w:r>
      </w:hyperlink>
      <w:r w:rsidR="00C56ED0">
        <w:rPr>
          <w:rStyle w:val="Hyperlink"/>
          <w:rFonts w:ascii="Arial Narrow" w:hAnsi="Arial Narrow"/>
          <w:sz w:val="16"/>
        </w:rPr>
        <w:t xml:space="preserve"> and </w:t>
      </w:r>
      <w:r w:rsidR="00C56ED0" w:rsidRPr="00C56ED0">
        <w:rPr>
          <w:rStyle w:val="Hyperlink"/>
          <w:rFonts w:ascii="Arial Narrow" w:hAnsi="Arial Narrow"/>
          <w:sz w:val="16"/>
        </w:rPr>
        <w:t>https://compare.switchon.vic.gov.au/</w:t>
      </w:r>
      <w:r>
        <w:t>. Accessed mid-September 2016.</w:t>
      </w:r>
    </w:p>
    <w:p w:rsidR="00B26C36" w:rsidRDefault="00E2593B" w:rsidP="00447538">
      <w:r>
        <w:fldChar w:fldCharType="begin"/>
      </w:r>
      <w:r w:rsidR="00B26C36">
        <w:instrText xml:space="preserve"> REF _Ref461292942 \h </w:instrText>
      </w:r>
      <w:r>
        <w:fldChar w:fldCharType="separate"/>
      </w:r>
      <w:r w:rsidR="004325DB" w:rsidRPr="00E4260E">
        <w:t xml:space="preserve">Figure </w:t>
      </w:r>
      <w:r w:rsidR="004325DB">
        <w:rPr>
          <w:noProof/>
        </w:rPr>
        <w:t>3</w:t>
      </w:r>
      <w:r w:rsidR="004325DB" w:rsidRPr="00E4260E">
        <w:t>.</w:t>
      </w:r>
      <w:r w:rsidR="004325DB">
        <w:rPr>
          <w:noProof/>
        </w:rPr>
        <w:t>10</w:t>
      </w:r>
      <w:r>
        <w:fldChar w:fldCharType="end"/>
      </w:r>
      <w:r w:rsidR="00907593">
        <w:t xml:space="preserve"> </w:t>
      </w:r>
      <w:r w:rsidR="00B26C36">
        <w:t>show</w:t>
      </w:r>
      <w:r w:rsidR="00907593">
        <w:t>s</w:t>
      </w:r>
      <w:r w:rsidR="00B26C36">
        <w:t xml:space="preserve"> the </w:t>
      </w:r>
      <w:r w:rsidR="007D0BA6">
        <w:t xml:space="preserve">estimated annual bill (including discounts) for the </w:t>
      </w:r>
      <w:r w:rsidR="00797601">
        <w:t xml:space="preserve">current </w:t>
      </w:r>
      <w:r w:rsidR="00B26C36">
        <w:t xml:space="preserve">range of </w:t>
      </w:r>
      <w:r w:rsidR="007D0BA6">
        <w:t xml:space="preserve">single rate and time of use </w:t>
      </w:r>
      <w:r w:rsidR="00B26C36">
        <w:t>offers available to residential electricity consumers in the ACT, Sydney</w:t>
      </w:r>
      <w:r w:rsidR="00B02AF7">
        <w:t>, Brisbane and Adelaide</w:t>
      </w:r>
      <w:r w:rsidR="00EE67B5">
        <w:t xml:space="preserve">, as </w:t>
      </w:r>
      <w:r w:rsidR="00907593">
        <w:t xml:space="preserve">reported </w:t>
      </w:r>
      <w:r w:rsidR="002D0EB0">
        <w:t>on the Energy Made Easy website.</w:t>
      </w:r>
      <w:r w:rsidR="00B26C36">
        <w:t xml:space="preserve"> </w:t>
      </w:r>
      <w:r w:rsidR="00B40EBF">
        <w:t>It also includes single rate offers available to Melbourne residents</w:t>
      </w:r>
      <w:r w:rsidR="00907593">
        <w:t>,</w:t>
      </w:r>
      <w:r w:rsidR="00D05C85">
        <w:t xml:space="preserve"> as reported on the </w:t>
      </w:r>
      <w:r w:rsidR="00D05C85">
        <w:lastRenderedPageBreak/>
        <w:t xml:space="preserve">Victoria Energy Compare website. </w:t>
      </w:r>
      <w:r w:rsidR="00B40EBF">
        <w:t xml:space="preserve"> </w:t>
      </w:r>
      <w:r w:rsidR="00B26C36">
        <w:t xml:space="preserve">To ensure comparability, </w:t>
      </w:r>
      <w:r w:rsidR="00656F09">
        <w:t xml:space="preserve">all offers are based on </w:t>
      </w:r>
      <w:r w:rsidR="00B26C36">
        <w:t xml:space="preserve">an annual electricity load of </w:t>
      </w:r>
      <w:r w:rsidR="00B40EBF">
        <w:t xml:space="preserve">about </w:t>
      </w:r>
      <w:r w:rsidR="00B26C36">
        <w:t>7,700</w:t>
      </w:r>
      <w:r w:rsidR="00656F09">
        <w:t xml:space="preserve"> </w:t>
      </w:r>
      <w:r w:rsidR="00B26C36">
        <w:t>kWh</w:t>
      </w:r>
      <w:r w:rsidR="00656F09">
        <w:t>.</w:t>
      </w:r>
    </w:p>
    <w:p w:rsidR="00433D7B" w:rsidRDefault="00433D7B" w:rsidP="00DA513B">
      <w:pPr>
        <w:pStyle w:val="FigureName0"/>
        <w:ind w:left="1077" w:hanging="1077"/>
      </w:pPr>
      <w:bookmarkStart w:id="143" w:name="_Ref461292942"/>
      <w:bookmarkStart w:id="144" w:name="_Toc464735392"/>
      <w:r w:rsidRPr="00E4260E">
        <w:t xml:space="preserve">Figure </w:t>
      </w:r>
      <w:r w:rsidR="00E2593B" w:rsidRPr="00E4260E">
        <w:fldChar w:fldCharType="begin"/>
      </w:r>
      <w:r w:rsidRPr="00E4260E">
        <w:instrText xml:space="preserve"> STYLEREF 1 \s </w:instrText>
      </w:r>
      <w:r w:rsidR="00E2593B" w:rsidRPr="00E4260E">
        <w:fldChar w:fldCharType="separate"/>
      </w:r>
      <w:r w:rsidR="004325DB">
        <w:rPr>
          <w:noProof/>
        </w:rPr>
        <w:t>3</w:t>
      </w:r>
      <w:r w:rsidR="00E2593B" w:rsidRPr="00E4260E">
        <w:fldChar w:fldCharType="end"/>
      </w:r>
      <w:r w:rsidRPr="00E4260E">
        <w:t>.</w:t>
      </w:r>
      <w:r w:rsidR="00E2593B" w:rsidRPr="00E4260E">
        <w:fldChar w:fldCharType="begin"/>
      </w:r>
      <w:r w:rsidRPr="00E4260E">
        <w:instrText xml:space="preserve"> SEQ Figure \* ARABIC \s 1 </w:instrText>
      </w:r>
      <w:r w:rsidR="00E2593B" w:rsidRPr="00E4260E">
        <w:fldChar w:fldCharType="separate"/>
      </w:r>
      <w:r w:rsidR="004325DB">
        <w:rPr>
          <w:noProof/>
        </w:rPr>
        <w:t>10</w:t>
      </w:r>
      <w:r w:rsidR="00E2593B" w:rsidRPr="00E4260E">
        <w:fldChar w:fldCharType="end"/>
      </w:r>
      <w:bookmarkEnd w:id="143"/>
      <w:r w:rsidR="009F1BA7">
        <w:t xml:space="preserve"> </w:t>
      </w:r>
      <w:r w:rsidR="004540E3">
        <w:t xml:space="preserve"> </w:t>
      </w:r>
      <w:r w:rsidRPr="00E4260E">
        <w:tab/>
      </w:r>
      <w:r w:rsidR="004540E3">
        <w:t>N</w:t>
      </w:r>
      <w:r w:rsidR="006901E4">
        <w:t>umber of o</w:t>
      </w:r>
      <w:r>
        <w:t>ffers</w:t>
      </w:r>
      <w:r w:rsidR="006901E4">
        <w:t xml:space="preserve"> by estimated annual bill</w:t>
      </w:r>
      <w:r w:rsidR="00EA6E8F">
        <w:t xml:space="preserve"> (including discounts)</w:t>
      </w:r>
      <w:r w:rsidR="00DA513B">
        <w:t>, September 2016</w:t>
      </w:r>
      <w:bookmarkEnd w:id="144"/>
      <w:r w:rsidR="00DA513B">
        <w:t xml:space="preserve"> </w:t>
      </w:r>
    </w:p>
    <w:p w:rsidR="009F1BA7" w:rsidRPr="009F1BA7" w:rsidRDefault="009F1BA7" w:rsidP="00907593">
      <w:pPr>
        <w:pStyle w:val="ListParagraph"/>
        <w:numPr>
          <w:ilvl w:val="0"/>
          <w:numId w:val="54"/>
        </w:numPr>
      </w:pPr>
      <w:r>
        <w:t xml:space="preserve">Single rate offers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77"/>
      </w:tblGrid>
      <w:tr w:rsidR="00DA513B" w:rsidTr="00447947">
        <w:tc>
          <w:tcPr>
            <w:tcW w:w="7711" w:type="dxa"/>
          </w:tcPr>
          <w:p w:rsidR="00DA513B" w:rsidRDefault="00447947" w:rsidP="00DA513B">
            <w:pPr>
              <w:pStyle w:val="TableNotesLast"/>
              <w:keepNext/>
              <w:rPr>
                <w:noProof/>
                <w:lang w:val="en-AU" w:eastAsia="en-AU"/>
              </w:rPr>
            </w:pPr>
            <w:r>
              <w:rPr>
                <w:noProof/>
                <w:lang w:val="en-AU" w:eastAsia="en-AU"/>
              </w:rPr>
              <w:drawing>
                <wp:inline distT="0" distB="0" distL="0" distR="0">
                  <wp:extent cx="4783494" cy="2532418"/>
                  <wp:effectExtent l="0" t="0" r="17145" b="12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C0784D" w:rsidTr="00447947">
        <w:tc>
          <w:tcPr>
            <w:tcW w:w="7711" w:type="dxa"/>
          </w:tcPr>
          <w:p w:rsidR="00C0784D" w:rsidRPr="00907593" w:rsidRDefault="009F1BA7" w:rsidP="00907593">
            <w:pPr>
              <w:pStyle w:val="ListParagraph"/>
              <w:numPr>
                <w:ilvl w:val="0"/>
                <w:numId w:val="54"/>
              </w:numPr>
              <w:rPr>
                <w:rFonts w:eastAsia="SimSun"/>
              </w:rPr>
            </w:pPr>
            <w:r w:rsidRPr="00907593">
              <w:rPr>
                <w:rFonts w:eastAsia="SimSun"/>
              </w:rPr>
              <w:t xml:space="preserve">Time of use offers </w:t>
            </w:r>
          </w:p>
        </w:tc>
      </w:tr>
      <w:tr w:rsidR="00DA513B" w:rsidTr="00447947">
        <w:tc>
          <w:tcPr>
            <w:tcW w:w="7711" w:type="dxa"/>
          </w:tcPr>
          <w:p w:rsidR="00DA513B" w:rsidRDefault="00447947" w:rsidP="00DA513B">
            <w:pPr>
              <w:pStyle w:val="TableNotesLast"/>
              <w:keepNext/>
              <w:rPr>
                <w:noProof/>
                <w:lang w:val="en-AU" w:eastAsia="en-AU"/>
              </w:rPr>
            </w:pPr>
            <w:r>
              <w:rPr>
                <w:noProof/>
                <w:lang w:val="en-AU" w:eastAsia="en-AU"/>
              </w:rPr>
              <w:drawing>
                <wp:inline distT="0" distB="0" distL="0" distR="0">
                  <wp:extent cx="4783455" cy="2556795"/>
                  <wp:effectExtent l="0" t="0" r="17145" b="152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rsidR="007B337E" w:rsidRDefault="00433D7B" w:rsidP="00DA513B">
      <w:pPr>
        <w:pStyle w:val="TableNotes"/>
        <w:keepNext/>
      </w:pPr>
      <w:r>
        <w:t>Source:</w:t>
      </w:r>
      <w:r>
        <w:tab/>
      </w:r>
      <w:hyperlink r:id="rId50" w:history="1">
        <w:r w:rsidR="007B337E" w:rsidRPr="004076B8">
          <w:rPr>
            <w:rStyle w:val="Hyperlink"/>
            <w:rFonts w:ascii="Arial Narrow" w:hAnsi="Arial Narrow"/>
            <w:sz w:val="16"/>
          </w:rPr>
          <w:t>www.energymadeeasy.gov.au</w:t>
        </w:r>
      </w:hyperlink>
      <w:r w:rsidR="00DD3572">
        <w:rPr>
          <w:rStyle w:val="Hyperlink"/>
          <w:rFonts w:ascii="Arial Narrow" w:hAnsi="Arial Narrow"/>
          <w:sz w:val="16"/>
        </w:rPr>
        <w:t xml:space="preserve"> and </w:t>
      </w:r>
      <w:r w:rsidR="00DD3572" w:rsidRPr="00DD3572">
        <w:rPr>
          <w:rStyle w:val="Hyperlink"/>
          <w:rFonts w:ascii="Arial Narrow" w:hAnsi="Arial Narrow"/>
          <w:sz w:val="16"/>
        </w:rPr>
        <w:t>https://compare.switchon.vic.gov.au/</w:t>
      </w:r>
      <w:r w:rsidR="007B337E">
        <w:t>.</w:t>
      </w:r>
      <w:r w:rsidR="000373A1">
        <w:t xml:space="preserve"> Accessed </w:t>
      </w:r>
      <w:r w:rsidR="00314297">
        <w:t>mid-</w:t>
      </w:r>
      <w:r w:rsidR="000373A1">
        <w:t>September 2016.</w:t>
      </w:r>
    </w:p>
    <w:p w:rsidR="007B337E" w:rsidRPr="007B337E" w:rsidRDefault="007B337E" w:rsidP="00DA513B">
      <w:pPr>
        <w:pStyle w:val="TableNotesLast"/>
        <w:keepNext/>
      </w:pPr>
      <w:r>
        <w:t>Note:</w:t>
      </w:r>
      <w:r>
        <w:tab/>
        <w:t>Assumes annual energy use of 7</w:t>
      </w:r>
      <w:r w:rsidR="00DD3572">
        <w:t>,</w:t>
      </w:r>
      <w:r>
        <w:t>700 kWh.</w:t>
      </w:r>
    </w:p>
    <w:p w:rsidR="00733407" w:rsidRDefault="00E2593B" w:rsidP="00E665CF">
      <w:r>
        <w:fldChar w:fldCharType="begin"/>
      </w:r>
      <w:r w:rsidR="008C4A38">
        <w:instrText xml:space="preserve"> REF _Ref461292942 \h </w:instrText>
      </w:r>
      <w:r>
        <w:fldChar w:fldCharType="separate"/>
      </w:r>
      <w:r w:rsidR="004325DB" w:rsidRPr="00E4260E">
        <w:t xml:space="preserve">Figure </w:t>
      </w:r>
      <w:r w:rsidR="004325DB">
        <w:rPr>
          <w:noProof/>
        </w:rPr>
        <w:t>3</w:t>
      </w:r>
      <w:r w:rsidR="004325DB" w:rsidRPr="00E4260E">
        <w:t>.</w:t>
      </w:r>
      <w:r w:rsidR="004325DB">
        <w:rPr>
          <w:noProof/>
        </w:rPr>
        <w:t>10</w:t>
      </w:r>
      <w:r>
        <w:fldChar w:fldCharType="end"/>
      </w:r>
      <w:r w:rsidR="00771ED4">
        <w:t>(</w:t>
      </w:r>
      <w:r w:rsidR="00C97D50">
        <w:t>a</w:t>
      </w:r>
      <w:r w:rsidR="00771ED4">
        <w:t>) suggest</w:t>
      </w:r>
      <w:r w:rsidR="00907593">
        <w:t>s</w:t>
      </w:r>
      <w:r w:rsidR="00771ED4">
        <w:t xml:space="preserve"> </w:t>
      </w:r>
      <w:r w:rsidR="007D0BA6">
        <w:t xml:space="preserve">that the price that ACT residential electricity consumers pay for their electricity is </w:t>
      </w:r>
      <w:r w:rsidR="00794A53">
        <w:t xml:space="preserve">considerably </w:t>
      </w:r>
      <w:r w:rsidR="007D0BA6">
        <w:t xml:space="preserve">less than that </w:t>
      </w:r>
      <w:r w:rsidR="00A07409">
        <w:t xml:space="preserve">paid </w:t>
      </w:r>
      <w:r w:rsidR="007D0BA6">
        <w:t>by consumers in Sydney</w:t>
      </w:r>
      <w:r w:rsidR="008C4A38">
        <w:t>, Brisbane</w:t>
      </w:r>
      <w:r w:rsidR="00CC327F">
        <w:t>,</w:t>
      </w:r>
      <w:r w:rsidR="00B56E79">
        <w:t xml:space="preserve"> </w:t>
      </w:r>
      <w:r w:rsidR="008C4A38">
        <w:t>Adelaide</w:t>
      </w:r>
      <w:r w:rsidR="00CC327F">
        <w:t xml:space="preserve"> and Hobart</w:t>
      </w:r>
      <w:r w:rsidR="00794A53">
        <w:t xml:space="preserve">. There are </w:t>
      </w:r>
      <w:r w:rsidR="00B56E79">
        <w:t>comparable offers available to Melbourne residents</w:t>
      </w:r>
      <w:r w:rsidR="00794A53">
        <w:t xml:space="preserve"> but </w:t>
      </w:r>
      <w:r w:rsidR="008F3F17">
        <w:t xml:space="preserve">most </w:t>
      </w:r>
      <w:r w:rsidR="00794A53">
        <w:t xml:space="preserve">of the single rate offers in Melbourne are in materially higher price </w:t>
      </w:r>
      <w:r w:rsidR="00794A53">
        <w:lastRenderedPageBreak/>
        <w:t>ranges</w:t>
      </w:r>
      <w:r w:rsidR="007D0BA6">
        <w:t>.</w:t>
      </w:r>
      <w:r w:rsidR="00842794">
        <w:rPr>
          <w:rStyle w:val="FootnoteReference"/>
        </w:rPr>
        <w:footnoteReference w:id="22"/>
      </w:r>
      <w:r w:rsidR="00B56E79">
        <w:t xml:space="preserve"> </w:t>
      </w:r>
      <w:r w:rsidR="007A74B7">
        <w:t xml:space="preserve">This result is consistent with the AER’s most recent </w:t>
      </w:r>
      <w:r w:rsidR="00E665CF">
        <w:t>State of the Energy Market report, for 2014</w:t>
      </w:r>
      <w:r w:rsidR="00E665CF">
        <w:sym w:font="Symbol" w:char="F02D"/>
      </w:r>
      <w:r w:rsidR="00E665CF">
        <w:t xml:space="preserve">15, </w:t>
      </w:r>
      <w:r w:rsidR="00733407">
        <w:t xml:space="preserve">and a more recent report published in August 2016 on the retail electricity market in the NEM prepared </w:t>
      </w:r>
      <w:r w:rsidR="00B56E79">
        <w:t xml:space="preserve">for the </w:t>
      </w:r>
      <w:r w:rsidR="00733407">
        <w:t>GetUp!</w:t>
      </w:r>
      <w:r w:rsidR="00B56E79">
        <w:t xml:space="preserve"> Group.</w:t>
      </w:r>
    </w:p>
    <w:p w:rsidR="00E665CF" w:rsidRDefault="00733407" w:rsidP="00E665CF">
      <w:r>
        <w:t xml:space="preserve">The AER report </w:t>
      </w:r>
      <w:r w:rsidR="00E665CF">
        <w:t xml:space="preserve">found that electricity bills </w:t>
      </w:r>
      <w:r w:rsidR="00F80979">
        <w:t xml:space="preserve">for customers on standing offers </w:t>
      </w:r>
      <w:r w:rsidR="00E665CF">
        <w:t>in the ACT are among the lowest in Australia</w:t>
      </w:r>
      <w:r w:rsidR="001D65B4">
        <w:t xml:space="preserve"> (see</w:t>
      </w:r>
      <w:r w:rsidR="007A74B7">
        <w:t xml:space="preserve"> </w:t>
      </w:r>
      <w:r w:rsidR="00E2593B">
        <w:fldChar w:fldCharType="begin"/>
      </w:r>
      <w:r w:rsidR="00E665CF">
        <w:instrText xml:space="preserve"> REF _Ref459275010 \h </w:instrText>
      </w:r>
      <w:r w:rsidR="00E2593B">
        <w:fldChar w:fldCharType="separate"/>
      </w:r>
      <w:r w:rsidR="004325DB" w:rsidRPr="00E4260E">
        <w:t xml:space="preserve">Figure </w:t>
      </w:r>
      <w:r w:rsidR="004325DB">
        <w:rPr>
          <w:noProof/>
        </w:rPr>
        <w:t>3</w:t>
      </w:r>
      <w:r w:rsidR="004325DB" w:rsidRPr="00E4260E">
        <w:t>.</w:t>
      </w:r>
      <w:r w:rsidR="004325DB">
        <w:rPr>
          <w:noProof/>
        </w:rPr>
        <w:t>11</w:t>
      </w:r>
      <w:r w:rsidR="00E2593B">
        <w:fldChar w:fldCharType="end"/>
      </w:r>
      <w:r w:rsidR="001D65B4">
        <w:t>)</w:t>
      </w:r>
      <w:r w:rsidR="007A74B7">
        <w:t>.</w:t>
      </w:r>
      <w:r w:rsidR="003772BC">
        <w:t xml:space="preserve"> The report noted:</w:t>
      </w:r>
    </w:p>
    <w:p w:rsidR="00E665CF" w:rsidRDefault="00E665CF" w:rsidP="00E665CF">
      <w:pPr>
        <w:pStyle w:val="Quote"/>
      </w:pPr>
      <w:r>
        <w:t>Despite high electricity consumption in the ACT, that region’s electricity bills are among the lowest in Australia because its usage charges are substantially lower than elsewhere.</w:t>
      </w:r>
      <w:r>
        <w:rPr>
          <w:rStyle w:val="FootnoteReference"/>
        </w:rPr>
        <w:footnoteReference w:id="23"/>
      </w:r>
    </w:p>
    <w:p w:rsidR="00E665CF" w:rsidRDefault="00E665CF" w:rsidP="00E665CF">
      <w:pPr>
        <w:pStyle w:val="FigureName0"/>
        <w:keepNext w:val="0"/>
        <w:ind w:left="1077" w:hanging="1077"/>
      </w:pPr>
      <w:bookmarkStart w:id="145" w:name="_Ref459275010"/>
      <w:bookmarkStart w:id="146" w:name="_Toc464735393"/>
      <w:r w:rsidRPr="00E4260E">
        <w:t xml:space="preserve">Figure </w:t>
      </w:r>
      <w:r w:rsidR="00E2593B" w:rsidRPr="00E4260E">
        <w:fldChar w:fldCharType="begin"/>
      </w:r>
      <w:r w:rsidRPr="00E4260E">
        <w:instrText xml:space="preserve"> STYLEREF 1 \s </w:instrText>
      </w:r>
      <w:r w:rsidR="00E2593B" w:rsidRPr="00E4260E">
        <w:fldChar w:fldCharType="separate"/>
      </w:r>
      <w:r w:rsidR="004325DB">
        <w:rPr>
          <w:noProof/>
        </w:rPr>
        <w:t>3</w:t>
      </w:r>
      <w:r w:rsidR="00E2593B" w:rsidRPr="00E4260E">
        <w:fldChar w:fldCharType="end"/>
      </w:r>
      <w:r w:rsidRPr="00E4260E">
        <w:t>.</w:t>
      </w:r>
      <w:r w:rsidR="00E2593B" w:rsidRPr="00E4260E">
        <w:fldChar w:fldCharType="begin"/>
      </w:r>
      <w:r w:rsidRPr="00E4260E">
        <w:instrText xml:space="preserve"> SEQ Figure \* ARABIC \s 1 </w:instrText>
      </w:r>
      <w:r w:rsidR="00E2593B" w:rsidRPr="00E4260E">
        <w:fldChar w:fldCharType="separate"/>
      </w:r>
      <w:r w:rsidR="004325DB">
        <w:rPr>
          <w:noProof/>
        </w:rPr>
        <w:t>11</w:t>
      </w:r>
      <w:r w:rsidR="00E2593B" w:rsidRPr="00E4260E">
        <w:fldChar w:fldCharType="end"/>
      </w:r>
      <w:bookmarkEnd w:id="145"/>
      <w:r w:rsidRPr="00E4260E">
        <w:tab/>
      </w:r>
      <w:r>
        <w:t>Estimated annual small customer electricity bills based on standing offers, 2014</w:t>
      </w:r>
      <w:r>
        <w:sym w:font="Symbol" w:char="F02D"/>
      </w:r>
      <w:r>
        <w:t>15</w:t>
      </w:r>
      <w:bookmarkEnd w:id="146"/>
    </w:p>
    <w:p w:rsidR="00E665CF" w:rsidRDefault="00815696" w:rsidP="00E665CF">
      <w:pPr>
        <w:pStyle w:val="TableNotesLast"/>
        <w:rPr>
          <w:noProof/>
          <w:lang w:val="en-AU" w:eastAsia="en-AU"/>
        </w:rPr>
      </w:pPr>
      <w:r>
        <w:rPr>
          <w:noProof/>
          <w:lang w:val="en-AU" w:eastAsia="en-AU"/>
        </w:rPr>
        <w:drawing>
          <wp:inline distT="0" distB="0" distL="0" distR="0">
            <wp:extent cx="4896485" cy="2855167"/>
            <wp:effectExtent l="0" t="0" r="18415" b="25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665CF" w:rsidRDefault="00E665CF" w:rsidP="00E665CF">
      <w:pPr>
        <w:pStyle w:val="TableNotesLast"/>
      </w:pPr>
      <w:r>
        <w:t>Source:</w:t>
      </w:r>
      <w:r>
        <w:tab/>
      </w:r>
      <w:r w:rsidR="00E2593B">
        <w:fldChar w:fldCharType="begin"/>
      </w:r>
      <w:r w:rsidR="00E067F7">
        <w:instrText xml:space="preserve"> ADDIN EN.CITE &lt;EndNote&gt;&lt;Cite&gt;&lt;Author&gt;AER&lt;/Author&gt;&lt;Year&gt;2016&lt;/Year&gt;&lt;RecNum&gt;626&lt;/RecNum&gt;&lt;DisplayText&gt;AER (2016c)&lt;/DisplayText&gt;&lt;record&gt;&lt;rec-number&gt;626&lt;/rec-number&gt;&lt;foreign-keys&gt;&lt;key app="EN" db-id="v0xfx5d9ss0wzred9wbpa5e4zwfrepsaw0v9"&gt;626&lt;/key&gt;&lt;/foreign-keys&gt;&lt;ref-type name="Web Page"&gt;12&lt;/ref-type&gt;&lt;contributors&gt;&lt;authors&gt;&lt;author&gt;AER&lt;/author&gt;&lt;/authors&gt;&lt;/contributors&gt;&lt;titles&gt;&lt;title&gt;State of the energy market 2015&lt;/title&gt;&lt;/titles&gt;&lt;dates&gt;&lt;year&gt;2016&lt;/year&gt;&lt;/dates&gt;&lt;pub-location&gt;Melbourne&lt;/pub-location&gt;&lt;publisher&gt;Australian Energy Regulator&lt;/publisher&gt;&lt;urls&gt;&lt;/urls&gt;&lt;/record&gt;&lt;/Cite&gt;&lt;/EndNote&gt;</w:instrText>
      </w:r>
      <w:r w:rsidR="00E2593B">
        <w:fldChar w:fldCharType="separate"/>
      </w:r>
      <w:hyperlink w:anchor="_ENREF_6" w:tooltip="AER, 2016 #626" w:history="1">
        <w:r w:rsidR="005B3C57">
          <w:rPr>
            <w:noProof/>
          </w:rPr>
          <w:t>AER (2016c</w:t>
        </w:r>
      </w:hyperlink>
      <w:r w:rsidR="00E067F7">
        <w:rPr>
          <w:noProof/>
        </w:rPr>
        <w:t>)</w:t>
      </w:r>
      <w:r w:rsidR="00E2593B">
        <w:fldChar w:fldCharType="end"/>
      </w:r>
      <w:r>
        <w:t>: 133.</w:t>
      </w:r>
    </w:p>
    <w:p w:rsidR="00433D7B" w:rsidRDefault="00733407" w:rsidP="00447538">
      <w:r>
        <w:t xml:space="preserve">The </w:t>
      </w:r>
      <w:r w:rsidR="001572EF">
        <w:t>GetUp</w:t>
      </w:r>
      <w:r>
        <w:t>! report</w:t>
      </w:r>
      <w:r w:rsidR="001572EF">
        <w:t xml:space="preserve"> compared the regulated ACT retail market to the </w:t>
      </w:r>
      <w:r w:rsidR="00062E89">
        <w:t>de</w:t>
      </w:r>
      <w:r w:rsidR="001572EF">
        <w:t xml:space="preserve">regulated markets in Victoria, New South Wales, South Australia and </w:t>
      </w:r>
      <w:r w:rsidR="00F1134D">
        <w:t xml:space="preserve">south-east </w:t>
      </w:r>
      <w:r w:rsidR="001572EF">
        <w:t>Queensland, with a particular focus on the retail component of electricity charges.</w:t>
      </w:r>
      <w:r w:rsidR="00F1134D">
        <w:t xml:space="preserve"> </w:t>
      </w:r>
      <w:r w:rsidR="001572EF">
        <w:t>Th</w:t>
      </w:r>
      <w:r>
        <w:t>is</w:t>
      </w:r>
      <w:r w:rsidR="001572EF">
        <w:t xml:space="preserve"> report found that the total annual bill in the ACT is the lowest of all NEM jurisdictions</w:t>
      </w:r>
      <w:r w:rsidR="00450F79">
        <w:t>.</w:t>
      </w:r>
      <w:r w:rsidR="001572EF">
        <w:rPr>
          <w:rStyle w:val="FootnoteReference"/>
        </w:rPr>
        <w:footnoteReference w:id="24"/>
      </w:r>
      <w:r w:rsidR="001572EF">
        <w:t xml:space="preserve"> </w:t>
      </w:r>
      <w:r w:rsidR="003001B0">
        <w:t xml:space="preserve">It further </w:t>
      </w:r>
      <w:r w:rsidR="001572EF">
        <w:t xml:space="preserve">found that regulated retail component in the ACT is much lower than the </w:t>
      </w:r>
      <w:r w:rsidR="00347ABF">
        <w:t xml:space="preserve">estimated </w:t>
      </w:r>
      <w:r w:rsidR="001572EF">
        <w:t xml:space="preserve">retail component on the best offers from the big three energy retailers (AGL Energy, Energy Australia and Origin Energy) in any </w:t>
      </w:r>
      <w:r w:rsidR="00D871C4">
        <w:t xml:space="preserve">other </w:t>
      </w:r>
      <w:r w:rsidR="001572EF">
        <w:t>region</w:t>
      </w:r>
      <w:r w:rsidR="00D871C4">
        <w:t>s</w:t>
      </w:r>
      <w:r w:rsidR="001572EF">
        <w:t xml:space="preserve"> of the NEM</w:t>
      </w:r>
      <w:r w:rsidR="0057016E">
        <w:t>.</w:t>
      </w:r>
      <w:r w:rsidR="009336CB">
        <w:t xml:space="preserve"> </w:t>
      </w:r>
    </w:p>
    <w:p w:rsidR="004E47D8" w:rsidRDefault="00001610" w:rsidP="005D0466">
      <w:pPr>
        <w:pStyle w:val="Heading2"/>
      </w:pPr>
      <w:bookmarkStart w:id="147" w:name="_Toc464735369"/>
      <w:bookmarkEnd w:id="132"/>
      <w:bookmarkEnd w:id="133"/>
      <w:bookmarkEnd w:id="134"/>
      <w:r>
        <w:lastRenderedPageBreak/>
        <w:t>Recent r</w:t>
      </w:r>
      <w:r w:rsidR="004E47D8">
        <w:t>egulatory developments</w:t>
      </w:r>
      <w:bookmarkEnd w:id="147"/>
    </w:p>
    <w:p w:rsidR="00096901" w:rsidRDefault="00F60EB0" w:rsidP="000D0A0D">
      <w:pPr>
        <w:pStyle w:val="Heading3"/>
      </w:pPr>
      <w:r>
        <w:t>Power of choice reforms</w:t>
      </w:r>
      <w:r w:rsidR="008C3E2B">
        <w:t xml:space="preserve">: </w:t>
      </w:r>
      <w:r w:rsidR="008B36A5">
        <w:t>provision of smart metering</w:t>
      </w:r>
    </w:p>
    <w:p w:rsidR="00353DCC" w:rsidRDefault="008149E2" w:rsidP="00806432">
      <w:r>
        <w:t>On 26</w:t>
      </w:r>
      <w:r w:rsidR="00AA6383">
        <w:t> </w:t>
      </w:r>
      <w:r>
        <w:t>November</w:t>
      </w:r>
      <w:r w:rsidR="00AA6383">
        <w:t> </w:t>
      </w:r>
      <w:r w:rsidRPr="00475A13">
        <w:t xml:space="preserve">2015, the Australian Energy Market Commission (AEMC) announced </w:t>
      </w:r>
      <w:r>
        <w:t xml:space="preserve">a </w:t>
      </w:r>
      <w:r w:rsidRPr="00475A13">
        <w:t xml:space="preserve">final </w:t>
      </w:r>
      <w:r>
        <w:t xml:space="preserve">rule change that will </w:t>
      </w:r>
      <w:r w:rsidRPr="00475A13">
        <w:t>allow</w:t>
      </w:r>
      <w:r>
        <w:t xml:space="preserve"> </w:t>
      </w:r>
      <w:r w:rsidRPr="00475A13">
        <w:t>competition in the provision of metering and related services</w:t>
      </w:r>
      <w:r>
        <w:t>.</w:t>
      </w:r>
      <w:r w:rsidR="007E0040" w:rsidRPr="007E0040">
        <w:t xml:space="preserve"> </w:t>
      </w:r>
      <w:r w:rsidR="003637B1">
        <w:t>Th</w:t>
      </w:r>
      <w:r w:rsidR="00CC0870">
        <w:t xml:space="preserve">e </w:t>
      </w:r>
      <w:r w:rsidR="003637B1">
        <w:t xml:space="preserve">rule change was made in response to a request from the Council of </w:t>
      </w:r>
      <w:r w:rsidR="005A29DC">
        <w:t xml:space="preserve">Australian </w:t>
      </w:r>
      <w:r w:rsidR="003637B1">
        <w:t>Governments</w:t>
      </w:r>
      <w:r w:rsidR="00806432">
        <w:t>’</w:t>
      </w:r>
      <w:r w:rsidR="003637B1">
        <w:t xml:space="preserve"> (COAG) Energy Council</w:t>
      </w:r>
      <w:r w:rsidR="007B4807">
        <w:t>.</w:t>
      </w:r>
      <w:r w:rsidR="00C77586">
        <w:rPr>
          <w:rStyle w:val="FootnoteReference"/>
        </w:rPr>
        <w:footnoteReference w:id="25"/>
      </w:r>
      <w:r w:rsidR="007B4807">
        <w:t xml:space="preserve"> </w:t>
      </w:r>
      <w:r w:rsidR="007E0040">
        <w:t xml:space="preserve">The </w:t>
      </w:r>
      <w:r w:rsidR="00806432">
        <w:t xml:space="preserve">new </w:t>
      </w:r>
      <w:r w:rsidR="007E0040">
        <w:t>metering reforms</w:t>
      </w:r>
      <w:r w:rsidR="00806432">
        <w:t>, which will commence on 1 December 2017,</w:t>
      </w:r>
      <w:r w:rsidR="007E0040">
        <w:t xml:space="preserve"> are </w:t>
      </w:r>
      <w:r w:rsidR="007E0040" w:rsidRPr="00136CBE">
        <w:t>part of the AEM</w:t>
      </w:r>
      <w:r w:rsidR="007E0040">
        <w:t>C</w:t>
      </w:r>
      <w:r w:rsidR="007E0040" w:rsidRPr="00136CBE">
        <w:t xml:space="preserve">’s Power of Choice Reforms </w:t>
      </w:r>
      <w:r w:rsidR="007E0040">
        <w:t xml:space="preserve">package </w:t>
      </w:r>
      <w:r w:rsidR="007E0040" w:rsidRPr="00136CBE">
        <w:t xml:space="preserve">to promote </w:t>
      </w:r>
      <w:r w:rsidR="007B4807">
        <w:t xml:space="preserve">the </w:t>
      </w:r>
      <w:r w:rsidR="007E0040" w:rsidRPr="00136CBE">
        <w:t>efficient use of energy networks</w:t>
      </w:r>
      <w:r w:rsidR="007E0040">
        <w:t>.</w:t>
      </w:r>
      <w:r w:rsidR="00806432">
        <w:t xml:space="preserve"> The new arrangements are intended to promote innovation and lead to investment in advanced meters that deliver services valued by consumers.</w:t>
      </w:r>
      <w:r>
        <w:rPr>
          <w:rStyle w:val="FootnoteReference"/>
        </w:rPr>
        <w:footnoteReference w:id="26"/>
      </w:r>
    </w:p>
    <w:p w:rsidR="00096901" w:rsidRDefault="00B17A80" w:rsidP="007A258A">
      <w:r>
        <w:t xml:space="preserve">A key issue is to what extent the cost of installing ‘smart’ meters and associated support costs should be recovered in the regulated price. </w:t>
      </w:r>
      <w:r w:rsidR="00806432">
        <w:t>In its submission to the Commission’s 2016</w:t>
      </w:r>
      <w:r w:rsidR="00806432" w:rsidRPr="00A015EC">
        <w:sym w:font="Symbol" w:char="F02D"/>
      </w:r>
      <w:r w:rsidR="00806432">
        <w:t xml:space="preserve">17 price adjustment process, ActewAGL Retail indicated that the new arrangements would require </w:t>
      </w:r>
      <w:r w:rsidR="00806432" w:rsidRPr="00475A13">
        <w:t xml:space="preserve">significant system changes and </w:t>
      </w:r>
      <w:r w:rsidR="00806432">
        <w:t>investment by ActewAGL Retail.</w:t>
      </w:r>
      <w:r w:rsidR="00741AC2">
        <w:rPr>
          <w:rStyle w:val="FootnoteReference"/>
        </w:rPr>
        <w:footnoteReference w:id="27"/>
      </w:r>
      <w:r w:rsidR="00A5764C">
        <w:t xml:space="preserve"> </w:t>
      </w:r>
      <w:r w:rsidR="009C05EE">
        <w:t>In response, t</w:t>
      </w:r>
      <w:r w:rsidR="00353DCC">
        <w:t xml:space="preserve">he Commission noted in </w:t>
      </w:r>
      <w:r w:rsidR="00A5764C">
        <w:t xml:space="preserve">its final decision </w:t>
      </w:r>
      <w:r w:rsidR="003A7B12">
        <w:t xml:space="preserve">report </w:t>
      </w:r>
      <w:r w:rsidR="00353DCC">
        <w:t xml:space="preserve">that </w:t>
      </w:r>
      <w:r w:rsidR="00432E31">
        <w:t xml:space="preserve">it </w:t>
      </w:r>
      <w:r w:rsidR="006C243A">
        <w:t>wo</w:t>
      </w:r>
      <w:r w:rsidR="00353DCC">
        <w:t xml:space="preserve">uld consider this matter as part of </w:t>
      </w:r>
      <w:r w:rsidR="006C243A">
        <w:t xml:space="preserve">the 2017 </w:t>
      </w:r>
      <w:r w:rsidR="00353DCC">
        <w:t>price investigation.</w:t>
      </w:r>
      <w:r w:rsidR="00741AC2">
        <w:rPr>
          <w:rStyle w:val="FootnoteReference"/>
        </w:rPr>
        <w:footnoteReference w:id="28"/>
      </w:r>
      <w:r w:rsidR="00353DCC">
        <w:t xml:space="preserve"> </w:t>
      </w:r>
    </w:p>
    <w:p w:rsidR="00B54F24" w:rsidRDefault="00B54F24" w:rsidP="00B54F24">
      <w:r>
        <w:t xml:space="preserve">Smart meters (also known as time of use or advanced meters) record </w:t>
      </w:r>
      <w:r w:rsidRPr="00DC33E1">
        <w:t xml:space="preserve">consumption of electricity in intervals of </w:t>
      </w:r>
      <w:r>
        <w:t>an hour or less and communicate</w:t>
      </w:r>
      <w:r w:rsidRPr="00DC33E1">
        <w:t xml:space="preserve"> that information to the utility for monitoring and billing.  </w:t>
      </w:r>
      <w:r>
        <w:t xml:space="preserve">The consumption information is also available to consumers.  </w:t>
      </w:r>
      <w:r w:rsidR="00F45DAA">
        <w:t>Smart meters</w:t>
      </w:r>
      <w:r w:rsidRPr="00DC33E1">
        <w:t xml:space="preserve"> </w:t>
      </w:r>
      <w:r w:rsidR="00315EA6">
        <w:t xml:space="preserve">can </w:t>
      </w:r>
      <w:r w:rsidRPr="00DC33E1">
        <w:t>also enable two-way communication between the meter and the central system.</w:t>
      </w:r>
      <w:r>
        <w:t xml:space="preserve">  Smart meters provide consumers with information to help them decide how and when they use electricity and manage the costs of their decisions.  To the extent that peak demand usage is reduced</w:t>
      </w:r>
      <w:r w:rsidR="00315EA6">
        <w:t>, as a result of the effective use of smart meters,</w:t>
      </w:r>
      <w:r>
        <w:t xml:space="preserve"> there can be material reductions in the need for network </w:t>
      </w:r>
      <w:r w:rsidR="00CC6E9D">
        <w:t>expenditure, which</w:t>
      </w:r>
      <w:r>
        <w:t xml:space="preserve"> may in turn help to reduce network costs and charges from what they otherwise would be. </w:t>
      </w:r>
    </w:p>
    <w:p w:rsidR="00B54F24" w:rsidRDefault="00B54F24" w:rsidP="00B54F24">
      <w:r>
        <w:t xml:space="preserve">The AEMC final rule change of 26 November 2015 does not specify that the installation of ‘smart’ meters is a regulatory requirement. The rule change enables competition in the provision of certain metering services and provides for consumers to opt out of having their existing working meter replaced with a smart meter. </w:t>
      </w:r>
      <w:r w:rsidR="00B17A80">
        <w:t xml:space="preserve">It is understood from the rule change that </w:t>
      </w:r>
      <w:r>
        <w:t>retailers need to engage with customers to determine if they want smart meters and recover the costs separately through contractual arrangements. This interpretation is consistent with outcomes in a competitive market and means that the costs</w:t>
      </w:r>
      <w:r w:rsidR="00315EA6">
        <w:t xml:space="preserve"> of</w:t>
      </w:r>
      <w:r>
        <w:t xml:space="preserve"> installi</w:t>
      </w:r>
      <w:r w:rsidR="00847019">
        <w:t xml:space="preserve">ng and supporting smart meters </w:t>
      </w:r>
      <w:r w:rsidR="00847019">
        <w:lastRenderedPageBreak/>
        <w:t>sh</w:t>
      </w:r>
      <w:r>
        <w:t>ould not be automatically included in standard regulated tariffs without a formal policy direction from Government.</w:t>
      </w:r>
    </w:p>
    <w:p w:rsidR="00096901" w:rsidRDefault="00096901" w:rsidP="000D0A0D">
      <w:pPr>
        <w:pStyle w:val="Heading3"/>
      </w:pPr>
      <w:r>
        <w:t xml:space="preserve">Network cost uncertainty </w:t>
      </w:r>
    </w:p>
    <w:p w:rsidR="002F2A32" w:rsidRPr="00AB6937" w:rsidRDefault="008149E2" w:rsidP="002F2A32">
      <w:r w:rsidRPr="00AB6937">
        <w:t>On 26</w:t>
      </w:r>
      <w:r w:rsidR="009F57B4">
        <w:t> </w:t>
      </w:r>
      <w:r w:rsidRPr="00AB6937">
        <w:t>February</w:t>
      </w:r>
      <w:r w:rsidR="009F57B4">
        <w:t> </w:t>
      </w:r>
      <w:r w:rsidRPr="00AB6937">
        <w:t>2016, the Australian Competition Tribunal</w:t>
      </w:r>
      <w:r>
        <w:t xml:space="preserve"> (the Tribunal)</w:t>
      </w:r>
      <w:r w:rsidRPr="00AB6937">
        <w:t xml:space="preserve"> made a decision </w:t>
      </w:r>
      <w:r>
        <w:t xml:space="preserve">to set aside </w:t>
      </w:r>
      <w:r w:rsidRPr="00AB6937">
        <w:t xml:space="preserve">the </w:t>
      </w:r>
      <w:r w:rsidR="00F44AFA">
        <w:t xml:space="preserve">AER’s </w:t>
      </w:r>
      <w:r w:rsidRPr="00AB6937">
        <w:t xml:space="preserve">2015 distribution </w:t>
      </w:r>
      <w:r>
        <w:t xml:space="preserve">determinations for the </w:t>
      </w:r>
      <w:r w:rsidR="00136958">
        <w:t>New South Wales</w:t>
      </w:r>
      <w:r w:rsidRPr="00C61D1C">
        <w:t xml:space="preserve"> </w:t>
      </w:r>
      <w:r>
        <w:t xml:space="preserve">and ACT </w:t>
      </w:r>
      <w:r w:rsidRPr="00D41F8E">
        <w:t>Distribution Network Service Providers</w:t>
      </w:r>
      <w:r>
        <w:t xml:space="preserve"> (DNSPs). </w:t>
      </w:r>
      <w:r w:rsidR="002F2A32" w:rsidRPr="00AB6937">
        <w:t xml:space="preserve">The AER </w:t>
      </w:r>
      <w:r w:rsidR="002F2A32">
        <w:t xml:space="preserve">subsequently </w:t>
      </w:r>
      <w:r w:rsidR="002F2A32" w:rsidRPr="00AB6937">
        <w:t>lodged a formal appeal</w:t>
      </w:r>
      <w:r w:rsidR="002F2A32">
        <w:t xml:space="preserve"> against the Tribunal’s decision</w:t>
      </w:r>
      <w:r w:rsidR="0008209B">
        <w:t>, which wa</w:t>
      </w:r>
      <w:r w:rsidR="002F2A32" w:rsidRPr="00AB6937">
        <w:t>s listed for hearing</w:t>
      </w:r>
      <w:r w:rsidR="00EA1646">
        <w:t xml:space="preserve"> in the Federal Court </w:t>
      </w:r>
      <w:r w:rsidR="002F2A32" w:rsidRPr="00AB6937">
        <w:t>on</w:t>
      </w:r>
      <w:r w:rsidR="002D24E8">
        <w:t xml:space="preserve"> </w:t>
      </w:r>
      <w:r w:rsidR="002F2A32" w:rsidRPr="00AB6937">
        <w:t>17</w:t>
      </w:r>
      <w:r w:rsidR="002F2A32">
        <w:t> </w:t>
      </w:r>
      <w:r w:rsidR="002F2A32" w:rsidRPr="00AB6937">
        <w:t>October</w:t>
      </w:r>
      <w:r w:rsidR="002F2A32">
        <w:t> </w:t>
      </w:r>
      <w:r w:rsidR="002F2A32" w:rsidRPr="00AB6937">
        <w:t>2016.</w:t>
      </w:r>
      <w:r w:rsidR="002F2A32">
        <w:rPr>
          <w:rStyle w:val="FootnoteReference"/>
        </w:rPr>
        <w:footnoteReference w:id="29"/>
      </w:r>
    </w:p>
    <w:p w:rsidR="002F2A32" w:rsidRDefault="00381532" w:rsidP="00253F7A">
      <w:r>
        <w:t>As a result</w:t>
      </w:r>
      <w:r w:rsidR="002F2A32">
        <w:t xml:space="preserve"> of the Tribunal’s decision</w:t>
      </w:r>
      <w:r>
        <w:t xml:space="preserve">, </w:t>
      </w:r>
      <w:r w:rsidR="00EA7C42">
        <w:t>the AER’s network pricing arrangements for 2016</w:t>
      </w:r>
      <w:r w:rsidR="00EA7C42" w:rsidRPr="00A015EC">
        <w:sym w:font="Symbol" w:char="F02D"/>
      </w:r>
      <w:r w:rsidR="00EA7C42">
        <w:t>17 did not follow the normal submission and approval process. A new process was agreed in May 2016 between the AER and ActewAGL Distribution, which involved network charges for 2016</w:t>
      </w:r>
      <w:r w:rsidR="00EA7C42" w:rsidRPr="00A015EC">
        <w:sym w:font="Symbol" w:char="F02D"/>
      </w:r>
      <w:r w:rsidR="00EA7C42">
        <w:t>17 remaining constant in real terms</w:t>
      </w:r>
      <w:r w:rsidR="00253F7A">
        <w:t xml:space="preserve">. </w:t>
      </w:r>
    </w:p>
    <w:p w:rsidR="00E70DC5" w:rsidRDefault="002F2A32" w:rsidP="008149E2">
      <w:r>
        <w:t xml:space="preserve">Subsequently, </w:t>
      </w:r>
      <w:r w:rsidR="007900BE">
        <w:t>on 18</w:t>
      </w:r>
      <w:r w:rsidR="009F57B4">
        <w:t> </w:t>
      </w:r>
      <w:r w:rsidR="007900BE">
        <w:t>July</w:t>
      </w:r>
      <w:r w:rsidR="009F57B4">
        <w:t> </w:t>
      </w:r>
      <w:r w:rsidR="007900BE">
        <w:t xml:space="preserve">2016, </w:t>
      </w:r>
      <w:r w:rsidR="008149E2">
        <w:t xml:space="preserve">the </w:t>
      </w:r>
      <w:r w:rsidR="00136958">
        <w:t>New South Wales</w:t>
      </w:r>
      <w:r w:rsidR="008149E2">
        <w:t xml:space="preserve"> DNSPs (Ausgrid, Endeavour Energy and Essential Energy) </w:t>
      </w:r>
      <w:r w:rsidR="009F7448">
        <w:t xml:space="preserve">submitted a rule change request to the AEMC </w:t>
      </w:r>
      <w:r w:rsidR="007900BE">
        <w:t xml:space="preserve">to </w:t>
      </w:r>
      <w:r w:rsidR="003A4F96">
        <w:t xml:space="preserve">amend the National Electricity Rules. </w:t>
      </w:r>
      <w:r w:rsidR="00AC2F77">
        <w:t xml:space="preserve">The proposed rule change </w:t>
      </w:r>
      <w:r w:rsidR="008149E2">
        <w:t>seek</w:t>
      </w:r>
      <w:r w:rsidR="003A4F96">
        <w:t>s</w:t>
      </w:r>
      <w:r w:rsidR="001922BD">
        <w:t>,</w:t>
      </w:r>
      <w:r w:rsidR="003A4F96">
        <w:t xml:space="preserve"> </w:t>
      </w:r>
      <w:r w:rsidR="001922BD">
        <w:t xml:space="preserve">should the judicial review decision go against the AER, </w:t>
      </w:r>
      <w:r w:rsidR="008149E2">
        <w:t>to minimi</w:t>
      </w:r>
      <w:r w:rsidR="00597894">
        <w:t>s</w:t>
      </w:r>
      <w:r w:rsidR="008149E2">
        <w:t xml:space="preserve">e </w:t>
      </w:r>
      <w:r w:rsidR="001922BD">
        <w:t xml:space="preserve">price shocks </w:t>
      </w:r>
      <w:r w:rsidR="008149E2">
        <w:t xml:space="preserve">associated with </w:t>
      </w:r>
      <w:r w:rsidR="001922BD">
        <w:t xml:space="preserve">any revenue </w:t>
      </w:r>
      <w:r w:rsidR="001922BD" w:rsidRPr="00764709">
        <w:t>adjustments having to be made in the remaining one or two years of the</w:t>
      </w:r>
      <w:r w:rsidR="008149E2" w:rsidRPr="00764709">
        <w:t xml:space="preserve"> 2014</w:t>
      </w:r>
      <w:r w:rsidR="008149E2" w:rsidRPr="00764709">
        <w:sym w:font="Symbol" w:char="F02D"/>
      </w:r>
      <w:r w:rsidR="008149E2" w:rsidRPr="00764709">
        <w:t>19 determinations.</w:t>
      </w:r>
      <w:r w:rsidR="00FD4CC4" w:rsidRPr="00764709">
        <w:rPr>
          <w:rStyle w:val="FootnoteReference"/>
        </w:rPr>
        <w:footnoteReference w:id="30"/>
      </w:r>
      <w:r w:rsidR="008149E2" w:rsidRPr="00764709">
        <w:t xml:space="preserve"> </w:t>
      </w:r>
      <w:r w:rsidR="00730410" w:rsidRPr="00764709">
        <w:t xml:space="preserve">On 23 September 2016, ActewAGL requested </w:t>
      </w:r>
      <w:r w:rsidR="00574C43" w:rsidRPr="00764709">
        <w:t xml:space="preserve">the AEMC to make </w:t>
      </w:r>
      <w:r w:rsidR="005C70C7" w:rsidRPr="00764709">
        <w:t>a similar participant derogation relating to them.</w:t>
      </w:r>
      <w:r w:rsidR="005C0587" w:rsidRPr="00764709">
        <w:rPr>
          <w:rStyle w:val="FootnoteReference"/>
        </w:rPr>
        <w:footnoteReference w:id="31"/>
      </w:r>
    </w:p>
    <w:p w:rsidR="00DF0125" w:rsidRDefault="00E70DC5" w:rsidP="008149E2">
      <w:pPr>
        <w:rPr>
          <w:rStyle w:val="QuoteChar"/>
        </w:rPr>
      </w:pPr>
      <w:r>
        <w:t>There remains uncertainty regarding the process for determining network costs for the 2017</w:t>
      </w:r>
      <w:r>
        <w:sym w:font="Symbol" w:char="F02D"/>
      </w:r>
      <w:r>
        <w:t xml:space="preserve">18 regulatory year. If the judicial decision supports the AER’s review application, the AER’s original 2015 determinations will be restored. If the AER is required to remake the 2015 determinations, the revenue impacts </w:t>
      </w:r>
      <w:r w:rsidR="00B872AE">
        <w:t xml:space="preserve">are </w:t>
      </w:r>
      <w:r>
        <w:t xml:space="preserve">unclear. </w:t>
      </w:r>
      <w:r w:rsidR="003A7CE5">
        <w:t xml:space="preserve">As noted by the </w:t>
      </w:r>
      <w:r w:rsidR="00136958">
        <w:t>New South Wales</w:t>
      </w:r>
      <w:r w:rsidR="003A7CE5">
        <w:t xml:space="preserve"> DNSPs in the</w:t>
      </w:r>
      <w:r w:rsidR="00FD4CC4">
        <w:t>ir</w:t>
      </w:r>
      <w:r w:rsidR="003A7CE5">
        <w:t xml:space="preserve"> </w:t>
      </w:r>
      <w:r w:rsidR="00FD4CC4">
        <w:t xml:space="preserve">formal </w:t>
      </w:r>
      <w:r w:rsidR="003A7CE5">
        <w:t>rule change request</w:t>
      </w:r>
      <w:r w:rsidR="00FD4CC4">
        <w:t xml:space="preserve"> to the AEMC</w:t>
      </w:r>
      <w:r w:rsidR="003A7CE5">
        <w:t>, t</w:t>
      </w:r>
      <w:r w:rsidR="008149E2">
        <w:t xml:space="preserve">he proposed amendment, if accepted, </w:t>
      </w:r>
      <w:r w:rsidR="008149E2" w:rsidRPr="00DF0125">
        <w:rPr>
          <w:rStyle w:val="QuoteChar"/>
        </w:rPr>
        <w:t>would</w:t>
      </w:r>
      <w:r w:rsidR="000829A4">
        <w:rPr>
          <w:rStyle w:val="QuoteChar"/>
        </w:rPr>
        <w:t>:</w:t>
      </w:r>
      <w:r w:rsidR="008149E2" w:rsidRPr="00DF0125">
        <w:rPr>
          <w:rStyle w:val="QuoteChar"/>
        </w:rPr>
        <w:t xml:space="preserve"> </w:t>
      </w:r>
    </w:p>
    <w:p w:rsidR="008149E2" w:rsidRDefault="001922BD" w:rsidP="00DF0125">
      <w:pPr>
        <w:pStyle w:val="Quote"/>
      </w:pPr>
      <w:r>
        <w:rPr>
          <w:rStyle w:val="QuoteChar"/>
        </w:rPr>
        <w:t>e</w:t>
      </w:r>
      <w:r w:rsidR="008149E2" w:rsidRPr="00DF0125">
        <w:rPr>
          <w:rStyle w:val="QuoteChar"/>
        </w:rPr>
        <w:t>nable a specific portion of the adjustment amount to be recovered over two regulatory control periods, with a specified default allocation of the adjustment amount being recovered in the subsequent regulatory control period commencing 1</w:t>
      </w:r>
      <w:r w:rsidR="009F57B4">
        <w:rPr>
          <w:rStyle w:val="QuoteChar"/>
        </w:rPr>
        <w:t> </w:t>
      </w:r>
      <w:r w:rsidR="008149E2" w:rsidRPr="00DF0125">
        <w:rPr>
          <w:rStyle w:val="QuoteChar"/>
        </w:rPr>
        <w:t>July</w:t>
      </w:r>
      <w:r w:rsidR="009F57B4">
        <w:rPr>
          <w:rStyle w:val="QuoteChar"/>
        </w:rPr>
        <w:t> </w:t>
      </w:r>
      <w:r w:rsidR="008149E2" w:rsidRPr="00DF0125">
        <w:rPr>
          <w:rStyle w:val="QuoteChar"/>
        </w:rPr>
        <w:t>2019</w:t>
      </w:r>
      <w:r w:rsidR="008149E2">
        <w:t>.</w:t>
      </w:r>
      <w:r w:rsidR="00FF42DF">
        <w:rPr>
          <w:rStyle w:val="FootnoteReference"/>
        </w:rPr>
        <w:footnoteReference w:id="32"/>
      </w:r>
    </w:p>
    <w:p w:rsidR="00F062F1" w:rsidRDefault="00F60EB0" w:rsidP="005D0466">
      <w:pPr>
        <w:pStyle w:val="Heading2"/>
      </w:pPr>
      <w:bookmarkStart w:id="148" w:name="_Toc462988124"/>
      <w:bookmarkStart w:id="149" w:name="_Ref448142801"/>
      <w:bookmarkStart w:id="150" w:name="_Toc464735370"/>
      <w:bookmarkEnd w:id="148"/>
      <w:r>
        <w:lastRenderedPageBreak/>
        <w:t>Recent regulatory decisions in other jurisdictions</w:t>
      </w:r>
      <w:bookmarkEnd w:id="149"/>
      <w:bookmarkEnd w:id="150"/>
    </w:p>
    <w:p w:rsidR="000A72D7" w:rsidRDefault="000A72D7" w:rsidP="000D0A0D">
      <w:pPr>
        <w:pStyle w:val="Heading3"/>
      </w:pPr>
      <w:r>
        <w:t>Introduction</w:t>
      </w:r>
    </w:p>
    <w:p w:rsidR="002C27C2" w:rsidRDefault="008149E2" w:rsidP="00446D7D">
      <w:pPr>
        <w:keepNext/>
      </w:pPr>
      <w:r>
        <w:t>This section briefly discusses recent regulatory decisions in other jurisdictions</w:t>
      </w:r>
      <w:r w:rsidR="002C27C2">
        <w:t>.</w:t>
      </w:r>
      <w:r w:rsidR="00854217">
        <w:t xml:space="preserve">  The following section focuses more on competition issues.</w:t>
      </w:r>
    </w:p>
    <w:p w:rsidR="00B16482" w:rsidRDefault="00B16482" w:rsidP="00446D7D">
      <w:pPr>
        <w:keepNext/>
      </w:pPr>
      <w:r>
        <w:t xml:space="preserve">While </w:t>
      </w:r>
      <w:r w:rsidR="00A542DF">
        <w:t xml:space="preserve">the </w:t>
      </w:r>
      <w:r w:rsidR="00F6262A">
        <w:t xml:space="preserve">retail </w:t>
      </w:r>
      <w:r w:rsidR="00A542DF">
        <w:t xml:space="preserve">electricity </w:t>
      </w:r>
      <w:r w:rsidR="00FF4F1C">
        <w:t>market</w:t>
      </w:r>
      <w:r w:rsidR="00085BC5">
        <w:t>s</w:t>
      </w:r>
      <w:r w:rsidR="00FF4F1C">
        <w:t xml:space="preserve"> in </w:t>
      </w:r>
      <w:r w:rsidR="00085BC5">
        <w:t xml:space="preserve">the ACT and </w:t>
      </w:r>
      <w:r w:rsidR="00FF4F1C">
        <w:t xml:space="preserve">Tasmania remain </w:t>
      </w:r>
      <w:r w:rsidR="00E907B4">
        <w:t>regulated, most</w:t>
      </w:r>
      <w:r w:rsidR="0050578E">
        <w:t xml:space="preserve"> </w:t>
      </w:r>
      <w:r w:rsidR="00711085">
        <w:t xml:space="preserve">other </w:t>
      </w:r>
      <w:r w:rsidR="000F47E5">
        <w:t xml:space="preserve">Australian states have </w:t>
      </w:r>
      <w:r w:rsidR="00145A5F">
        <w:t xml:space="preserve">proceeded with </w:t>
      </w:r>
      <w:r w:rsidR="00711085">
        <w:t xml:space="preserve">the </w:t>
      </w:r>
      <w:r w:rsidR="000F47E5">
        <w:t>deregula</w:t>
      </w:r>
      <w:r w:rsidR="00145A5F">
        <w:t xml:space="preserve">tion </w:t>
      </w:r>
      <w:r w:rsidR="00F6262A">
        <w:t xml:space="preserve">of retail electricity prices </w:t>
      </w:r>
      <w:r w:rsidR="000F47E5">
        <w:t xml:space="preserve">over time at </w:t>
      </w:r>
      <w:r w:rsidR="000F47E5" w:rsidRPr="00927701">
        <w:t xml:space="preserve">different </w:t>
      </w:r>
      <w:r w:rsidR="000F47E5" w:rsidRPr="004656B4">
        <w:t>rates.</w:t>
      </w:r>
      <w:r w:rsidR="00EC055B" w:rsidRPr="004656B4">
        <w:t xml:space="preserve"> </w:t>
      </w:r>
      <w:r w:rsidR="004656B4" w:rsidRPr="004656B4">
        <w:t>Victoria was the first state to remove all price controls in 2009</w:t>
      </w:r>
      <w:r w:rsidR="004656B4">
        <w:t xml:space="preserve">. </w:t>
      </w:r>
      <w:r w:rsidR="00927701" w:rsidRPr="004656B4">
        <w:t xml:space="preserve">The </w:t>
      </w:r>
      <w:r w:rsidR="00136958">
        <w:t>New South Wales</w:t>
      </w:r>
      <w:r w:rsidR="00927701" w:rsidRPr="004656B4">
        <w:t xml:space="preserve"> </w:t>
      </w:r>
      <w:r w:rsidR="004656B4" w:rsidRPr="004656B4">
        <w:t xml:space="preserve">retail </w:t>
      </w:r>
      <w:r w:rsidR="004656B4">
        <w:t xml:space="preserve">electricity market was deregulated in </w:t>
      </w:r>
      <w:r w:rsidR="009419A6">
        <w:t>July 2014</w:t>
      </w:r>
      <w:r w:rsidR="004656B4">
        <w:t xml:space="preserve">. </w:t>
      </w:r>
      <w:r w:rsidR="00927701" w:rsidRPr="00927701">
        <w:t xml:space="preserve">The South Australian Government deregulated the retail electricity market in South Australia in 2013. South East Queensland followed the same regulatory path in </w:t>
      </w:r>
      <w:r w:rsidR="009419A6">
        <w:t xml:space="preserve">July </w:t>
      </w:r>
      <w:r w:rsidR="00927701" w:rsidRPr="00927701">
        <w:t>2016.</w:t>
      </w:r>
    </w:p>
    <w:p w:rsidR="00444E4F" w:rsidRDefault="00F60EB0" w:rsidP="000D0A0D">
      <w:pPr>
        <w:pStyle w:val="Heading3"/>
      </w:pPr>
      <w:r>
        <w:t>Queensland</w:t>
      </w:r>
    </w:p>
    <w:p w:rsidR="002B42E9" w:rsidRDefault="002B42E9" w:rsidP="00AB71D6">
      <w:bookmarkStart w:id="151" w:name="_Ref443987574"/>
      <w:r>
        <w:t>In May</w:t>
      </w:r>
      <w:r w:rsidR="009F57B4">
        <w:t> </w:t>
      </w:r>
      <w:r>
        <w:t>2016, t</w:t>
      </w:r>
      <w:r w:rsidRPr="001230B5">
        <w:t>he Queensland</w:t>
      </w:r>
      <w:r>
        <w:t xml:space="preserve"> Competition Authority (QCA) released its final determination on the regulated retail electricity prices for 2016</w:t>
      </w:r>
      <w:r w:rsidR="000A2E0D" w:rsidRPr="00A015EC">
        <w:sym w:font="Symbol" w:char="F02D"/>
      </w:r>
      <w:r>
        <w:t>17.</w:t>
      </w:r>
      <w:r w:rsidR="00667247">
        <w:t xml:space="preserve"> As the Queensland Government </w:t>
      </w:r>
      <w:r w:rsidR="00E667B9">
        <w:t xml:space="preserve">deregulated the </w:t>
      </w:r>
      <w:r w:rsidR="007D0B37">
        <w:t xml:space="preserve">retail electricity market in </w:t>
      </w:r>
      <w:r w:rsidR="00667247">
        <w:t>South East Queensland</w:t>
      </w:r>
      <w:r w:rsidR="00E667B9">
        <w:t xml:space="preserve"> in </w:t>
      </w:r>
      <w:r w:rsidR="003061D3">
        <w:t xml:space="preserve">July </w:t>
      </w:r>
      <w:r w:rsidR="00E667B9">
        <w:t>2016</w:t>
      </w:r>
      <w:r w:rsidR="00667247">
        <w:t>, the 2016</w:t>
      </w:r>
      <w:r w:rsidR="00667247" w:rsidRPr="00A015EC">
        <w:sym w:font="Symbol" w:char="F02D"/>
      </w:r>
      <w:r w:rsidR="00667247">
        <w:t xml:space="preserve">17 regulated prices only applied to small customers in </w:t>
      </w:r>
      <w:r w:rsidR="00E45661">
        <w:t xml:space="preserve">Ergon Distribution’s distribution area in </w:t>
      </w:r>
      <w:r w:rsidR="007D0B37">
        <w:t>regional Queensland</w:t>
      </w:r>
      <w:r w:rsidR="00667247">
        <w:t>.</w:t>
      </w:r>
    </w:p>
    <w:p w:rsidR="003D7D8D" w:rsidRDefault="002B42E9" w:rsidP="00AB71D6">
      <w:r>
        <w:rPr>
          <w:lang w:val="en-AU" w:eastAsia="en-AU"/>
        </w:rPr>
        <w:t>QCA’s final determination resulted in the annual bills for typical residential customers</w:t>
      </w:r>
      <w:r w:rsidR="00D44DFC">
        <w:rPr>
          <w:lang w:val="en-AU" w:eastAsia="en-AU"/>
        </w:rPr>
        <w:t xml:space="preserve"> on the main retail tariff (tariff 11)</w:t>
      </w:r>
      <w:r w:rsidR="00FC40EF">
        <w:rPr>
          <w:lang w:val="en-AU" w:eastAsia="en-AU"/>
        </w:rPr>
        <w:t xml:space="preserve"> in Ergon Distribution’s distribution area, </w:t>
      </w:r>
      <w:r>
        <w:rPr>
          <w:lang w:val="en-AU" w:eastAsia="en-AU"/>
        </w:rPr>
        <w:t>increasing by 2.8 per cent from $1,457 to $ 1,498</w:t>
      </w:r>
      <w:r w:rsidR="000A2E0D">
        <w:rPr>
          <w:lang w:val="en-AU" w:eastAsia="en-AU"/>
        </w:rPr>
        <w:t xml:space="preserve"> in 2016</w:t>
      </w:r>
      <w:r w:rsidR="000A2E0D" w:rsidRPr="00A015EC">
        <w:sym w:font="Symbol" w:char="F02D"/>
      </w:r>
      <w:r w:rsidR="000A2E0D">
        <w:rPr>
          <w:lang w:val="en-AU" w:eastAsia="en-AU"/>
        </w:rPr>
        <w:t>17</w:t>
      </w:r>
      <w:r>
        <w:rPr>
          <w:lang w:val="en-AU" w:eastAsia="en-AU"/>
        </w:rPr>
        <w:t>.</w:t>
      </w:r>
      <w:r>
        <w:rPr>
          <w:rStyle w:val="FootnoteReference"/>
          <w:lang w:val="en-AU" w:eastAsia="en-AU"/>
        </w:rPr>
        <w:footnoteReference w:id="33"/>
      </w:r>
      <w:r>
        <w:rPr>
          <w:lang w:val="en-AU" w:eastAsia="en-AU"/>
        </w:rPr>
        <w:t xml:space="preserve"> </w:t>
      </w:r>
      <w:bookmarkEnd w:id="110"/>
      <w:bookmarkEnd w:id="111"/>
      <w:bookmarkEnd w:id="151"/>
      <w:r w:rsidR="00D44DFC">
        <w:t>In the case of non-residential customers on the mai</w:t>
      </w:r>
      <w:r w:rsidR="00FC1A80">
        <w:t>n</w:t>
      </w:r>
      <w:r w:rsidR="00D44DFC">
        <w:t xml:space="preserve"> small business tariff (tariff 20), the impact </w:t>
      </w:r>
      <w:r w:rsidR="00F61DE2">
        <w:t xml:space="preserve">was an increase of $236 or 11.2 per cent in their annual bill. </w:t>
      </w:r>
      <w:r w:rsidR="00FC1A80">
        <w:t xml:space="preserve">As reported by the QCA, the primary driver of the price increase was </w:t>
      </w:r>
      <w:r w:rsidR="00565B5D">
        <w:t xml:space="preserve">a rise in </w:t>
      </w:r>
      <w:r w:rsidR="00FC1A80">
        <w:t>energy purchase costs</w:t>
      </w:r>
      <w:r w:rsidR="00565B5D">
        <w:t>,</w:t>
      </w:r>
      <w:r w:rsidR="00FC1A80">
        <w:t xml:space="preserve"> largely driven by increasing demand fr</w:t>
      </w:r>
      <w:r w:rsidR="00A429F4">
        <w:t xml:space="preserve">om liquefied natural gas plants, as well as </w:t>
      </w:r>
      <w:r w:rsidR="00FC1A80">
        <w:t>higher renewable energy target costs.</w:t>
      </w:r>
    </w:p>
    <w:p w:rsidR="00A75EF5" w:rsidRDefault="00AB71D6" w:rsidP="00AB71D6">
      <w:r>
        <w:t xml:space="preserve">Consistent with the approaches </w:t>
      </w:r>
      <w:r w:rsidR="00A429F4">
        <w:t xml:space="preserve">in </w:t>
      </w:r>
      <w:r>
        <w:t>previous price determinations, QCA adopted a network</w:t>
      </w:r>
      <w:r w:rsidR="00347ABF">
        <w:t xml:space="preserve"> </w:t>
      </w:r>
      <w:r>
        <w:t xml:space="preserve">plus retail cost build-up </w:t>
      </w:r>
      <w:r w:rsidR="00EA193C">
        <w:t>approach for its</w:t>
      </w:r>
      <w:r>
        <w:t xml:space="preserve"> </w:t>
      </w:r>
      <w:r w:rsidR="001F61C1">
        <w:t>2016</w:t>
      </w:r>
      <w:r w:rsidR="00265691" w:rsidRPr="00A015EC">
        <w:sym w:font="Symbol" w:char="F02D"/>
      </w:r>
      <w:r w:rsidR="001F61C1">
        <w:t xml:space="preserve">17 </w:t>
      </w:r>
      <w:r>
        <w:t xml:space="preserve">determination. </w:t>
      </w:r>
      <w:r w:rsidR="00EA193C">
        <w:t xml:space="preserve">A retail margin of 5.7 per cent </w:t>
      </w:r>
      <w:r w:rsidR="00EC326E">
        <w:t>was</w:t>
      </w:r>
      <w:r w:rsidR="00EA193C">
        <w:t xml:space="preserve"> applied </w:t>
      </w:r>
      <w:r w:rsidR="00EC326E">
        <w:t xml:space="preserve">along with an additional </w:t>
      </w:r>
      <w:r w:rsidR="00245EFF">
        <w:t>headroom</w:t>
      </w:r>
      <w:r w:rsidR="00532A3D">
        <w:t xml:space="preserve"> (competition)</w:t>
      </w:r>
      <w:r w:rsidR="00245EFF">
        <w:t xml:space="preserve"> allowance of </w:t>
      </w:r>
      <w:r w:rsidR="00532A3D">
        <w:t xml:space="preserve">5 </w:t>
      </w:r>
      <w:r w:rsidR="00245EFF">
        <w:t>per cent of total costs</w:t>
      </w:r>
      <w:r w:rsidR="00EC326E">
        <w:t xml:space="preserve"> to support competition in the Queensland retail market</w:t>
      </w:r>
      <w:r w:rsidR="00020C52">
        <w:t>.</w:t>
      </w:r>
    </w:p>
    <w:p w:rsidR="00915BF6" w:rsidRDefault="00AD45BA" w:rsidP="000D0A0D">
      <w:pPr>
        <w:pStyle w:val="Heading3"/>
      </w:pPr>
      <w:r>
        <w:t>Tasmania</w:t>
      </w:r>
    </w:p>
    <w:p w:rsidR="00464D94" w:rsidRDefault="00464D94" w:rsidP="0064501A">
      <w:r>
        <w:t xml:space="preserve">In Tasmania, the </w:t>
      </w:r>
      <w:r w:rsidR="00A8083A">
        <w:t>O</w:t>
      </w:r>
      <w:r>
        <w:t xml:space="preserve">ffice of the Tasmanian Economic Regulator (OTTER) is responsible for regulating </w:t>
      </w:r>
      <w:r w:rsidR="003978BE">
        <w:t xml:space="preserve">the supply of electricity </w:t>
      </w:r>
      <w:r w:rsidR="00F61379">
        <w:t xml:space="preserve">to small customers on </w:t>
      </w:r>
      <w:r w:rsidR="003978BE">
        <w:t>Aurora Energy</w:t>
      </w:r>
      <w:r w:rsidR="00F61379">
        <w:t>’s r</w:t>
      </w:r>
      <w:r w:rsidR="003978BE">
        <w:t>egulated tariffs</w:t>
      </w:r>
      <w:r w:rsidR="000633C3">
        <w:t>.</w:t>
      </w:r>
    </w:p>
    <w:p w:rsidR="0013462B" w:rsidRDefault="006966C1" w:rsidP="0064501A">
      <w:r>
        <w:lastRenderedPageBreak/>
        <w:t xml:space="preserve">On 16 June </w:t>
      </w:r>
      <w:r w:rsidR="0013462B">
        <w:t xml:space="preserve">2016, </w:t>
      </w:r>
      <w:r w:rsidR="00464D94">
        <w:t xml:space="preserve">OTTER </w:t>
      </w:r>
      <w:r w:rsidR="0013462B">
        <w:t xml:space="preserve">approved Aurora Energy’s standing offer electricity prices </w:t>
      </w:r>
      <w:r w:rsidR="009F57B4">
        <w:t>to apply from 1 J</w:t>
      </w:r>
      <w:r w:rsidR="0064501A">
        <w:t>uly</w:t>
      </w:r>
      <w:r w:rsidR="009F57B4">
        <w:t> </w:t>
      </w:r>
      <w:r w:rsidR="0064501A">
        <w:t>2016 to 30</w:t>
      </w:r>
      <w:r w:rsidR="009F57B4">
        <w:t> </w:t>
      </w:r>
      <w:r w:rsidR="0064501A">
        <w:t>June</w:t>
      </w:r>
      <w:r w:rsidR="009F57B4">
        <w:t> </w:t>
      </w:r>
      <w:r w:rsidR="0064501A">
        <w:t>2017.</w:t>
      </w:r>
      <w:r w:rsidR="0013462B">
        <w:rPr>
          <w:rStyle w:val="FootnoteReference"/>
        </w:rPr>
        <w:footnoteReference w:id="34"/>
      </w:r>
      <w:r w:rsidR="0013462B">
        <w:t xml:space="preserve"> </w:t>
      </w:r>
      <w:r w:rsidR="00DB726B">
        <w:t xml:space="preserve">The </w:t>
      </w:r>
      <w:r w:rsidR="007C39F2">
        <w:t xml:space="preserve">approved prices </w:t>
      </w:r>
      <w:r w:rsidR="00DB726B">
        <w:t>represent</w:t>
      </w:r>
      <w:r w:rsidR="00143509">
        <w:t xml:space="preserve">ed </w:t>
      </w:r>
      <w:r w:rsidR="00791B49">
        <w:t>a</w:t>
      </w:r>
      <w:r w:rsidR="0064501A">
        <w:t>n increase of 3.4 per cent in regulated standing offer prices for 2016</w:t>
      </w:r>
      <w:r w:rsidR="0064501A" w:rsidRPr="00A015EC">
        <w:sym w:font="Symbol" w:char="F02D"/>
      </w:r>
      <w:r w:rsidR="0064501A">
        <w:t>17</w:t>
      </w:r>
      <w:r w:rsidR="00DB726B">
        <w:t xml:space="preserve">, </w:t>
      </w:r>
      <w:r w:rsidR="00143509">
        <w:t>primarily</w:t>
      </w:r>
      <w:r w:rsidR="00DB726B">
        <w:t xml:space="preserve"> </w:t>
      </w:r>
      <w:r w:rsidR="004D4786">
        <w:t xml:space="preserve">due to </w:t>
      </w:r>
      <w:r>
        <w:t xml:space="preserve">an increase in </w:t>
      </w:r>
      <w:r w:rsidR="004D4786">
        <w:t xml:space="preserve">the </w:t>
      </w:r>
      <w:r w:rsidR="001B2B98">
        <w:t>wholesale electricity allowance</w:t>
      </w:r>
      <w:r w:rsidR="004D4786">
        <w:t>,</w:t>
      </w:r>
      <w:r>
        <w:t xml:space="preserve"> increase</w:t>
      </w:r>
      <w:r w:rsidR="001B2B98">
        <w:t>d renewable energy certificate costs and market charge allowances and an increase in loss factor and load schedule adjustments</w:t>
      </w:r>
      <w:r w:rsidR="004D4786">
        <w:t>.</w:t>
      </w:r>
      <w:r w:rsidR="001B2B98">
        <w:rPr>
          <w:rStyle w:val="FootnoteReference"/>
        </w:rPr>
        <w:footnoteReference w:id="35"/>
      </w:r>
      <w:r w:rsidR="001B2B98">
        <w:t xml:space="preserve"> </w:t>
      </w:r>
      <w:r w:rsidR="004D4786">
        <w:t xml:space="preserve">OTTER estimated the </w:t>
      </w:r>
      <w:r w:rsidR="0013495E">
        <w:t xml:space="preserve">bill impact due to this </w:t>
      </w:r>
      <w:r w:rsidR="00C91CA4">
        <w:t xml:space="preserve">price increase </w:t>
      </w:r>
      <w:r w:rsidR="004D4786">
        <w:t xml:space="preserve">at </w:t>
      </w:r>
      <w:r w:rsidR="0013495E">
        <w:t>a</w:t>
      </w:r>
      <w:r w:rsidR="004D4786">
        <w:t xml:space="preserve">bout </w:t>
      </w:r>
      <w:r w:rsidR="0013495E">
        <w:t>$60 per year for typical residential and small business standing offer customers.</w:t>
      </w:r>
    </w:p>
    <w:p w:rsidR="00324ABE" w:rsidRPr="00324ABE" w:rsidRDefault="00FD71F2">
      <w:r>
        <w:t>OTTER</w:t>
      </w:r>
      <w:r w:rsidR="0023598D">
        <w:t xml:space="preserve"> also </w:t>
      </w:r>
      <w:r w:rsidR="0003406A">
        <w:t xml:space="preserve">approved </w:t>
      </w:r>
      <w:r w:rsidR="007524D7">
        <w:t xml:space="preserve">Aurora Energy’s proposal to introduce </w:t>
      </w:r>
      <w:r>
        <w:t xml:space="preserve">two </w:t>
      </w:r>
      <w:r w:rsidR="007524D7">
        <w:t>new standing offer time</w:t>
      </w:r>
      <w:r w:rsidR="00EF5B3A">
        <w:t xml:space="preserve"> </w:t>
      </w:r>
      <w:r w:rsidR="007524D7">
        <w:t>of</w:t>
      </w:r>
      <w:r w:rsidR="00EF5B3A">
        <w:t xml:space="preserve"> </w:t>
      </w:r>
      <w:r w:rsidR="007524D7">
        <w:t>use tariffs for small customers</w:t>
      </w:r>
      <w:r>
        <w:t xml:space="preserve"> </w:t>
      </w:r>
      <w:r w:rsidR="00194746">
        <w:t>commenc</w:t>
      </w:r>
      <w:r w:rsidR="00E400D9">
        <w:t xml:space="preserve">ing </w:t>
      </w:r>
      <w:r>
        <w:t>from 1 July 2016.</w:t>
      </w:r>
    </w:p>
    <w:p w:rsidR="00791B49" w:rsidRDefault="00DC760C" w:rsidP="005D0466">
      <w:pPr>
        <w:pStyle w:val="Heading2"/>
      </w:pPr>
      <w:bookmarkStart w:id="152" w:name="_Toc464735371"/>
      <w:r>
        <w:t>Competition issues</w:t>
      </w:r>
      <w:bookmarkEnd w:id="152"/>
      <w:r>
        <w:t xml:space="preserve"> </w:t>
      </w:r>
    </w:p>
    <w:p w:rsidR="00B86049" w:rsidRDefault="00B86049" w:rsidP="00EF5FD5">
      <w:pPr>
        <w:pStyle w:val="Heading3"/>
      </w:pPr>
      <w:r>
        <w:t>Retail competition in the ACT</w:t>
      </w:r>
    </w:p>
    <w:p w:rsidR="00B86049" w:rsidRPr="00B86049" w:rsidRDefault="00B86049" w:rsidP="00B86049">
      <w:r w:rsidRPr="00B86049">
        <w:t xml:space="preserve">Retail competition was introduced in the ACT, for small businesses and households, on 1 July 2003. As a result, other retailers were allowed access to the ActewAGL network so that they could compete with ActewAGL </w:t>
      </w:r>
      <w:r w:rsidR="000417B2">
        <w:t xml:space="preserve">Retail </w:t>
      </w:r>
      <w:r w:rsidRPr="00B86049">
        <w:t xml:space="preserve">in the provision of retail services. The other retailers are Energy Australia and Origin Energy. </w:t>
      </w:r>
      <w:r w:rsidR="00F45DAA">
        <w:t>However, a</w:t>
      </w:r>
      <w:r w:rsidR="00C94AAE">
        <w:t xml:space="preserve">s noted in the following section, a recent report by the AEMC found that </w:t>
      </w:r>
      <w:r w:rsidR="004863C1">
        <w:t xml:space="preserve">retail </w:t>
      </w:r>
      <w:r w:rsidR="00C94AAE">
        <w:t xml:space="preserve">competition has not </w:t>
      </w:r>
      <w:r w:rsidR="004863C1">
        <w:t>e</w:t>
      </w:r>
      <w:r w:rsidR="00C94AAE">
        <w:t xml:space="preserve">merged in the ACT to </w:t>
      </w:r>
      <w:r w:rsidR="00C82F6D">
        <w:t>an</w:t>
      </w:r>
      <w:r w:rsidR="00C94AAE">
        <w:t xml:space="preserve"> extent that further deregulation is warranted. </w:t>
      </w:r>
    </w:p>
    <w:p w:rsidR="00B86049" w:rsidRPr="00B86049" w:rsidRDefault="00B86049" w:rsidP="00B86049">
      <w:r w:rsidRPr="00B86049">
        <w:t>ActewAGL Retail continues to be the dominant retailer in the ACT with around 93 per cent of small customers. As of March 2016, the ACT market had 175,874 total small customers, with ActewAGL Retail serving 163,150 of them.</w:t>
      </w:r>
      <w:r w:rsidRPr="00B86049">
        <w:rPr>
          <w:vertAlign w:val="superscript"/>
        </w:rPr>
        <w:footnoteReference w:id="36"/>
      </w:r>
      <w:r w:rsidRPr="00B86049">
        <w:t xml:space="preserve">  ActewAGL is required to offer a regulated default contract but the other retailers are not regulated with respect to price.</w:t>
      </w:r>
      <w:r w:rsidR="00C82F6D">
        <w:t xml:space="preserve"> The dominant position of ActewAGL reflects its incumbency status, supported by the existence of brand loyalty and switching costs and the requirement to offer a default regulated contract.</w:t>
      </w:r>
      <w:r w:rsidR="00F45DAA">
        <w:t xml:space="preserve">  In </w:t>
      </w:r>
      <w:r w:rsidR="00052972">
        <w:t xml:space="preserve">some </w:t>
      </w:r>
      <w:r w:rsidR="00F45DAA">
        <w:t xml:space="preserve">other jurisdictions, a competition allowance has been specified for inclusion in regulated retail electricity prices in order to facilitate competition.  </w:t>
      </w:r>
      <w:r w:rsidRPr="00B86049">
        <w:t xml:space="preserve">The Commission’s current pricing model does not incorporate a ‘headroom’ (competition) allowance to reflect customer acquisition and retention costs. The Commission evaluated the benefits of introducing a competition allowance in its cost-index model. The rationale for a ‘headroom allowance’ is to provide some provision for start-up costs for new entrants with the expectation that over time competitive pressures would reduce prices. </w:t>
      </w:r>
      <w:r w:rsidR="00847019">
        <w:t>However, another perspective is that competitive markets are not characterised by ‘headroom allowances’ and</w:t>
      </w:r>
      <w:r w:rsidR="00873B0B">
        <w:t xml:space="preserve"> in competitive markets</w:t>
      </w:r>
      <w:r w:rsidR="00847019">
        <w:t xml:space="preserve"> </w:t>
      </w:r>
      <w:r w:rsidR="00873B0B">
        <w:t xml:space="preserve">new entrants need to recover their investment costs with market prices. </w:t>
      </w:r>
      <w:r w:rsidR="0014083F">
        <w:t xml:space="preserve">In addition, ActewAGL Retail is not a start-up entity and </w:t>
      </w:r>
      <w:r w:rsidR="00C82F6D">
        <w:t xml:space="preserve">unless competition was highly effective in a short period of time, </w:t>
      </w:r>
      <w:r w:rsidR="0014083F">
        <w:t>a</w:t>
      </w:r>
      <w:r w:rsidR="0014083F" w:rsidRPr="00B86049">
        <w:t xml:space="preserve"> </w:t>
      </w:r>
      <w:r w:rsidR="0014083F">
        <w:t xml:space="preserve">competition allowance is likely to </w:t>
      </w:r>
      <w:r w:rsidR="00354606">
        <w:lastRenderedPageBreak/>
        <w:t xml:space="preserve">result in </w:t>
      </w:r>
      <w:r w:rsidR="0014083F">
        <w:t>higher prices.</w:t>
      </w:r>
      <w:r w:rsidR="00873B0B">
        <w:t xml:space="preserve"> In its 2014 review, t</w:t>
      </w:r>
      <w:r w:rsidRPr="00B86049">
        <w:t>he Commission concluded that the introduction of such an allowance in the ACT was not warranted because there is a reasonable probability that any benefits it may produce will be small relative to costs or long delayed, and therefore of little value.</w:t>
      </w:r>
      <w:r w:rsidR="00873B0B">
        <w:rPr>
          <w:rStyle w:val="FootnoteReference"/>
        </w:rPr>
        <w:footnoteReference w:id="37"/>
      </w:r>
    </w:p>
    <w:p w:rsidR="00A14B99" w:rsidRDefault="00B86049" w:rsidP="00EF5FD5">
      <w:pPr>
        <w:pStyle w:val="Heading3"/>
      </w:pPr>
      <w:r>
        <w:t>Retail competition outcomes in various jurisdictions</w:t>
      </w:r>
      <w:r w:rsidDel="00B86049">
        <w:t xml:space="preserve"> </w:t>
      </w:r>
    </w:p>
    <w:p w:rsidR="00B86049" w:rsidRDefault="00B86049" w:rsidP="00B86049">
      <w:r>
        <w:t xml:space="preserve">The introduction of competition in regulated sectors offers the opportunity to reduce the extent and cost of regulation and achieve better outcomes for consumers.  The Commonwealth, State and Territory governments in Australia have agreed on a number of initiatives to facilitate competition in the energy sector including for the retailing of electricity. Other countries, such as Great Britain have pursued similar objectives. </w:t>
      </w:r>
    </w:p>
    <w:p w:rsidR="00B86049" w:rsidRDefault="00B86049" w:rsidP="00B86049">
      <w:r>
        <w:t xml:space="preserve">It is important, however, to recognise that competition is a means to achieving the objective of realising benefits in the </w:t>
      </w:r>
      <w:r w:rsidR="00066F42">
        <w:t>long-term</w:t>
      </w:r>
      <w:r>
        <w:t xml:space="preserve"> interests of consumers and not an</w:t>
      </w:r>
      <w:r w:rsidR="00D37398">
        <w:t xml:space="preserve"> ultimate objective in itself. </w:t>
      </w:r>
      <w:r>
        <w:t>It is not always economically beneficial to introduce competition in some markets and hence it is of interest to consider how retail competition has evolved in various jurisdictions of interest.</w:t>
      </w:r>
    </w:p>
    <w:p w:rsidR="00B86049" w:rsidRDefault="00B86049" w:rsidP="00B86049">
      <w:r>
        <w:t>The AEMC reports annually on the state of competition in retail electricity markets in the various Australian jurisdictions. The AER also reports annually on the performance of retai</w:t>
      </w:r>
      <w:r w:rsidR="00D17D0E">
        <w:t xml:space="preserve">l energy markets in Australia. </w:t>
      </w:r>
      <w:r>
        <w:t xml:space="preserve">IPART </w:t>
      </w:r>
      <w:r w:rsidR="00CC3707">
        <w:t xml:space="preserve">in New South Wales </w:t>
      </w:r>
      <w:r>
        <w:t xml:space="preserve">and the </w:t>
      </w:r>
      <w:r w:rsidR="006C3196">
        <w:t>Essential Services Commission</w:t>
      </w:r>
      <w:r w:rsidR="00CF1F58">
        <w:t xml:space="preserve"> </w:t>
      </w:r>
      <w:r w:rsidR="006C3196">
        <w:t>(</w:t>
      </w:r>
      <w:r>
        <w:t>ESC</w:t>
      </w:r>
      <w:r w:rsidR="006C3196">
        <w:t>)</w:t>
      </w:r>
      <w:r w:rsidR="00CC3707">
        <w:t xml:space="preserve"> in Victoria</w:t>
      </w:r>
      <w:r>
        <w:t xml:space="preserve"> have also reviewed retail competition and retail margins respectively in their jurisdictions. In addition, the Competition and Markets Authority</w:t>
      </w:r>
      <w:r w:rsidR="00CC3707">
        <w:t xml:space="preserve"> (CMA)</w:t>
      </w:r>
      <w:r>
        <w:t xml:space="preserve"> in the United Kingdom has recently completed a major energy market investigation including retail market competition issues. This section summarises and comments on some key findings from these reports. </w:t>
      </w:r>
    </w:p>
    <w:p w:rsidR="00B86049" w:rsidRDefault="00B86049" w:rsidP="00B86049">
      <w:r>
        <w:t>The key findings from these reports are as follows:</w:t>
      </w:r>
    </w:p>
    <w:p w:rsidR="00B86049" w:rsidRPr="008A0550" w:rsidRDefault="00E2593B" w:rsidP="008A0550">
      <w:pPr>
        <w:pStyle w:val="Bulletintro"/>
        <w:numPr>
          <w:ilvl w:val="0"/>
          <w:numId w:val="61"/>
        </w:numPr>
      </w:pPr>
      <w:r w:rsidRPr="008A0550">
        <w:fldChar w:fldCharType="begin"/>
      </w:r>
      <w:r w:rsidR="0094264D" w:rsidRPr="008A0550">
        <w:instrText xml:space="preserve"> ADDIN EN.CITE &lt;EndNote&gt;&lt;Cite&gt;&lt;Author&gt;AEMC&lt;/Author&gt;&lt;Year&gt;2016&lt;/Year&gt;&lt;RecNum&gt;637&lt;/RecNum&gt;&lt;DisplayText&gt;AEMC (2016a)&lt;/DisplayText&gt;&lt;record&gt;&lt;rec-number&gt;637&lt;/rec-number&gt;&lt;foreign-keys&gt;&lt;key app="EN" db-id="v0xfx5d9ss0wzred9wbpa5e4zwfrepsaw0v9"&gt;637&lt;/key&gt;&lt;/foreign-keys&gt;&lt;ref-type name="Generic"&gt;13&lt;/ref-type&gt;&lt;contributors&gt;&lt;authors&gt;&lt;author&gt;AEMC&lt;/author&gt;&lt;/authors&gt;&lt;/contributors&gt;&lt;titles&gt;&lt;title&gt;2016 Retail competition review&lt;/title&gt;&lt;/titles&gt;&lt;dates&gt;&lt;year&gt;2016&lt;/year&gt;&lt;/dates&gt;&lt;pub-location&gt;Sydney&lt;/pub-location&gt;&lt;publisher&gt;AEMC&lt;/publisher&gt;&lt;urls&gt;&lt;/urls&gt;&lt;/record&gt;&lt;/Cite&gt;&lt;/EndNote&gt;</w:instrText>
      </w:r>
      <w:r w:rsidRPr="008A0550">
        <w:fldChar w:fldCharType="separate"/>
      </w:r>
      <w:hyperlink w:anchor="_ENREF_2" w:tooltip="AEMC, 2016 #637" w:history="1">
        <w:r w:rsidR="005B3C57" w:rsidRPr="008A0550">
          <w:t>AEMC (2016a</w:t>
        </w:r>
      </w:hyperlink>
      <w:r w:rsidR="009F4959" w:rsidRPr="008A0550">
        <w:t>)</w:t>
      </w:r>
      <w:r w:rsidRPr="008A0550">
        <w:fldChar w:fldCharType="end"/>
      </w:r>
      <w:r w:rsidR="00B86049" w:rsidRPr="008A0550">
        <w:t xml:space="preserve">: Competition in retail electricity markets in 2015-16 was found to be effective in most jurisdictions but less or not effective in the ACT, Tasmania </w:t>
      </w:r>
      <w:r w:rsidR="00A23DAF" w:rsidRPr="008A0550">
        <w:t>and</w:t>
      </w:r>
      <w:r w:rsidR="00B86049" w:rsidRPr="008A0550">
        <w:t xml:space="preserve"> regional Queensland.  The key indicators used </w:t>
      </w:r>
      <w:r w:rsidR="00066F42" w:rsidRPr="008A0550">
        <w:t>were</w:t>
      </w:r>
      <w:r w:rsidR="00B86049" w:rsidRPr="008A0550">
        <w:t xml:space="preserve"> customer activity (the extent of switching); customer satisfaction; barriers to entry and exit; the degree of independent rivalry; and whether retail energy prices are consistent with a competitive market (range of offers and effective discounts were key measures).</w:t>
      </w:r>
    </w:p>
    <w:p w:rsidR="00B86049" w:rsidRPr="008A0550" w:rsidRDefault="00E2593B" w:rsidP="008A0550">
      <w:pPr>
        <w:pStyle w:val="Bullet"/>
        <w:numPr>
          <w:ilvl w:val="0"/>
          <w:numId w:val="61"/>
        </w:numPr>
      </w:pPr>
      <w:r w:rsidRPr="008A0550">
        <w:fldChar w:fldCharType="begin"/>
      </w:r>
      <w:r w:rsidR="009F4959" w:rsidRPr="008A0550">
        <w:instrText xml:space="preserve"> ADDIN EN.CITE &lt;EndNote&gt;&lt;Cite&gt;&lt;Author&gt;AER&lt;/Author&gt;&lt;Year&gt;2016&lt;/Year&gt;&lt;RecNum&gt;624&lt;/RecNum&gt;&lt;DisplayText&gt;AER (2016a)&lt;/DisplayText&gt;&lt;record&gt;&lt;rec-number&gt;624&lt;/rec-number&gt;&lt;foreign-keys&gt;&lt;key app="EN" db-id="v0xfx5d9ss0wzred9wbpa5e4zwfrepsaw0v9"&gt;624&lt;/key&gt;&lt;/foreign-keys&gt;&lt;ref-type name="Generic"&gt;13&lt;/ref-type&gt;&lt;contributors&gt;&lt;authors&gt;&lt;author&gt;AER&lt;/author&gt;&lt;/authors&gt;&lt;/contributors&gt;&lt;titles&gt;&lt;title&gt;Annual report on the performance of the retail energy market 2014-15&lt;/title&gt;&lt;/titles&gt;&lt;dates&gt;&lt;year&gt;2016&lt;/year&gt;&lt;/dates&gt;&lt;pub-location&gt;Melbourne&lt;/pub-location&gt;&lt;publisher&gt;Australian Energy Regulator&lt;/publisher&gt;&lt;urls&gt;&lt;/urls&gt;&lt;/record&gt;&lt;/Cite&gt;&lt;/EndNote&gt;</w:instrText>
      </w:r>
      <w:r w:rsidRPr="008A0550">
        <w:fldChar w:fldCharType="separate"/>
      </w:r>
      <w:hyperlink w:anchor="_ENREF_4" w:tooltip="AER, 2016 #624" w:history="1">
        <w:r w:rsidR="005B3C57" w:rsidRPr="008A0550">
          <w:t>AER (2016a</w:t>
        </w:r>
      </w:hyperlink>
      <w:r w:rsidR="009F4959" w:rsidRPr="008A0550">
        <w:t>)</w:t>
      </w:r>
      <w:r w:rsidRPr="008A0550">
        <w:fldChar w:fldCharType="end"/>
      </w:r>
      <w:r w:rsidR="00B86049" w:rsidRPr="008A0550">
        <w:t xml:space="preserve">: Key findings for the 2014-15 period were: a declining rate of customer switching but increasing use of market contracts with lower prices; an increase in complaints with billing the leading concern but fewer energy ombudsmen concerns; and improvements in energy affordability reflecting the </w:t>
      </w:r>
      <w:r w:rsidR="00B86049" w:rsidRPr="008A0550">
        <w:lastRenderedPageBreak/>
        <w:t>removal of the carbon tax.  The share of the electricity bill in disposable income was also found to be the smallest in the ACT.</w:t>
      </w:r>
    </w:p>
    <w:p w:rsidR="00854217" w:rsidRPr="00791CC5" w:rsidRDefault="00E2593B" w:rsidP="008A0550">
      <w:pPr>
        <w:pStyle w:val="Bullet"/>
        <w:numPr>
          <w:ilvl w:val="0"/>
          <w:numId w:val="61"/>
        </w:numPr>
      </w:pPr>
      <w:r>
        <w:fldChar w:fldCharType="begin"/>
      </w:r>
      <w:r w:rsidR="009F4959">
        <w:instrText xml:space="preserve"> ADDIN EN.CITE &lt;EndNote&gt;&lt;Cite&gt;&lt;Author&gt;IPART&lt;/Author&gt;&lt;Year&gt;2015&lt;/Year&gt;&lt;RecNum&gt;630&lt;/RecNum&gt;&lt;DisplayText&gt;IPART (2015)&lt;/DisplayText&gt;&lt;record&gt;&lt;rec-number&gt;630&lt;/rec-number&gt;&lt;foreign-keys&gt;&lt;key app="EN" db-id="v0xfx5d9ss0wzred9wbpa5e4zwfrepsaw0v9"&gt;630&lt;/key&gt;&lt;/foreign-keys&gt;&lt;ref-type name="Generic"&gt;13&lt;/ref-type&gt;&lt;contributors&gt;&lt;authors&gt;&lt;author&gt;IPART&lt;/author&gt;&lt;/authors&gt;&lt;/contributors&gt;&lt;titles&gt;&lt;title&gt;Energy final report: Review of the performance and competitiveness of the retail electricity market in NSW from 1 July 2014 to 30 June 2015&lt;/title&gt;&lt;/titles&gt;&lt;dates&gt;&lt;year&gt;2015&lt;/year&gt;&lt;/dates&gt;&lt;pub-location&gt;Sydney&lt;/pub-location&gt;&lt;publisher&gt;Independent Pricing and Regulatory Tribunal&lt;/publisher&gt;&lt;urls&gt;&lt;/urls&gt;&lt;/record&gt;&lt;/Cite&gt;&lt;/EndNote&gt;</w:instrText>
      </w:r>
      <w:r>
        <w:fldChar w:fldCharType="separate"/>
      </w:r>
      <w:hyperlink w:anchor="_ENREF_17" w:tooltip="IPART, 2015 #630" w:history="1">
        <w:r w:rsidR="005B3C57">
          <w:rPr>
            <w:noProof/>
          </w:rPr>
          <w:t>IPART (2015</w:t>
        </w:r>
      </w:hyperlink>
      <w:r w:rsidR="009F4959">
        <w:rPr>
          <w:noProof/>
        </w:rPr>
        <w:t>)</w:t>
      </w:r>
      <w:r>
        <w:fldChar w:fldCharType="end"/>
      </w:r>
      <w:r w:rsidR="00B86049">
        <w:t>: Competition for residential and small business customers was found to be working effectively and it was concluded that a detailed review of retail prices and margins was not necessary.  Key considerations related to: barriers to entry; customer outcomes; price developments; and rivalry, price and product diversity. However, it was also concluded that there are opportunities to make the market work better.</w:t>
      </w:r>
      <w:r w:rsidR="00854217" w:rsidRPr="00854217">
        <w:t xml:space="preserve"> </w:t>
      </w:r>
      <w:r w:rsidR="00854217">
        <w:t>In particular,</w:t>
      </w:r>
      <w:r w:rsidR="00066F42">
        <w:t xml:space="preserve"> </w:t>
      </w:r>
      <w:r w:rsidR="00854217" w:rsidRPr="00791CC5">
        <w:t>IPART has recommended that the existing barriers to market entry need to be further reduced to improve the performance and competitiveness of the market.</w:t>
      </w:r>
    </w:p>
    <w:p w:rsidR="00B86049" w:rsidRPr="008A0550" w:rsidRDefault="00E2593B" w:rsidP="008A0550">
      <w:pPr>
        <w:pStyle w:val="Bullet"/>
        <w:numPr>
          <w:ilvl w:val="0"/>
          <w:numId w:val="61"/>
        </w:numPr>
      </w:pPr>
      <w:r w:rsidRPr="008A0550">
        <w:fldChar w:fldCharType="begin"/>
      </w:r>
      <w:r w:rsidR="0094264D" w:rsidRPr="008A0550">
        <w:instrText xml:space="preserve"> ADDIN EN.CITE &lt;EndNote&gt;&lt;Cite&gt;&lt;Author&gt;ESC&lt;/Author&gt;&lt;Year&gt;2013&lt;/Year&gt;&lt;RecNum&gt;638&lt;/RecNum&gt;&lt;DisplayText&gt;ESC (2013)&lt;/DisplayText&gt;&lt;record&gt;&lt;rec-number&gt;638&lt;/rec-number&gt;&lt;foreign-keys&gt;&lt;key app="EN" db-id="v0xfx5d9ss0wzred9wbpa5e4zwfrepsaw0v9"&gt;638&lt;/key&gt;&lt;/foreign-keys&gt;&lt;ref-type name="Generic"&gt;13&lt;/ref-type&gt;&lt;contributors&gt;&lt;authors&gt;&lt;author&gt;ESC&lt;/author&gt;&lt;/authors&gt;&lt;/contributors&gt;&lt;titles&gt;&lt;title&gt;Retailer margins in Victoria’s electricity market&lt;/title&gt;&lt;secondary-title&gt;Discussion Paper&lt;/secondary-title&gt;&lt;/titles&gt;&lt;dates&gt;&lt;year&gt;2013&lt;/year&gt;&lt;/dates&gt;&lt;pub-location&gt;Melbourne&lt;/pub-location&gt;&lt;publisher&gt;Essential Services Commission&lt;/publisher&gt;&lt;urls&gt;&lt;/urls&gt;&lt;/record&gt;&lt;/Cite&gt;&lt;/EndNote&gt;</w:instrText>
      </w:r>
      <w:r w:rsidRPr="008A0550">
        <w:fldChar w:fldCharType="separate"/>
      </w:r>
      <w:hyperlink w:anchor="_ENREF_11" w:tooltip="ESC, 2013 #638" w:history="1">
        <w:r w:rsidR="005B3C57" w:rsidRPr="008A0550">
          <w:t>ESC (2013</w:t>
        </w:r>
      </w:hyperlink>
      <w:r w:rsidR="009F4959" w:rsidRPr="008A0550">
        <w:t>)</w:t>
      </w:r>
      <w:r w:rsidRPr="008A0550">
        <w:fldChar w:fldCharType="end"/>
      </w:r>
      <w:r w:rsidR="00B86049" w:rsidRPr="008A0550">
        <w:t>: Data for the period 2006 to 2012</w:t>
      </w:r>
      <w:r w:rsidR="00CC3707">
        <w:t xml:space="preserve"> </w:t>
      </w:r>
      <w:r w:rsidR="00B86049" w:rsidRPr="008A0550">
        <w:t xml:space="preserve">indicated that the overall picture was one of decreasing retailer margins in the last few years prior to deregulation in 2009 and increasing margins, particularly in 2011-12.  These outcomes were broadly true for gross (retailer price less wholesale cost) and net (retailer price less retail and wholesale costs) margins and for standing offer and market prices.  </w:t>
      </w:r>
    </w:p>
    <w:p w:rsidR="00A23DAF" w:rsidRDefault="00E2593B" w:rsidP="00A14F94">
      <w:pPr>
        <w:pStyle w:val="BulletLast"/>
      </w:pPr>
      <w:r>
        <w:fldChar w:fldCharType="begin"/>
      </w:r>
      <w:r w:rsidR="0094264D">
        <w:instrText xml:space="preserve"> ADDIN EN.CITE &lt;EndNote&gt;&lt;Cite&gt;&lt;Author&gt;CMA&lt;/Author&gt;&lt;Year&gt;2016&lt;/Year&gt;&lt;RecNum&gt;639&lt;/RecNum&gt;&lt;DisplayText&gt;CMA (2016)&lt;/DisplayText&gt;&lt;record&gt;&lt;rec-number&gt;639&lt;/rec-number&gt;&lt;foreign-keys&gt;&lt;key app="EN" db-id="v0xfx5d9ss0wzred9wbpa5e4zwfrepsaw0v9"&gt;639&lt;/key&gt;&lt;/foreign-keys&gt;&lt;ref-type name="Generic"&gt;13&lt;/ref-type&gt;&lt;contributors&gt;&lt;authors&gt;&lt;author&gt;CMA,&lt;/author&gt;&lt;/authors&gt;&lt;/contributors&gt;&lt;titles&gt;&lt;title&gt;Energy market investigation: Summary of final report&lt;/title&gt;&lt;/titles&gt;&lt;dates&gt;&lt;year&gt;2016&lt;/year&gt;&lt;/dates&gt;&lt;pub-location&gt;London&lt;/pub-location&gt;&lt;publisher&gt;Competition and Markets Authority&lt;/publisher&gt;&lt;urls&gt;&lt;/urls&gt;&lt;/record&gt;&lt;/Cite&gt;&lt;/EndNote&gt;</w:instrText>
      </w:r>
      <w:r>
        <w:fldChar w:fldCharType="separate"/>
      </w:r>
      <w:hyperlink w:anchor="_ENREF_9" w:tooltip="CMA, 2016 #639" w:history="1">
        <w:r w:rsidR="005B3C57">
          <w:rPr>
            <w:noProof/>
          </w:rPr>
          <w:t>CMA (2016</w:t>
        </w:r>
      </w:hyperlink>
      <w:r w:rsidR="009F4959">
        <w:rPr>
          <w:noProof/>
        </w:rPr>
        <w:t>)</w:t>
      </w:r>
      <w:r>
        <w:fldChar w:fldCharType="end"/>
      </w:r>
      <w:r w:rsidR="00721399">
        <w:t xml:space="preserve"> </w:t>
      </w:r>
      <w:r w:rsidR="00B86049">
        <w:t xml:space="preserve">for Great Britain: The review examined competition issues in various energy markets including the retail supply of households and microbusinesses. The CMA found a number of adverse effects in relation to competition in the retail supply of gas and electricity to households and microbusinesses, </w:t>
      </w:r>
      <w:r w:rsidR="00066F42">
        <w:t>including</w:t>
      </w:r>
      <w:r w:rsidR="00B86049">
        <w:t xml:space="preserve"> weak customer response leading to unilateral market power; and pricing of standard tariffs materially above relevant costs.  The key finding was summarised as follows:</w:t>
      </w:r>
    </w:p>
    <w:p w:rsidR="00A23DAF" w:rsidRDefault="00B86049" w:rsidP="008A0550">
      <w:pPr>
        <w:pStyle w:val="Quote"/>
        <w:ind w:left="851" w:right="454"/>
      </w:pPr>
      <w:r w:rsidRPr="008B3090">
        <w:t>We have identified a combination of features of the markets for the domestic retail supply of gas and electricity in Great Britain that give rise to an AEC through an overarching feature of weak customer response</w:t>
      </w:r>
      <w:r>
        <w:t>.</w:t>
      </w:r>
      <w:r w:rsidR="00E067F7">
        <w:rPr>
          <w:rStyle w:val="FootnoteReference"/>
        </w:rPr>
        <w:footnoteReference w:id="38"/>
      </w:r>
    </w:p>
    <w:p w:rsidR="00B86049" w:rsidRPr="00A23DAF" w:rsidRDefault="00B86049" w:rsidP="00791CC5">
      <w:pPr>
        <w:pStyle w:val="Quote"/>
        <w:ind w:left="644"/>
      </w:pPr>
      <w:r w:rsidRPr="00A23DAF">
        <w:rPr>
          <w:sz w:val="22"/>
          <w:lang w:val="en-GB" w:eastAsia="en-US"/>
        </w:rPr>
        <w:t xml:space="preserve">The investigation found that 70% of domestic customers of the six largest energy firms were still on an expensive “default’ standard variable tariff and made a number of recommendations to address the problem. </w:t>
      </w:r>
    </w:p>
    <w:p w:rsidR="009C287A" w:rsidRDefault="009C287A" w:rsidP="00EF5FD5"/>
    <w:p w:rsidR="00E278D5" w:rsidRDefault="00E278D5" w:rsidP="00EF5FD5"/>
    <w:p w:rsidR="00B3693F" w:rsidRDefault="00B3693F" w:rsidP="00A27A1C">
      <w:pPr>
        <w:pStyle w:val="References"/>
        <w:sectPr w:rsidR="00B3693F" w:rsidSect="00662C7A">
          <w:headerReference w:type="even" r:id="rId52"/>
          <w:headerReference w:type="default" r:id="rId53"/>
          <w:endnotePr>
            <w:numFmt w:val="decimal"/>
          </w:endnotePr>
          <w:type w:val="continuous"/>
          <w:pgSz w:w="11907" w:h="16840" w:code="9"/>
          <w:pgMar w:top="2268" w:right="2098" w:bottom="1701" w:left="2098" w:header="578" w:footer="578" w:gutter="0"/>
          <w:cols w:space="720"/>
          <w:docGrid w:linePitch="299"/>
        </w:sectPr>
      </w:pPr>
    </w:p>
    <w:p w:rsidR="001D7846" w:rsidRPr="001D7846" w:rsidRDefault="00053E54" w:rsidP="001D7846">
      <w:pPr>
        <w:pStyle w:val="Heading1"/>
        <w:sectPr w:rsidR="001D7846" w:rsidRPr="001D7846" w:rsidSect="00662C7A">
          <w:headerReference w:type="even" r:id="rId54"/>
          <w:headerReference w:type="default" r:id="rId55"/>
          <w:endnotePr>
            <w:numFmt w:val="decimal"/>
          </w:endnotePr>
          <w:type w:val="oddPage"/>
          <w:pgSz w:w="11907" w:h="16840" w:code="9"/>
          <w:pgMar w:top="2268" w:right="2098" w:bottom="1701" w:left="2098" w:header="578" w:footer="578" w:gutter="0"/>
          <w:cols w:space="720"/>
          <w:noEndnote/>
          <w:docGrid w:linePitch="299"/>
        </w:sectPr>
      </w:pPr>
      <w:bookmarkStart w:id="153" w:name="_Ref433615233"/>
      <w:bookmarkStart w:id="154" w:name="_Ref448321586"/>
      <w:bookmarkStart w:id="155" w:name="_Ref463334795"/>
      <w:bookmarkStart w:id="156" w:name="_Ref463334815"/>
      <w:bookmarkStart w:id="157" w:name="_Ref463352870"/>
      <w:bookmarkStart w:id="158" w:name="_Toc464735372"/>
      <w:r>
        <w:lastRenderedPageBreak/>
        <w:t xml:space="preserve">Issues for </w:t>
      </w:r>
      <w:bookmarkEnd w:id="153"/>
      <w:bookmarkEnd w:id="154"/>
      <w:r>
        <w:t>consultation</w:t>
      </w:r>
      <w:bookmarkEnd w:id="155"/>
      <w:bookmarkEnd w:id="156"/>
      <w:r w:rsidR="00095472">
        <w:t>: Summary</w:t>
      </w:r>
      <w:bookmarkEnd w:id="157"/>
      <w:bookmarkEnd w:id="158"/>
    </w:p>
    <w:p w:rsidR="00971956" w:rsidRDefault="00053E54" w:rsidP="005D0466">
      <w:r w:rsidRPr="00484D1F">
        <w:lastRenderedPageBreak/>
        <w:t>The Commission welcomes feedback on the various issues relating to its pricing model</w:t>
      </w:r>
      <w:r w:rsidR="00377580">
        <w:t>. Some of these issues have been explored in the Commission’s previous investigations. The issues for the pricing model are summarised below along with other issues</w:t>
      </w:r>
      <w:r>
        <w:t>.</w:t>
      </w:r>
    </w:p>
    <w:p w:rsidR="005D0466" w:rsidRPr="00484D1F" w:rsidRDefault="005D0466" w:rsidP="00DA4C3D">
      <w:pPr>
        <w:pStyle w:val="Heading3a"/>
      </w:pPr>
      <w:r w:rsidRPr="00484D1F">
        <w:t>Energy purchase cost model:</w:t>
      </w:r>
    </w:p>
    <w:p w:rsidR="005D0466" w:rsidRPr="008A12A0" w:rsidRDefault="005D0466" w:rsidP="00DA4C3D">
      <w:pPr>
        <w:pStyle w:val="Heading4"/>
      </w:pPr>
      <w:r w:rsidRPr="008A12A0">
        <w:t xml:space="preserve">Australian Securities Exchange (ASX) vs ICAP over the counter (OTC) contract data </w:t>
      </w:r>
    </w:p>
    <w:p w:rsidR="005D0466" w:rsidRPr="00484D1F" w:rsidRDefault="005D0466" w:rsidP="005D0466">
      <w:r w:rsidRPr="00484D1F">
        <w:t xml:space="preserve">The Commission’s general preference is to use </w:t>
      </w:r>
      <w:r w:rsidRPr="008A12A0">
        <w:t xml:space="preserve">the exchange-traded ASX market data </w:t>
      </w:r>
      <w:r w:rsidRPr="00484D1F">
        <w:t xml:space="preserve">averaging over a 23-month period </w:t>
      </w:r>
      <w:r w:rsidRPr="008A12A0">
        <w:t>instead of OTC contract data</w:t>
      </w:r>
      <w:r w:rsidR="00EF308A">
        <w:t xml:space="preserve"> </w:t>
      </w:r>
      <w:r w:rsidRPr="008A12A0">
        <w:t>due to the lack of transparency inherent in the OTC market.</w:t>
      </w:r>
      <w:r w:rsidRPr="00484D1F">
        <w:t xml:space="preserve"> </w:t>
      </w:r>
      <w:r>
        <w:t xml:space="preserve">Before 2012, the Commission used the ASX forward price data. </w:t>
      </w:r>
      <w:r w:rsidRPr="008A12A0">
        <w:t>Confronted by the issues associated with the carbon price uncertainty</w:t>
      </w:r>
      <w:r>
        <w:t xml:space="preserve"> and other data limitations</w:t>
      </w:r>
      <w:r w:rsidRPr="008A12A0">
        <w:t>, the Commission relied on OTC contract data</w:t>
      </w:r>
      <w:r w:rsidRPr="00484D1F">
        <w:t xml:space="preserve"> averaging over a 21-month period</w:t>
      </w:r>
      <w:r w:rsidRPr="008A12A0">
        <w:t xml:space="preserve">, as a </w:t>
      </w:r>
      <w:r w:rsidR="000160C6" w:rsidRPr="008A12A0">
        <w:t>fall-back</w:t>
      </w:r>
      <w:r w:rsidRPr="008A12A0">
        <w:t xml:space="preserve"> option,</w:t>
      </w:r>
      <w:r w:rsidRPr="00484D1F">
        <w:t xml:space="preserve"> from 2012 to 2016. </w:t>
      </w:r>
    </w:p>
    <w:p w:rsidR="005D0466" w:rsidRPr="0098418E" w:rsidRDefault="005D0466" w:rsidP="005D0466">
      <w:pPr>
        <w:rPr>
          <w:b/>
          <w:i/>
        </w:rPr>
      </w:pPr>
      <w:r w:rsidRPr="0098418E">
        <w:rPr>
          <w:b/>
          <w:i/>
        </w:rPr>
        <w:t xml:space="preserve">Issue 1: Is it </w:t>
      </w:r>
      <w:r w:rsidR="004542CC">
        <w:rPr>
          <w:b/>
          <w:i/>
        </w:rPr>
        <w:t xml:space="preserve">appropriate </w:t>
      </w:r>
      <w:r w:rsidR="004542CC" w:rsidRPr="0098418E">
        <w:rPr>
          <w:b/>
          <w:i/>
        </w:rPr>
        <w:t>for</w:t>
      </w:r>
      <w:r w:rsidRPr="0098418E">
        <w:rPr>
          <w:b/>
          <w:i/>
        </w:rPr>
        <w:t xml:space="preserve"> the Commission to return to using exchange traded ASX forward price data averaged over a 23-month period in calculating energy purchase costs? </w:t>
      </w:r>
    </w:p>
    <w:p w:rsidR="005D0466" w:rsidRPr="00484D1F" w:rsidRDefault="005D0466" w:rsidP="00DA4C3D">
      <w:pPr>
        <w:pStyle w:val="Heading4"/>
      </w:pPr>
      <w:r w:rsidRPr="008A12A0">
        <w:t xml:space="preserve">Commission’s hedging strategy </w:t>
      </w:r>
    </w:p>
    <w:p w:rsidR="005D0466" w:rsidRPr="008A12A0" w:rsidRDefault="005D0466" w:rsidP="005D0466">
      <w:r w:rsidRPr="00484D1F">
        <w:t>The Commission considers that its current energy purchase cost model accurately reflects the costs, including</w:t>
      </w:r>
      <w:r w:rsidR="009B5C82">
        <w:t xml:space="preserve"> a conservative estimate of</w:t>
      </w:r>
      <w:r w:rsidRPr="00484D1F">
        <w:t xml:space="preserve"> hedging costs that w</w:t>
      </w:r>
      <w:r w:rsidR="009B5C82">
        <w:t>ould be incurred by a</w:t>
      </w:r>
      <w:r w:rsidRPr="00484D1F">
        <w:t xml:space="preserve"> retailer</w:t>
      </w:r>
      <w:r w:rsidR="009B5C82">
        <w:t xml:space="preserve"> of electricity to minimise wholesale price variability risk,</w:t>
      </w:r>
      <w:r w:rsidRPr="00484D1F">
        <w:t xml:space="preserve"> in providing retail electricity services in the ACT. </w:t>
      </w:r>
    </w:p>
    <w:p w:rsidR="005D0466" w:rsidRPr="0098418E" w:rsidRDefault="005D0466" w:rsidP="005D0466">
      <w:pPr>
        <w:rPr>
          <w:b/>
          <w:i/>
        </w:rPr>
      </w:pPr>
      <w:r w:rsidRPr="0098418E">
        <w:rPr>
          <w:b/>
          <w:i/>
        </w:rPr>
        <w:t xml:space="preserve">Issue </w:t>
      </w:r>
      <w:r w:rsidR="00B00169">
        <w:rPr>
          <w:b/>
          <w:i/>
        </w:rPr>
        <w:t>2</w:t>
      </w:r>
      <w:r w:rsidRPr="0098418E">
        <w:rPr>
          <w:b/>
          <w:i/>
        </w:rPr>
        <w:t xml:space="preserve">: </w:t>
      </w:r>
      <w:r w:rsidR="007A79B8">
        <w:rPr>
          <w:b/>
          <w:i/>
        </w:rPr>
        <w:t>T</w:t>
      </w:r>
      <w:r w:rsidRPr="0098418E">
        <w:rPr>
          <w:b/>
          <w:i/>
        </w:rPr>
        <w:t xml:space="preserve">he Commission </w:t>
      </w:r>
      <w:r w:rsidR="007A79B8">
        <w:rPr>
          <w:b/>
          <w:i/>
        </w:rPr>
        <w:t xml:space="preserve">welcomes comments on its </w:t>
      </w:r>
      <w:r w:rsidRPr="0098418E">
        <w:rPr>
          <w:b/>
          <w:i/>
        </w:rPr>
        <w:t>current approach to estimating hedging costs</w:t>
      </w:r>
      <w:r w:rsidR="007A79B8">
        <w:rPr>
          <w:b/>
          <w:i/>
        </w:rPr>
        <w:t>.</w:t>
      </w:r>
      <w:r w:rsidRPr="0098418E">
        <w:rPr>
          <w:b/>
          <w:i/>
        </w:rPr>
        <w:t xml:space="preserve"> </w:t>
      </w:r>
    </w:p>
    <w:p w:rsidR="005D0466" w:rsidRPr="00484D1F" w:rsidRDefault="005D0466" w:rsidP="00DA4C3D">
      <w:pPr>
        <w:pStyle w:val="Heading3a"/>
      </w:pPr>
      <w:r w:rsidRPr="00484D1F">
        <w:t>Retail operating cost</w:t>
      </w:r>
      <w:r w:rsidR="00E215C0">
        <w:t>s component</w:t>
      </w:r>
      <w:r w:rsidRPr="00484D1F">
        <w:t xml:space="preserve"> </w:t>
      </w:r>
    </w:p>
    <w:p w:rsidR="005D0466" w:rsidRPr="00484D1F" w:rsidRDefault="005D0466" w:rsidP="00DA4C3D">
      <w:pPr>
        <w:pStyle w:val="Heading4"/>
      </w:pPr>
      <w:r w:rsidRPr="00484D1F">
        <w:t>A competition allowance in the ACT</w:t>
      </w:r>
    </w:p>
    <w:p w:rsidR="005D0466" w:rsidRPr="00484D1F" w:rsidRDefault="005D0466" w:rsidP="005D0466">
      <w:r w:rsidRPr="00484D1F">
        <w:t xml:space="preserve">The Commission’s current pricing model does not incorporate a ‘headroom’ (competition) allowance to reflect customer acquisition and retention costs. </w:t>
      </w:r>
      <w:r>
        <w:t>As part of its 2014 price investigation, t</w:t>
      </w:r>
      <w:r w:rsidRPr="00484D1F">
        <w:t xml:space="preserve">he Commission evaluated the benefits of introducing a competition allowance in its cost-index model. The rationale for a ‘headroom allowance’ is to provide some provision for start-up costs for new entrants with the expectation that over time competitive pressures would reduce prices. However, </w:t>
      </w:r>
      <w:r>
        <w:t>in 2014, t</w:t>
      </w:r>
      <w:r w:rsidRPr="00484D1F">
        <w:t>he Commission concluded that the introduction of such an allowance in the ACT was not warranted because there is a reasonable probability that any benefits</w:t>
      </w:r>
      <w:r w:rsidR="0052756A">
        <w:t xml:space="preserve"> will be small or long delayed or non-existent</w:t>
      </w:r>
      <w:r w:rsidRPr="00484D1F">
        <w:t xml:space="preserve">, and therefore of little </w:t>
      </w:r>
      <w:r w:rsidR="0052756A">
        <w:t xml:space="preserve">current </w:t>
      </w:r>
      <w:r w:rsidRPr="00484D1F">
        <w:t>value.</w:t>
      </w:r>
    </w:p>
    <w:p w:rsidR="00873B0B" w:rsidRDefault="005D0466" w:rsidP="005D0466">
      <w:r w:rsidRPr="0098418E">
        <w:rPr>
          <w:b/>
          <w:i/>
        </w:rPr>
        <w:lastRenderedPageBreak/>
        <w:t xml:space="preserve">Issue </w:t>
      </w:r>
      <w:r w:rsidR="00B00169">
        <w:rPr>
          <w:b/>
          <w:i/>
        </w:rPr>
        <w:t>3</w:t>
      </w:r>
      <w:r w:rsidRPr="0098418E">
        <w:rPr>
          <w:b/>
          <w:i/>
        </w:rPr>
        <w:t xml:space="preserve">: </w:t>
      </w:r>
      <w:r w:rsidR="007A79B8">
        <w:rPr>
          <w:b/>
          <w:i/>
        </w:rPr>
        <w:t>The Commission welcome</w:t>
      </w:r>
      <w:r w:rsidR="00B37755">
        <w:rPr>
          <w:b/>
          <w:i/>
        </w:rPr>
        <w:t>s</w:t>
      </w:r>
      <w:r w:rsidR="007A79B8">
        <w:rPr>
          <w:b/>
          <w:i/>
        </w:rPr>
        <w:t xml:space="preserve"> comments on its position that </w:t>
      </w:r>
      <w:r w:rsidRPr="0098418E">
        <w:rPr>
          <w:b/>
          <w:i/>
        </w:rPr>
        <w:t>a</w:t>
      </w:r>
      <w:r w:rsidR="009B5C82">
        <w:rPr>
          <w:b/>
          <w:i/>
        </w:rPr>
        <w:t xml:space="preserve"> </w:t>
      </w:r>
      <w:r w:rsidRPr="0098418E">
        <w:rPr>
          <w:b/>
          <w:i/>
        </w:rPr>
        <w:t>competition allowance</w:t>
      </w:r>
      <w:r w:rsidR="007A79B8">
        <w:rPr>
          <w:b/>
          <w:i/>
        </w:rPr>
        <w:t xml:space="preserve"> is </w:t>
      </w:r>
      <w:r w:rsidR="00873B0B">
        <w:rPr>
          <w:b/>
          <w:i/>
        </w:rPr>
        <w:t>not justified</w:t>
      </w:r>
      <w:r w:rsidRPr="0098418E">
        <w:rPr>
          <w:b/>
          <w:i/>
        </w:rPr>
        <w:t xml:space="preserve"> in the AC</w:t>
      </w:r>
      <w:r w:rsidR="009B5C82">
        <w:rPr>
          <w:b/>
          <w:i/>
        </w:rPr>
        <w:t>T</w:t>
      </w:r>
      <w:r w:rsidR="007A79B8">
        <w:rPr>
          <w:b/>
          <w:i/>
        </w:rPr>
        <w:t xml:space="preserve">. </w:t>
      </w:r>
      <w:r w:rsidR="00873B0B" w:rsidRPr="00873B0B">
        <w:t xml:space="preserve"> </w:t>
      </w:r>
    </w:p>
    <w:p w:rsidR="005D0466" w:rsidRPr="00484D1F" w:rsidRDefault="005D0466" w:rsidP="00DA4C3D">
      <w:pPr>
        <w:pStyle w:val="Heading3a"/>
      </w:pPr>
      <w:r w:rsidRPr="00484D1F">
        <w:t xml:space="preserve">Other components of the model: </w:t>
      </w:r>
    </w:p>
    <w:p w:rsidR="005D0466" w:rsidRDefault="005D0466" w:rsidP="005D0466">
      <w:r w:rsidRPr="00484D1F">
        <w:t xml:space="preserve">Chapter 2 of this issues paper details the Commission’s current </w:t>
      </w:r>
      <w:r w:rsidR="001F0AD8">
        <w:t xml:space="preserve">methodology </w:t>
      </w:r>
      <w:r w:rsidRPr="00484D1F">
        <w:t xml:space="preserve">in estimating </w:t>
      </w:r>
      <w:r>
        <w:t xml:space="preserve">three main cost categories of </w:t>
      </w:r>
      <w:r w:rsidR="001F0AD8">
        <w:t xml:space="preserve">its </w:t>
      </w:r>
      <w:r w:rsidR="009B5C82">
        <w:t>pricing model including:</w:t>
      </w:r>
    </w:p>
    <w:p w:rsidR="005D0466" w:rsidRDefault="005D0466" w:rsidP="004B08E9">
      <w:pPr>
        <w:pStyle w:val="BulletLast"/>
      </w:pPr>
      <w:r>
        <w:t>w</w:t>
      </w:r>
      <w:r w:rsidRPr="00F33AB7">
        <w:t xml:space="preserve">holesale </w:t>
      </w:r>
      <w:r>
        <w:t xml:space="preserve">energy </w:t>
      </w:r>
      <w:r w:rsidRPr="00F33AB7">
        <w:t>costs</w:t>
      </w:r>
      <w:r>
        <w:t>, which comprise energy purchase costs, LRET and SRES costs, energy losses, energy contracting costs and NEM fees;</w:t>
      </w:r>
    </w:p>
    <w:p w:rsidR="005D0466" w:rsidRDefault="005D0466" w:rsidP="004B08E9">
      <w:pPr>
        <w:pStyle w:val="BulletLast"/>
      </w:pPr>
      <w:r>
        <w:t>n</w:t>
      </w:r>
      <w:r w:rsidRPr="00F33AB7">
        <w:t>etwork costs</w:t>
      </w:r>
      <w:r>
        <w:t xml:space="preserve">, which include transmission and distribution costs; and </w:t>
      </w:r>
    </w:p>
    <w:p w:rsidR="005D0466" w:rsidRDefault="005D0466" w:rsidP="00BA6356">
      <w:pPr>
        <w:pStyle w:val="BulletLast"/>
        <w:ind w:left="641" w:hanging="357"/>
      </w:pPr>
      <w:r>
        <w:t>r</w:t>
      </w:r>
      <w:r w:rsidRPr="00F33AB7">
        <w:t>etail</w:t>
      </w:r>
      <w:r>
        <w:t xml:space="preserve"> costs, which comprise retail operating costs</w:t>
      </w:r>
      <w:r w:rsidR="009B5C82">
        <w:t>,</w:t>
      </w:r>
      <w:r>
        <w:t xml:space="preserve"> EEIS compliance costs</w:t>
      </w:r>
      <w:r w:rsidR="009B5C82">
        <w:t xml:space="preserve"> and a retail profit margin.</w:t>
      </w:r>
    </w:p>
    <w:p w:rsidR="005D0466" w:rsidRPr="00B42188" w:rsidRDefault="005D0466" w:rsidP="005D0466">
      <w:r>
        <w:t xml:space="preserve">The specific issues relating to the energy purchase cost component and the retail operating cost component are highlighted above. The Commission welcomes feedback on other components of the model. </w:t>
      </w:r>
    </w:p>
    <w:p w:rsidR="005D0466" w:rsidRDefault="005D0466" w:rsidP="005D0466">
      <w:pPr>
        <w:rPr>
          <w:b/>
          <w:i/>
        </w:rPr>
      </w:pPr>
      <w:r w:rsidRPr="0098418E">
        <w:rPr>
          <w:b/>
          <w:i/>
        </w:rPr>
        <w:t xml:space="preserve">Issue </w:t>
      </w:r>
      <w:r w:rsidR="00B00169">
        <w:rPr>
          <w:b/>
          <w:i/>
        </w:rPr>
        <w:t>4</w:t>
      </w:r>
      <w:r w:rsidRPr="0098418E">
        <w:rPr>
          <w:b/>
          <w:i/>
        </w:rPr>
        <w:t xml:space="preserve">: </w:t>
      </w:r>
      <w:r w:rsidR="00B37755">
        <w:rPr>
          <w:b/>
          <w:i/>
        </w:rPr>
        <w:t xml:space="preserve">The </w:t>
      </w:r>
      <w:r w:rsidR="00B37755" w:rsidRPr="0098418E">
        <w:rPr>
          <w:b/>
          <w:i/>
        </w:rPr>
        <w:t>Commission</w:t>
      </w:r>
      <w:r w:rsidRPr="0098418E">
        <w:rPr>
          <w:b/>
          <w:i/>
        </w:rPr>
        <w:t xml:space="preserve"> </w:t>
      </w:r>
      <w:r w:rsidR="007A79B8">
        <w:rPr>
          <w:b/>
          <w:i/>
        </w:rPr>
        <w:t xml:space="preserve">welcomes feedback </w:t>
      </w:r>
      <w:r w:rsidR="00B37755">
        <w:rPr>
          <w:b/>
          <w:i/>
        </w:rPr>
        <w:t xml:space="preserve">on </w:t>
      </w:r>
      <w:r w:rsidR="00B37755" w:rsidRPr="0098418E">
        <w:rPr>
          <w:b/>
          <w:i/>
        </w:rPr>
        <w:t>its</w:t>
      </w:r>
      <w:r w:rsidRPr="0098418E">
        <w:rPr>
          <w:b/>
          <w:i/>
        </w:rPr>
        <w:t xml:space="preserve"> </w:t>
      </w:r>
      <w:r w:rsidR="008001C5">
        <w:rPr>
          <w:b/>
          <w:i/>
        </w:rPr>
        <w:t xml:space="preserve">current </w:t>
      </w:r>
      <w:r w:rsidRPr="0098418E">
        <w:rPr>
          <w:b/>
          <w:i/>
        </w:rPr>
        <w:t>approach in estimating the</w:t>
      </w:r>
      <w:r w:rsidR="007A79B8">
        <w:rPr>
          <w:b/>
          <w:i/>
        </w:rPr>
        <w:t xml:space="preserve"> cost categories in its pricing</w:t>
      </w:r>
      <w:r w:rsidRPr="0098418E">
        <w:rPr>
          <w:b/>
          <w:i/>
        </w:rPr>
        <w:t xml:space="preserve"> model</w:t>
      </w:r>
      <w:r w:rsidR="007A79B8">
        <w:rPr>
          <w:b/>
          <w:i/>
        </w:rPr>
        <w:t xml:space="preserve">. </w:t>
      </w:r>
    </w:p>
    <w:p w:rsidR="00224FD3" w:rsidRPr="00224FD3" w:rsidRDefault="00224FD3" w:rsidP="00224FD3">
      <w:pPr>
        <w:pStyle w:val="Heading3a"/>
      </w:pPr>
      <w:r w:rsidRPr="00224FD3">
        <w:t>Other issues</w:t>
      </w:r>
    </w:p>
    <w:p w:rsidR="005D0466" w:rsidRPr="0098418E" w:rsidRDefault="005D0466" w:rsidP="005D0466">
      <w:pPr>
        <w:rPr>
          <w:b/>
          <w:i/>
        </w:rPr>
      </w:pPr>
      <w:r w:rsidRPr="0098418E">
        <w:rPr>
          <w:b/>
          <w:i/>
        </w:rPr>
        <w:t xml:space="preserve">Issue </w:t>
      </w:r>
      <w:r w:rsidR="00B00169">
        <w:rPr>
          <w:b/>
          <w:i/>
        </w:rPr>
        <w:t>5</w:t>
      </w:r>
      <w:r w:rsidRPr="0098418E">
        <w:rPr>
          <w:b/>
          <w:i/>
        </w:rPr>
        <w:t>: Are there any other issues that the Commission should consider?</w:t>
      </w:r>
    </w:p>
    <w:p w:rsidR="005D0466" w:rsidRPr="005D0466" w:rsidRDefault="005D0466" w:rsidP="005D0466">
      <w:pPr>
        <w:rPr>
          <w:i/>
        </w:rPr>
      </w:pPr>
    </w:p>
    <w:p w:rsidR="00971956" w:rsidRDefault="00971956" w:rsidP="00971956"/>
    <w:p w:rsidR="00971956" w:rsidRDefault="00971956" w:rsidP="00971956">
      <w:pPr>
        <w:sectPr w:rsidR="00971956" w:rsidSect="00662C7A">
          <w:headerReference w:type="even" r:id="rId56"/>
          <w:headerReference w:type="default" r:id="rId57"/>
          <w:endnotePr>
            <w:numFmt w:val="decimal"/>
          </w:endnotePr>
          <w:type w:val="continuous"/>
          <w:pgSz w:w="11907" w:h="16840" w:code="9"/>
          <w:pgMar w:top="2268" w:right="2098" w:bottom="1701" w:left="2098" w:header="578" w:footer="578" w:gutter="0"/>
          <w:cols w:space="720"/>
          <w:docGrid w:linePitch="360"/>
        </w:sectPr>
      </w:pPr>
    </w:p>
    <w:p w:rsidR="00971956" w:rsidRDefault="00971956" w:rsidP="00971956">
      <w:pPr>
        <w:pStyle w:val="Heading1"/>
        <w:sectPr w:rsidR="00971956" w:rsidSect="00971956">
          <w:headerReference w:type="default" r:id="rId58"/>
          <w:endnotePr>
            <w:numFmt w:val="decimal"/>
          </w:endnotePr>
          <w:type w:val="oddPage"/>
          <w:pgSz w:w="11907" w:h="16840" w:code="9"/>
          <w:pgMar w:top="2268" w:right="2098" w:bottom="1701" w:left="2098" w:header="578" w:footer="578" w:gutter="0"/>
          <w:cols w:space="720"/>
          <w:docGrid w:linePitch="360"/>
        </w:sectPr>
      </w:pPr>
      <w:bookmarkStart w:id="159" w:name="_Ref463352887"/>
      <w:bookmarkStart w:id="160" w:name="_Toc464735373"/>
      <w:r>
        <w:lastRenderedPageBreak/>
        <w:t>Next steps</w:t>
      </w:r>
      <w:bookmarkEnd w:id="159"/>
      <w:bookmarkEnd w:id="160"/>
    </w:p>
    <w:p w:rsidR="004B3EF3" w:rsidRPr="00661CF4" w:rsidRDefault="00503DF2" w:rsidP="00503DF2">
      <w:r>
        <w:lastRenderedPageBreak/>
        <w:t xml:space="preserve">This issues paper is the first step in the Commission’s consultation for the 2017 price investigation. Stakeholders will have further opportunities to participate in the consultation process. </w:t>
      </w:r>
      <w:r w:rsidR="004B3EF3" w:rsidRPr="007A5096">
        <w:t xml:space="preserve">The proposed timing of the next steps in the </w:t>
      </w:r>
      <w:r w:rsidR="004B3EF3">
        <w:t xml:space="preserve">investigation </w:t>
      </w:r>
      <w:r w:rsidR="004B3EF3" w:rsidRPr="007A5096">
        <w:t xml:space="preserve">process is set out </w:t>
      </w:r>
      <w:r w:rsidR="004B3EF3">
        <w:t xml:space="preserve">in </w:t>
      </w:r>
      <w:r w:rsidR="00E2593B">
        <w:fldChar w:fldCharType="begin"/>
      </w:r>
      <w:r w:rsidR="007B27E4">
        <w:instrText xml:space="preserve"> REF _Ref464558639 \h </w:instrText>
      </w:r>
      <w:r w:rsidR="00E2593B">
        <w:fldChar w:fldCharType="separate"/>
      </w:r>
      <w:r w:rsidR="004325DB" w:rsidRPr="00E4260E">
        <w:t xml:space="preserve">Table </w:t>
      </w:r>
      <w:r w:rsidR="004325DB">
        <w:rPr>
          <w:noProof/>
        </w:rPr>
        <w:t>5</w:t>
      </w:r>
      <w:r w:rsidR="004325DB" w:rsidRPr="00E4260E">
        <w:t>.</w:t>
      </w:r>
      <w:r w:rsidR="004325DB">
        <w:rPr>
          <w:noProof/>
        </w:rPr>
        <w:t>1</w:t>
      </w:r>
      <w:r w:rsidR="00E2593B">
        <w:fldChar w:fldCharType="end"/>
      </w:r>
      <w:r w:rsidR="007B27E4">
        <w:t>.</w:t>
      </w:r>
    </w:p>
    <w:p w:rsidR="004B3EF3" w:rsidRDefault="004B3EF3" w:rsidP="00470146">
      <w:pPr>
        <w:pStyle w:val="FigureName"/>
        <w:keepNext/>
        <w:ind w:left="1077" w:hanging="1077"/>
      </w:pPr>
      <w:bookmarkStart w:id="161" w:name="_Ref464558639"/>
      <w:bookmarkStart w:id="162" w:name="_Toc464735380"/>
      <w:r w:rsidRPr="00E4260E">
        <w:t xml:space="preserve">Table </w:t>
      </w:r>
      <w:r w:rsidR="00E2593B" w:rsidRPr="00E4260E">
        <w:fldChar w:fldCharType="begin"/>
      </w:r>
      <w:r w:rsidRPr="00E4260E">
        <w:instrText xml:space="preserve"> STYLEREF 1 \s </w:instrText>
      </w:r>
      <w:r w:rsidR="00E2593B" w:rsidRPr="00E4260E">
        <w:fldChar w:fldCharType="separate"/>
      </w:r>
      <w:r w:rsidR="004325DB">
        <w:rPr>
          <w:noProof/>
        </w:rPr>
        <w:t>5</w:t>
      </w:r>
      <w:r w:rsidR="00E2593B" w:rsidRPr="00E4260E">
        <w:fldChar w:fldCharType="end"/>
      </w:r>
      <w:r w:rsidRPr="00E4260E">
        <w:t>.</w:t>
      </w:r>
      <w:r w:rsidR="00E2593B" w:rsidRPr="00E4260E">
        <w:fldChar w:fldCharType="begin"/>
      </w:r>
      <w:r w:rsidRPr="00E4260E">
        <w:instrText xml:space="preserve"> SEQ Table \* ARABIC \s 1 </w:instrText>
      </w:r>
      <w:r w:rsidR="00E2593B" w:rsidRPr="00E4260E">
        <w:fldChar w:fldCharType="separate"/>
      </w:r>
      <w:r w:rsidR="004325DB">
        <w:rPr>
          <w:noProof/>
        </w:rPr>
        <w:t>1</w:t>
      </w:r>
      <w:r w:rsidR="00E2593B" w:rsidRPr="00E4260E">
        <w:fldChar w:fldCharType="end"/>
      </w:r>
      <w:bookmarkEnd w:id="161"/>
      <w:r w:rsidRPr="00E4260E">
        <w:tab/>
      </w:r>
      <w:r>
        <w:t>Next steps in the retail electricity price investigation</w:t>
      </w:r>
      <w:bookmarkEnd w:id="162"/>
      <w:r w:rsidRPr="00776BA9">
        <w:t xml:space="preserve"> </w:t>
      </w:r>
    </w:p>
    <w:tbl>
      <w:tblPr>
        <w:tblW w:w="3743" w:type="pct"/>
        <w:tblBorders>
          <w:top w:val="single" w:sz="12" w:space="0" w:color="333399"/>
          <w:bottom w:val="single" w:sz="12" w:space="0" w:color="333399"/>
        </w:tblBorders>
        <w:tblCellMar>
          <w:left w:w="115" w:type="dxa"/>
          <w:right w:w="115" w:type="dxa"/>
        </w:tblCellMar>
        <w:tblLook w:val="0000"/>
      </w:tblPr>
      <w:tblGrid>
        <w:gridCol w:w="3686"/>
        <w:gridCol w:w="2259"/>
      </w:tblGrid>
      <w:tr w:rsidR="004B3EF3" w:rsidRPr="00144F8C" w:rsidTr="00323738">
        <w:trPr>
          <w:cantSplit/>
        </w:trPr>
        <w:tc>
          <w:tcPr>
            <w:tcW w:w="3100"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4B3EF3" w:rsidRPr="00794366" w:rsidRDefault="004B3EF3" w:rsidP="00470146">
            <w:pPr>
              <w:pStyle w:val="TableHeadingLeft"/>
              <w:keepNext/>
            </w:pPr>
            <w:r w:rsidRPr="00901DA4">
              <w:t>Task</w:t>
            </w:r>
          </w:p>
        </w:tc>
        <w:tc>
          <w:tcPr>
            <w:tcW w:w="1900"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4B3EF3" w:rsidRPr="00794366" w:rsidRDefault="004B3EF3" w:rsidP="00470146">
            <w:pPr>
              <w:pStyle w:val="TableHeadingLeft"/>
              <w:keepNext/>
            </w:pPr>
            <w:r w:rsidRPr="00901DA4">
              <w:t>Date</w:t>
            </w:r>
          </w:p>
        </w:tc>
      </w:tr>
      <w:tr w:rsidR="00E3428D" w:rsidRPr="00E3428D" w:rsidTr="00323738">
        <w:trPr>
          <w:cantSplit/>
        </w:trPr>
        <w:tc>
          <w:tcPr>
            <w:tcW w:w="3100" w:type="pct"/>
            <w:tcBorders>
              <w:top w:val="nil"/>
              <w:left w:val="nil"/>
              <w:bottom w:val="nil"/>
              <w:right w:val="nil"/>
            </w:tcBorders>
            <w:vAlign w:val="bottom"/>
          </w:tcPr>
          <w:p w:rsidR="00E3428D" w:rsidRPr="00E3428D" w:rsidRDefault="00E3428D" w:rsidP="00470146">
            <w:pPr>
              <w:pStyle w:val="TableTextLeft"/>
              <w:keepNext/>
              <w:rPr>
                <w:b/>
              </w:rPr>
            </w:pPr>
            <w:r w:rsidRPr="00E3428D">
              <w:rPr>
                <w:b/>
              </w:rPr>
              <w:t>Terms of reference signed</w:t>
            </w:r>
          </w:p>
        </w:tc>
        <w:tc>
          <w:tcPr>
            <w:tcW w:w="1900" w:type="pct"/>
            <w:tcBorders>
              <w:top w:val="nil"/>
              <w:left w:val="nil"/>
              <w:bottom w:val="nil"/>
              <w:right w:val="nil"/>
            </w:tcBorders>
          </w:tcPr>
          <w:p w:rsidR="00E3428D" w:rsidRPr="00E3428D" w:rsidRDefault="00E3428D" w:rsidP="00470146">
            <w:pPr>
              <w:pStyle w:val="TableTextLeft"/>
              <w:keepNext/>
              <w:rPr>
                <w:b/>
              </w:rPr>
            </w:pPr>
            <w:r w:rsidRPr="00E3428D">
              <w:rPr>
                <w:b/>
              </w:rPr>
              <w:t>22 June 2016</w:t>
            </w:r>
          </w:p>
        </w:tc>
      </w:tr>
      <w:tr w:rsidR="00E3428D" w:rsidRPr="00E3428D" w:rsidTr="00323738">
        <w:trPr>
          <w:cantSplit/>
        </w:trPr>
        <w:tc>
          <w:tcPr>
            <w:tcW w:w="3100" w:type="pct"/>
            <w:tcBorders>
              <w:top w:val="nil"/>
              <w:left w:val="nil"/>
              <w:bottom w:val="nil"/>
              <w:right w:val="nil"/>
            </w:tcBorders>
            <w:vAlign w:val="bottom"/>
          </w:tcPr>
          <w:p w:rsidR="00E3428D" w:rsidRPr="00EB6F1B" w:rsidRDefault="00E3428D" w:rsidP="00470146">
            <w:pPr>
              <w:pStyle w:val="TableTextLeft"/>
              <w:keepNext/>
              <w:rPr>
                <w:b/>
              </w:rPr>
            </w:pPr>
            <w:r w:rsidRPr="00EB6F1B">
              <w:rPr>
                <w:b/>
              </w:rPr>
              <w:t>Release of issues paper</w:t>
            </w:r>
          </w:p>
        </w:tc>
        <w:tc>
          <w:tcPr>
            <w:tcW w:w="1900" w:type="pct"/>
            <w:tcBorders>
              <w:top w:val="nil"/>
              <w:left w:val="nil"/>
              <w:bottom w:val="nil"/>
              <w:right w:val="nil"/>
            </w:tcBorders>
          </w:tcPr>
          <w:p w:rsidR="00E3428D" w:rsidRPr="00EB6F1B" w:rsidRDefault="00DC2A85" w:rsidP="00DC2A85">
            <w:pPr>
              <w:pStyle w:val="TableTextLeft"/>
              <w:keepNext/>
              <w:rPr>
                <w:b/>
              </w:rPr>
            </w:pPr>
            <w:r w:rsidRPr="00EB6F1B">
              <w:rPr>
                <w:b/>
              </w:rPr>
              <w:t>24</w:t>
            </w:r>
            <w:r w:rsidR="006C0D23" w:rsidRPr="00EB6F1B">
              <w:rPr>
                <w:b/>
              </w:rPr>
              <w:t xml:space="preserve"> </w:t>
            </w:r>
            <w:r w:rsidR="004F39B1" w:rsidRPr="00EB6F1B">
              <w:rPr>
                <w:b/>
              </w:rPr>
              <w:t xml:space="preserve">October </w:t>
            </w:r>
            <w:r w:rsidR="00E3428D" w:rsidRPr="00EB6F1B">
              <w:rPr>
                <w:b/>
              </w:rPr>
              <w:t>2016</w:t>
            </w:r>
          </w:p>
        </w:tc>
      </w:tr>
      <w:tr w:rsidR="004B3EF3" w:rsidRPr="00144F8C" w:rsidTr="00323738">
        <w:trPr>
          <w:cantSplit/>
        </w:trPr>
        <w:tc>
          <w:tcPr>
            <w:tcW w:w="3100" w:type="pct"/>
            <w:tcBorders>
              <w:top w:val="nil"/>
              <w:left w:val="nil"/>
              <w:bottom w:val="nil"/>
              <w:right w:val="nil"/>
            </w:tcBorders>
            <w:vAlign w:val="bottom"/>
          </w:tcPr>
          <w:p w:rsidR="004B3EF3" w:rsidRPr="00EB6F1B" w:rsidRDefault="004B3EF3" w:rsidP="00470146">
            <w:pPr>
              <w:pStyle w:val="TableTextLeft"/>
              <w:keepNext/>
            </w:pPr>
            <w:r w:rsidRPr="00EB6F1B">
              <w:t>Submissions on issues paper close</w:t>
            </w:r>
          </w:p>
        </w:tc>
        <w:tc>
          <w:tcPr>
            <w:tcW w:w="1900" w:type="pct"/>
            <w:tcBorders>
              <w:top w:val="nil"/>
              <w:left w:val="nil"/>
              <w:bottom w:val="nil"/>
              <w:right w:val="nil"/>
            </w:tcBorders>
          </w:tcPr>
          <w:p w:rsidR="004B3EF3" w:rsidRPr="00EB6F1B" w:rsidRDefault="00DC2A85" w:rsidP="00DC2A85">
            <w:pPr>
              <w:pStyle w:val="TableTextLeft"/>
              <w:keepNext/>
            </w:pPr>
            <w:r w:rsidRPr="00EB6F1B">
              <w:t>30</w:t>
            </w:r>
            <w:r w:rsidR="004361AF" w:rsidRPr="00EB6F1B">
              <w:t xml:space="preserve"> </w:t>
            </w:r>
            <w:r w:rsidR="004B3EF3" w:rsidRPr="00EB6F1B">
              <w:t>November 2016</w:t>
            </w:r>
          </w:p>
        </w:tc>
      </w:tr>
      <w:tr w:rsidR="004B3EF3" w:rsidRPr="00144F8C" w:rsidTr="00323738">
        <w:trPr>
          <w:cantSplit/>
        </w:trPr>
        <w:tc>
          <w:tcPr>
            <w:tcW w:w="3100" w:type="pct"/>
            <w:tcBorders>
              <w:top w:val="nil"/>
              <w:left w:val="nil"/>
              <w:bottom w:val="nil"/>
              <w:right w:val="nil"/>
            </w:tcBorders>
            <w:vAlign w:val="bottom"/>
          </w:tcPr>
          <w:p w:rsidR="004B3EF3" w:rsidRPr="00794366" w:rsidRDefault="004B3EF3" w:rsidP="00470146">
            <w:pPr>
              <w:pStyle w:val="TableTextLeft"/>
              <w:keepNext/>
            </w:pPr>
            <w:r w:rsidRPr="00A258B5">
              <w:t>Release of draft report</w:t>
            </w:r>
            <w:r>
              <w:t xml:space="preserve"> </w:t>
            </w:r>
            <w:r w:rsidRPr="00366E08">
              <w:t>and proposed price direction</w:t>
            </w:r>
          </w:p>
        </w:tc>
        <w:tc>
          <w:tcPr>
            <w:tcW w:w="1900" w:type="pct"/>
            <w:tcBorders>
              <w:top w:val="nil"/>
              <w:left w:val="nil"/>
              <w:bottom w:val="nil"/>
              <w:right w:val="nil"/>
            </w:tcBorders>
          </w:tcPr>
          <w:p w:rsidR="004B3EF3" w:rsidRPr="00794366" w:rsidRDefault="004B3EF3" w:rsidP="00470146">
            <w:pPr>
              <w:pStyle w:val="TableTextLeft"/>
              <w:keepNext/>
            </w:pPr>
            <w:r w:rsidRPr="00794366">
              <w:t>February 201</w:t>
            </w:r>
            <w:r>
              <w:t>7</w:t>
            </w:r>
          </w:p>
        </w:tc>
      </w:tr>
      <w:tr w:rsidR="004B3EF3" w:rsidRPr="00144F8C" w:rsidTr="00323738">
        <w:trPr>
          <w:cantSplit/>
          <w:trHeight w:val="318"/>
        </w:trPr>
        <w:tc>
          <w:tcPr>
            <w:tcW w:w="3100" w:type="pct"/>
            <w:tcBorders>
              <w:top w:val="nil"/>
              <w:left w:val="nil"/>
              <w:bottom w:val="nil"/>
              <w:right w:val="nil"/>
            </w:tcBorders>
            <w:vAlign w:val="bottom"/>
          </w:tcPr>
          <w:p w:rsidR="004B3EF3" w:rsidRPr="00794366" w:rsidRDefault="004B3EF3" w:rsidP="00470146">
            <w:pPr>
              <w:pStyle w:val="TableTextLeft"/>
              <w:keepNext/>
            </w:pPr>
            <w:r w:rsidRPr="00A258B5">
              <w:t xml:space="preserve">Submissions on draft report </w:t>
            </w:r>
            <w:r w:rsidRPr="00794366">
              <w:t>close</w:t>
            </w:r>
          </w:p>
        </w:tc>
        <w:tc>
          <w:tcPr>
            <w:tcW w:w="1900" w:type="pct"/>
            <w:tcBorders>
              <w:top w:val="nil"/>
              <w:left w:val="nil"/>
              <w:bottom w:val="nil"/>
              <w:right w:val="nil"/>
            </w:tcBorders>
          </w:tcPr>
          <w:p w:rsidR="004B3EF3" w:rsidRPr="00794366" w:rsidRDefault="004B3EF3" w:rsidP="00470146">
            <w:pPr>
              <w:pStyle w:val="TableTextLeft"/>
              <w:keepNext/>
              <w:rPr>
                <w:rStyle w:val="HighlightYellow"/>
                <w:highlight w:val="yellow"/>
              </w:rPr>
            </w:pPr>
            <w:r w:rsidRPr="00794366">
              <w:t>March 201</w:t>
            </w:r>
            <w:r>
              <w:t>7</w:t>
            </w:r>
          </w:p>
        </w:tc>
      </w:tr>
      <w:tr w:rsidR="004B3EF3" w:rsidRPr="00144F8C" w:rsidTr="00662C7A">
        <w:trPr>
          <w:cantSplit/>
          <w:trHeight w:val="200"/>
        </w:trPr>
        <w:tc>
          <w:tcPr>
            <w:tcW w:w="3100" w:type="pct"/>
            <w:tcBorders>
              <w:top w:val="nil"/>
              <w:left w:val="nil"/>
              <w:bottom w:val="nil"/>
              <w:right w:val="nil"/>
            </w:tcBorders>
            <w:vAlign w:val="bottom"/>
          </w:tcPr>
          <w:p w:rsidR="004B3EF3" w:rsidRPr="00794366" w:rsidRDefault="004B3EF3" w:rsidP="00470146">
            <w:pPr>
              <w:pStyle w:val="TableTextLeft"/>
              <w:keepNext/>
            </w:pPr>
            <w:r w:rsidRPr="00A258B5">
              <w:t>Public hearing</w:t>
            </w:r>
          </w:p>
        </w:tc>
        <w:tc>
          <w:tcPr>
            <w:tcW w:w="1900" w:type="pct"/>
            <w:tcBorders>
              <w:top w:val="nil"/>
              <w:left w:val="nil"/>
              <w:bottom w:val="nil"/>
              <w:right w:val="nil"/>
            </w:tcBorders>
          </w:tcPr>
          <w:p w:rsidR="004B3EF3" w:rsidRDefault="004B3EF3" w:rsidP="00470146">
            <w:pPr>
              <w:pStyle w:val="TableTextLeft"/>
              <w:keepNext/>
              <w:rPr>
                <w:rStyle w:val="HighlightYellow"/>
                <w:highlight w:val="yellow"/>
              </w:rPr>
            </w:pPr>
            <w:r>
              <w:t>March 2017</w:t>
            </w:r>
          </w:p>
        </w:tc>
      </w:tr>
      <w:tr w:rsidR="004B3EF3" w:rsidRPr="00144F8C" w:rsidTr="00323738">
        <w:trPr>
          <w:cantSplit/>
        </w:trPr>
        <w:tc>
          <w:tcPr>
            <w:tcW w:w="3100" w:type="pct"/>
            <w:tcBorders>
              <w:top w:val="nil"/>
              <w:left w:val="nil"/>
              <w:bottom w:val="single" w:sz="12" w:space="0" w:color="1F497D" w:themeColor="text2"/>
              <w:right w:val="nil"/>
            </w:tcBorders>
            <w:vAlign w:val="bottom"/>
          </w:tcPr>
          <w:p w:rsidR="004B3EF3" w:rsidRPr="00794366" w:rsidRDefault="004B3EF3" w:rsidP="00470146">
            <w:pPr>
              <w:pStyle w:val="TableTextLeft"/>
              <w:keepNext/>
            </w:pPr>
            <w:r>
              <w:t>Release of f</w:t>
            </w:r>
            <w:r w:rsidRPr="00794366">
              <w:t xml:space="preserve">inal report </w:t>
            </w:r>
            <w:r>
              <w:t xml:space="preserve">and </w:t>
            </w:r>
            <w:r w:rsidRPr="00366E08">
              <w:t>price direction</w:t>
            </w:r>
          </w:p>
        </w:tc>
        <w:tc>
          <w:tcPr>
            <w:tcW w:w="1900" w:type="pct"/>
            <w:tcBorders>
              <w:top w:val="nil"/>
              <w:left w:val="nil"/>
              <w:bottom w:val="single" w:sz="12" w:space="0" w:color="1F497D" w:themeColor="text2"/>
              <w:right w:val="nil"/>
            </w:tcBorders>
          </w:tcPr>
          <w:p w:rsidR="004B3EF3" w:rsidRPr="00794366" w:rsidRDefault="004B3EF3" w:rsidP="00470146">
            <w:pPr>
              <w:pStyle w:val="TableTextLeft"/>
              <w:keepNext/>
              <w:rPr>
                <w:rStyle w:val="HighlightYellow"/>
                <w:highlight w:val="yellow"/>
              </w:rPr>
            </w:pPr>
            <w:r w:rsidRPr="00794366">
              <w:t>June 201</w:t>
            </w:r>
            <w:r>
              <w:t>7</w:t>
            </w:r>
          </w:p>
        </w:tc>
      </w:tr>
    </w:tbl>
    <w:p w:rsidR="004B3EF3" w:rsidRDefault="004B3EF3" w:rsidP="004B3EF3"/>
    <w:p w:rsidR="00745E82" w:rsidRPr="00745E82" w:rsidRDefault="00745E82" w:rsidP="00745E82"/>
    <w:p w:rsidR="007E7C83" w:rsidRDefault="007E7C83" w:rsidP="005B1A6D">
      <w:pPr>
        <w:sectPr w:rsidR="007E7C83" w:rsidSect="00971956">
          <w:endnotePr>
            <w:numFmt w:val="decimal"/>
          </w:endnotePr>
          <w:type w:val="continuous"/>
          <w:pgSz w:w="11907" w:h="16840" w:code="9"/>
          <w:pgMar w:top="2268" w:right="2098" w:bottom="1701" w:left="2098" w:header="578" w:footer="578" w:gutter="0"/>
          <w:cols w:space="720"/>
          <w:docGrid w:linePitch="360"/>
        </w:sectPr>
      </w:pPr>
      <w:bookmarkStart w:id="163" w:name="_Toc260327931"/>
      <w:bookmarkStart w:id="164" w:name="Abbreviations_and_acronyms"/>
    </w:p>
    <w:p w:rsidR="00100A2D" w:rsidRDefault="00100A2D" w:rsidP="00100A2D">
      <w:pPr>
        <w:pStyle w:val="HeadingAppendix1"/>
      </w:pPr>
      <w:bookmarkStart w:id="165" w:name="_Ref459711230"/>
      <w:bookmarkStart w:id="166" w:name="_Toc464735374"/>
      <w:bookmarkEnd w:id="163"/>
      <w:bookmarkEnd w:id="164"/>
      <w:r>
        <w:lastRenderedPageBreak/>
        <w:t>Terms of reference</w:t>
      </w:r>
      <w:bookmarkEnd w:id="165"/>
      <w:bookmarkEnd w:id="166"/>
    </w:p>
    <w:p w:rsidR="00100A2D" w:rsidRPr="00100A2D" w:rsidRDefault="00100A2D" w:rsidP="004D616B">
      <w:pPr>
        <w:pStyle w:val="HeadingAppendix1"/>
        <w:numPr>
          <w:ilvl w:val="0"/>
          <w:numId w:val="0"/>
        </w:numPr>
        <w:ind w:left="2693" w:hanging="2693"/>
        <w:sectPr w:rsidR="00100A2D" w:rsidRPr="00100A2D" w:rsidSect="00662C7A">
          <w:headerReference w:type="default" r:id="rId59"/>
          <w:endnotePr>
            <w:numFmt w:val="decimal"/>
          </w:endnotePr>
          <w:type w:val="oddPage"/>
          <w:pgSz w:w="11907" w:h="16840" w:code="9"/>
          <w:pgMar w:top="2268" w:right="2098" w:bottom="1701" w:left="2098" w:header="578" w:footer="578" w:gutter="0"/>
          <w:cols w:space="720"/>
          <w:docGrid w:linePitch="360"/>
        </w:sectPr>
      </w:pPr>
    </w:p>
    <w:p w:rsidR="004D616B" w:rsidRPr="006E1D64" w:rsidRDefault="004D616B" w:rsidP="004D616B">
      <w:pPr>
        <w:spacing w:before="120" w:after="0" w:line="240" w:lineRule="auto"/>
        <w:rPr>
          <w:sz w:val="24"/>
          <w:lang w:val="en-AU"/>
        </w:rPr>
      </w:pPr>
      <w:r w:rsidRPr="006E1D64">
        <w:rPr>
          <w:sz w:val="24"/>
          <w:lang w:val="en-AU"/>
        </w:rPr>
        <w:lastRenderedPageBreak/>
        <w:t>Australian Capital Territory</w:t>
      </w:r>
    </w:p>
    <w:p w:rsidR="004D616B" w:rsidRPr="006E1D64" w:rsidRDefault="004D616B" w:rsidP="006E1D64">
      <w:pPr>
        <w:pStyle w:val="Billname"/>
        <w:spacing w:before="100"/>
        <w:rPr>
          <w:rFonts w:ascii="Times New Roman" w:hAnsi="Times New Roman"/>
        </w:rPr>
      </w:pPr>
      <w:r w:rsidRPr="006E1D64">
        <w:rPr>
          <w:rFonts w:ascii="Times New Roman" w:hAnsi="Times New Roman"/>
        </w:rPr>
        <w:t>Independent Competition and Regulatory Commission (Price Direction for the Supply of Electricity to Small Customers on Standard Retail Contracts) Terms of Reference Determination 2016</w:t>
      </w:r>
    </w:p>
    <w:p w:rsidR="004D616B" w:rsidRPr="006E1D64" w:rsidRDefault="004D616B" w:rsidP="004D616B">
      <w:pPr>
        <w:spacing w:before="340" w:after="0" w:line="240" w:lineRule="auto"/>
        <w:rPr>
          <w:b/>
          <w:bCs/>
          <w:sz w:val="24"/>
          <w:lang w:val="en-AU"/>
        </w:rPr>
      </w:pPr>
      <w:r w:rsidRPr="006E1D64">
        <w:rPr>
          <w:b/>
          <w:bCs/>
          <w:sz w:val="24"/>
          <w:lang w:val="en-AU"/>
        </w:rPr>
        <w:t>Disallowable instrument DI2016–138</w:t>
      </w:r>
    </w:p>
    <w:p w:rsidR="004D616B" w:rsidRPr="006E1D64" w:rsidRDefault="004D616B" w:rsidP="004D616B">
      <w:pPr>
        <w:tabs>
          <w:tab w:val="left" w:pos="2202"/>
        </w:tabs>
        <w:spacing w:before="300" w:after="0" w:line="240" w:lineRule="auto"/>
        <w:jc w:val="both"/>
        <w:rPr>
          <w:rFonts w:eastAsia="Times New Roman"/>
          <w:szCs w:val="22"/>
          <w:lang w:val="en-AU"/>
        </w:rPr>
      </w:pPr>
      <w:r w:rsidRPr="006E1D64">
        <w:rPr>
          <w:rFonts w:eastAsia="Times New Roman"/>
          <w:szCs w:val="22"/>
          <w:lang w:val="en-AU"/>
        </w:rPr>
        <w:t xml:space="preserve">made under the </w:t>
      </w:r>
    </w:p>
    <w:p w:rsidR="004D616B" w:rsidRPr="006E1D64" w:rsidRDefault="004D616B" w:rsidP="004D616B">
      <w:pPr>
        <w:tabs>
          <w:tab w:val="left" w:pos="2600"/>
        </w:tabs>
        <w:spacing w:before="320" w:after="0" w:line="240" w:lineRule="auto"/>
        <w:jc w:val="both"/>
        <w:rPr>
          <w:rFonts w:eastAsia="Times New Roman"/>
          <w:b/>
          <w:szCs w:val="22"/>
          <w:lang w:val="en-AU"/>
        </w:rPr>
      </w:pPr>
      <w:r w:rsidRPr="006E1D64">
        <w:rPr>
          <w:rFonts w:eastAsia="Times New Roman"/>
          <w:b/>
          <w:i/>
          <w:szCs w:val="22"/>
          <w:lang w:val="en-AU"/>
        </w:rPr>
        <w:t>Independent Competition and Regulatory Commission Act</w:t>
      </w:r>
      <w:r w:rsidRPr="006E1D64">
        <w:rPr>
          <w:rFonts w:eastAsia="Times New Roman"/>
          <w:b/>
          <w:szCs w:val="22"/>
          <w:lang w:val="en-AU"/>
        </w:rPr>
        <w:t xml:space="preserve"> 1997 (‘the Act’), Section 15 (Nature of industry references) and Section 16 (Terms of industry references).</w:t>
      </w:r>
    </w:p>
    <w:p w:rsidR="00E82CAF" w:rsidRPr="006E1D64" w:rsidRDefault="00E82CAF" w:rsidP="008A1C91">
      <w:pPr>
        <w:pStyle w:val="References"/>
        <w:rPr>
          <w:szCs w:val="22"/>
        </w:rPr>
      </w:pPr>
    </w:p>
    <w:p w:rsidR="004D616B" w:rsidRPr="006E1D64" w:rsidRDefault="004D616B" w:rsidP="004D616B">
      <w:pPr>
        <w:spacing w:before="60" w:after="60" w:line="240" w:lineRule="auto"/>
        <w:ind w:left="720" w:hanging="720"/>
        <w:rPr>
          <w:b/>
          <w:bCs/>
          <w:szCs w:val="22"/>
          <w:lang w:val="en-AU"/>
        </w:rPr>
      </w:pPr>
      <w:r w:rsidRPr="006E1D64">
        <w:rPr>
          <w:b/>
          <w:bCs/>
          <w:szCs w:val="22"/>
          <w:lang w:val="en-AU"/>
        </w:rPr>
        <w:t xml:space="preserve"> 1. Interpretation</w:t>
      </w:r>
    </w:p>
    <w:p w:rsidR="004D616B" w:rsidRPr="006E1D64" w:rsidRDefault="004D616B" w:rsidP="004D616B">
      <w:pPr>
        <w:spacing w:before="140" w:line="240" w:lineRule="auto"/>
        <w:rPr>
          <w:szCs w:val="22"/>
          <w:lang w:val="en-AU"/>
        </w:rPr>
      </w:pPr>
      <w:r w:rsidRPr="006E1D64">
        <w:rPr>
          <w:szCs w:val="22"/>
          <w:lang w:val="en-AU"/>
        </w:rPr>
        <w:t>In this instrument:</w:t>
      </w:r>
    </w:p>
    <w:p w:rsidR="004D616B" w:rsidRPr="006E1D64" w:rsidRDefault="004D616B" w:rsidP="004D616B">
      <w:pPr>
        <w:rPr>
          <w:szCs w:val="22"/>
          <w:lang w:val="en-AU"/>
        </w:rPr>
      </w:pPr>
      <w:r w:rsidRPr="006E1D64">
        <w:rPr>
          <w:szCs w:val="22"/>
          <w:lang w:val="en-AU" w:eastAsia="en-AU"/>
        </w:rPr>
        <w:t>“</w:t>
      </w:r>
      <w:r w:rsidRPr="006E1D64">
        <w:rPr>
          <w:b/>
          <w:bCs/>
          <w:i/>
          <w:iCs/>
          <w:szCs w:val="22"/>
          <w:lang w:val="en-AU" w:eastAsia="en-AU"/>
        </w:rPr>
        <w:t xml:space="preserve">National Energy Retail Law (ACT)” </w:t>
      </w:r>
      <w:r w:rsidRPr="006E1D64">
        <w:rPr>
          <w:szCs w:val="22"/>
          <w:lang w:val="en-AU"/>
        </w:rPr>
        <w:t xml:space="preserve">has the same meaning as in the </w:t>
      </w:r>
      <w:r w:rsidRPr="006E1D64">
        <w:rPr>
          <w:i/>
          <w:szCs w:val="22"/>
          <w:lang w:val="en-AU"/>
        </w:rPr>
        <w:t>National Energy Retail Law (ACT) Act</w:t>
      </w:r>
      <w:r w:rsidRPr="006E1D64">
        <w:rPr>
          <w:szCs w:val="22"/>
          <w:lang w:val="en-AU"/>
        </w:rPr>
        <w:t xml:space="preserve"> </w:t>
      </w:r>
      <w:r w:rsidRPr="006E1D64">
        <w:rPr>
          <w:i/>
          <w:szCs w:val="22"/>
          <w:lang w:val="en-AU"/>
        </w:rPr>
        <w:t>2012</w:t>
      </w:r>
      <w:r w:rsidRPr="006E1D64">
        <w:rPr>
          <w:szCs w:val="22"/>
          <w:lang w:val="en-AU"/>
        </w:rPr>
        <w:t>.</w:t>
      </w:r>
    </w:p>
    <w:p w:rsidR="00613D73" w:rsidRPr="006E1D64" w:rsidRDefault="00613D73" w:rsidP="00613D73">
      <w:pPr>
        <w:rPr>
          <w:b/>
          <w:bCs/>
          <w:i/>
          <w:iCs/>
          <w:szCs w:val="22"/>
          <w:lang w:val="en-AU" w:eastAsia="en-AU"/>
        </w:rPr>
      </w:pPr>
      <w:r w:rsidRPr="006E1D64">
        <w:rPr>
          <w:b/>
          <w:bCs/>
          <w:i/>
          <w:iCs/>
          <w:szCs w:val="22"/>
          <w:lang w:val="en-AU" w:eastAsia="en-AU"/>
        </w:rPr>
        <w:t xml:space="preserve">“small customer” </w:t>
      </w:r>
      <w:r w:rsidRPr="006E1D64">
        <w:rPr>
          <w:szCs w:val="22"/>
          <w:lang w:val="en-AU"/>
        </w:rPr>
        <w:t xml:space="preserve">has the same meaning as in the </w:t>
      </w:r>
      <w:r w:rsidRPr="006E1D64">
        <w:rPr>
          <w:b/>
          <w:bCs/>
          <w:i/>
          <w:iCs/>
          <w:szCs w:val="22"/>
          <w:lang w:val="en-AU" w:eastAsia="en-AU"/>
        </w:rPr>
        <w:t>National Energy Retail Law (ACT)</w:t>
      </w:r>
      <w:r w:rsidRPr="006E1D64">
        <w:rPr>
          <w:szCs w:val="22"/>
          <w:lang w:val="en-AU"/>
        </w:rPr>
        <w:t>.</w:t>
      </w:r>
    </w:p>
    <w:p w:rsidR="00613D73" w:rsidRPr="006E1D64" w:rsidRDefault="00613D73" w:rsidP="00613D73">
      <w:pPr>
        <w:rPr>
          <w:szCs w:val="22"/>
          <w:lang w:val="en-AU"/>
        </w:rPr>
      </w:pPr>
      <w:r w:rsidRPr="006E1D64">
        <w:rPr>
          <w:szCs w:val="22"/>
          <w:lang w:val="en-AU" w:eastAsia="en-AU"/>
        </w:rPr>
        <w:t>“</w:t>
      </w:r>
      <w:r w:rsidRPr="006E1D64">
        <w:rPr>
          <w:b/>
          <w:bCs/>
          <w:i/>
          <w:iCs/>
          <w:szCs w:val="22"/>
          <w:lang w:val="en-AU" w:eastAsia="en-AU"/>
        </w:rPr>
        <w:t xml:space="preserve">standing offer prices” </w:t>
      </w:r>
      <w:r w:rsidRPr="006E1D64">
        <w:rPr>
          <w:szCs w:val="22"/>
          <w:lang w:val="en-AU"/>
        </w:rPr>
        <w:t xml:space="preserve">has the same meaning as in the </w:t>
      </w:r>
      <w:r w:rsidRPr="006E1D64">
        <w:rPr>
          <w:b/>
          <w:bCs/>
          <w:i/>
          <w:iCs/>
          <w:szCs w:val="22"/>
          <w:lang w:val="en-AU" w:eastAsia="en-AU"/>
        </w:rPr>
        <w:t>National Energy Retail Law (ACT)</w:t>
      </w:r>
      <w:r w:rsidRPr="006E1D64">
        <w:rPr>
          <w:szCs w:val="22"/>
          <w:lang w:val="en-AU"/>
        </w:rPr>
        <w:t>.</w:t>
      </w:r>
    </w:p>
    <w:p w:rsidR="00613D73" w:rsidRDefault="00613D73" w:rsidP="00613D73">
      <w:pPr>
        <w:rPr>
          <w:szCs w:val="22"/>
          <w:lang w:val="en-AU"/>
        </w:rPr>
      </w:pPr>
      <w:r w:rsidRPr="006E1D64">
        <w:rPr>
          <w:b/>
          <w:bCs/>
          <w:i/>
          <w:iCs/>
          <w:szCs w:val="22"/>
          <w:lang w:val="en-AU" w:eastAsia="en-AU"/>
        </w:rPr>
        <w:t>“ActewAGL Retail</w:t>
      </w:r>
      <w:r w:rsidRPr="006E1D64">
        <w:rPr>
          <w:b/>
          <w:szCs w:val="22"/>
          <w:lang w:val="en-AU"/>
        </w:rPr>
        <w:t>”</w:t>
      </w:r>
      <w:r w:rsidRPr="006E1D64">
        <w:rPr>
          <w:szCs w:val="22"/>
          <w:lang w:val="en-AU"/>
        </w:rPr>
        <w:t xml:space="preserve"> means the partnership of Icon Retail Investments Limited </w:t>
      </w:r>
      <w:r w:rsidRPr="006E1D64">
        <w:rPr>
          <w:szCs w:val="22"/>
          <w:lang w:val="en-AU"/>
        </w:rPr>
        <w:br/>
        <w:t>(ACN 074 371 207) and AGL ACT Retail Investments Pty Ltd (ACN 093 631 586).</w:t>
      </w:r>
    </w:p>
    <w:p w:rsidR="006E1D64" w:rsidRPr="006E1D64" w:rsidRDefault="006E1D64" w:rsidP="006E1D64">
      <w:pPr>
        <w:pBdr>
          <w:bottom w:val="single" w:sz="4" w:space="1" w:color="auto"/>
        </w:pBdr>
        <w:rPr>
          <w:szCs w:val="22"/>
          <w:lang w:val="en-AU"/>
        </w:rPr>
      </w:pPr>
    </w:p>
    <w:p w:rsidR="00613D73" w:rsidRPr="006E1D64" w:rsidRDefault="00613D73" w:rsidP="00613D73">
      <w:pPr>
        <w:spacing w:before="60" w:after="60" w:line="240" w:lineRule="auto"/>
        <w:ind w:left="720" w:hanging="720"/>
        <w:rPr>
          <w:b/>
          <w:bCs/>
          <w:szCs w:val="22"/>
          <w:lang w:val="en-AU"/>
        </w:rPr>
      </w:pPr>
      <w:r w:rsidRPr="006E1D64">
        <w:rPr>
          <w:b/>
          <w:bCs/>
          <w:szCs w:val="22"/>
          <w:lang w:val="en-AU"/>
        </w:rPr>
        <w:t>2. Reference for investigation under Section 15</w:t>
      </w:r>
    </w:p>
    <w:p w:rsidR="00613D73" w:rsidRPr="006E1D64" w:rsidRDefault="00613D73" w:rsidP="00613D73">
      <w:pPr>
        <w:spacing w:before="140" w:after="0" w:line="240" w:lineRule="auto"/>
        <w:rPr>
          <w:szCs w:val="22"/>
          <w:lang w:val="en-AU"/>
        </w:rPr>
      </w:pPr>
      <w:r w:rsidRPr="006E1D64">
        <w:rPr>
          <w:szCs w:val="22"/>
          <w:lang w:val="en-AU"/>
        </w:rPr>
        <w:t xml:space="preserve">Under section 15(1) of the Act, I provide a reference to the Independent Competition and Regulatory Commission (the ‘Commission’) to determine a price direction for the </w:t>
      </w:r>
      <w:r w:rsidRPr="006E1D64">
        <w:rPr>
          <w:b/>
          <w:bCs/>
          <w:i/>
          <w:iCs/>
          <w:szCs w:val="22"/>
          <w:lang w:val="en-AU" w:eastAsia="en-AU"/>
        </w:rPr>
        <w:t>standing offer prices</w:t>
      </w:r>
      <w:r w:rsidRPr="006E1D64">
        <w:rPr>
          <w:szCs w:val="22"/>
          <w:lang w:val="en-AU"/>
        </w:rPr>
        <w:t xml:space="preserve"> for the supply of electricity to </w:t>
      </w:r>
      <w:r w:rsidRPr="006E1D64">
        <w:rPr>
          <w:b/>
          <w:bCs/>
          <w:i/>
          <w:iCs/>
          <w:szCs w:val="22"/>
          <w:lang w:val="en-AU" w:eastAsia="en-AU"/>
        </w:rPr>
        <w:t>small customers</w:t>
      </w:r>
      <w:r w:rsidRPr="006E1D64">
        <w:rPr>
          <w:szCs w:val="22"/>
          <w:lang w:val="en-AU"/>
        </w:rPr>
        <w:t xml:space="preserve"> who consume less than 100MWh of electricity over any period of 12 consecutive months. </w:t>
      </w:r>
    </w:p>
    <w:p w:rsidR="00613D73" w:rsidRPr="006E1D64" w:rsidRDefault="00613D73" w:rsidP="00613D73">
      <w:pPr>
        <w:spacing w:before="140" w:after="0" w:line="240" w:lineRule="auto"/>
        <w:rPr>
          <w:szCs w:val="22"/>
          <w:lang w:val="en-AU"/>
        </w:rPr>
      </w:pPr>
      <w:r w:rsidRPr="006E1D64">
        <w:rPr>
          <w:szCs w:val="22"/>
          <w:lang w:val="en-AU"/>
        </w:rPr>
        <w:t xml:space="preserve">The price direction will be for the period of 1 July 2017 to 30 June 2020. </w:t>
      </w:r>
    </w:p>
    <w:p w:rsidR="00613D73" w:rsidRPr="006E1D64" w:rsidRDefault="00613D73" w:rsidP="00613D73">
      <w:pPr>
        <w:spacing w:before="140" w:after="0" w:line="240" w:lineRule="auto"/>
        <w:rPr>
          <w:szCs w:val="22"/>
          <w:lang w:val="en-AU"/>
        </w:rPr>
      </w:pPr>
      <w:r w:rsidRPr="006E1D64">
        <w:rPr>
          <w:szCs w:val="22"/>
          <w:lang w:val="en-AU"/>
        </w:rPr>
        <w:t>The price direction must make provision for annual recalibrations to be undertaken by 30 June 2018 and 30 June 2019.</w:t>
      </w:r>
    </w:p>
    <w:p w:rsidR="00613D73" w:rsidRDefault="00613D73" w:rsidP="00613D73">
      <w:pPr>
        <w:spacing w:before="140" w:after="0" w:line="240" w:lineRule="auto"/>
        <w:rPr>
          <w:szCs w:val="22"/>
          <w:lang w:val="en-AU"/>
        </w:rPr>
      </w:pPr>
      <w:r w:rsidRPr="006E1D64">
        <w:rPr>
          <w:szCs w:val="22"/>
          <w:lang w:val="en-AU"/>
        </w:rPr>
        <w:lastRenderedPageBreak/>
        <w:t xml:space="preserve">Under section 15(4) of the Act, the price direction determined by the Commission under this reference is to only apply to the electricity retailer </w:t>
      </w:r>
      <w:r w:rsidRPr="006E1D64">
        <w:rPr>
          <w:b/>
          <w:bCs/>
          <w:i/>
          <w:iCs/>
          <w:szCs w:val="22"/>
          <w:lang w:val="en-AU" w:eastAsia="en-AU"/>
        </w:rPr>
        <w:t>ActewAGL Retail</w:t>
      </w:r>
      <w:r w:rsidRPr="006E1D64">
        <w:rPr>
          <w:szCs w:val="22"/>
          <w:lang w:val="en-AU"/>
        </w:rPr>
        <w:t>.</w:t>
      </w:r>
    </w:p>
    <w:p w:rsidR="003F3197" w:rsidRPr="006E1D64" w:rsidRDefault="003F3197" w:rsidP="00613D73">
      <w:pPr>
        <w:spacing w:before="140" w:after="0" w:line="240" w:lineRule="auto"/>
        <w:rPr>
          <w:szCs w:val="22"/>
          <w:lang w:val="en-AU"/>
        </w:rPr>
      </w:pPr>
    </w:p>
    <w:p w:rsidR="00613D73" w:rsidRPr="006E1D64" w:rsidRDefault="00613D73" w:rsidP="00613D73">
      <w:pPr>
        <w:keepNext/>
        <w:spacing w:before="60" w:after="60" w:line="240" w:lineRule="auto"/>
        <w:ind w:left="720" w:hanging="720"/>
        <w:rPr>
          <w:b/>
          <w:bCs/>
          <w:szCs w:val="22"/>
          <w:lang w:val="en-AU"/>
        </w:rPr>
      </w:pPr>
      <w:r w:rsidRPr="006E1D64">
        <w:rPr>
          <w:b/>
          <w:bCs/>
          <w:szCs w:val="22"/>
          <w:lang w:val="en-AU"/>
        </w:rPr>
        <w:t>3. Terms of reference for investigation under section 16</w:t>
      </w:r>
    </w:p>
    <w:p w:rsidR="00613D73" w:rsidRPr="006E1D64" w:rsidRDefault="00613D73" w:rsidP="00613D73">
      <w:pPr>
        <w:rPr>
          <w:szCs w:val="22"/>
          <w:lang w:val="en-AU"/>
        </w:rPr>
      </w:pPr>
      <w:r w:rsidRPr="006E1D64">
        <w:rPr>
          <w:szCs w:val="22"/>
          <w:lang w:val="en-AU"/>
        </w:rPr>
        <w:t>Under section 16(1) of the Act, I require that the Commission consider the following matters in relation to the conduct of the investigation:</w:t>
      </w:r>
    </w:p>
    <w:p w:rsidR="00613D73" w:rsidRPr="006E1D64" w:rsidRDefault="00613D73" w:rsidP="00613D73">
      <w:pPr>
        <w:numPr>
          <w:ilvl w:val="0"/>
          <w:numId w:val="8"/>
        </w:numPr>
        <w:autoSpaceDE w:val="0"/>
        <w:autoSpaceDN w:val="0"/>
        <w:adjustRightInd w:val="0"/>
        <w:rPr>
          <w:szCs w:val="22"/>
          <w:lang w:val="en-AU"/>
        </w:rPr>
      </w:pPr>
      <w:r w:rsidRPr="006E1D64">
        <w:rPr>
          <w:szCs w:val="22"/>
          <w:lang w:val="en-AU"/>
        </w:rPr>
        <w:t>The Commission must consider:</w:t>
      </w:r>
    </w:p>
    <w:p w:rsidR="00613D73" w:rsidRPr="006E1D64" w:rsidRDefault="00613D73" w:rsidP="00613D73">
      <w:pPr>
        <w:numPr>
          <w:ilvl w:val="1"/>
          <w:numId w:val="8"/>
        </w:numPr>
        <w:tabs>
          <w:tab w:val="clear" w:pos="1440"/>
          <w:tab w:val="num" w:pos="1211"/>
        </w:tabs>
        <w:autoSpaceDE w:val="0"/>
        <w:autoSpaceDN w:val="0"/>
        <w:adjustRightInd w:val="0"/>
        <w:ind w:left="1211"/>
        <w:rPr>
          <w:szCs w:val="22"/>
          <w:lang w:val="en-AU"/>
        </w:rPr>
      </w:pPr>
      <w:r w:rsidRPr="006E1D64">
        <w:rPr>
          <w:szCs w:val="22"/>
          <w:lang w:val="en-AU"/>
        </w:rPr>
        <w:t xml:space="preserve">The direct impact on electricity costs of government policies and pass through of costs and savings to regulated prices including, but not restricted to: </w:t>
      </w:r>
    </w:p>
    <w:p w:rsidR="00613D73" w:rsidRPr="006E1D64" w:rsidRDefault="00613D73" w:rsidP="00613D73">
      <w:pPr>
        <w:numPr>
          <w:ilvl w:val="2"/>
          <w:numId w:val="8"/>
        </w:numPr>
        <w:tabs>
          <w:tab w:val="clear" w:pos="2160"/>
          <w:tab w:val="num" w:pos="1740"/>
        </w:tabs>
        <w:autoSpaceDE w:val="0"/>
        <w:autoSpaceDN w:val="0"/>
        <w:adjustRightInd w:val="0"/>
        <w:ind w:left="1740"/>
        <w:rPr>
          <w:szCs w:val="22"/>
          <w:lang w:val="en-AU"/>
        </w:rPr>
      </w:pPr>
      <w:r w:rsidRPr="006E1D64">
        <w:rPr>
          <w:szCs w:val="22"/>
          <w:lang w:val="en-AU"/>
        </w:rPr>
        <w:t>the ACT retailer obligations under the Energy Efficiency Improvement Scheme;</w:t>
      </w:r>
    </w:p>
    <w:p w:rsidR="00613D73" w:rsidRPr="006E1D64" w:rsidRDefault="00613D73" w:rsidP="00613D73">
      <w:pPr>
        <w:numPr>
          <w:ilvl w:val="2"/>
          <w:numId w:val="8"/>
        </w:numPr>
        <w:tabs>
          <w:tab w:val="clear" w:pos="2160"/>
          <w:tab w:val="num" w:pos="1740"/>
        </w:tabs>
        <w:autoSpaceDE w:val="0"/>
        <w:autoSpaceDN w:val="0"/>
        <w:adjustRightInd w:val="0"/>
        <w:ind w:left="1740"/>
        <w:rPr>
          <w:szCs w:val="22"/>
          <w:lang w:val="en-AU"/>
        </w:rPr>
      </w:pPr>
      <w:r w:rsidRPr="006E1D64">
        <w:rPr>
          <w:szCs w:val="22"/>
          <w:lang w:val="en-AU"/>
        </w:rPr>
        <w:t>the Commonwealth Government’s Large-scale Renewable Energy Target and Small-scale Renewable Energy Scheme; and</w:t>
      </w:r>
    </w:p>
    <w:p w:rsidR="00613D73" w:rsidRPr="006E1D64" w:rsidRDefault="00613D73" w:rsidP="00613D73">
      <w:pPr>
        <w:numPr>
          <w:ilvl w:val="2"/>
          <w:numId w:val="8"/>
        </w:numPr>
        <w:tabs>
          <w:tab w:val="clear" w:pos="2160"/>
          <w:tab w:val="num" w:pos="1740"/>
        </w:tabs>
        <w:autoSpaceDE w:val="0"/>
        <w:autoSpaceDN w:val="0"/>
        <w:adjustRightInd w:val="0"/>
        <w:ind w:left="1740"/>
        <w:rPr>
          <w:szCs w:val="22"/>
          <w:lang w:val="en-AU"/>
        </w:rPr>
      </w:pPr>
      <w:r w:rsidRPr="006E1D64">
        <w:rPr>
          <w:szCs w:val="22"/>
          <w:lang w:val="en-AU"/>
        </w:rPr>
        <w:t>any other schemes implemented to address climate change relevant to electricity pricing.</w:t>
      </w:r>
    </w:p>
    <w:p w:rsidR="00613D73" w:rsidRPr="006E1D64" w:rsidRDefault="00613D73" w:rsidP="00613D73">
      <w:pPr>
        <w:numPr>
          <w:ilvl w:val="1"/>
          <w:numId w:val="8"/>
        </w:numPr>
        <w:tabs>
          <w:tab w:val="clear" w:pos="1440"/>
          <w:tab w:val="num" w:pos="1211"/>
        </w:tabs>
        <w:autoSpaceDE w:val="0"/>
        <w:autoSpaceDN w:val="0"/>
        <w:adjustRightInd w:val="0"/>
        <w:ind w:left="1211"/>
        <w:rPr>
          <w:szCs w:val="22"/>
          <w:lang w:val="en-AU"/>
        </w:rPr>
      </w:pPr>
      <w:r w:rsidRPr="006E1D64">
        <w:rPr>
          <w:szCs w:val="22"/>
          <w:lang w:val="en-AU"/>
        </w:rPr>
        <w:t>The efficient and prudent cost of managing risk in the cost of purchasing electricity for the period of the price direction.</w:t>
      </w:r>
    </w:p>
    <w:p w:rsidR="00D35F22" w:rsidRPr="006E1D64" w:rsidRDefault="00D35F22" w:rsidP="00D35F22">
      <w:pPr>
        <w:numPr>
          <w:ilvl w:val="0"/>
          <w:numId w:val="8"/>
        </w:numPr>
        <w:spacing w:before="120" w:after="120"/>
        <w:rPr>
          <w:szCs w:val="22"/>
          <w:lang w:val="en-AU"/>
        </w:rPr>
      </w:pPr>
      <w:r w:rsidRPr="006E1D64">
        <w:rPr>
          <w:szCs w:val="22"/>
          <w:lang w:val="en-AU"/>
        </w:rPr>
        <w:t xml:space="preserve">The Commission must identify and report on the efficient costs of complying with the </w:t>
      </w:r>
      <w:r w:rsidRPr="006E1D64">
        <w:rPr>
          <w:i/>
          <w:szCs w:val="22"/>
          <w:lang w:val="en-AU"/>
        </w:rPr>
        <w:t>Energy Efficiency (Cost of Living) Improvement Act 2012</w:t>
      </w:r>
      <w:r w:rsidRPr="006E1D64">
        <w:rPr>
          <w:szCs w:val="22"/>
          <w:lang w:val="en-AU"/>
        </w:rPr>
        <w:t xml:space="preserve"> for the period that the determination is being made.</w:t>
      </w:r>
    </w:p>
    <w:p w:rsidR="00D35F22" w:rsidRPr="006E1D64" w:rsidRDefault="00D35F22" w:rsidP="00D35F22">
      <w:pPr>
        <w:numPr>
          <w:ilvl w:val="0"/>
          <w:numId w:val="8"/>
        </w:numPr>
        <w:spacing w:before="120" w:after="120"/>
        <w:rPr>
          <w:szCs w:val="22"/>
          <w:lang w:val="en-AU"/>
        </w:rPr>
      </w:pPr>
      <w:r w:rsidRPr="006E1D64">
        <w:rPr>
          <w:szCs w:val="22"/>
          <w:lang w:val="en-AU"/>
        </w:rPr>
        <w:t>The Commission must identify and report on the cost allowance of the ACT Feed-in Tariffs (small and large scale) for the period that the determination is being made.</w:t>
      </w:r>
    </w:p>
    <w:p w:rsidR="00D35F22" w:rsidRPr="006E1D64" w:rsidRDefault="00D35F22" w:rsidP="00D35F22">
      <w:pPr>
        <w:numPr>
          <w:ilvl w:val="0"/>
          <w:numId w:val="8"/>
        </w:numPr>
        <w:spacing w:before="120" w:after="120"/>
        <w:rPr>
          <w:szCs w:val="22"/>
          <w:lang w:val="en-AU"/>
        </w:rPr>
      </w:pPr>
      <w:r w:rsidRPr="006E1D64">
        <w:rPr>
          <w:szCs w:val="22"/>
          <w:lang w:val="en-AU"/>
        </w:rPr>
        <w:t xml:space="preserve">The Commission must release its final report within the period of 1 January 2017 to 7 June 2017, to provide sufficient time to allow </w:t>
      </w:r>
      <w:r w:rsidRPr="006E1D64">
        <w:rPr>
          <w:szCs w:val="22"/>
          <w:lang w:val="en-AU"/>
        </w:rPr>
        <w:br/>
      </w:r>
      <w:r w:rsidRPr="006E1D64">
        <w:rPr>
          <w:b/>
          <w:bCs/>
          <w:i/>
          <w:iCs/>
          <w:szCs w:val="22"/>
          <w:lang w:val="en-AU" w:eastAsia="en-AU"/>
        </w:rPr>
        <w:t>ActewAGL Retail</w:t>
      </w:r>
      <w:r w:rsidRPr="006E1D64">
        <w:rPr>
          <w:szCs w:val="22"/>
          <w:lang w:val="en-AU"/>
        </w:rPr>
        <w:t xml:space="preserve"> to make any necessary changes to its billing system and to provide information on the new tariff to customers for implementation effective 1 July 2017.</w:t>
      </w:r>
    </w:p>
    <w:p w:rsidR="00D35F22" w:rsidRPr="006E1D64" w:rsidRDefault="00D35F22" w:rsidP="00D35F22">
      <w:pPr>
        <w:spacing w:before="120" w:after="120"/>
        <w:rPr>
          <w:szCs w:val="22"/>
          <w:lang w:val="en-AU"/>
        </w:rPr>
      </w:pPr>
      <w:r w:rsidRPr="006E1D64">
        <w:rPr>
          <w:szCs w:val="22"/>
          <w:lang w:val="en-AU"/>
        </w:rPr>
        <w:t>Andrew Barr MLA</w:t>
      </w:r>
    </w:p>
    <w:p w:rsidR="00D35F22" w:rsidRPr="006E1D64" w:rsidRDefault="00D35F22" w:rsidP="00D35F22">
      <w:pPr>
        <w:spacing w:before="120" w:after="120"/>
        <w:rPr>
          <w:szCs w:val="22"/>
          <w:lang w:val="en-AU"/>
        </w:rPr>
      </w:pPr>
      <w:r w:rsidRPr="006E1D64">
        <w:rPr>
          <w:szCs w:val="22"/>
          <w:lang w:val="en-AU"/>
        </w:rPr>
        <w:t>Treasurer</w:t>
      </w:r>
    </w:p>
    <w:p w:rsidR="00D35F22" w:rsidRPr="00E10C6F" w:rsidRDefault="00D35F22" w:rsidP="00D35F22">
      <w:pPr>
        <w:spacing w:before="120" w:after="120"/>
        <w:rPr>
          <w:rFonts w:asciiTheme="minorHAnsi" w:hAnsiTheme="minorHAnsi"/>
          <w:sz w:val="24"/>
          <w:szCs w:val="24"/>
          <w:lang w:val="en-AU"/>
        </w:rPr>
      </w:pPr>
      <w:r w:rsidRPr="006E1D64">
        <w:rPr>
          <w:szCs w:val="22"/>
          <w:lang w:val="en-AU"/>
        </w:rPr>
        <w:t>22 June 2016</w:t>
      </w:r>
    </w:p>
    <w:p w:rsidR="004D616B" w:rsidRDefault="004D616B" w:rsidP="004D616B">
      <w:pPr>
        <w:pStyle w:val="HeadingAppendix1"/>
        <w:numPr>
          <w:ilvl w:val="0"/>
          <w:numId w:val="0"/>
        </w:numPr>
        <w:rPr>
          <w:rFonts w:ascii="Times New Roman" w:hAnsi="Times New Roman"/>
          <w:b w:val="0"/>
          <w:color w:val="auto"/>
          <w:kern w:val="0"/>
          <w:sz w:val="22"/>
        </w:rPr>
      </w:pPr>
    </w:p>
    <w:p w:rsidR="002E05F2" w:rsidRDefault="002E05F2" w:rsidP="004D616B">
      <w:pPr>
        <w:pStyle w:val="HeadingAppendix1"/>
        <w:numPr>
          <w:ilvl w:val="0"/>
          <w:numId w:val="0"/>
        </w:numPr>
        <w:sectPr w:rsidR="002E05F2" w:rsidSect="00662C7A">
          <w:headerReference w:type="even" r:id="rId60"/>
          <w:headerReference w:type="default" r:id="rId61"/>
          <w:endnotePr>
            <w:numFmt w:val="decimal"/>
          </w:endnotePr>
          <w:type w:val="continuous"/>
          <w:pgSz w:w="11907" w:h="16840" w:code="9"/>
          <w:pgMar w:top="2268" w:right="2098" w:bottom="1701" w:left="2098" w:header="578" w:footer="578" w:gutter="0"/>
          <w:cols w:space="720"/>
          <w:docGrid w:linePitch="360"/>
        </w:sectPr>
      </w:pPr>
    </w:p>
    <w:p w:rsidR="00B26829" w:rsidRDefault="00B26829" w:rsidP="00B26829">
      <w:pPr>
        <w:pStyle w:val="Heading1a"/>
      </w:pPr>
      <w:bookmarkStart w:id="167" w:name="_Toc464735375"/>
      <w:r>
        <w:lastRenderedPageBreak/>
        <w:t>Abbreviations and acronyms</w:t>
      </w:r>
      <w:bookmarkEnd w:id="167"/>
    </w:p>
    <w:p w:rsidR="00695C73" w:rsidRDefault="00695C73" w:rsidP="00B26829">
      <w:pPr>
        <w:pStyle w:val="Heading1a"/>
        <w:sectPr w:rsidR="00695C73" w:rsidSect="00662C7A">
          <w:headerReference w:type="default" r:id="rId62"/>
          <w:endnotePr>
            <w:numFmt w:val="decimal"/>
          </w:endnotePr>
          <w:type w:val="oddPage"/>
          <w:pgSz w:w="11907" w:h="16840" w:code="9"/>
          <w:pgMar w:top="2268" w:right="2098" w:bottom="1701" w:left="2098" w:header="578" w:footer="578" w:gutter="0"/>
          <w:cols w:space="720"/>
          <w:docGrid w:linePitch="360"/>
        </w:sectPr>
      </w:pPr>
    </w:p>
    <w:tbl>
      <w:tblPr>
        <w:tblpPr w:leftFromText="180" w:rightFromText="180" w:vertAnchor="text" w:tblpY="1"/>
        <w:tblOverlap w:val="never"/>
        <w:tblW w:w="7796" w:type="dxa"/>
        <w:shd w:val="clear" w:color="auto" w:fill="FFFFFF" w:themeFill="background1"/>
        <w:tblLayout w:type="fixed"/>
        <w:tblLook w:val="01E0"/>
      </w:tblPr>
      <w:tblGrid>
        <w:gridCol w:w="2268"/>
        <w:gridCol w:w="5528"/>
      </w:tblGrid>
      <w:tr w:rsidR="00B26829" w:rsidRPr="00B26829" w:rsidTr="00A2086A">
        <w:trPr>
          <w:trHeight w:val="284"/>
        </w:trPr>
        <w:tc>
          <w:tcPr>
            <w:tcW w:w="2268" w:type="dxa"/>
            <w:shd w:val="clear" w:color="auto" w:fill="FFFFFF" w:themeFill="background1"/>
          </w:tcPr>
          <w:p w:rsidR="00B26829" w:rsidRPr="00B26829" w:rsidRDefault="00B26829" w:rsidP="00B26829">
            <w:r w:rsidRPr="00B26829">
              <w:t>AEMC</w:t>
            </w:r>
          </w:p>
        </w:tc>
        <w:tc>
          <w:tcPr>
            <w:tcW w:w="5528" w:type="dxa"/>
            <w:shd w:val="clear" w:color="auto" w:fill="FFFFFF" w:themeFill="background1"/>
          </w:tcPr>
          <w:p w:rsidR="00B26829" w:rsidRPr="00B26829" w:rsidRDefault="00B26829" w:rsidP="00B26829">
            <w:r w:rsidRPr="00B26829">
              <w:t>Australian Energy Market Commission</w:t>
            </w:r>
          </w:p>
        </w:tc>
      </w:tr>
      <w:tr w:rsidR="00B26829" w:rsidRPr="00B26829" w:rsidTr="00A2086A">
        <w:trPr>
          <w:trHeight w:val="284"/>
        </w:trPr>
        <w:tc>
          <w:tcPr>
            <w:tcW w:w="2268" w:type="dxa"/>
            <w:shd w:val="clear" w:color="auto" w:fill="FFFFFF" w:themeFill="background1"/>
          </w:tcPr>
          <w:p w:rsidR="00B26829" w:rsidRPr="00B26829" w:rsidRDefault="00B26829" w:rsidP="00B26829">
            <w:r w:rsidRPr="00B26829">
              <w:t>AEMO</w:t>
            </w:r>
          </w:p>
        </w:tc>
        <w:tc>
          <w:tcPr>
            <w:tcW w:w="5528" w:type="dxa"/>
            <w:shd w:val="clear" w:color="auto" w:fill="FFFFFF" w:themeFill="background1"/>
          </w:tcPr>
          <w:p w:rsidR="00B26829" w:rsidRPr="00B26829" w:rsidRDefault="00B26829" w:rsidP="00B26829">
            <w:r w:rsidRPr="00B26829">
              <w:t>Australian Energy Market Operator</w:t>
            </w:r>
          </w:p>
        </w:tc>
      </w:tr>
      <w:tr w:rsidR="00B26829" w:rsidRPr="00B26829" w:rsidTr="00A2086A">
        <w:trPr>
          <w:trHeight w:val="284"/>
        </w:trPr>
        <w:tc>
          <w:tcPr>
            <w:tcW w:w="2268" w:type="dxa"/>
            <w:shd w:val="clear" w:color="auto" w:fill="FFFFFF" w:themeFill="background1"/>
          </w:tcPr>
          <w:p w:rsidR="00B26829" w:rsidRPr="00B26829" w:rsidRDefault="00B26829" w:rsidP="00B26829">
            <w:r w:rsidRPr="00B26829">
              <w:t>AER</w:t>
            </w:r>
          </w:p>
        </w:tc>
        <w:tc>
          <w:tcPr>
            <w:tcW w:w="5528" w:type="dxa"/>
            <w:shd w:val="clear" w:color="auto" w:fill="FFFFFF" w:themeFill="background1"/>
          </w:tcPr>
          <w:p w:rsidR="00B26829" w:rsidRPr="00B26829" w:rsidRDefault="00B26829" w:rsidP="00B26829">
            <w:r w:rsidRPr="00B26829">
              <w:t>Australian Energy Regulator</w:t>
            </w:r>
          </w:p>
        </w:tc>
      </w:tr>
      <w:tr w:rsidR="00B26829" w:rsidRPr="00B26829" w:rsidTr="00A2086A">
        <w:trPr>
          <w:trHeight w:val="284"/>
        </w:trPr>
        <w:tc>
          <w:tcPr>
            <w:tcW w:w="2268" w:type="dxa"/>
            <w:shd w:val="clear" w:color="auto" w:fill="FFFFFF" w:themeFill="background1"/>
          </w:tcPr>
          <w:p w:rsidR="00B26829" w:rsidRPr="00B26829" w:rsidRDefault="00B26829" w:rsidP="00B26829">
            <w:r w:rsidRPr="00B26829">
              <w:t>ASX</w:t>
            </w:r>
          </w:p>
        </w:tc>
        <w:tc>
          <w:tcPr>
            <w:tcW w:w="5528" w:type="dxa"/>
            <w:shd w:val="clear" w:color="auto" w:fill="FFFFFF" w:themeFill="background1"/>
          </w:tcPr>
          <w:p w:rsidR="00B26829" w:rsidRPr="00B26829" w:rsidRDefault="00B26829" w:rsidP="00B26829">
            <w:r w:rsidRPr="00B26829">
              <w:t>Australian Securities Exchange</w:t>
            </w:r>
          </w:p>
        </w:tc>
      </w:tr>
      <w:tr w:rsidR="00597643" w:rsidRPr="00B26829" w:rsidTr="00A2086A">
        <w:trPr>
          <w:trHeight w:val="284"/>
        </w:trPr>
        <w:tc>
          <w:tcPr>
            <w:tcW w:w="2268" w:type="dxa"/>
            <w:shd w:val="clear" w:color="auto" w:fill="FFFFFF" w:themeFill="background1"/>
          </w:tcPr>
          <w:p w:rsidR="00597643" w:rsidRPr="00B26829" w:rsidRDefault="00597643" w:rsidP="00B26829">
            <w:r>
              <w:t>CMA</w:t>
            </w:r>
          </w:p>
        </w:tc>
        <w:tc>
          <w:tcPr>
            <w:tcW w:w="5528" w:type="dxa"/>
            <w:shd w:val="clear" w:color="auto" w:fill="FFFFFF" w:themeFill="background1"/>
          </w:tcPr>
          <w:p w:rsidR="00597643" w:rsidRPr="00B26829" w:rsidRDefault="00597643" w:rsidP="00B26829">
            <w:r>
              <w:t>Competition and Markets Authority</w:t>
            </w:r>
          </w:p>
        </w:tc>
      </w:tr>
      <w:tr w:rsidR="00B26829" w:rsidRPr="00B26829" w:rsidTr="00A2086A">
        <w:trPr>
          <w:trHeight w:val="284"/>
        </w:trPr>
        <w:tc>
          <w:tcPr>
            <w:tcW w:w="2268" w:type="dxa"/>
            <w:shd w:val="clear" w:color="auto" w:fill="FFFFFF" w:themeFill="background1"/>
          </w:tcPr>
          <w:p w:rsidR="00B26829" w:rsidRPr="00B26829" w:rsidRDefault="00B26829" w:rsidP="00B26829">
            <w:r w:rsidRPr="00B26829">
              <w:t>Commission</w:t>
            </w:r>
          </w:p>
        </w:tc>
        <w:tc>
          <w:tcPr>
            <w:tcW w:w="5528" w:type="dxa"/>
            <w:shd w:val="clear" w:color="auto" w:fill="FFFFFF" w:themeFill="background1"/>
          </w:tcPr>
          <w:p w:rsidR="00B26829" w:rsidRPr="00B26829" w:rsidRDefault="00B26829" w:rsidP="00B26829">
            <w:r w:rsidRPr="00B26829">
              <w:t>Independent Competition and Regulatory Commission</w:t>
            </w:r>
          </w:p>
        </w:tc>
      </w:tr>
      <w:tr w:rsidR="00B26829" w:rsidRPr="00B26829" w:rsidTr="00A2086A">
        <w:trPr>
          <w:trHeight w:val="284"/>
        </w:trPr>
        <w:tc>
          <w:tcPr>
            <w:tcW w:w="2268" w:type="dxa"/>
            <w:shd w:val="clear" w:color="auto" w:fill="FFFFFF" w:themeFill="background1"/>
          </w:tcPr>
          <w:p w:rsidR="00B26829" w:rsidRPr="00B26829" w:rsidRDefault="00B26829" w:rsidP="00B26829">
            <w:pPr>
              <w:rPr>
                <w:highlight w:val="yellow"/>
              </w:rPr>
            </w:pPr>
            <w:r w:rsidRPr="00B26829">
              <w:t>COAG</w:t>
            </w:r>
          </w:p>
        </w:tc>
        <w:tc>
          <w:tcPr>
            <w:tcW w:w="5528" w:type="dxa"/>
            <w:shd w:val="clear" w:color="auto" w:fill="FFFFFF" w:themeFill="background1"/>
          </w:tcPr>
          <w:p w:rsidR="00B26829" w:rsidRPr="00B26829" w:rsidRDefault="00B26829" w:rsidP="00B26829">
            <w:r w:rsidRPr="00B26829">
              <w:t>Council of Australian Governments</w:t>
            </w:r>
          </w:p>
        </w:tc>
      </w:tr>
      <w:tr w:rsidR="00B26829" w:rsidRPr="00B26829" w:rsidTr="00A2086A">
        <w:trPr>
          <w:trHeight w:val="284"/>
        </w:trPr>
        <w:tc>
          <w:tcPr>
            <w:tcW w:w="2268" w:type="dxa"/>
            <w:shd w:val="clear" w:color="auto" w:fill="FFFFFF" w:themeFill="background1"/>
          </w:tcPr>
          <w:p w:rsidR="00B26829" w:rsidRPr="00B26829" w:rsidRDefault="00B26829" w:rsidP="00B26829">
            <w:r w:rsidRPr="00B26829">
              <w:t>CPI</w:t>
            </w:r>
          </w:p>
        </w:tc>
        <w:tc>
          <w:tcPr>
            <w:tcW w:w="5528" w:type="dxa"/>
            <w:shd w:val="clear" w:color="auto" w:fill="FFFFFF" w:themeFill="background1"/>
          </w:tcPr>
          <w:p w:rsidR="00B26829" w:rsidRPr="00B26829" w:rsidRDefault="00B26829" w:rsidP="00B26829">
            <w:r w:rsidRPr="00B26829">
              <w:t>Consumer Price Index</w:t>
            </w:r>
          </w:p>
        </w:tc>
      </w:tr>
      <w:tr w:rsidR="00B26829" w:rsidRPr="00B26829" w:rsidTr="00A2086A">
        <w:trPr>
          <w:trHeight w:val="284"/>
        </w:trPr>
        <w:tc>
          <w:tcPr>
            <w:tcW w:w="2268" w:type="dxa"/>
            <w:shd w:val="clear" w:color="auto" w:fill="FFFFFF" w:themeFill="background1"/>
          </w:tcPr>
          <w:p w:rsidR="00B26829" w:rsidRPr="00B26829" w:rsidRDefault="00B26829" w:rsidP="00B26829">
            <w:r w:rsidRPr="00B26829">
              <w:t>DNSPs</w:t>
            </w:r>
          </w:p>
        </w:tc>
        <w:tc>
          <w:tcPr>
            <w:tcW w:w="5528" w:type="dxa"/>
            <w:shd w:val="clear" w:color="auto" w:fill="FFFFFF" w:themeFill="background1"/>
          </w:tcPr>
          <w:p w:rsidR="00B26829" w:rsidRPr="00B26829" w:rsidRDefault="00B26829" w:rsidP="00B26829">
            <w:r w:rsidRPr="00B26829">
              <w:t>Distribution Network Service Providers</w:t>
            </w:r>
          </w:p>
        </w:tc>
      </w:tr>
      <w:tr w:rsidR="00B26829" w:rsidRPr="00B26829" w:rsidTr="00A2086A">
        <w:trPr>
          <w:trHeight w:val="284"/>
        </w:trPr>
        <w:tc>
          <w:tcPr>
            <w:tcW w:w="2268" w:type="dxa"/>
            <w:shd w:val="clear" w:color="auto" w:fill="FFFFFF" w:themeFill="background1"/>
          </w:tcPr>
          <w:p w:rsidR="00B26829" w:rsidRPr="00B26829" w:rsidRDefault="00B26829" w:rsidP="00B26829">
            <w:r w:rsidRPr="00B26829">
              <w:t>EEIS</w:t>
            </w:r>
          </w:p>
        </w:tc>
        <w:tc>
          <w:tcPr>
            <w:tcW w:w="5528" w:type="dxa"/>
            <w:shd w:val="clear" w:color="auto" w:fill="FFFFFF" w:themeFill="background1"/>
          </w:tcPr>
          <w:p w:rsidR="00B26829" w:rsidRPr="00B26829" w:rsidRDefault="00B26829" w:rsidP="00B26829">
            <w:r w:rsidRPr="00B26829">
              <w:t>Energy Efficiency Improvement Scheme</w:t>
            </w:r>
          </w:p>
        </w:tc>
      </w:tr>
      <w:tr w:rsidR="007C309C" w:rsidRPr="00B26829" w:rsidTr="00A2086A">
        <w:trPr>
          <w:trHeight w:val="284"/>
        </w:trPr>
        <w:tc>
          <w:tcPr>
            <w:tcW w:w="2268" w:type="dxa"/>
            <w:shd w:val="clear" w:color="auto" w:fill="FFFFFF" w:themeFill="background1"/>
          </w:tcPr>
          <w:p w:rsidR="007C309C" w:rsidRPr="00B26829" w:rsidRDefault="007C309C" w:rsidP="00B26829">
            <w:r>
              <w:t>ESC</w:t>
            </w:r>
          </w:p>
        </w:tc>
        <w:tc>
          <w:tcPr>
            <w:tcW w:w="5528" w:type="dxa"/>
            <w:shd w:val="clear" w:color="auto" w:fill="FFFFFF" w:themeFill="background1"/>
          </w:tcPr>
          <w:p w:rsidR="007C309C" w:rsidRPr="00B26829" w:rsidRDefault="007C309C" w:rsidP="00B26829">
            <w:r>
              <w:t>Essential Services Commission</w:t>
            </w:r>
          </w:p>
        </w:tc>
      </w:tr>
      <w:tr w:rsidR="00B26829" w:rsidRPr="00B26829" w:rsidTr="00A2086A">
        <w:trPr>
          <w:trHeight w:val="284"/>
        </w:trPr>
        <w:tc>
          <w:tcPr>
            <w:tcW w:w="2268" w:type="dxa"/>
            <w:shd w:val="clear" w:color="auto" w:fill="FFFFFF" w:themeFill="background1"/>
          </w:tcPr>
          <w:p w:rsidR="00B26829" w:rsidRPr="00B26829" w:rsidRDefault="00B26829" w:rsidP="00B26829">
            <w:r w:rsidRPr="00B26829">
              <w:t>ICRC</w:t>
            </w:r>
          </w:p>
        </w:tc>
        <w:tc>
          <w:tcPr>
            <w:tcW w:w="5528" w:type="dxa"/>
            <w:shd w:val="clear" w:color="auto" w:fill="FFFFFF" w:themeFill="background1"/>
          </w:tcPr>
          <w:p w:rsidR="00B26829" w:rsidRPr="00B26829" w:rsidRDefault="00B26829" w:rsidP="00B26829">
            <w:r w:rsidRPr="00B26829">
              <w:t>Independent Competition and Regulatory Commission</w:t>
            </w:r>
          </w:p>
        </w:tc>
      </w:tr>
      <w:tr w:rsidR="00B26829" w:rsidRPr="00B26829" w:rsidTr="00A2086A">
        <w:trPr>
          <w:trHeight w:val="284"/>
        </w:trPr>
        <w:tc>
          <w:tcPr>
            <w:tcW w:w="2268" w:type="dxa"/>
            <w:shd w:val="clear" w:color="auto" w:fill="FFFFFF" w:themeFill="background1"/>
          </w:tcPr>
          <w:p w:rsidR="00B26829" w:rsidRPr="00B26829" w:rsidRDefault="00B26829" w:rsidP="00B26829">
            <w:r w:rsidRPr="00B26829">
              <w:t>IPART</w:t>
            </w:r>
          </w:p>
        </w:tc>
        <w:tc>
          <w:tcPr>
            <w:tcW w:w="5528" w:type="dxa"/>
            <w:shd w:val="clear" w:color="auto" w:fill="FFFFFF" w:themeFill="background1"/>
          </w:tcPr>
          <w:p w:rsidR="00B26829" w:rsidRPr="00B26829" w:rsidRDefault="00B26829" w:rsidP="00B26829">
            <w:r w:rsidRPr="00B26829">
              <w:t xml:space="preserve">Independent Pricing and Regulatory Tribunal </w:t>
            </w:r>
          </w:p>
        </w:tc>
      </w:tr>
      <w:tr w:rsidR="00B26829" w:rsidRPr="00B26829" w:rsidTr="00A2086A">
        <w:trPr>
          <w:trHeight w:val="284"/>
        </w:trPr>
        <w:tc>
          <w:tcPr>
            <w:tcW w:w="2268" w:type="dxa"/>
            <w:shd w:val="clear" w:color="auto" w:fill="FFFFFF" w:themeFill="background1"/>
          </w:tcPr>
          <w:p w:rsidR="00B26829" w:rsidRPr="00B26829" w:rsidRDefault="00B26829" w:rsidP="00B26829">
            <w:r w:rsidRPr="00B26829">
              <w:t>LRET</w:t>
            </w:r>
          </w:p>
        </w:tc>
        <w:tc>
          <w:tcPr>
            <w:tcW w:w="5528" w:type="dxa"/>
            <w:shd w:val="clear" w:color="auto" w:fill="FFFFFF" w:themeFill="background1"/>
          </w:tcPr>
          <w:p w:rsidR="00B26829" w:rsidRPr="00B26829" w:rsidRDefault="00B26829" w:rsidP="00B26829">
            <w:r w:rsidRPr="00B26829">
              <w:t>Large-scale Renewable Energy Target</w:t>
            </w:r>
          </w:p>
        </w:tc>
      </w:tr>
      <w:tr w:rsidR="00B26829" w:rsidRPr="00B26829" w:rsidTr="00A2086A">
        <w:trPr>
          <w:trHeight w:val="284"/>
        </w:trPr>
        <w:tc>
          <w:tcPr>
            <w:tcW w:w="2268" w:type="dxa"/>
            <w:shd w:val="clear" w:color="auto" w:fill="FFFFFF" w:themeFill="background1"/>
          </w:tcPr>
          <w:p w:rsidR="00B26829" w:rsidRPr="00B26829" w:rsidRDefault="00B26829" w:rsidP="00B26829">
            <w:r w:rsidRPr="00B26829">
              <w:t>MWh</w:t>
            </w:r>
          </w:p>
        </w:tc>
        <w:tc>
          <w:tcPr>
            <w:tcW w:w="5528" w:type="dxa"/>
            <w:shd w:val="clear" w:color="auto" w:fill="FFFFFF" w:themeFill="background1"/>
          </w:tcPr>
          <w:p w:rsidR="00B26829" w:rsidRPr="00B26829" w:rsidRDefault="00B26829" w:rsidP="00B26829">
            <w:r w:rsidRPr="00B26829">
              <w:t>Megawatt hour</w:t>
            </w:r>
          </w:p>
        </w:tc>
      </w:tr>
      <w:tr w:rsidR="00B26829" w:rsidRPr="00B26829" w:rsidTr="00A2086A">
        <w:trPr>
          <w:trHeight w:val="284"/>
        </w:trPr>
        <w:tc>
          <w:tcPr>
            <w:tcW w:w="2268" w:type="dxa"/>
            <w:shd w:val="clear" w:color="auto" w:fill="FFFFFF" w:themeFill="background1"/>
          </w:tcPr>
          <w:p w:rsidR="00B26829" w:rsidRPr="00B26829" w:rsidRDefault="00B26829" w:rsidP="00B26829">
            <w:r w:rsidRPr="00B26829">
              <w:t>NECF</w:t>
            </w:r>
          </w:p>
        </w:tc>
        <w:tc>
          <w:tcPr>
            <w:tcW w:w="5528" w:type="dxa"/>
            <w:shd w:val="clear" w:color="auto" w:fill="FFFFFF" w:themeFill="background1"/>
          </w:tcPr>
          <w:p w:rsidR="00B26829" w:rsidRPr="00B26829" w:rsidRDefault="00B26829" w:rsidP="00B26829">
            <w:r w:rsidRPr="00B26829">
              <w:t>National Electricity Customer Framework</w:t>
            </w:r>
          </w:p>
        </w:tc>
      </w:tr>
      <w:tr w:rsidR="00B26829" w:rsidRPr="00B26829" w:rsidTr="00A2086A">
        <w:trPr>
          <w:trHeight w:val="284"/>
        </w:trPr>
        <w:tc>
          <w:tcPr>
            <w:tcW w:w="2268" w:type="dxa"/>
            <w:shd w:val="clear" w:color="auto" w:fill="FFFFFF" w:themeFill="background1"/>
          </w:tcPr>
          <w:p w:rsidR="00B26829" w:rsidRPr="00B26829" w:rsidRDefault="00B26829" w:rsidP="00B26829">
            <w:r w:rsidRPr="00B26829">
              <w:t>NEM</w:t>
            </w:r>
          </w:p>
        </w:tc>
        <w:tc>
          <w:tcPr>
            <w:tcW w:w="5528" w:type="dxa"/>
            <w:shd w:val="clear" w:color="auto" w:fill="FFFFFF" w:themeFill="background1"/>
          </w:tcPr>
          <w:p w:rsidR="00B26829" w:rsidRPr="00B26829" w:rsidRDefault="00B26829" w:rsidP="00B26829">
            <w:r w:rsidRPr="00B26829">
              <w:t>National Electricity Market</w:t>
            </w:r>
          </w:p>
        </w:tc>
      </w:tr>
      <w:tr w:rsidR="00B26829" w:rsidRPr="00B26829" w:rsidTr="00A2086A">
        <w:trPr>
          <w:trHeight w:val="284"/>
        </w:trPr>
        <w:tc>
          <w:tcPr>
            <w:tcW w:w="2268" w:type="dxa"/>
            <w:shd w:val="clear" w:color="auto" w:fill="FFFFFF" w:themeFill="background1"/>
          </w:tcPr>
          <w:p w:rsidR="00B26829" w:rsidRPr="00B26829" w:rsidRDefault="00B26829" w:rsidP="00B26829">
            <w:r w:rsidRPr="00B26829">
              <w:t>NSW</w:t>
            </w:r>
          </w:p>
        </w:tc>
        <w:tc>
          <w:tcPr>
            <w:tcW w:w="5528" w:type="dxa"/>
            <w:shd w:val="clear" w:color="auto" w:fill="FFFFFF" w:themeFill="background1"/>
          </w:tcPr>
          <w:p w:rsidR="00B26829" w:rsidRPr="00B26829" w:rsidRDefault="00B26829" w:rsidP="00B26829">
            <w:r w:rsidRPr="00B26829">
              <w:t>New South Wales</w:t>
            </w:r>
          </w:p>
        </w:tc>
      </w:tr>
      <w:tr w:rsidR="00B26829" w:rsidRPr="00B26829" w:rsidTr="00A2086A">
        <w:trPr>
          <w:trHeight w:val="284"/>
        </w:trPr>
        <w:tc>
          <w:tcPr>
            <w:tcW w:w="2268" w:type="dxa"/>
            <w:shd w:val="clear" w:color="auto" w:fill="FFFFFF" w:themeFill="background1"/>
          </w:tcPr>
          <w:p w:rsidR="00B26829" w:rsidRPr="00B26829" w:rsidRDefault="00B26829" w:rsidP="00B26829">
            <w:r w:rsidRPr="00B26829">
              <w:t>OTC</w:t>
            </w:r>
          </w:p>
        </w:tc>
        <w:tc>
          <w:tcPr>
            <w:tcW w:w="5528" w:type="dxa"/>
            <w:shd w:val="clear" w:color="auto" w:fill="FFFFFF" w:themeFill="background1"/>
          </w:tcPr>
          <w:p w:rsidR="00B26829" w:rsidRPr="00B26829" w:rsidRDefault="00B26829" w:rsidP="00B26829">
            <w:r w:rsidRPr="00B26829">
              <w:t>Over-the-counter</w:t>
            </w:r>
          </w:p>
        </w:tc>
      </w:tr>
      <w:tr w:rsidR="005A7579" w:rsidRPr="00B26829" w:rsidTr="00A2086A">
        <w:trPr>
          <w:trHeight w:val="284"/>
        </w:trPr>
        <w:tc>
          <w:tcPr>
            <w:tcW w:w="2268" w:type="dxa"/>
            <w:shd w:val="clear" w:color="auto" w:fill="FFFFFF" w:themeFill="background1"/>
          </w:tcPr>
          <w:p w:rsidR="005A7579" w:rsidRPr="00B26829" w:rsidRDefault="005A7579" w:rsidP="00B26829">
            <w:r>
              <w:t>OTTER</w:t>
            </w:r>
          </w:p>
        </w:tc>
        <w:tc>
          <w:tcPr>
            <w:tcW w:w="5528" w:type="dxa"/>
            <w:shd w:val="clear" w:color="auto" w:fill="FFFFFF" w:themeFill="background1"/>
          </w:tcPr>
          <w:p w:rsidR="005A7579" w:rsidRPr="00B26829" w:rsidRDefault="005A7579" w:rsidP="00B26829">
            <w:r>
              <w:t>Office of the Tasmanian Economic Regulator</w:t>
            </w:r>
          </w:p>
        </w:tc>
      </w:tr>
      <w:tr w:rsidR="00B26829" w:rsidRPr="00B26829" w:rsidTr="00A2086A">
        <w:trPr>
          <w:trHeight w:val="284"/>
        </w:trPr>
        <w:tc>
          <w:tcPr>
            <w:tcW w:w="2268" w:type="dxa"/>
            <w:shd w:val="clear" w:color="auto" w:fill="FFFFFF" w:themeFill="background1"/>
          </w:tcPr>
          <w:p w:rsidR="00B26829" w:rsidRPr="00B26829" w:rsidRDefault="00B26829" w:rsidP="00B26829">
            <w:r w:rsidRPr="00B26829">
              <w:t>QCA</w:t>
            </w:r>
          </w:p>
        </w:tc>
        <w:tc>
          <w:tcPr>
            <w:tcW w:w="5528" w:type="dxa"/>
            <w:shd w:val="clear" w:color="auto" w:fill="FFFFFF" w:themeFill="background1"/>
          </w:tcPr>
          <w:p w:rsidR="00B26829" w:rsidRPr="00B26829" w:rsidRDefault="00B26829" w:rsidP="00B26829">
            <w:r w:rsidRPr="00B26829">
              <w:t xml:space="preserve">Queensland Competition Authority </w:t>
            </w:r>
          </w:p>
        </w:tc>
      </w:tr>
      <w:tr w:rsidR="00B26829" w:rsidRPr="00B26829" w:rsidTr="00A2086A">
        <w:trPr>
          <w:trHeight w:val="284"/>
        </w:trPr>
        <w:tc>
          <w:tcPr>
            <w:tcW w:w="2268" w:type="dxa"/>
            <w:shd w:val="clear" w:color="auto" w:fill="FFFFFF" w:themeFill="background1"/>
          </w:tcPr>
          <w:p w:rsidR="00B26829" w:rsidRPr="00B26829" w:rsidRDefault="00B26829" w:rsidP="00B26829">
            <w:r w:rsidRPr="00B26829">
              <w:t>SRES</w:t>
            </w:r>
          </w:p>
        </w:tc>
        <w:tc>
          <w:tcPr>
            <w:tcW w:w="5528" w:type="dxa"/>
            <w:shd w:val="clear" w:color="auto" w:fill="FFFFFF" w:themeFill="background1"/>
          </w:tcPr>
          <w:p w:rsidR="00B26829" w:rsidRPr="00B26829" w:rsidRDefault="00B26829" w:rsidP="00B26829">
            <w:r w:rsidRPr="00B26829">
              <w:t>Small-scale Renewable Energy Scheme</w:t>
            </w:r>
          </w:p>
        </w:tc>
      </w:tr>
      <w:tr w:rsidR="00B26829" w:rsidRPr="00B26829" w:rsidTr="00A2086A">
        <w:trPr>
          <w:trHeight w:val="284"/>
        </w:trPr>
        <w:tc>
          <w:tcPr>
            <w:tcW w:w="2268" w:type="dxa"/>
            <w:shd w:val="clear" w:color="auto" w:fill="FFFFFF" w:themeFill="background1"/>
          </w:tcPr>
          <w:p w:rsidR="00B26829" w:rsidRPr="00B26829" w:rsidRDefault="00B26829" w:rsidP="00B26829">
            <w:r w:rsidRPr="00B26829">
              <w:t>TWh</w:t>
            </w:r>
          </w:p>
        </w:tc>
        <w:tc>
          <w:tcPr>
            <w:tcW w:w="5528" w:type="dxa"/>
            <w:shd w:val="clear" w:color="auto" w:fill="FFFFFF" w:themeFill="background1"/>
          </w:tcPr>
          <w:p w:rsidR="00B26829" w:rsidRPr="00B26829" w:rsidRDefault="00B26829" w:rsidP="00B26829">
            <w:r w:rsidRPr="00B26829">
              <w:t>Terawatt hours</w:t>
            </w:r>
          </w:p>
        </w:tc>
      </w:tr>
    </w:tbl>
    <w:p w:rsidR="00B26829" w:rsidRDefault="00B26829" w:rsidP="00B26829"/>
    <w:p w:rsidR="00B26829" w:rsidRDefault="00B26829" w:rsidP="00B26829">
      <w:pPr>
        <w:sectPr w:rsidR="00B26829" w:rsidSect="00662C7A">
          <w:endnotePr>
            <w:numFmt w:val="decimal"/>
          </w:endnotePr>
          <w:type w:val="continuous"/>
          <w:pgSz w:w="11907" w:h="16840" w:code="9"/>
          <w:pgMar w:top="2268" w:right="2098" w:bottom="1701" w:left="2098" w:header="578" w:footer="578" w:gutter="0"/>
          <w:cols w:space="720"/>
          <w:docGrid w:linePitch="360"/>
        </w:sectPr>
      </w:pPr>
    </w:p>
    <w:p w:rsidR="008C4D2D" w:rsidRPr="00E01F12" w:rsidRDefault="007A1FA7" w:rsidP="00B26829">
      <w:pPr>
        <w:pStyle w:val="Heading1a"/>
      </w:pPr>
      <w:bookmarkStart w:id="168" w:name="_Toc464735376"/>
      <w:r w:rsidRPr="00E01F12">
        <w:lastRenderedPageBreak/>
        <w:t>References</w:t>
      </w:r>
      <w:bookmarkEnd w:id="168"/>
    </w:p>
    <w:p w:rsidR="001D7846" w:rsidRDefault="001D7846" w:rsidP="00C7285A">
      <w:pPr>
        <w:pStyle w:val="Heading1a"/>
        <w:sectPr w:rsidR="001D7846" w:rsidSect="00662C7A">
          <w:endnotePr>
            <w:numFmt w:val="decimal"/>
          </w:endnotePr>
          <w:type w:val="oddPage"/>
          <w:pgSz w:w="11907" w:h="16840" w:code="9"/>
          <w:pgMar w:top="2268" w:right="2098" w:bottom="1701" w:left="2098" w:header="578" w:footer="578" w:gutter="0"/>
          <w:cols w:space="720"/>
          <w:docGrid w:linePitch="360"/>
        </w:sectPr>
      </w:pPr>
    </w:p>
    <w:p w:rsidR="005B3C57" w:rsidRPr="00AE6739" w:rsidRDefault="00E2593B" w:rsidP="00AE6739">
      <w:pPr>
        <w:pStyle w:val="References"/>
      </w:pPr>
      <w:r w:rsidRPr="00EC0929">
        <w:lastRenderedPageBreak/>
        <w:fldChar w:fldCharType="begin"/>
      </w:r>
      <w:r w:rsidR="00A06AB1" w:rsidRPr="00EC0929">
        <w:instrText xml:space="preserve"> ADDIN EN.REFLIST </w:instrText>
      </w:r>
      <w:r w:rsidRPr="00EC0929">
        <w:fldChar w:fldCharType="separate"/>
      </w:r>
      <w:bookmarkStart w:id="169" w:name="_ENREF_1"/>
      <w:r w:rsidR="005B3C57" w:rsidRPr="00AE6739">
        <w:t>ActewAGL Retail 2016. "ActewAGL Retail submission to the Independent Competition and Regulatory Commission’s annual recalibration." Canberra.</w:t>
      </w:r>
      <w:bookmarkEnd w:id="169"/>
    </w:p>
    <w:p w:rsidR="005B3C57" w:rsidRPr="00AE6739" w:rsidRDefault="005B3C57" w:rsidP="00AE6739">
      <w:pPr>
        <w:pStyle w:val="References"/>
      </w:pPr>
      <w:bookmarkStart w:id="170" w:name="_ENREF_2"/>
      <w:r w:rsidRPr="00AE6739">
        <w:t>AEMC 2016a. "2016 Retail competition review." Sydney: AEMC.</w:t>
      </w:r>
      <w:bookmarkEnd w:id="170"/>
    </w:p>
    <w:p w:rsidR="005B3C57" w:rsidRPr="00AE6739" w:rsidRDefault="005B3C57" w:rsidP="00AE6739">
      <w:pPr>
        <w:pStyle w:val="References"/>
      </w:pPr>
      <w:bookmarkStart w:id="171" w:name="_ENREF_3"/>
      <w:r w:rsidRPr="00AE6739">
        <w:t>AEMC 2016b. "Competition in metering services: Information sheet." Sydney: Australian Energy Market Commission.</w:t>
      </w:r>
      <w:bookmarkEnd w:id="171"/>
    </w:p>
    <w:p w:rsidR="005B3C57" w:rsidRPr="00AE6739" w:rsidRDefault="005B3C57" w:rsidP="00AE6739">
      <w:pPr>
        <w:pStyle w:val="References"/>
      </w:pPr>
      <w:bookmarkStart w:id="172" w:name="_ENREF_4"/>
      <w:r w:rsidRPr="00AE6739">
        <w:t>AER 2016a. "Annual report on the performance of the retail energy market 2014-15." Melbourne: Australian Energy Regulator.</w:t>
      </w:r>
      <w:bookmarkEnd w:id="172"/>
    </w:p>
    <w:p w:rsidR="005B3C57" w:rsidRPr="00AE6739" w:rsidRDefault="005B3C57" w:rsidP="00AE6739">
      <w:pPr>
        <w:pStyle w:val="References"/>
      </w:pPr>
      <w:bookmarkStart w:id="173" w:name="_ENREF_5"/>
      <w:r w:rsidRPr="00AE6739">
        <w:t xml:space="preserve">AER 2016b. Retail market performace report: Retail Statistics [Online]. Australian Energy Regulator, Melbourne. Available: </w:t>
      </w:r>
      <w:hyperlink r:id="rId63" w:history="1">
        <w:r w:rsidRPr="00AE6739">
          <w:rPr>
            <w:rStyle w:val="Hyperlink"/>
            <w:color w:val="auto"/>
          </w:rPr>
          <w:t>http://www.aer.gov.au/retail-markets/retail-statistics</w:t>
        </w:r>
      </w:hyperlink>
      <w:r w:rsidRPr="00AE6739">
        <w:t>. [Accessed August 2016].</w:t>
      </w:r>
      <w:bookmarkEnd w:id="173"/>
    </w:p>
    <w:p w:rsidR="005B3C57" w:rsidRPr="00AE6739" w:rsidRDefault="005B3C57" w:rsidP="00AE6739">
      <w:pPr>
        <w:pStyle w:val="References"/>
      </w:pPr>
      <w:bookmarkStart w:id="174" w:name="_ENREF_6"/>
      <w:r w:rsidRPr="00AE6739">
        <w:t>AER 2016c. State of the energy market 2015 [Online]. Australian Energy Regulator, Melbourne.</w:t>
      </w:r>
      <w:bookmarkEnd w:id="174"/>
    </w:p>
    <w:p w:rsidR="005B3C57" w:rsidRPr="00AE6739" w:rsidRDefault="005B3C57" w:rsidP="00AE6739">
      <w:pPr>
        <w:pStyle w:val="References"/>
      </w:pPr>
      <w:bookmarkStart w:id="175" w:name="_ENREF_7"/>
      <w:r w:rsidRPr="00AE6739">
        <w:t>AER 2016d. "Winter energy prices 2016." Melbourne: Australian Energy Regulator.</w:t>
      </w:r>
      <w:bookmarkEnd w:id="175"/>
    </w:p>
    <w:p w:rsidR="005B3C57" w:rsidRPr="00AE6739" w:rsidRDefault="005B3C57" w:rsidP="00AE6739">
      <w:pPr>
        <w:pStyle w:val="References"/>
      </w:pPr>
      <w:bookmarkStart w:id="176" w:name="_ENREF_8"/>
      <w:r w:rsidRPr="00AE6739">
        <w:t>Aurora Energy 2016. "2016 Standing offer determination pricing proposal-period 1: 1 July 2016-30 June 2017." Hobart: Aurora Energy.</w:t>
      </w:r>
      <w:bookmarkEnd w:id="176"/>
    </w:p>
    <w:p w:rsidR="005B3C57" w:rsidRPr="00AE6739" w:rsidRDefault="005B3C57" w:rsidP="00AE6739">
      <w:pPr>
        <w:pStyle w:val="References"/>
      </w:pPr>
      <w:bookmarkStart w:id="177" w:name="_ENREF_9"/>
      <w:r w:rsidRPr="00AE6739">
        <w:t>CMA 2016. "Energy market investigation: Summary of final report." London: Competition and Markets Authority.</w:t>
      </w:r>
      <w:bookmarkEnd w:id="177"/>
    </w:p>
    <w:p w:rsidR="005B3C57" w:rsidRPr="00AE6739" w:rsidRDefault="005B3C57" w:rsidP="00AE6739">
      <w:pPr>
        <w:pStyle w:val="References"/>
      </w:pPr>
      <w:bookmarkStart w:id="178" w:name="_ENREF_10"/>
      <w:r w:rsidRPr="00AE6739">
        <w:t xml:space="preserve">CME 2016. "Australia's retail electricity markets: Who is serving whom?" A report prepared for GetUp! : CME Australia </w:t>
      </w:r>
      <w:bookmarkEnd w:id="178"/>
    </w:p>
    <w:p w:rsidR="005B3C57" w:rsidRPr="00AE6739" w:rsidRDefault="005B3C57" w:rsidP="00AE6739">
      <w:pPr>
        <w:pStyle w:val="References"/>
      </w:pPr>
      <w:bookmarkStart w:id="179" w:name="_ENREF_11"/>
      <w:r w:rsidRPr="00AE6739">
        <w:t>ESC 2013. "Retailer margins in Victoria’s electricity market." Discussion Paper. Melbourne: Essential Services Commission.</w:t>
      </w:r>
      <w:bookmarkEnd w:id="179"/>
    </w:p>
    <w:p w:rsidR="005B3C57" w:rsidRPr="00AE6739" w:rsidRDefault="005B3C57" w:rsidP="00AE6739">
      <w:pPr>
        <w:pStyle w:val="References"/>
      </w:pPr>
      <w:bookmarkStart w:id="180" w:name="_ENREF_12"/>
      <w:r w:rsidRPr="00AE6739">
        <w:t>ICRC 2014a. "Draft report: Standing offer prices for the supply of electricity to small customers 1 July 2014 to 30 June 2017 ". Canberra ACT: Independent Competition and Regulatory Commission.</w:t>
      </w:r>
      <w:bookmarkEnd w:id="180"/>
    </w:p>
    <w:p w:rsidR="005B3C57" w:rsidRPr="00AE6739" w:rsidRDefault="005B3C57" w:rsidP="00AE6739">
      <w:pPr>
        <w:pStyle w:val="References"/>
      </w:pPr>
      <w:bookmarkStart w:id="181" w:name="_ENREF_13"/>
      <w:r w:rsidRPr="00AE6739">
        <w:t>ICRC 2014b. "Final report: Standing offer prices for the supply of electricity to small customers 1 July 2014 to 30 June 2017 ". Canberra: Independent Competition and Regulatory Commission.</w:t>
      </w:r>
      <w:bookmarkEnd w:id="181"/>
    </w:p>
    <w:p w:rsidR="005B3C57" w:rsidRPr="00AE6739" w:rsidRDefault="005B3C57" w:rsidP="00AE6739">
      <w:pPr>
        <w:pStyle w:val="References"/>
      </w:pPr>
      <w:bookmarkStart w:id="182" w:name="_ENREF_14"/>
      <w:r w:rsidRPr="00AE6739">
        <w:t>ICRC 2016a. "Final Decision: Retail electricity price recalibration 2016-17." Canberra ACT: Independent Competition and Regulatory Commission.</w:t>
      </w:r>
      <w:bookmarkEnd w:id="182"/>
    </w:p>
    <w:p w:rsidR="005B3C57" w:rsidRPr="00AE6739" w:rsidRDefault="005B3C57" w:rsidP="00AE6739">
      <w:pPr>
        <w:pStyle w:val="References"/>
      </w:pPr>
      <w:bookmarkStart w:id="183" w:name="_ENREF_15"/>
      <w:r w:rsidRPr="00AE6739">
        <w:t>ICRC 2016b. "Final decision: Retail electricity price recalibration 2016−17 - Standing offer prices for the supply of electricity to small customers." Canberra: Independent Competition and Regulatory Commission.</w:t>
      </w:r>
      <w:bookmarkEnd w:id="183"/>
    </w:p>
    <w:p w:rsidR="005B3C57" w:rsidRPr="00AE6739" w:rsidRDefault="005B3C57" w:rsidP="00AE6739">
      <w:pPr>
        <w:pStyle w:val="References"/>
      </w:pPr>
      <w:bookmarkStart w:id="184" w:name="_ENREF_16"/>
      <w:r w:rsidRPr="00AE6739">
        <w:lastRenderedPageBreak/>
        <w:t>IPART 2013. "Review of regulated retail prices for electricity, 2013 to 2016 - Draft Report." Sydney: Independent Pricing and Regulatory Tribunal.</w:t>
      </w:r>
      <w:bookmarkEnd w:id="184"/>
    </w:p>
    <w:p w:rsidR="005B3C57" w:rsidRPr="00AE6739" w:rsidRDefault="005B3C57" w:rsidP="00AE6739">
      <w:pPr>
        <w:pStyle w:val="References"/>
      </w:pPr>
      <w:bookmarkStart w:id="185" w:name="_ENREF_17"/>
      <w:r w:rsidRPr="00AE6739">
        <w:t>IPART 2015. "Energy final report: Review of the performance and competitiveness of the retail electricity market in NSW from 1 July 2014 to 30 June 2015." Sydney: Independent Pricing and Regulatory Tribunal.</w:t>
      </w:r>
      <w:bookmarkEnd w:id="185"/>
    </w:p>
    <w:p w:rsidR="005B3C57" w:rsidRPr="00AE6739" w:rsidRDefault="005B3C57" w:rsidP="00AE6739">
      <w:pPr>
        <w:pStyle w:val="References"/>
      </w:pPr>
      <w:bookmarkStart w:id="186" w:name="_ENREF_18"/>
      <w:r w:rsidRPr="00AE6739">
        <w:t>New South Wales DNSPs 2016. "Rule change request." Sydney.</w:t>
      </w:r>
      <w:bookmarkEnd w:id="186"/>
    </w:p>
    <w:p w:rsidR="005B3C57" w:rsidRPr="00AE6739" w:rsidRDefault="005B3C57" w:rsidP="00AE6739">
      <w:pPr>
        <w:pStyle w:val="References"/>
      </w:pPr>
      <w:bookmarkStart w:id="187" w:name="_ENREF_19"/>
      <w:r w:rsidRPr="00AE6739">
        <w:t>OTTER 2016. "Media release: Approval of standing offer electricity prices and determination of regulated feed-in tariff rate to apply from 1 July 2016." Hobart: Office of the Tasmanian Economic Regulator.</w:t>
      </w:r>
      <w:bookmarkEnd w:id="187"/>
    </w:p>
    <w:p w:rsidR="005B3C57" w:rsidRPr="00AE6739" w:rsidRDefault="005B3C57" w:rsidP="00AE6739">
      <w:pPr>
        <w:pStyle w:val="References"/>
      </w:pPr>
      <w:bookmarkStart w:id="188" w:name="_ENREF_20"/>
      <w:r w:rsidRPr="00AE6739">
        <w:t>QCA 2016. "Final determination: Regulated retail electricity prices 2016-17." Brisbane: Queensland Competition Authority.</w:t>
      </w:r>
      <w:bookmarkEnd w:id="188"/>
    </w:p>
    <w:p w:rsidR="005B3C57" w:rsidRDefault="005B3C57" w:rsidP="005B3C57">
      <w:pPr>
        <w:pStyle w:val="References"/>
        <w:spacing w:line="240" w:lineRule="atLeast"/>
        <w:rPr>
          <w:noProof/>
        </w:rPr>
      </w:pPr>
    </w:p>
    <w:p w:rsidR="002E05F2" w:rsidRPr="00EC0929" w:rsidRDefault="00E2593B" w:rsidP="00EC0929">
      <w:pPr>
        <w:pStyle w:val="References"/>
      </w:pPr>
      <w:r w:rsidRPr="00EC0929">
        <w:fldChar w:fldCharType="end"/>
      </w:r>
    </w:p>
    <w:sectPr w:rsidR="002E05F2" w:rsidRPr="00EC0929" w:rsidSect="00662C7A">
      <w:headerReference w:type="even" r:id="rId64"/>
      <w:headerReference w:type="default" r:id="rId65"/>
      <w:endnotePr>
        <w:numFmt w:val="decimal"/>
      </w:endnotePr>
      <w:type w:val="continuous"/>
      <w:pgSz w:w="11907" w:h="16840" w:code="9"/>
      <w:pgMar w:top="2268" w:right="2098" w:bottom="1701" w:left="2098" w:header="578" w:footer="57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410" w:rsidRDefault="00730410" w:rsidP="00474ECC">
      <w:pPr>
        <w:spacing w:after="0" w:line="240" w:lineRule="auto"/>
      </w:pPr>
      <w:r>
        <w:separator/>
      </w:r>
    </w:p>
    <w:p w:rsidR="00730410" w:rsidRDefault="00730410"/>
  </w:endnote>
  <w:endnote w:type="continuationSeparator" w:id="0">
    <w:p w:rsidR="00730410" w:rsidRDefault="00730410" w:rsidP="00474ECC">
      <w:pPr>
        <w:spacing w:after="0" w:line="240" w:lineRule="auto"/>
      </w:pPr>
      <w:r>
        <w:continuationSeparator/>
      </w:r>
    </w:p>
    <w:p w:rsidR="00730410" w:rsidRDefault="0073041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889"/>
      <w:gridCol w:w="7038"/>
    </w:tblGrid>
    <w:tr w:rsidR="00730410" w:rsidTr="00DE64FD">
      <w:tc>
        <w:tcPr>
          <w:tcW w:w="918" w:type="dxa"/>
          <w:vAlign w:val="center"/>
        </w:tcPr>
        <w:p w:rsidR="00730410" w:rsidRDefault="00E2593B" w:rsidP="00DE64FD">
          <w:pPr>
            <w:pStyle w:val="Footer"/>
            <w:jc w:val="center"/>
            <w:rPr>
              <w:b/>
              <w:color w:val="4F81BD" w:themeColor="accent1"/>
              <w:sz w:val="32"/>
              <w:szCs w:val="32"/>
            </w:rPr>
          </w:pPr>
          <w:r w:rsidRPr="00E2593B">
            <w:fldChar w:fldCharType="begin"/>
          </w:r>
          <w:r w:rsidR="00730410">
            <w:instrText xml:space="preserve"> PAGE   \* MERGEFORMAT </w:instrText>
          </w:r>
          <w:r w:rsidRPr="00E2593B">
            <w:fldChar w:fldCharType="separate"/>
          </w:r>
          <w:r w:rsidR="00730410" w:rsidRPr="00CB1337">
            <w:rPr>
              <w:b/>
              <w:noProof/>
              <w:color w:val="4F81BD" w:themeColor="accent1"/>
              <w:sz w:val="32"/>
              <w:szCs w:val="32"/>
            </w:rPr>
            <w:t>106</w:t>
          </w:r>
          <w:r>
            <w:rPr>
              <w:b/>
              <w:noProof/>
              <w:color w:val="4F81BD" w:themeColor="accent1"/>
              <w:sz w:val="32"/>
              <w:szCs w:val="32"/>
            </w:rPr>
            <w:fldChar w:fldCharType="end"/>
          </w:r>
        </w:p>
      </w:tc>
      <w:tc>
        <w:tcPr>
          <w:tcW w:w="7938" w:type="dxa"/>
          <w:vAlign w:val="center"/>
        </w:tcPr>
        <w:p w:rsidR="00730410" w:rsidRDefault="00E2593B" w:rsidP="00DE64FD">
          <w:pPr>
            <w:pStyle w:val="Footer"/>
            <w:ind w:left="-1134"/>
            <w:jc w:val="right"/>
          </w:pPr>
          <w:r>
            <w:rPr>
              <w:noProof/>
              <w:lang w:val="en-AU" w:eastAsia="en-AU"/>
            </w:rPr>
            <w:pict>
              <v:shapetype id="_x0000_t202" coordsize="21600,21600" o:spt="202" path="m,l,21600r21600,l21600,xe">
                <v:stroke joinstyle="miter"/>
                <v:path gradientshapeok="t" o:connecttype="rect"/>
              </v:shapetype>
              <v:shape id="Text Box 97" o:spid="_x0000_s2135" type="#_x0000_t202" style="position:absolute;left:0;text-align:left;margin-left:-3.4pt;margin-top:3.15pt;width:202.2pt;height:2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" stroked="f">
                <v:textbox>
                  <w:txbxContent>
                    <w:p w:rsidR="00730410" w:rsidRDefault="00E2593B" w:rsidP="00723FE5">
                      <w:pPr>
                        <w:pStyle w:val="Footer"/>
                        <w:ind w:left="-1134"/>
                        <w:jc w:val="both"/>
                      </w:pPr>
                      <w:r>
                        <w:fldChar w:fldCharType="begin"/>
                      </w:r>
                      <w:r w:rsidR="00730410">
                        <w:instrText xml:space="preserve"> PAGE </w:instrText>
                      </w:r>
                      <w:r>
                        <w:fldChar w:fldCharType="separate"/>
                      </w:r>
                      <w:r w:rsidR="00730410">
                        <w:rPr>
                          <w:noProof/>
                        </w:rPr>
                        <w:t>106</w:t>
                      </w:r>
                      <w:r>
                        <w:rPr>
                          <w:noProof/>
                        </w:rPr>
                        <w:fldChar w:fldCharType="end"/>
                      </w:r>
                      <w:r w:rsidR="00730410">
                        <w:t xml:space="preserve"> —&lt;Insert   </w:t>
                      </w:r>
                      <w:sdt>
                        <w:sdtPr>
                          <w:alias w:val="Title"/>
                          <w:id w:val="227770461"/>
                          <w:dataBinding w:prefixMappings="xmlns:ns0='http://purl.org/dc/elements/1.1/' xmlns:ns1='http://schemas.openxmlformats.org/package/2006/metadata/core-properties' " w:xpath="/ns1:coreProperties[1]/ns0:title[1]" w:storeItemID="{6C3C8BC8-F283-45AE-878A-BAB7291924A1}"/>
                          <w:text/>
                        </w:sdtPr>
                        <w:sdtContent>
                          <w:r w:rsidR="00730410">
                            <w:rPr>
                              <w:lang w:val="en-AU"/>
                            </w:rPr>
                            <w:t>Regulated water and sewerage services</w:t>
                          </w:r>
                        </w:sdtContent>
                      </w:sdt>
                    </w:p>
                    <w:p w:rsidR="00730410" w:rsidRDefault="00730410" w:rsidP="00723FE5"/>
                  </w:txbxContent>
                </v:textbox>
              </v:shape>
            </w:pict>
          </w:r>
          <w:r w:rsidR="00730410" w:rsidRPr="00DE64FD">
            <w:rPr>
              <w:noProof/>
              <w:lang w:val="en-AU" w:eastAsia="en-AU"/>
            </w:rPr>
            <w:drawing>
              <wp:inline distT="0" distB="0" distL="0" distR="0">
                <wp:extent cx="1159470" cy="381693"/>
                <wp:effectExtent l="19050" t="0" r="2580" b="0"/>
                <wp:docPr id="22" name="Picture 7" descr="ICRC logo New 2011.jpg"/>
                <wp:cNvGraphicFramePr/>
                <a:graphic xmlns:a="http://schemas.openxmlformats.org/drawingml/2006/main">
                  <a:graphicData uri="http://schemas.openxmlformats.org/drawingml/2006/picture">
                    <pic:pic xmlns:pic="http://schemas.openxmlformats.org/drawingml/2006/picture">
                      <pic:nvPicPr>
                        <pic:cNvPr id="0" name="Picture 0" descr="ICRC logo New 2011.jpg"/>
                        <pic:cNvPicPr>
                          <a:picLocks noChangeAspect="1" noChangeArrowheads="1"/>
                        </pic:cNvPicPr>
                      </pic:nvPicPr>
                      <pic:blipFill>
                        <a:blip r:embed="rId1">
                          <a:duotone>
                            <a:schemeClr val="accent1">
                              <a:shade val="45000"/>
                              <a:satMod val="135000"/>
                            </a:schemeClr>
                            <a:prstClr val="white"/>
                          </a:duotone>
                        </a:blip>
                        <a:srcRect/>
                        <a:stretch>
                          <a:fillRect/>
                        </a:stretch>
                      </pic:blipFill>
                      <pic:spPr bwMode="auto">
                        <a:xfrm>
                          <a:off x="0" y="0"/>
                          <a:ext cx="1157656" cy="381096"/>
                        </a:xfrm>
                        <a:prstGeom prst="rect">
                          <a:avLst/>
                        </a:prstGeom>
                        <a:noFill/>
                        <a:ln w="9525">
                          <a:noFill/>
                          <a:miter lim="800000"/>
                          <a:headEnd/>
                          <a:tailEnd/>
                        </a:ln>
                      </pic:spPr>
                    </pic:pic>
                  </a:graphicData>
                </a:graphic>
              </wp:inline>
            </w:drawing>
          </w:r>
        </w:p>
      </w:tc>
    </w:tr>
  </w:tbl>
  <w:p w:rsidR="00730410" w:rsidRDefault="007304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EF6AF3">
    <w:pPr>
      <w:pStyle w:val="Footer"/>
    </w:pPr>
    <w:r>
      <w:t xml:space="preserve">ICRC </w:t>
    </w:r>
    <w:r>
      <w:tab/>
      <w:t xml:space="preserve">Draft Report — Enlarged Cotter Dam Water Security Project — </w:t>
    </w:r>
    <w:r w:rsidR="00E2593B">
      <w:fldChar w:fldCharType="begin"/>
    </w:r>
    <w:r>
      <w:instrText xml:space="preserve"> PAGE </w:instrText>
    </w:r>
    <w:r w:rsidR="00E2593B">
      <w:fldChar w:fldCharType="separate"/>
    </w:r>
    <w:r>
      <w:rPr>
        <w:noProof/>
      </w:rPr>
      <w:t>i</w:t>
    </w:r>
    <w:r w:rsidR="00E2593B">
      <w:rPr>
        <w:noProof/>
      </w:rPr>
      <w:fldChar w:fldCharType="end"/>
    </w:r>
  </w:p>
  <w:p w:rsidR="00730410" w:rsidRDefault="007304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B3693F">
    <w:pPr>
      <w:pStyle w:val="Footer"/>
      <w:tabs>
        <w:tab w:val="clear" w:pos="8732"/>
        <w:tab w:val="left" w:pos="5603"/>
      </w:tabs>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Style1"/>
      <w:tblW w:w="7905" w:type="dxa"/>
      <w:tblBorders>
        <w:top w:val="none" w:sz="0" w:space="0" w:color="auto"/>
        <w:bottom w:val="none" w:sz="0" w:space="0" w:color="auto"/>
      </w:tblBorders>
      <w:tblLook w:val="04A0"/>
    </w:tblPr>
    <w:tblGrid>
      <w:gridCol w:w="2943"/>
      <w:gridCol w:w="4962"/>
    </w:tblGrid>
    <w:tr w:rsidR="00730410" w:rsidRPr="00280AFD" w:rsidTr="00FD5811">
      <w:trPr>
        <w:trHeight w:hRule="exact" w:val="655"/>
      </w:trPr>
      <w:tc>
        <w:tcPr>
          <w:tcW w:w="2943" w:type="dxa"/>
          <w:vAlign w:val="center"/>
        </w:tcPr>
        <w:p w:rsidR="00730410" w:rsidRPr="00280AFD" w:rsidRDefault="00E2593B" w:rsidP="00B01B32">
          <w:pPr>
            <w:pStyle w:val="Footer"/>
            <w:tabs>
              <w:tab w:val="clear" w:pos="8732"/>
            </w:tabs>
          </w:pPr>
          <w:r w:rsidRPr="00E2593B">
            <w:rPr>
              <w:noProof/>
              <w:color w:val="auto"/>
              <w:lang w:val="en-AU" w:eastAsia="en-AU"/>
            </w:rPr>
            <w:pict>
              <v:rect id="Rectangle 152" o:spid="_x0000_s2134" style="position:absolute;margin-left:-5.95pt;margin-top:-8.55pt;width:396.85pt;height:1.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" fillcolor="#ffa12d" stroked="f">
                <v:fill color2="#fff5e9" rotate="t" angle="90" focus="100%" type="gradient"/>
              </v:rect>
            </w:pict>
          </w:r>
          <w:r w:rsidRPr="00E2593B">
            <w:rPr>
              <w:color w:val="000033"/>
            </w:rPr>
            <w:fldChar w:fldCharType="begin"/>
          </w:r>
          <w:r w:rsidR="00730410" w:rsidRPr="00280AFD">
            <w:rPr>
              <w:color w:val="000033"/>
            </w:rPr>
            <w:instrText xml:space="preserve"> PAGE   \* MERGEFORMAT </w:instrText>
          </w:r>
          <w:r w:rsidRPr="00E2593B">
            <w:rPr>
              <w:color w:val="000033"/>
            </w:rPr>
            <w:fldChar w:fldCharType="separate"/>
          </w:r>
          <w:r w:rsidR="0065681A" w:rsidRPr="0065681A">
            <w:rPr>
              <w:b/>
              <w:noProof/>
              <w:color w:val="000033"/>
              <w:sz w:val="32"/>
              <w:szCs w:val="32"/>
            </w:rPr>
            <w:t>42</w:t>
          </w:r>
          <w:r w:rsidRPr="00280AFD">
            <w:rPr>
              <w:b/>
              <w:noProof/>
              <w:color w:val="000033"/>
              <w:sz w:val="32"/>
              <w:szCs w:val="32"/>
            </w:rPr>
            <w:fldChar w:fldCharType="end"/>
          </w:r>
        </w:p>
      </w:tc>
      <w:tc>
        <w:tcPr>
          <w:tcW w:w="4962" w:type="dxa"/>
          <w:vAlign w:val="center"/>
        </w:tcPr>
        <w:p w:rsidR="00730410" w:rsidRPr="00280AFD" w:rsidRDefault="00730410" w:rsidP="007C5BF9">
          <w:pPr>
            <w:pStyle w:val="Footer"/>
            <w:tabs>
              <w:tab w:val="clear" w:pos="8732"/>
            </w:tabs>
            <w:jc w:val="right"/>
            <w:rPr>
              <w:color w:val="000033"/>
            </w:rPr>
          </w:pPr>
          <w:r>
            <w:t>Issues paper: Standing offer prices for the supply of electricity to small customers from 1 July 2017</w:t>
          </w:r>
        </w:p>
      </w:tc>
    </w:tr>
  </w:tbl>
  <w:p w:rsidR="00730410" w:rsidRPr="00D5242B" w:rsidRDefault="00730410" w:rsidP="00E01F12">
    <w:pPr>
      <w:pStyle w:val="Footer"/>
      <w:jc w:val="right"/>
    </w:pPr>
    <w:r>
      <w:rPr>
        <w:noProof/>
        <w:lang w:val="en-AU" w:eastAsia="en-AU"/>
      </w:rPr>
      <w:drawing>
        <wp:anchor distT="0" distB="0" distL="114300" distR="114300" simplePos="0" relativeHeight="251661312" behindDoc="0" locked="1" layoutInCell="1" allowOverlap="1">
          <wp:simplePos x="0" y="0"/>
          <wp:positionH relativeFrom="column">
            <wp:posOffset>458470</wp:posOffset>
          </wp:positionH>
          <wp:positionV relativeFrom="paragraph">
            <wp:posOffset>-344170</wp:posOffset>
          </wp:positionV>
          <wp:extent cx="1123950" cy="266700"/>
          <wp:effectExtent l="19050" t="0" r="0" b="0"/>
          <wp:wrapNone/>
          <wp:docPr id="55" name="Picture 1" descr="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C logo New Blue (modified JG).jpg"/>
                  <pic:cNvPicPr/>
                </pic:nvPicPr>
                <pic:blipFill>
                  <a:blip r:embed="rId1"/>
                  <a:stretch>
                    <a:fillRect/>
                  </a:stretch>
                </pic:blipFill>
                <pic:spPr>
                  <a:xfrm>
                    <a:off x="0" y="0"/>
                    <a:ext cx="1123950" cy="266700"/>
                  </a:xfrm>
                  <a:prstGeom prst="rect">
                    <a:avLst/>
                  </a:prstGeom>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Style1"/>
      <w:tblW w:w="7905" w:type="dxa"/>
      <w:tblBorders>
        <w:top w:val="none" w:sz="0" w:space="0" w:color="auto"/>
        <w:bottom w:val="none" w:sz="0" w:space="0" w:color="auto"/>
      </w:tblBorders>
      <w:tblLook w:val="04A0"/>
    </w:tblPr>
    <w:tblGrid>
      <w:gridCol w:w="5070"/>
      <w:gridCol w:w="2835"/>
    </w:tblGrid>
    <w:tr w:rsidR="00730410" w:rsidRPr="00280AFD" w:rsidTr="00594C5C">
      <w:trPr>
        <w:trHeight w:hRule="exact" w:val="641"/>
      </w:trPr>
      <w:tc>
        <w:tcPr>
          <w:tcW w:w="5070" w:type="dxa"/>
          <w:vAlign w:val="center"/>
        </w:tcPr>
        <w:p w:rsidR="00730410" w:rsidRDefault="00E2593B" w:rsidP="00280AFD">
          <w:pPr>
            <w:pStyle w:val="Footer"/>
            <w:tabs>
              <w:tab w:val="clear" w:pos="8732"/>
            </w:tabs>
          </w:pPr>
          <w:r w:rsidRPr="00E2593B">
            <w:rPr>
              <w:noProof/>
              <w:color w:val="auto"/>
              <w:lang w:val="en-AU" w:eastAsia="en-AU"/>
            </w:rPr>
            <w:pict>
              <v:rect id="_x0000_s2133" style="position:absolute;margin-left:-6.3pt;margin-top:-6.45pt;width:396.85pt;height:1.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" fillcolor="#fff5e9" stroked="f">
                <v:fill color2="#ffa12d" rotate="t" angle="90" focus="100%" type="gradient"/>
              </v:rect>
            </w:pict>
          </w:r>
          <w:r w:rsidR="00730410">
            <w:t>Technical paper 2: Marginal cost pricing</w:t>
          </w:r>
        </w:p>
        <w:p w:rsidR="00730410" w:rsidRPr="00280AFD" w:rsidRDefault="00730410" w:rsidP="00E9444F">
          <w:pPr>
            <w:pStyle w:val="Footer"/>
            <w:tabs>
              <w:tab w:val="clear" w:pos="8732"/>
            </w:tabs>
          </w:pPr>
          <w:r>
            <w:t>Tariff Review 2016</w:t>
          </w:r>
        </w:p>
      </w:tc>
      <w:tc>
        <w:tcPr>
          <w:tcW w:w="2835" w:type="dxa"/>
          <w:vAlign w:val="center"/>
        </w:tcPr>
        <w:p w:rsidR="00730410" w:rsidRPr="001E3780" w:rsidRDefault="00E2593B" w:rsidP="00280AFD">
          <w:pPr>
            <w:pStyle w:val="Footer"/>
            <w:tabs>
              <w:tab w:val="clear" w:pos="8732"/>
            </w:tabs>
            <w:jc w:val="right"/>
            <w:rPr>
              <w:color w:val="000033"/>
              <w:sz w:val="32"/>
              <w:szCs w:val="32"/>
            </w:rPr>
          </w:pPr>
          <w:r w:rsidRPr="00E2593B">
            <w:rPr>
              <w:color w:val="000033"/>
              <w:sz w:val="32"/>
              <w:szCs w:val="32"/>
            </w:rPr>
            <w:fldChar w:fldCharType="begin"/>
          </w:r>
          <w:r w:rsidR="00730410" w:rsidRPr="001E3780">
            <w:rPr>
              <w:color w:val="000033"/>
              <w:sz w:val="32"/>
              <w:szCs w:val="32"/>
            </w:rPr>
            <w:instrText xml:space="preserve"> PAGE   \* MERGEFORMAT </w:instrText>
          </w:r>
          <w:r w:rsidRPr="00E2593B">
            <w:rPr>
              <w:color w:val="000033"/>
              <w:sz w:val="32"/>
              <w:szCs w:val="32"/>
            </w:rPr>
            <w:fldChar w:fldCharType="separate"/>
          </w:r>
          <w:r w:rsidR="0065681A" w:rsidRPr="0065681A">
            <w:rPr>
              <w:rFonts w:eastAsia="Cambria"/>
              <w:b/>
              <w:bCs/>
              <w:noProof/>
              <w:color w:val="000033"/>
              <w:sz w:val="32"/>
              <w:szCs w:val="32"/>
              <w:lang w:val="en-US"/>
            </w:rPr>
            <w:t>i</w:t>
          </w:r>
          <w:r w:rsidRPr="001E3780">
            <w:rPr>
              <w:b/>
              <w:noProof/>
              <w:color w:val="000033"/>
              <w:sz w:val="32"/>
              <w:szCs w:val="32"/>
            </w:rPr>
            <w:fldChar w:fldCharType="end"/>
          </w:r>
        </w:p>
      </w:tc>
    </w:tr>
  </w:tbl>
  <w:p w:rsidR="00730410" w:rsidRPr="00E42160" w:rsidRDefault="00730410" w:rsidP="00280AFD">
    <w:pPr>
      <w:pStyle w:val="Footer"/>
    </w:pPr>
    <w:r>
      <w:rPr>
        <w:noProof/>
        <w:lang w:val="en-AU" w:eastAsia="en-AU"/>
      </w:rPr>
      <w:drawing>
        <wp:anchor distT="0" distB="0" distL="114300" distR="114300" simplePos="0" relativeHeight="251659264" behindDoc="0" locked="1" layoutInCell="1" allowOverlap="1">
          <wp:simplePos x="0" y="0"/>
          <wp:positionH relativeFrom="column">
            <wp:posOffset>3296920</wp:posOffset>
          </wp:positionH>
          <wp:positionV relativeFrom="paragraph">
            <wp:posOffset>-344170</wp:posOffset>
          </wp:positionV>
          <wp:extent cx="1123950" cy="266700"/>
          <wp:effectExtent l="19050" t="0" r="0" b="0"/>
          <wp:wrapNone/>
          <wp:docPr id="56" name="Picture 1" descr="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C logo New Blue (modified JG).jpg"/>
                  <pic:cNvPicPr/>
                </pic:nvPicPr>
                <pic:blipFill>
                  <a:blip r:embed="rId1"/>
                  <a:stretch>
                    <a:fillRect/>
                  </a:stretch>
                </pic:blipFill>
                <pic:spPr>
                  <a:xfrm>
                    <a:off x="0" y="0"/>
                    <a:ext cx="1123950" cy="266700"/>
                  </a:xfrm>
                  <a:prstGeom prst="rect">
                    <a:avLst/>
                  </a:prstGeom>
                </pic:spPr>
              </pic:pic>
            </a:graphicData>
          </a:graphic>
        </wp:anchor>
      </w:drawing>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Style1"/>
      <w:tblW w:w="7905" w:type="dxa"/>
      <w:tblBorders>
        <w:top w:val="none" w:sz="0" w:space="0" w:color="auto"/>
        <w:bottom w:val="none" w:sz="0" w:space="0" w:color="auto"/>
      </w:tblBorders>
      <w:tblLook w:val="04A0"/>
    </w:tblPr>
    <w:tblGrid>
      <w:gridCol w:w="5070"/>
      <w:gridCol w:w="2835"/>
    </w:tblGrid>
    <w:tr w:rsidR="00730410" w:rsidRPr="00280AFD" w:rsidTr="00594C5C">
      <w:trPr>
        <w:trHeight w:hRule="exact" w:val="641"/>
      </w:trPr>
      <w:tc>
        <w:tcPr>
          <w:tcW w:w="5070" w:type="dxa"/>
          <w:vAlign w:val="center"/>
        </w:tcPr>
        <w:p w:rsidR="00730410" w:rsidRPr="00280AFD" w:rsidRDefault="00E2593B" w:rsidP="007C5BF9">
          <w:pPr>
            <w:pStyle w:val="Footer"/>
            <w:tabs>
              <w:tab w:val="clear" w:pos="8732"/>
            </w:tabs>
          </w:pPr>
          <w:r>
            <w:rPr>
              <w:noProof/>
              <w:lang w:val="en-AU" w:eastAsia="en-AU"/>
            </w:rPr>
            <w:pict>
              <v:rect id="Rectangle 151" o:spid="_x0000_s2132" style="position:absolute;margin-left:-6.3pt;margin-top:-6.45pt;width:396.85pt;height:1.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" fillcolor="#fff5e9" stroked="f">
                <v:fill color2="#ffa12d" rotate="t" angle="90" focus="100%" type="gradient"/>
              </v:rect>
            </w:pict>
          </w:r>
          <w:r w:rsidR="00730410">
            <w:t>Issues paper: Standing offer prices for the supply of electricity to small customers from 1 July 2017</w:t>
          </w:r>
        </w:p>
      </w:tc>
      <w:tc>
        <w:tcPr>
          <w:tcW w:w="2835" w:type="dxa"/>
          <w:vAlign w:val="center"/>
        </w:tcPr>
        <w:p w:rsidR="00730410" w:rsidRPr="001E3780" w:rsidRDefault="00E2593B" w:rsidP="00280AFD">
          <w:pPr>
            <w:pStyle w:val="Footer"/>
            <w:tabs>
              <w:tab w:val="clear" w:pos="8732"/>
            </w:tabs>
            <w:jc w:val="right"/>
            <w:rPr>
              <w:color w:val="000033"/>
              <w:sz w:val="32"/>
              <w:szCs w:val="32"/>
            </w:rPr>
          </w:pPr>
          <w:r w:rsidRPr="00E2593B">
            <w:rPr>
              <w:color w:val="000033"/>
              <w:sz w:val="32"/>
              <w:szCs w:val="32"/>
            </w:rPr>
            <w:fldChar w:fldCharType="begin"/>
          </w:r>
          <w:r w:rsidR="00730410" w:rsidRPr="001E3780">
            <w:rPr>
              <w:color w:val="000033"/>
              <w:sz w:val="32"/>
              <w:szCs w:val="32"/>
            </w:rPr>
            <w:instrText xml:space="preserve"> PAGE   \* MERGEFORMAT </w:instrText>
          </w:r>
          <w:r w:rsidRPr="00E2593B">
            <w:rPr>
              <w:color w:val="000033"/>
              <w:sz w:val="32"/>
              <w:szCs w:val="32"/>
            </w:rPr>
            <w:fldChar w:fldCharType="separate"/>
          </w:r>
          <w:r w:rsidR="0065681A" w:rsidRPr="0065681A">
            <w:rPr>
              <w:rFonts w:eastAsia="Cambria"/>
              <w:b/>
              <w:bCs/>
              <w:noProof/>
              <w:color w:val="000033"/>
              <w:sz w:val="32"/>
              <w:szCs w:val="32"/>
              <w:lang w:val="en-US"/>
            </w:rPr>
            <w:t>41</w:t>
          </w:r>
          <w:r w:rsidRPr="001E3780">
            <w:rPr>
              <w:b/>
              <w:noProof/>
              <w:color w:val="000033"/>
              <w:sz w:val="32"/>
              <w:szCs w:val="32"/>
            </w:rPr>
            <w:fldChar w:fldCharType="end"/>
          </w:r>
        </w:p>
      </w:tc>
    </w:tr>
  </w:tbl>
  <w:p w:rsidR="00730410" w:rsidRPr="00E42160" w:rsidRDefault="00730410" w:rsidP="00280AFD">
    <w:pPr>
      <w:pStyle w:val="Footer"/>
    </w:pPr>
    <w:r>
      <w:rPr>
        <w:noProof/>
        <w:lang w:val="en-AU" w:eastAsia="en-AU"/>
      </w:rPr>
      <w:drawing>
        <wp:anchor distT="0" distB="0" distL="114300" distR="114300" simplePos="0" relativeHeight="251655168" behindDoc="0" locked="1" layoutInCell="1" allowOverlap="1">
          <wp:simplePos x="0" y="0"/>
          <wp:positionH relativeFrom="column">
            <wp:posOffset>3296920</wp:posOffset>
          </wp:positionH>
          <wp:positionV relativeFrom="paragraph">
            <wp:posOffset>-344170</wp:posOffset>
          </wp:positionV>
          <wp:extent cx="1123950" cy="266700"/>
          <wp:effectExtent l="19050" t="0" r="0" b="0"/>
          <wp:wrapNone/>
          <wp:docPr id="58" name="Picture 58" descr="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C logo New Blue (modified JG).jpg"/>
                  <pic:cNvPicPr/>
                </pic:nvPicPr>
                <pic:blipFill>
                  <a:blip r:embed="rId1"/>
                  <a:stretch>
                    <a:fillRect/>
                  </a:stretch>
                </pic:blipFill>
                <pic:spPr>
                  <a:xfrm>
                    <a:off x="0" y="0"/>
                    <a:ext cx="1123950" cy="2667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410" w:rsidRDefault="00730410" w:rsidP="006522B3">
      <w:pPr>
        <w:spacing w:after="0" w:line="240" w:lineRule="auto"/>
      </w:pPr>
      <w:r>
        <w:separator/>
      </w:r>
    </w:p>
  </w:footnote>
  <w:footnote w:type="continuationSeparator" w:id="0">
    <w:p w:rsidR="00730410" w:rsidRDefault="00730410" w:rsidP="006522B3">
      <w:pPr>
        <w:spacing w:after="0" w:line="240" w:lineRule="auto"/>
      </w:pPr>
      <w:r>
        <w:continuationSeparator/>
      </w:r>
    </w:p>
  </w:footnote>
  <w:footnote w:type="continuationNotice" w:id="1">
    <w:p w:rsidR="00730410" w:rsidRDefault="00730410">
      <w:pPr>
        <w:spacing w:after="0" w:line="240" w:lineRule="auto"/>
      </w:pPr>
    </w:p>
  </w:footnote>
  <w:footnote w:id="2">
    <w:p w:rsidR="00730410" w:rsidRDefault="00730410" w:rsidP="00724AAF">
      <w:pPr>
        <w:pStyle w:val="FootnoteText"/>
      </w:pPr>
      <w:r w:rsidRPr="0068387D">
        <w:rPr>
          <w:rStyle w:val="FootnoteReference"/>
        </w:rPr>
        <w:footnoteRef/>
      </w:r>
      <w:r w:rsidRPr="0068387D">
        <w:t xml:space="preserve"> </w:t>
      </w:r>
      <w:r w:rsidR="00E2593B" w:rsidRPr="0068387D">
        <w:fldChar w:fldCharType="begin"/>
      </w:r>
      <w:r>
        <w:instrText xml:space="preserve"> ADDIN EN.CITE &lt;EndNote&gt;&lt;Cite&gt;&lt;Author&gt;ICRC&lt;/Author&gt;&lt;Year&gt;2016&lt;/Year&gt;&lt;RecNum&gt;623&lt;/RecNum&gt;&lt;DisplayText&gt;ICRC, 2016a: &lt;/DisplayText&gt;&lt;record&gt;&lt;rec-number&gt;623&lt;/rec-number&gt;&lt;foreign-keys&gt;&lt;key app="EN" db-id="v0xfx5d9ss0wzred9wbpa5e4zwfrepsaw0v9"&gt;623&lt;/key&gt;&lt;/foreign-keys&gt;&lt;ref-type name="Generic"&gt;13&lt;/ref-type&gt;&lt;contributors&gt;&lt;authors&gt;&lt;author&gt;ICRC,&lt;/author&gt;&lt;/authors&gt;&lt;/contributors&gt;&lt;titles&gt;&lt;title&gt;Final Decision: Retail electricity price recalibration 2016-17&lt;/title&gt;&lt;/titles&gt;&lt;volume&gt;Report 3 of 2016&lt;/volume&gt;&lt;dates&gt;&lt;year&gt;2016&lt;/year&gt;&lt;pub-dates&gt;&lt;date&gt;June 2016&lt;/date&gt;&lt;/pub-dates&gt;&lt;/dates&gt;&lt;pub-location&gt;Canberra ACT&lt;/pub-location&gt;&lt;publisher&gt;Independent Competition and Regulatory Commission&lt;/publisher&gt;&lt;urls&gt;&lt;/urls&gt;&lt;/record&gt;&lt;/Cite&gt;&lt;/EndNote&gt;</w:instrText>
      </w:r>
      <w:r w:rsidR="00E2593B" w:rsidRPr="0068387D">
        <w:fldChar w:fldCharType="separate"/>
      </w:r>
      <w:r>
        <w:rPr>
          <w:noProof/>
        </w:rPr>
        <w:t xml:space="preserve">ICRC, 2016a: </w:t>
      </w:r>
      <w:r w:rsidR="00E2593B" w:rsidRPr="0068387D">
        <w:fldChar w:fldCharType="end"/>
      </w:r>
      <w:r w:rsidRPr="0068387D">
        <w:t>25</w:t>
      </w:r>
      <w:r>
        <w:t>-27.</w:t>
      </w:r>
    </w:p>
  </w:footnote>
  <w:footnote w:id="3">
    <w:p w:rsidR="00730410" w:rsidRDefault="00730410">
      <w:pPr>
        <w:pStyle w:val="FootnoteText"/>
      </w:pPr>
      <w:r>
        <w:rPr>
          <w:rStyle w:val="FootnoteReference"/>
        </w:rPr>
        <w:footnoteRef/>
      </w:r>
      <w:r>
        <w:t xml:space="preserve"> See </w:t>
      </w:r>
      <w:r w:rsidR="00E2593B">
        <w:fldChar w:fldCharType="begin"/>
      </w:r>
      <w:r>
        <w:instrText xml:space="preserve"> REF _Ref459711230 \r \h </w:instrText>
      </w:r>
      <w:r w:rsidR="00E2593B">
        <w:fldChar w:fldCharType="separate"/>
      </w:r>
      <w:r>
        <w:t>Appendix 1</w:t>
      </w:r>
      <w:r w:rsidR="00E2593B">
        <w:fldChar w:fldCharType="end"/>
      </w:r>
      <w:r>
        <w:t xml:space="preserve"> for a full copy of the terms of reference.</w:t>
      </w:r>
    </w:p>
  </w:footnote>
  <w:footnote w:id="4">
    <w:p w:rsidR="00730410" w:rsidRDefault="00730410" w:rsidP="00253BA5">
      <w:pPr>
        <w:pStyle w:val="FootnoteText"/>
      </w:pPr>
      <w:r>
        <w:rPr>
          <w:rStyle w:val="FootnoteReference"/>
        </w:rPr>
        <w:footnoteRef/>
      </w:r>
      <w:r>
        <w:t xml:space="preserve"> </w:t>
      </w:r>
      <w:r>
        <w:rPr>
          <w:noProof/>
        </w:rPr>
        <w:t xml:space="preserve">ACT Government, 1997: </w:t>
      </w:r>
      <w:r>
        <w:t>8.</w:t>
      </w:r>
    </w:p>
  </w:footnote>
  <w:footnote w:id="5">
    <w:p w:rsidR="00730410" w:rsidRDefault="00730410" w:rsidP="00255761">
      <w:pPr>
        <w:pStyle w:val="FootnoteText"/>
      </w:pPr>
      <w:r>
        <w:rPr>
          <w:rStyle w:val="FootnoteReference"/>
        </w:rPr>
        <w:footnoteRef/>
      </w:r>
      <w:r>
        <w:t xml:space="preserve"> </w:t>
      </w:r>
      <w:r>
        <w:rPr>
          <w:noProof/>
        </w:rPr>
        <w:t xml:space="preserve">ACT Government, 1997: </w:t>
      </w:r>
      <w:r>
        <w:t>26–27.</w:t>
      </w:r>
    </w:p>
  </w:footnote>
  <w:footnote w:id="6">
    <w:p w:rsidR="00730410" w:rsidRDefault="00730410" w:rsidP="00B3693F">
      <w:pPr>
        <w:pStyle w:val="FootnoteText"/>
      </w:pPr>
      <w:r>
        <w:rPr>
          <w:rStyle w:val="FootnoteReference"/>
        </w:rPr>
        <w:footnoteRef/>
      </w:r>
      <w:r>
        <w:t xml:space="preserve"> The details of the current pass-through provisions are contained in </w:t>
      </w:r>
      <w:r w:rsidR="00E2593B">
        <w:fldChar w:fldCharType="begin"/>
      </w:r>
      <w:r>
        <w:instrText xml:space="preserve"> ADDIN EN.CITE &lt;EndNote&gt;&lt;Cite&gt;&lt;Author&gt;ICRC&lt;/Author&gt;&lt;Year&gt;2014&lt;/Year&gt;&lt;RecNum&gt;459&lt;/RecNum&gt;&lt;DisplayText&gt;ICRC, 2014b: &lt;/DisplayText&gt;&lt;record&gt;&lt;rec-number&gt;459&lt;/rec-number&gt;&lt;foreign-keys&gt;&lt;key app="EN" db-id="v0xfx5d9ss0wzred9wbpa5e4zwfrepsaw0v9"&gt;459&lt;/key&gt;&lt;/foreign-keys&gt;&lt;ref-type name="Unused 1"&gt;40&lt;/ref-type&gt;&lt;contributors&gt;&lt;authors&gt;&lt;author&gt;ICRC,&lt;/author&gt;&lt;/authors&gt;&lt;/contributors&gt;&lt;titles&gt;&lt;title&gt;Final report: Standing offer prices for the supply of electricity to small customers 1 July 2014 to 30 June 2017 &lt;/title&gt;&lt;/titles&gt;&lt;volume&gt;Report 5 of 2014&lt;/volume&gt;&lt;dates&gt;&lt;year&gt;2014&lt;/year&gt;&lt;pub-dates&gt;&lt;date&gt;June 2014 &lt;/date&gt;&lt;/pub-dates&gt;&lt;/dates&gt;&lt;pub-location&gt;Canberra&lt;/pub-location&gt;&lt;publisher&gt;Independent Competition and Regulatory Commission&lt;/publisher&gt;&lt;urls&gt;&lt;/urls&gt;&lt;/record&gt;&lt;/Cite&gt;&lt;/EndNote&gt;</w:instrText>
      </w:r>
      <w:r w:rsidR="00E2593B">
        <w:fldChar w:fldCharType="separate"/>
      </w:r>
      <w:r>
        <w:rPr>
          <w:noProof/>
        </w:rPr>
        <w:t xml:space="preserve">ICRC, 2014b: </w:t>
      </w:r>
      <w:r w:rsidR="00E2593B">
        <w:fldChar w:fldCharType="end"/>
      </w:r>
      <w:r>
        <w:t>39-43.</w:t>
      </w:r>
    </w:p>
  </w:footnote>
  <w:footnote w:id="7">
    <w:p w:rsidR="00730410" w:rsidRDefault="00730410" w:rsidP="0019727A">
      <w:pPr>
        <w:pStyle w:val="FootnoteText"/>
      </w:pPr>
      <w:r>
        <w:rPr>
          <w:rStyle w:val="FootnoteReference"/>
        </w:rPr>
        <w:footnoteRef/>
      </w:r>
      <w:r>
        <w:t xml:space="preserve"> The sum of the proposed new tariffs on ActewAGL Retail’s regulated tariffs (i.e; ActewAGL Retail’s electricity plans for residential and small business customers) weighted over electricity prices for different price plans and customer groups with the weights based on revenues in the previous  period (a Laspeyres price index) should be less than or equal to the maximum allowable percentage change determined by the Commission. The details of the formula can be found in ICRC, 2014b: 8.</w:t>
      </w:r>
    </w:p>
  </w:footnote>
  <w:footnote w:id="8">
    <w:p w:rsidR="00730410" w:rsidRDefault="00730410" w:rsidP="00B3693F">
      <w:pPr>
        <w:pStyle w:val="FootnoteText"/>
      </w:pPr>
      <w:r>
        <w:rPr>
          <w:rStyle w:val="FootnoteReference"/>
        </w:rPr>
        <w:footnoteRef/>
      </w:r>
      <w:r>
        <w:t xml:space="preserve"> For detailed information see </w:t>
      </w:r>
      <w:r w:rsidR="00E2593B">
        <w:fldChar w:fldCharType="begin"/>
      </w:r>
      <w:r>
        <w:instrText xml:space="preserve"> ADDIN EN.CITE &lt;EndNote&gt;&lt;Cite&gt;&lt;Author&gt;ICRC&lt;/Author&gt;&lt;Year&gt;2014&lt;/Year&gt;&lt;RecNum&gt;461&lt;/RecNum&gt;&lt;DisplayText&gt;ICRC, 2014a: &lt;/DisplayText&gt;&lt;record&gt;&lt;rec-number&gt;461&lt;/rec-number&gt;&lt;foreign-keys&gt;&lt;key app="EN" db-id="v0xfx5d9ss0wzred9wbpa5e4zwfrepsaw0v9"&gt;461&lt;/key&gt;&lt;/foreign-keys&gt;&lt;ref-type name="Generic"&gt;13&lt;/ref-type&gt;&lt;contributors&gt;&lt;authors&gt;&lt;author&gt;ICRC,&lt;/author&gt;&lt;/authors&gt;&lt;/contributors&gt;&lt;titles&gt;&lt;title&gt;Draft report: Standing offer prices for the supply of electricity to small customers 1 July 2014 to 30 June 2017 &lt;/title&gt;&lt;/titles&gt;&lt;volume&gt;Report 1 of 2014&lt;/volume&gt;&lt;dates&gt;&lt;year&gt;2014&lt;/year&gt;&lt;pub-dates&gt;&lt;date&gt;February 2014 &lt;/date&gt;&lt;/pub-dates&gt;&lt;/dates&gt;&lt;pub-location&gt;Canberra ACT&lt;/pub-location&gt;&lt;publisher&gt;Independent Competition and Regulatory Commission&lt;/publisher&gt;&lt;urls&gt;&lt;/urls&gt;&lt;/record&gt;&lt;/Cite&gt;&lt;/EndNote&gt;</w:instrText>
      </w:r>
      <w:r w:rsidR="00E2593B">
        <w:fldChar w:fldCharType="separate"/>
      </w:r>
      <w:r>
        <w:rPr>
          <w:noProof/>
        </w:rPr>
        <w:t xml:space="preserve">ICRC, 2014a: </w:t>
      </w:r>
      <w:r w:rsidR="00E2593B">
        <w:fldChar w:fldCharType="end"/>
      </w:r>
      <w:r>
        <w:t xml:space="preserve">27-94 and </w:t>
      </w:r>
      <w:r w:rsidR="00E2593B">
        <w:fldChar w:fldCharType="begin"/>
      </w:r>
      <w:r>
        <w:instrText xml:space="preserve"> ADDIN EN.CITE &lt;EndNote&gt;&lt;Cite&gt;&lt;Author&gt;ICRC&lt;/Author&gt;&lt;Year&gt;2014&lt;/Year&gt;&lt;RecNum&gt;459&lt;/RecNum&gt;&lt;DisplayText&gt;ICRC, 2014b: &lt;/DisplayText&gt;&lt;record&gt;&lt;rec-number&gt;459&lt;/rec-number&gt;&lt;foreign-keys&gt;&lt;key app="EN" db-id="v0xfx5d9ss0wzred9wbpa5e4zwfrepsaw0v9"&gt;459&lt;/key&gt;&lt;/foreign-keys&gt;&lt;ref-type name="Unused 1"&gt;40&lt;/ref-type&gt;&lt;contributors&gt;&lt;authors&gt;&lt;author&gt;ICRC,&lt;/author&gt;&lt;/authors&gt;&lt;/contributors&gt;&lt;titles&gt;&lt;title&gt;Final report: Standing offer prices for the supply of electricity to small customers 1 July 2014 to 30 June 2017 &lt;/title&gt;&lt;/titles&gt;&lt;volume&gt;Report 5 of 2014&lt;/volume&gt;&lt;dates&gt;&lt;year&gt;2014&lt;/year&gt;&lt;pub-dates&gt;&lt;date&gt;June 2014 &lt;/date&gt;&lt;/pub-dates&gt;&lt;/dates&gt;&lt;pub-location&gt;Canberra&lt;/pub-location&gt;&lt;publisher&gt;Independent Competition and Regulatory Commission&lt;/publisher&gt;&lt;urls&gt;&lt;/urls&gt;&lt;/record&gt;&lt;/Cite&gt;&lt;/EndNote&gt;</w:instrText>
      </w:r>
      <w:r w:rsidR="00E2593B">
        <w:fldChar w:fldCharType="separate"/>
      </w:r>
      <w:r>
        <w:rPr>
          <w:noProof/>
        </w:rPr>
        <w:t xml:space="preserve">ICRC, 2014b: </w:t>
      </w:r>
      <w:r w:rsidR="00E2593B">
        <w:fldChar w:fldCharType="end"/>
      </w:r>
      <w:r>
        <w:t>10-39.</w:t>
      </w:r>
    </w:p>
  </w:footnote>
  <w:footnote w:id="9">
    <w:p w:rsidR="00730410" w:rsidRDefault="00730410" w:rsidP="00B3693F">
      <w:pPr>
        <w:pStyle w:val="FootnoteText"/>
      </w:pPr>
      <w:r>
        <w:rPr>
          <w:rStyle w:val="FootnoteReference"/>
        </w:rPr>
        <w:footnoteRef/>
      </w:r>
      <w:r>
        <w:t xml:space="preserve"> In an over-the-counter contract, two parties, such as a generator and a retailer, bilaterally agree to trade a future volume of electricity at a given price.</w:t>
      </w:r>
    </w:p>
  </w:footnote>
  <w:footnote w:id="10">
    <w:p w:rsidR="00730410" w:rsidRDefault="00730410" w:rsidP="00B3693F">
      <w:pPr>
        <w:pStyle w:val="FootnoteText"/>
      </w:pPr>
      <w:r>
        <w:rPr>
          <w:rStyle w:val="FootnoteReference"/>
        </w:rPr>
        <w:footnoteRef/>
      </w:r>
      <w:r>
        <w:t xml:space="preserve"> The ASX data for 2017</w:t>
      </w:r>
      <w:r>
        <w:sym w:font="Symbol" w:char="F02D"/>
      </w:r>
      <w:r>
        <w:t xml:space="preserve">18 is New South Wales implied base strip data. </w:t>
      </w:r>
    </w:p>
  </w:footnote>
  <w:footnote w:id="11">
    <w:p w:rsidR="00730410" w:rsidRDefault="00730410" w:rsidP="00B3693F">
      <w:pPr>
        <w:pStyle w:val="FootnoteText"/>
      </w:pPr>
      <w:r>
        <w:rPr>
          <w:rStyle w:val="FootnoteReference"/>
        </w:rPr>
        <w:footnoteRef/>
      </w:r>
      <w:r>
        <w:t xml:space="preserve"> More information on the LRET and the SRES schemes can be found on the Clean Energy Regulator’s website: </w:t>
      </w:r>
      <w:r w:rsidRPr="00AB45FE">
        <w:t>www.cleanenergyregulator.gov.au/Renewable-Energy-Target/Pages/default.aspx</w:t>
      </w:r>
      <w:r>
        <w:t>.</w:t>
      </w:r>
    </w:p>
  </w:footnote>
  <w:footnote w:id="12">
    <w:p w:rsidR="00730410" w:rsidRDefault="00730410" w:rsidP="00B3693F">
      <w:pPr>
        <w:pStyle w:val="FootnoteText"/>
      </w:pPr>
      <w:r>
        <w:rPr>
          <w:rStyle w:val="FootnoteReference"/>
        </w:rPr>
        <w:footnoteRef/>
      </w:r>
      <w:r>
        <w:t xml:space="preserve"> ICRC, 2014a: 56-65; ICRC, 2014b: 20-21</w:t>
      </w:r>
    </w:p>
  </w:footnote>
  <w:footnote w:id="13">
    <w:p w:rsidR="00730410" w:rsidRDefault="00730410" w:rsidP="00B3693F">
      <w:pPr>
        <w:pStyle w:val="FootnoteText"/>
      </w:pPr>
      <w:r>
        <w:rPr>
          <w:rStyle w:val="FootnoteReference"/>
        </w:rPr>
        <w:footnoteRef/>
      </w:r>
      <w:r>
        <w:t xml:space="preserve"> This data is available from the AEMO website: </w:t>
      </w:r>
      <w:r w:rsidRPr="002C6681">
        <w:t>www.aemo.com.au/Electricity/Market-Operations/Loss-Factors-and-Regional-Boundaries</w:t>
      </w:r>
      <w:r>
        <w:t>.</w:t>
      </w:r>
    </w:p>
  </w:footnote>
  <w:footnote w:id="14">
    <w:p w:rsidR="00730410" w:rsidRDefault="00730410" w:rsidP="00EF5FD5">
      <w:pPr>
        <w:pStyle w:val="FootnoteText"/>
      </w:pPr>
      <w:r>
        <w:rPr>
          <w:rStyle w:val="FootnoteReference"/>
        </w:rPr>
        <w:footnoteRef/>
      </w:r>
      <w:r>
        <w:t xml:space="preserve"> </w:t>
      </w:r>
      <w:r w:rsidRPr="006875A3">
        <w:t>Full details of the Commission’s approach can be found in the 2012 final report.</w:t>
      </w:r>
    </w:p>
    <w:p w:rsidR="00730410" w:rsidRDefault="00730410" w:rsidP="00B3693F">
      <w:pPr>
        <w:pStyle w:val="FootnoteText"/>
      </w:pPr>
    </w:p>
  </w:footnote>
  <w:footnote w:id="15">
    <w:p w:rsidR="00730410" w:rsidRDefault="00730410" w:rsidP="00B3693F">
      <w:pPr>
        <w:pStyle w:val="FootnoteText"/>
      </w:pPr>
      <w:r>
        <w:rPr>
          <w:rStyle w:val="FootnoteReference"/>
        </w:rPr>
        <w:footnoteRef/>
      </w:r>
      <w:r>
        <w:t xml:space="preserve"> </w:t>
      </w:r>
      <w:r w:rsidR="00E2593B">
        <w:fldChar w:fldCharType="begin"/>
      </w:r>
      <w:r>
        <w:instrText xml:space="preserve"> ADDIN EN.CITE &lt;EndNote&gt;&lt;Cite&gt;&lt;Author&gt;IPART&lt;/Author&gt;&lt;Year&gt;2013&lt;/Year&gt;&lt;RecNum&gt;443&lt;/RecNum&gt;&lt;DisplayText&gt;IPART, 2013: &lt;/DisplayText&gt;&lt;record&gt;&lt;rec-number&gt;443&lt;/rec-number&gt;&lt;foreign-keys&gt;&lt;key app="EN" db-id="v0xfx5d9ss0wzred9wbpa5e4zwfrepsaw0v9"&gt;443&lt;/key&gt;&lt;/foreign-keys&gt;&lt;ref-type name="Unused 1"&gt;40&lt;/ref-type&gt;&lt;contributors&gt;&lt;authors&gt;&lt;author&gt;IPART,&lt;/author&gt;&lt;/authors&gt;&lt;/contributors&gt;&lt;titles&gt;&lt;title&gt;Review of regulated retail prices for electricity, 2013 to 2016 - Draft Report&lt;/title&gt;&lt;/titles&gt;&lt;dates&gt;&lt;year&gt;2013&lt;/year&gt;&lt;pub-dates&gt;&lt;date&gt;April 2013&lt;/date&gt;&lt;/pub-dates&gt;&lt;/dates&gt;&lt;pub-location&gt;Sydney&lt;/pub-location&gt;&lt;publisher&gt;Independent Pricing and Regulatory Tribunal&lt;/publisher&gt;&lt;urls&gt;&lt;/urls&gt;&lt;/record&gt;&lt;/Cite&gt;&lt;/EndNote&gt;</w:instrText>
      </w:r>
      <w:r w:rsidR="00E2593B">
        <w:fldChar w:fldCharType="separate"/>
      </w:r>
      <w:r>
        <w:rPr>
          <w:noProof/>
        </w:rPr>
        <w:t xml:space="preserve">IPART, 2013: </w:t>
      </w:r>
      <w:r w:rsidR="00E2593B">
        <w:fldChar w:fldCharType="end"/>
      </w:r>
      <w:r>
        <w:t>94</w:t>
      </w:r>
    </w:p>
  </w:footnote>
  <w:footnote w:id="16">
    <w:p w:rsidR="00730410" w:rsidRDefault="00730410" w:rsidP="00B74504">
      <w:pPr>
        <w:pStyle w:val="FootnoteText"/>
        <w:keepNext/>
      </w:pPr>
      <w:r>
        <w:rPr>
          <w:rStyle w:val="FootnoteReference"/>
        </w:rPr>
        <w:footnoteRef/>
      </w:r>
      <w:r>
        <w:t xml:space="preserve"> The average daily price is equal to the average price for the 48 half-hour periods in each day. There is intraday variation in price that is not captured in the average daily price. </w:t>
      </w:r>
    </w:p>
  </w:footnote>
  <w:footnote w:id="17">
    <w:p w:rsidR="00730410" w:rsidRDefault="00730410" w:rsidP="001634E4">
      <w:pPr>
        <w:pStyle w:val="FootnoteText"/>
      </w:pPr>
      <w:r>
        <w:rPr>
          <w:rStyle w:val="FootnoteReference"/>
        </w:rPr>
        <w:footnoteRef/>
      </w:r>
      <w:r>
        <w:t xml:space="preserve"> </w:t>
      </w:r>
      <w:r w:rsidR="00E2593B">
        <w:fldChar w:fldCharType="begin"/>
      </w:r>
      <w:r>
        <w:instrText xml:space="preserve"> ADDIN EN.CITE &lt;EndNote&gt;&lt;Cite&gt;&lt;Author&gt;AER&lt;/Author&gt;&lt;Year&gt;2016&lt;/Year&gt;&lt;RecNum&gt;634&lt;/RecNum&gt;&lt;DisplayText&gt;AER, 2016d: &lt;/DisplayText&gt;&lt;record&gt;&lt;rec-number&gt;634&lt;/rec-number&gt;&lt;foreign-keys&gt;&lt;key app="EN" db-id="v0xfx5d9ss0wzred9wbpa5e4zwfrepsaw0v9"&gt;634&lt;/key&gt;&lt;/foreign-keys&gt;&lt;ref-type name="Generic"&gt;13&lt;/ref-type&gt;&lt;contributors&gt;&lt;authors&gt;&lt;author&gt;AER,&lt;/author&gt;&lt;/authors&gt;&lt;/contributors&gt;&lt;titles&gt;&lt;title&gt;Winter energy prices 2016&lt;/title&gt;&lt;/titles&gt;&lt;dates&gt;&lt;year&gt;2016&lt;/year&gt;&lt;/dates&gt;&lt;pub-location&gt;Melbourne&lt;/pub-location&gt;&lt;publisher&gt;Australian Energy Regulator&lt;/publisher&gt;&lt;urls&gt;&lt;/urls&gt;&lt;/record&gt;&lt;/Cite&gt;&lt;/EndNote&gt;</w:instrText>
      </w:r>
      <w:r w:rsidR="00E2593B">
        <w:fldChar w:fldCharType="separate"/>
      </w:r>
      <w:r>
        <w:rPr>
          <w:noProof/>
        </w:rPr>
        <w:t xml:space="preserve">AER, 2016d: </w:t>
      </w:r>
      <w:r w:rsidR="00E2593B">
        <w:fldChar w:fldCharType="end"/>
      </w:r>
      <w:r>
        <w:t>1</w:t>
      </w:r>
    </w:p>
  </w:footnote>
  <w:footnote w:id="18">
    <w:p w:rsidR="00730410" w:rsidRDefault="00730410" w:rsidP="009C1545">
      <w:pPr>
        <w:pStyle w:val="FootnoteText"/>
      </w:pPr>
      <w:r>
        <w:rPr>
          <w:rStyle w:val="FootnoteReference"/>
        </w:rPr>
        <w:footnoteRef/>
      </w:r>
      <w:r>
        <w:t xml:space="preserve"> </w:t>
      </w:r>
      <w:r w:rsidR="00E2593B">
        <w:fldChar w:fldCharType="begin"/>
      </w:r>
      <w:r>
        <w:instrText xml:space="preserve"> ADDIN EN.CITE &lt;EndNote&gt;&lt;Cite&gt;&lt;Author&gt;AER&lt;/Author&gt;&lt;Year&gt;2016&lt;/Year&gt;&lt;RecNum&gt;626&lt;/RecNum&gt;&lt;DisplayText&gt;AER, 2016c: &lt;/DisplayText&gt;&lt;record&gt;&lt;rec-number&gt;626&lt;/rec-number&gt;&lt;foreign-keys&gt;&lt;key app="EN" db-id="v0xfx5d9ss0wzred9wbpa5e4zwfrepsaw0v9"&gt;626&lt;/key&gt;&lt;/foreign-keys&gt;&lt;ref-type name="Web Page"&gt;12&lt;/ref-type&gt;&lt;contributors&gt;&lt;authors&gt;&lt;author&gt;AER&lt;/author&gt;&lt;/authors&gt;&lt;/contributors&gt;&lt;titles&gt;&lt;title&gt;State of the energy market 2015&lt;/title&gt;&lt;/titles&gt;&lt;dates&gt;&lt;year&gt;2016&lt;/year&gt;&lt;/dates&gt;&lt;pub-location&gt;Melbourne&lt;/pub-location&gt;&lt;publisher&gt;Australian Energy Regulator&lt;/publisher&gt;&lt;urls&gt;&lt;/urls&gt;&lt;/record&gt;&lt;/Cite&gt;&lt;/EndNote&gt;</w:instrText>
      </w:r>
      <w:r w:rsidR="00E2593B">
        <w:fldChar w:fldCharType="separate"/>
      </w:r>
      <w:r>
        <w:rPr>
          <w:noProof/>
        </w:rPr>
        <w:t xml:space="preserve">AER, 2016c: </w:t>
      </w:r>
      <w:r w:rsidR="00E2593B">
        <w:fldChar w:fldCharType="end"/>
      </w:r>
      <w:r>
        <w:t>6.</w:t>
      </w:r>
    </w:p>
  </w:footnote>
  <w:footnote w:id="19">
    <w:p w:rsidR="00730410" w:rsidRDefault="00730410">
      <w:pPr>
        <w:pStyle w:val="FootnoteText"/>
      </w:pPr>
      <w:r>
        <w:rPr>
          <w:rStyle w:val="FootnoteReference"/>
        </w:rPr>
        <w:footnoteRef/>
      </w:r>
      <w:r>
        <w:t xml:space="preserve"> The daily forward price is sourced from ICAP over-the-counter contract data.</w:t>
      </w:r>
    </w:p>
  </w:footnote>
  <w:footnote w:id="20">
    <w:p w:rsidR="00730410" w:rsidRDefault="00730410">
      <w:pPr>
        <w:pStyle w:val="FootnoteText"/>
      </w:pPr>
      <w:r>
        <w:rPr>
          <w:rStyle w:val="FootnoteReference"/>
        </w:rPr>
        <w:footnoteRef/>
      </w:r>
      <w:r>
        <w:t xml:space="preserve"> The STC spot price remains very close to the $40 clearing price. </w:t>
      </w:r>
    </w:p>
  </w:footnote>
  <w:footnote w:id="21">
    <w:p w:rsidR="00730410" w:rsidRDefault="00730410">
      <w:pPr>
        <w:pStyle w:val="FootnoteText"/>
      </w:pPr>
      <w:r>
        <w:rPr>
          <w:rStyle w:val="FootnoteReference"/>
        </w:rPr>
        <w:footnoteRef/>
      </w:r>
      <w:r>
        <w:t xml:space="preserve"> Price comparisons on the Energy Made Easy website are only available for jurisdictions where the National Energy Retail Law has commenced, which is not the case in Victoria.</w:t>
      </w:r>
    </w:p>
  </w:footnote>
  <w:footnote w:id="22">
    <w:p w:rsidR="00730410" w:rsidRDefault="00730410">
      <w:pPr>
        <w:pStyle w:val="FootnoteText"/>
      </w:pPr>
      <w:r>
        <w:rPr>
          <w:rStyle w:val="FootnoteReference"/>
        </w:rPr>
        <w:footnoteRef/>
      </w:r>
      <w:r>
        <w:t xml:space="preserve"> The Queensland government deregulated the retail electricity market </w:t>
      </w:r>
      <w:r w:rsidRPr="00E838BE">
        <w:t>in July 2016.</w:t>
      </w:r>
      <w:r>
        <w:t xml:space="preserve"> When analysing the impacts of deregulation, it should be noted that the expected benefits of deregulation are likely to take longer to affect the market. </w:t>
      </w:r>
    </w:p>
  </w:footnote>
  <w:footnote w:id="23">
    <w:p w:rsidR="00730410" w:rsidRDefault="00730410" w:rsidP="00E665CF">
      <w:pPr>
        <w:pStyle w:val="FootnoteText"/>
      </w:pPr>
      <w:r>
        <w:rPr>
          <w:rStyle w:val="FootnoteReference"/>
        </w:rPr>
        <w:footnoteRef/>
      </w:r>
      <w:r>
        <w:t xml:space="preserve"> </w:t>
      </w:r>
      <w:r w:rsidR="00E2593B">
        <w:fldChar w:fldCharType="begin"/>
      </w:r>
      <w:r>
        <w:instrText xml:space="preserve"> ADDIN EN.CITE &lt;EndNote&gt;&lt;Cite&gt;&lt;Author&gt;AER&lt;/Author&gt;&lt;Year&gt;2016&lt;/Year&gt;&lt;RecNum&gt;626&lt;/RecNum&gt;&lt;DisplayText&gt;AER, 2016c: &lt;/DisplayText&gt;&lt;record&gt;&lt;rec-number&gt;626&lt;/rec-number&gt;&lt;foreign-keys&gt;&lt;key app="EN" db-id="v0xfx5d9ss0wzred9wbpa5e4zwfrepsaw0v9"&gt;626&lt;/key&gt;&lt;/foreign-keys&gt;&lt;ref-type name="Web Page"&gt;12&lt;/ref-type&gt;&lt;contributors&gt;&lt;authors&gt;&lt;author&gt;AER&lt;/author&gt;&lt;/authors&gt;&lt;/contributors&gt;&lt;titles&gt;&lt;title&gt;State of the energy market 2015&lt;/title&gt;&lt;/titles&gt;&lt;dates&gt;&lt;year&gt;2016&lt;/year&gt;&lt;/dates&gt;&lt;pub-location&gt;Melbourne&lt;/pub-location&gt;&lt;publisher&gt;Australian Energy Regulator&lt;/publisher&gt;&lt;urls&gt;&lt;/urls&gt;&lt;/record&gt;&lt;/Cite&gt;&lt;/EndNote&gt;</w:instrText>
      </w:r>
      <w:r w:rsidR="00E2593B">
        <w:fldChar w:fldCharType="separate"/>
      </w:r>
      <w:r>
        <w:rPr>
          <w:noProof/>
        </w:rPr>
        <w:t xml:space="preserve">AER, 2016c: </w:t>
      </w:r>
      <w:r w:rsidR="00E2593B">
        <w:fldChar w:fldCharType="end"/>
      </w:r>
      <w:r>
        <w:t>136.</w:t>
      </w:r>
    </w:p>
  </w:footnote>
  <w:footnote w:id="24">
    <w:p w:rsidR="00730410" w:rsidRDefault="00730410" w:rsidP="001572EF">
      <w:pPr>
        <w:pStyle w:val="FootnoteText"/>
      </w:pPr>
      <w:r>
        <w:rPr>
          <w:rStyle w:val="FootnoteReference"/>
        </w:rPr>
        <w:footnoteRef/>
      </w:r>
      <w:r>
        <w:t xml:space="preserve"> </w:t>
      </w:r>
      <w:r w:rsidR="00E2593B">
        <w:fldChar w:fldCharType="begin"/>
      </w:r>
      <w:r>
        <w:instrText xml:space="preserve"> ADDIN EN.CITE &lt;EndNote&gt;&lt;Cite&gt;&lt;Author&gt;CME&lt;/Author&gt;&lt;Year&gt;2016&lt;/Year&gt;&lt;RecNum&gt;629&lt;/RecNum&gt;&lt;DisplayText&gt;CME, 2016: &lt;/DisplayText&gt;&lt;record&gt;&lt;rec-number&gt;629&lt;/rec-number&gt;&lt;foreign-keys&gt;&lt;key app="EN" db-id="v0xfx5d9ss0wzred9wbpa5e4zwfrepsaw0v9"&gt;629&lt;/key&gt;&lt;/foreign-keys&gt;&lt;ref-type name="Generic"&gt;13&lt;/ref-type&gt;&lt;contributors&gt;&lt;authors&gt;&lt;author&gt;CME,&lt;/author&gt;&lt;/authors&gt;&lt;/contributors&gt;&lt;titles&gt;&lt;title&gt;Australia&amp;apos;s retail electricity markets: Who is serving whom?&lt;/title&gt;&lt;secondary-title&gt;A report prepared for GetUp!&lt;/secondary-title&gt;&lt;/titles&gt;&lt;dates&gt;&lt;year&gt;2016&lt;/year&gt;&lt;/dates&gt;&lt;publisher&gt;CME Australia &lt;/publisher&gt;&lt;urls&gt;&lt;/urls&gt;&lt;/record&gt;&lt;/Cite&gt;&lt;/EndNote&gt;</w:instrText>
      </w:r>
      <w:r w:rsidR="00E2593B">
        <w:fldChar w:fldCharType="separate"/>
      </w:r>
      <w:r>
        <w:rPr>
          <w:noProof/>
        </w:rPr>
        <w:t xml:space="preserve">CME, 2016: </w:t>
      </w:r>
      <w:r w:rsidR="00E2593B">
        <w:fldChar w:fldCharType="end"/>
      </w:r>
      <w:r>
        <w:t>18.</w:t>
      </w:r>
    </w:p>
  </w:footnote>
  <w:footnote w:id="25">
    <w:p w:rsidR="00730410" w:rsidRDefault="00730410">
      <w:pPr>
        <w:pStyle w:val="FootnoteText"/>
      </w:pPr>
      <w:r>
        <w:rPr>
          <w:rStyle w:val="FootnoteReference"/>
        </w:rPr>
        <w:footnoteRef/>
      </w:r>
      <w:r>
        <w:t xml:space="preserve"> </w:t>
      </w:r>
      <w:r w:rsidR="00E2593B">
        <w:fldChar w:fldCharType="begin"/>
      </w:r>
      <w:r>
        <w:instrText xml:space="preserve"> ADDIN EN.CITE &lt;EndNote&gt;&lt;Cite&gt;&lt;Author&gt;AEMC&lt;/Author&gt;&lt;Year&gt;2016&lt;/Year&gt;&lt;RecNum&gt;627&lt;/RecNum&gt;&lt;DisplayText&gt;AEMC, 2016b: &lt;/DisplayText&gt;&lt;record&gt;&lt;rec-number&gt;627&lt;/rec-number&gt;&lt;foreign-keys&gt;&lt;key app="EN" db-id="v0xfx5d9ss0wzred9wbpa5e4zwfrepsaw0v9"&gt;627&lt;/key&gt;&lt;/foreign-keys&gt;&lt;ref-type name="Generic"&gt;13&lt;/ref-type&gt;&lt;contributors&gt;&lt;authors&gt;&lt;author&gt;AEMC,&lt;/author&gt;&lt;/authors&gt;&lt;/contributors&gt;&lt;titles&gt;&lt;title&gt;Competition in metering services: Information sheet&lt;/title&gt;&lt;/titles&gt;&lt;dates&gt;&lt;year&gt;2016&lt;/year&gt;&lt;/dates&gt;&lt;pub-location&gt;Sydney&lt;/pub-location&gt;&lt;publisher&gt;Australian Energy Market Commission&lt;/publisher&gt;&lt;urls&gt;&lt;/urls&gt;&lt;/record&gt;&lt;/Cite&gt;&lt;/EndNote&gt;</w:instrText>
      </w:r>
      <w:r w:rsidR="00E2593B">
        <w:fldChar w:fldCharType="separate"/>
      </w:r>
      <w:r>
        <w:rPr>
          <w:noProof/>
        </w:rPr>
        <w:t xml:space="preserve">AEMC, 2016b: </w:t>
      </w:r>
      <w:r w:rsidR="00E2593B">
        <w:fldChar w:fldCharType="end"/>
      </w:r>
      <w:r>
        <w:t>1.</w:t>
      </w:r>
    </w:p>
  </w:footnote>
  <w:footnote w:id="26">
    <w:p w:rsidR="00730410" w:rsidRDefault="00730410" w:rsidP="00FD1AE1">
      <w:pPr>
        <w:pStyle w:val="FootnoteText"/>
      </w:pPr>
      <w:r>
        <w:rPr>
          <w:rStyle w:val="FootnoteReference"/>
        </w:rPr>
        <w:footnoteRef/>
      </w:r>
      <w:r>
        <w:t xml:space="preserve"> </w:t>
      </w:r>
      <w:r w:rsidR="00E2593B">
        <w:fldChar w:fldCharType="begin"/>
      </w:r>
      <w:r>
        <w:instrText xml:space="preserve"> ADDIN EN.CITE &lt;EndNote&gt;&lt;Cite&gt;&lt;Author&gt;AEMC&lt;/Author&gt;&lt;Year&gt;2016&lt;/Year&gt;&lt;RecNum&gt;627&lt;/RecNum&gt;&lt;DisplayText&gt;AEMC, 2016b: &lt;/DisplayText&gt;&lt;record&gt;&lt;rec-number&gt;627&lt;/rec-number&gt;&lt;foreign-keys&gt;&lt;key app="EN" db-id="v0xfx5d9ss0wzred9wbpa5e4zwfrepsaw0v9"&gt;627&lt;/key&gt;&lt;/foreign-keys&gt;&lt;ref-type name="Generic"&gt;13&lt;/ref-type&gt;&lt;contributors&gt;&lt;authors&gt;&lt;author&gt;AEMC,&lt;/author&gt;&lt;/authors&gt;&lt;/contributors&gt;&lt;titles&gt;&lt;title&gt;Competition in metering services: Information sheet&lt;/title&gt;&lt;/titles&gt;&lt;dates&gt;&lt;year&gt;2016&lt;/year&gt;&lt;/dates&gt;&lt;pub-location&gt;Sydney&lt;/pub-location&gt;&lt;publisher&gt;Australian Energy Market Commission&lt;/publisher&gt;&lt;urls&gt;&lt;/urls&gt;&lt;/record&gt;&lt;/Cite&gt;&lt;/EndNote&gt;</w:instrText>
      </w:r>
      <w:r w:rsidR="00E2593B">
        <w:fldChar w:fldCharType="separate"/>
      </w:r>
      <w:r>
        <w:rPr>
          <w:noProof/>
        </w:rPr>
        <w:t xml:space="preserve">AEMC, 2016b: </w:t>
      </w:r>
      <w:r w:rsidR="00E2593B">
        <w:fldChar w:fldCharType="end"/>
      </w:r>
      <w:r>
        <w:t>2.</w:t>
      </w:r>
    </w:p>
  </w:footnote>
  <w:footnote w:id="27">
    <w:p w:rsidR="00730410" w:rsidRDefault="00730410">
      <w:pPr>
        <w:pStyle w:val="FootnoteText"/>
      </w:pPr>
      <w:r>
        <w:rPr>
          <w:rStyle w:val="FootnoteReference"/>
        </w:rPr>
        <w:footnoteRef/>
      </w:r>
      <w:r>
        <w:t xml:space="preserve"> </w:t>
      </w:r>
      <w:r w:rsidR="00E2593B">
        <w:fldChar w:fldCharType="begin"/>
      </w:r>
      <w:r>
        <w:instrText xml:space="preserve"> ADDIN EN.CITE &lt;EndNote&gt;&lt;Cite&gt;&lt;Author&gt;Retail&lt;/Author&gt;&lt;Year&gt;2016&lt;/Year&gt;&lt;RecNum&gt;754&lt;/RecNum&gt;&lt;DisplayText&gt;ActewAGL Retail, 2016: &lt;/DisplayText&gt;&lt;record&gt;&lt;rec-number&gt;754&lt;/rec-number&gt;&lt;foreign-keys&gt;&lt;key app="EN" db-id="5xwt9zxa6r5fesevwr5xzp97r95ev9wx9zpw" timestamp="1473391490"&gt;754&lt;/key&gt;&lt;key app="ENWeb" db-id=""&gt;0&lt;/key&gt;&lt;/foreign-keys&gt;&lt;ref-type name="AAA ICRC Water References"&gt;40&lt;/ref-type&gt;&lt;contributors&gt;&lt;authors&gt;&lt;author&gt;ActewAGL Retail,&lt;/author&gt;&lt;/authors&gt;&lt;/contributors&gt;&lt;titles&gt;&lt;title&gt;ActewAGL Retail submission to the Independent Competition and Regulatory Commission’s annual recalibration&lt;/title&gt;&lt;/titles&gt;&lt;dates&gt;&lt;year&gt;2016&lt;/year&gt;&lt;pub-dates&gt;&lt;date&gt;10 May 2016&lt;/date&gt;&lt;/pub-dates&gt;&lt;/dates&gt;&lt;pub-location&gt;Canberra&lt;/pub-location&gt;&lt;urls&gt;&lt;/urls&gt;&lt;/record&gt;&lt;/Cite&gt;&lt;/EndNote&gt;</w:instrText>
      </w:r>
      <w:r w:rsidR="00E2593B">
        <w:fldChar w:fldCharType="separate"/>
      </w:r>
      <w:r>
        <w:rPr>
          <w:noProof/>
        </w:rPr>
        <w:t xml:space="preserve">ActewAGL Retail, 2016: </w:t>
      </w:r>
      <w:r w:rsidR="00E2593B">
        <w:fldChar w:fldCharType="end"/>
      </w:r>
      <w:r>
        <w:t>8.</w:t>
      </w:r>
    </w:p>
  </w:footnote>
  <w:footnote w:id="28">
    <w:p w:rsidR="00730410" w:rsidRDefault="00730410">
      <w:pPr>
        <w:pStyle w:val="FootnoteText"/>
      </w:pPr>
      <w:r>
        <w:rPr>
          <w:rStyle w:val="FootnoteReference"/>
        </w:rPr>
        <w:footnoteRef/>
      </w:r>
      <w:r>
        <w:t xml:space="preserve"> </w:t>
      </w:r>
      <w:r w:rsidR="00E2593B">
        <w:fldChar w:fldCharType="begin"/>
      </w:r>
      <w:r>
        <w:instrText xml:space="preserve"> ADDIN EN.CITE &lt;EndNote&gt;&lt;Cite&gt;&lt;Author&gt;ICRC&lt;/Author&gt;&lt;Year&gt;2016&lt;/Year&gt;&lt;RecNum&gt;753&lt;/RecNum&gt;&lt;DisplayText&gt;ICRC, 2016b: &lt;/DisplayText&gt;&lt;record&gt;&lt;rec-number&gt;753&lt;/rec-number&gt;&lt;foreign-keys&gt;&lt;key app="EN" db-id="5xwt9zxa6r5fesevwr5xzp97r95ev9wx9zpw" timestamp="1473391257"&gt;753&lt;/key&gt;&lt;key app="ENWeb" db-id=""&gt;0&lt;/key&gt;&lt;/foreign-keys&gt;&lt;ref-type name="AAA ICRC Water References"&gt;40&lt;/ref-type&gt;&lt;contributors&gt;&lt;authors&gt;&lt;author&gt;ICRC,&lt;/author&gt;&lt;/authors&gt;&lt;/contributors&gt;&lt;titles&gt;&lt;title&gt;Final decision: Retail electricity price recalibration 2016−17 - Standing offer prices for the supply of electricity to small customers&lt;/title&gt;&lt;/titles&gt;&lt;volume&gt;Report 2 of 2016&lt;/volume&gt;&lt;dates&gt;&lt;year&gt;2016&lt;/year&gt;&lt;pub-dates&gt;&lt;date&gt;June 2016&lt;/date&gt;&lt;/pub-dates&gt;&lt;/dates&gt;&lt;pub-location&gt;Canberra&lt;/pub-location&gt;&lt;publisher&gt;Independent Competition and Regulatory Commission&lt;/publisher&gt;&lt;urls&gt;&lt;/urls&gt;&lt;/record&gt;&lt;/Cite&gt;&lt;/EndNote&gt;</w:instrText>
      </w:r>
      <w:r w:rsidR="00E2593B">
        <w:fldChar w:fldCharType="separate"/>
      </w:r>
      <w:r>
        <w:rPr>
          <w:noProof/>
        </w:rPr>
        <w:t xml:space="preserve">ICRC, 2016b: </w:t>
      </w:r>
      <w:r w:rsidR="00E2593B">
        <w:fldChar w:fldCharType="end"/>
      </w:r>
      <w:r>
        <w:t>5.</w:t>
      </w:r>
    </w:p>
  </w:footnote>
  <w:footnote w:id="29">
    <w:p w:rsidR="00730410" w:rsidRPr="009E0C78" w:rsidRDefault="00730410" w:rsidP="002F2A32">
      <w:pPr>
        <w:pStyle w:val="FootnoteText"/>
      </w:pPr>
      <w:r>
        <w:rPr>
          <w:rStyle w:val="FootnoteReference"/>
        </w:rPr>
        <w:footnoteRef/>
      </w:r>
      <w:r>
        <w:t xml:space="preserve"> Details can be found at: </w:t>
      </w:r>
      <w:hyperlink r:id="rId1" w:history="1">
        <w:r w:rsidRPr="00247E57">
          <w:rPr>
            <w:rStyle w:val="Hyperlink"/>
            <w:sz w:val="18"/>
          </w:rPr>
          <w:t>https://www.comcourts.gov.au/file/Federal/P/NSD419/2016/3751779/ event/28506914/document/769012</w:t>
        </w:r>
      </w:hyperlink>
      <w:r>
        <w:rPr>
          <w:rStyle w:val="Hyperlink"/>
          <w:sz w:val="18"/>
        </w:rPr>
        <w:t>.</w:t>
      </w:r>
    </w:p>
  </w:footnote>
  <w:footnote w:id="30">
    <w:p w:rsidR="00730410" w:rsidRPr="00764709" w:rsidRDefault="00730410" w:rsidP="00FD1AE1">
      <w:pPr>
        <w:pStyle w:val="FootnoteText"/>
      </w:pPr>
      <w:r>
        <w:rPr>
          <w:rStyle w:val="FootnoteReference"/>
        </w:rPr>
        <w:footnoteRef/>
      </w:r>
      <w:r>
        <w:t xml:space="preserve"> </w:t>
      </w:r>
      <w:r w:rsidRPr="00B072CB">
        <w:t>The request is available on the AEMC’s website at: http://www.aemc.gov.au/Rule-Changes/Participant-</w:t>
      </w:r>
      <w:r w:rsidRPr="00764709">
        <w:t xml:space="preserve">derogation-NSW-DNSPs-Revenue-Smoothing. </w:t>
      </w:r>
    </w:p>
  </w:footnote>
  <w:footnote w:id="31">
    <w:p w:rsidR="005C0587" w:rsidRDefault="005C0587">
      <w:pPr>
        <w:pStyle w:val="FootnoteText"/>
      </w:pPr>
      <w:r w:rsidRPr="00764709">
        <w:rPr>
          <w:rStyle w:val="FootnoteReference"/>
        </w:rPr>
        <w:footnoteRef/>
      </w:r>
      <w:r w:rsidRPr="00764709">
        <w:t xml:space="preserve"> The request is available on the AEMC’s website at http://www.aemc.gov.au/Rule-Changes/Participant-derogation-ACT-DNSP-Revenue-Smoothing</w:t>
      </w:r>
    </w:p>
  </w:footnote>
  <w:footnote w:id="32">
    <w:p w:rsidR="00730410" w:rsidRDefault="00730410">
      <w:pPr>
        <w:pStyle w:val="FootnoteText"/>
      </w:pPr>
      <w:r>
        <w:rPr>
          <w:rStyle w:val="FootnoteReference"/>
        </w:rPr>
        <w:footnoteRef/>
      </w:r>
      <w:r>
        <w:t xml:space="preserve"> </w:t>
      </w:r>
      <w:r w:rsidR="00E2593B">
        <w:fldChar w:fldCharType="begin"/>
      </w:r>
      <w:r>
        <w:instrText xml:space="preserve"> ADDIN EN.CITE &lt;EndNote&gt;&lt;Cite&gt;&lt;Author&gt;New South Wales DNSPs&lt;/Author&gt;&lt;Year&gt;2016&lt;/Year&gt;&lt;RecNum&gt;755&lt;/RecNum&gt;&lt;DisplayText&gt;New South Wales DNSPs, 2016: &lt;/DisplayText&gt;&lt;record&gt;&lt;rec-number&gt;755&lt;/rec-number&gt;&lt;foreign-keys&gt;&lt;key app="EN" db-id="5xwt9zxa6r5fesevwr5xzp97r95ev9wx9zpw" timestamp="1473392139"&gt;755&lt;/key&gt;&lt;key app="ENWeb" db-id=""&gt;0&lt;/key&gt;&lt;/foreign-keys&gt;&lt;ref-type name="AAA ICRC Water References"&gt;40&lt;/ref-type&gt;&lt;contributors&gt;&lt;authors&gt;&lt;author&gt;New South Wales DNSPs,&lt;/author&gt;&lt;/authors&gt;&lt;/contributors&gt;&lt;titles&gt;&lt;title&gt;Rule change request&lt;/title&gt;&lt;/titles&gt;&lt;dates&gt;&lt;year&gt;2016&lt;/year&gt;&lt;pub-dates&gt;&lt;date&gt;15 July 2016&lt;/date&gt;&lt;/pub-dates&gt;&lt;/dates&gt;&lt;pub-location&gt;Sydney&lt;/pub-location&gt;&lt;urls&gt;&lt;/urls&gt;&lt;/record&gt;&lt;/Cite&gt;&lt;/EndNote&gt;</w:instrText>
      </w:r>
      <w:r w:rsidR="00E2593B">
        <w:fldChar w:fldCharType="separate"/>
      </w:r>
      <w:r>
        <w:rPr>
          <w:noProof/>
        </w:rPr>
        <w:t xml:space="preserve">New South Wales DNSPs, 2016: </w:t>
      </w:r>
      <w:r w:rsidR="00E2593B">
        <w:fldChar w:fldCharType="end"/>
      </w:r>
      <w:r>
        <w:t>2.</w:t>
      </w:r>
    </w:p>
  </w:footnote>
  <w:footnote w:id="33">
    <w:p w:rsidR="00730410" w:rsidRDefault="00730410">
      <w:pPr>
        <w:pStyle w:val="FootnoteText"/>
      </w:pPr>
      <w:r>
        <w:rPr>
          <w:rStyle w:val="FootnoteReference"/>
        </w:rPr>
        <w:footnoteRef/>
      </w:r>
      <w:r>
        <w:t xml:space="preserve"> </w:t>
      </w:r>
      <w:r w:rsidR="00E2593B">
        <w:fldChar w:fldCharType="begin"/>
      </w:r>
      <w:r>
        <w:instrText xml:space="preserve"> ADDIN EN.CITE &lt;EndNote&gt;&lt;Cite&gt;&lt;Author&gt;QCA&lt;/Author&gt;&lt;Year&gt;2016&lt;/Year&gt;&lt;RecNum&gt;631&lt;/RecNum&gt;&lt;DisplayText&gt;QCA, 2016: &lt;/DisplayText&gt;&lt;record&gt;&lt;rec-number&gt;631&lt;/rec-number&gt;&lt;foreign-keys&gt;&lt;key app="EN" db-id="v0xfx5d9ss0wzred9wbpa5e4zwfrepsaw0v9"&gt;631&lt;/key&gt;&lt;/foreign-keys&gt;&lt;ref-type name="Generic"&gt;13&lt;/ref-type&gt;&lt;contributors&gt;&lt;authors&gt;&lt;author&gt;QCA,&lt;/author&gt;&lt;/authors&gt;&lt;/contributors&gt;&lt;titles&gt;&lt;title&gt;Final determination: Regulated retail electricity prices 2016-17&lt;/title&gt;&lt;/titles&gt;&lt;dates&gt;&lt;year&gt;2016&lt;/year&gt;&lt;/dates&gt;&lt;pub-location&gt;Brisbane&lt;/pub-location&gt;&lt;publisher&gt;Queensland Competition Authority&lt;/publisher&gt;&lt;urls&gt;&lt;/urls&gt;&lt;/record&gt;&lt;/Cite&gt;&lt;/EndNote&gt;</w:instrText>
      </w:r>
      <w:r w:rsidR="00E2593B">
        <w:fldChar w:fldCharType="separate"/>
      </w:r>
      <w:r>
        <w:rPr>
          <w:noProof/>
        </w:rPr>
        <w:t xml:space="preserve">QCA, 2016: </w:t>
      </w:r>
      <w:r w:rsidR="00E2593B">
        <w:fldChar w:fldCharType="end"/>
      </w:r>
      <w:r>
        <w:t>iii.</w:t>
      </w:r>
    </w:p>
  </w:footnote>
  <w:footnote w:id="34">
    <w:p w:rsidR="00730410" w:rsidRDefault="00730410">
      <w:pPr>
        <w:pStyle w:val="FootnoteText"/>
      </w:pPr>
      <w:r>
        <w:rPr>
          <w:rStyle w:val="FootnoteReference"/>
        </w:rPr>
        <w:footnoteRef/>
      </w:r>
      <w:r>
        <w:t xml:space="preserve"> </w:t>
      </w:r>
      <w:r w:rsidR="00E2593B">
        <w:fldChar w:fldCharType="begin"/>
      </w:r>
      <w:r>
        <w:instrText xml:space="preserve"> ADDIN EN.CITE &lt;EndNote&gt;&lt;Cite&gt;&lt;Author&gt;OTTER&lt;/Author&gt;&lt;Year&gt;2016&lt;/Year&gt;&lt;RecNum&gt;635&lt;/RecNum&gt;&lt;DisplayText&gt;OTTER, 2016: &lt;/DisplayText&gt;&lt;record&gt;&lt;rec-number&gt;635&lt;/rec-number&gt;&lt;foreign-keys&gt;&lt;key app="EN" db-id="v0xfx5d9ss0wzred9wbpa5e4zwfrepsaw0v9"&gt;635&lt;/key&gt;&lt;/foreign-keys&gt;&lt;ref-type name="Generic"&gt;13&lt;/ref-type&gt;&lt;contributors&gt;&lt;authors&gt;&lt;author&gt;OTTER,&lt;/author&gt;&lt;/authors&gt;&lt;/contributors&gt;&lt;titles&gt;&lt;title&gt;Media release: Approval of standing offer electricity prices and determination of regulated feed-in tariff rate to apply from 1 July 2016&lt;/title&gt;&lt;/titles&gt;&lt;dates&gt;&lt;year&gt;2016&lt;/year&gt;&lt;/dates&gt;&lt;pub-location&gt;Hobart&lt;/pub-location&gt;&lt;publisher&gt;Office of the Tasmanian Economic Regulator&lt;/publisher&gt;&lt;urls&gt;&lt;/urls&gt;&lt;/record&gt;&lt;/Cite&gt;&lt;/EndNote&gt;</w:instrText>
      </w:r>
      <w:r w:rsidR="00E2593B">
        <w:fldChar w:fldCharType="separate"/>
      </w:r>
      <w:r>
        <w:rPr>
          <w:noProof/>
        </w:rPr>
        <w:t xml:space="preserve">OTTER, 2016: </w:t>
      </w:r>
      <w:r w:rsidR="00E2593B">
        <w:fldChar w:fldCharType="end"/>
      </w:r>
      <w:r>
        <w:t>1</w:t>
      </w:r>
    </w:p>
  </w:footnote>
  <w:footnote w:id="35">
    <w:p w:rsidR="00730410" w:rsidRDefault="00730410">
      <w:pPr>
        <w:pStyle w:val="FootnoteText"/>
      </w:pPr>
      <w:r>
        <w:rPr>
          <w:rStyle w:val="FootnoteReference"/>
        </w:rPr>
        <w:footnoteRef/>
      </w:r>
      <w:r>
        <w:t xml:space="preserve"> </w:t>
      </w:r>
      <w:r w:rsidR="00E2593B">
        <w:fldChar w:fldCharType="begin"/>
      </w:r>
      <w:r>
        <w:instrText xml:space="preserve"> ADDIN EN.CITE &lt;EndNote&gt;&lt;Cite&gt;&lt;Author&gt;Energy&lt;/Author&gt;&lt;Year&gt;2016&lt;/Year&gt;&lt;RecNum&gt;636&lt;/RecNum&gt;&lt;DisplayText&gt;Aurora Energy, 2016: &lt;/DisplayText&gt;&lt;record&gt;&lt;rec-number&gt;636&lt;/rec-number&gt;&lt;foreign-keys&gt;&lt;key app="EN" db-id="v0xfx5d9ss0wzred9wbpa5e4zwfrepsaw0v9"&gt;636&lt;/key&gt;&lt;/foreign-keys&gt;&lt;ref-type name="Generic"&gt;13&lt;/ref-type&gt;&lt;contributors&gt;&lt;authors&gt;&lt;author&gt;Aurora Energy,&lt;/author&gt;&lt;/authors&gt;&lt;/contributors&gt;&lt;titles&gt;&lt;title&gt;2016 Standing offer determination pricing proposal-period 1: 1 July 2016-30 June 2017&lt;/title&gt;&lt;/titles&gt;&lt;dates&gt;&lt;year&gt;2016&lt;/year&gt;&lt;/dates&gt;&lt;pub-location&gt;Hobart&lt;/pub-location&gt;&lt;publisher&gt;Aurora Energy&lt;/publisher&gt;&lt;urls&gt;&lt;/urls&gt;&lt;/record&gt;&lt;/Cite&gt;&lt;/EndNote&gt;</w:instrText>
      </w:r>
      <w:r w:rsidR="00E2593B">
        <w:fldChar w:fldCharType="separate"/>
      </w:r>
      <w:r>
        <w:rPr>
          <w:noProof/>
        </w:rPr>
        <w:t xml:space="preserve">Aurora Energy, 2016: </w:t>
      </w:r>
      <w:r w:rsidR="00E2593B">
        <w:fldChar w:fldCharType="end"/>
      </w:r>
      <w:r>
        <w:t>3</w:t>
      </w:r>
    </w:p>
  </w:footnote>
  <w:footnote w:id="36">
    <w:p w:rsidR="00730410" w:rsidRDefault="00730410" w:rsidP="00B86049">
      <w:pPr>
        <w:pStyle w:val="FootnoteText"/>
      </w:pPr>
      <w:r>
        <w:rPr>
          <w:rStyle w:val="FootnoteReference"/>
        </w:rPr>
        <w:footnoteRef/>
      </w:r>
      <w:r>
        <w:t xml:space="preserve"> </w:t>
      </w:r>
      <w:r w:rsidR="00E2593B" w:rsidRPr="004C0A0B">
        <w:fldChar w:fldCharType="begin"/>
      </w:r>
      <w:r>
        <w:instrText xml:space="preserve"> ADDIN EN.CITE &lt;EndNote&gt;&lt;Cite&gt;&lt;Author&gt;AER&lt;/Author&gt;&lt;Year&gt;2016&lt;/Year&gt;&lt;RecNum&gt;625&lt;/RecNum&gt;&lt;DisplayText&gt;AER, 2016b: &lt;/DisplayText&gt;&lt;record&gt;&lt;rec-number&gt;625&lt;/rec-number&gt;&lt;foreign-keys&gt;&lt;key app="EN" db-id="v0xfx5d9ss0wzred9wbpa5e4zwfrepsaw0v9"&gt;625&lt;/key&gt;&lt;/foreign-keys&gt;&lt;ref-type name="Web Page"&gt;12&lt;/ref-type&gt;&lt;contributors&gt;&lt;authors&gt;&lt;author&gt;AER,&lt;/author&gt;&lt;/authors&gt;&lt;/contributors&gt;&lt;titles&gt;&lt;title&gt;Retail market performace report: Retail Statistics&lt;/title&gt;&lt;/titles&gt;&lt;number&gt;August 2016]&lt;/number&gt;&lt;dates&gt;&lt;year&gt;2016&lt;/year&gt;&lt;/dates&gt;&lt;pub-location&gt;Melbourne&lt;/pub-location&gt;&lt;publisher&gt;Australian Energy Regulator&lt;/publisher&gt;&lt;urls&gt;&lt;related-urls&gt;&lt;url&gt;http://www.aer.gov.au/retail-markets/retail-statistics.&lt;/url&gt;&lt;/related-urls&gt;&lt;/urls&gt;&lt;/record&gt;&lt;/Cite&gt;&lt;/EndNote&gt;</w:instrText>
      </w:r>
      <w:r w:rsidR="00E2593B" w:rsidRPr="004C0A0B">
        <w:fldChar w:fldCharType="separate"/>
      </w:r>
      <w:r>
        <w:rPr>
          <w:noProof/>
        </w:rPr>
        <w:t xml:space="preserve">AER, 2016b: </w:t>
      </w:r>
      <w:r w:rsidR="00E2593B" w:rsidRPr="004C0A0B">
        <w:fldChar w:fldCharType="end"/>
      </w:r>
      <w:r w:rsidRPr="004C0A0B">
        <w:t>AER data</w:t>
      </w:r>
    </w:p>
  </w:footnote>
  <w:footnote w:id="37">
    <w:p w:rsidR="00730410" w:rsidRDefault="00730410">
      <w:pPr>
        <w:pStyle w:val="FootnoteText"/>
      </w:pPr>
      <w:r>
        <w:rPr>
          <w:rStyle w:val="FootnoteReference"/>
        </w:rPr>
        <w:footnoteRef/>
      </w:r>
      <w:r>
        <w:t xml:space="preserve"> ICRC 2014a: 97-142.</w:t>
      </w:r>
    </w:p>
  </w:footnote>
  <w:footnote w:id="38">
    <w:p w:rsidR="00730410" w:rsidRDefault="00730410">
      <w:pPr>
        <w:pStyle w:val="FootnoteText"/>
      </w:pPr>
      <w:r>
        <w:rPr>
          <w:rStyle w:val="FootnoteReference"/>
        </w:rPr>
        <w:footnoteRef/>
      </w:r>
      <w:r>
        <w:t xml:space="preserve"> </w:t>
      </w:r>
      <w:r w:rsidR="00E2593B">
        <w:fldChar w:fldCharType="begin"/>
      </w:r>
      <w:r>
        <w:instrText xml:space="preserve"> ADDIN EN.CITE &lt;EndNote&gt;&lt;Cite&gt;&lt;Author&gt;CMA&lt;/Author&gt;&lt;Year&gt;2016&lt;/Year&gt;&lt;RecNum&gt;639&lt;/RecNum&gt;&lt;DisplayText&gt;CMA, 2016: &lt;/DisplayText&gt;&lt;record&gt;&lt;rec-number&gt;639&lt;/rec-number&gt;&lt;foreign-keys&gt;&lt;key app="EN" db-id="v0xfx5d9ss0wzred9wbpa5e4zwfrepsaw0v9"&gt;639&lt;/key&gt;&lt;/foreign-keys&gt;&lt;ref-type name="Generic"&gt;13&lt;/ref-type&gt;&lt;contributors&gt;&lt;authors&gt;&lt;author&gt;CMA,&lt;/author&gt;&lt;/authors&gt;&lt;/contributors&gt;&lt;titles&gt;&lt;title&gt;Energy market investigation: Summary of final report&lt;/title&gt;&lt;/titles&gt;&lt;dates&gt;&lt;year&gt;2016&lt;/year&gt;&lt;/dates&gt;&lt;pub-location&gt;London&lt;/pub-location&gt;&lt;publisher&gt;Competition and Markets Authority&lt;/publisher&gt;&lt;urls&gt;&lt;/urls&gt;&lt;/record&gt;&lt;/Cite&gt;&lt;/EndNote&gt;</w:instrText>
      </w:r>
      <w:r w:rsidR="00E2593B">
        <w:fldChar w:fldCharType="separate"/>
      </w:r>
      <w:r>
        <w:rPr>
          <w:noProof/>
        </w:rPr>
        <w:t xml:space="preserve">CMA, 2016: </w:t>
      </w:r>
      <w:r w:rsidR="00E2593B">
        <w:fldChar w:fldCharType="end"/>
      </w:r>
      <w:r>
        <w:t>37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pPr>
      <w:spacing w:after="0" w:line="240" w:lineRule="aut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CF59A9">
    <w:pPr>
      <w:spacing w:after="0"/>
    </w:pPr>
  </w:p>
  <w:p w:rsidR="00730410" w:rsidRDefault="00730410" w:rsidP="00CF59A9">
    <w:pPr>
      <w:spacing w:after="0"/>
    </w:pPr>
  </w:p>
  <w:p w:rsidR="00730410" w:rsidRDefault="00730410" w:rsidP="00CF59A9">
    <w:pPr>
      <w:pStyle w:val="Headereven"/>
    </w:pPr>
  </w:p>
  <w:p w:rsidR="00730410" w:rsidRPr="00CF59A9" w:rsidRDefault="00730410" w:rsidP="00B1531E">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D67976">
    <w:pPr>
      <w:spacing w:after="0"/>
      <w:jc w:val="right"/>
    </w:pPr>
  </w:p>
  <w:p w:rsidR="00730410" w:rsidRDefault="00730410" w:rsidP="00D67976">
    <w:pPr>
      <w:spacing w:after="0"/>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D67976">
    <w:pPr>
      <w:spacing w:after="0"/>
    </w:pPr>
  </w:p>
  <w:p w:rsidR="00730410" w:rsidRDefault="00730410" w:rsidP="00D67976">
    <w:pPr>
      <w:spacing w:after="0"/>
    </w:pPr>
  </w:p>
  <w:p w:rsidR="00730410" w:rsidRDefault="00E2593B" w:rsidP="00502D80">
    <w:pPr>
      <w:pStyle w:val="Headereven"/>
    </w:pPr>
    <w:r>
      <w:fldChar w:fldCharType="begin"/>
    </w:r>
    <w:r w:rsidR="00730410">
      <w:instrText xml:space="preserve"> REF _Ref338172668 \r \h </w:instrText>
    </w:r>
    <w:r>
      <w:fldChar w:fldCharType="separate"/>
    </w:r>
    <w:r w:rsidR="00730410">
      <w:rPr>
        <w:b/>
        <w:bCs/>
        <w:lang w:val="en-US"/>
      </w:rPr>
      <w:t>Error! Reference source not found.</w:t>
    </w:r>
    <w:r>
      <w:fldChar w:fldCharType="end"/>
    </w:r>
    <w:r w:rsidR="00730410">
      <w:t xml:space="preserve"> – </w:t>
    </w:r>
    <w:r>
      <w:fldChar w:fldCharType="begin"/>
    </w:r>
    <w:r w:rsidR="00730410">
      <w:instrText xml:space="preserve"> REF _Ref338172668 \h </w:instrText>
    </w:r>
    <w:r>
      <w:fldChar w:fldCharType="separate"/>
    </w:r>
    <w:r w:rsidR="00730410">
      <w:rPr>
        <w:b/>
        <w:bCs/>
        <w:lang w:val="en-US"/>
      </w:rPr>
      <w:t>Error! Reference source not found.</w:t>
    </w:r>
    <w:r>
      <w:fldChar w:fldCharType="end"/>
    </w:r>
  </w:p>
  <w:p w:rsidR="00730410" w:rsidRDefault="00E2593B" w:rsidP="00502D80">
    <w:pPr>
      <w:pStyle w:val="Headereven"/>
    </w:pPr>
    <w:r>
      <w:fldChar w:fldCharType="begin"/>
    </w:r>
    <w:r w:rsidR="00730410">
      <w:instrText xml:space="preserve"> REF _Ref349552358 \r \h </w:instrText>
    </w:r>
    <w:r>
      <w:fldChar w:fldCharType="separate"/>
    </w:r>
    <w:r w:rsidR="00730410">
      <w:rPr>
        <w:b/>
        <w:bCs/>
        <w:lang w:val="en-US"/>
      </w:rPr>
      <w:t>Error! Reference source not found.</w:t>
    </w:r>
    <w:r>
      <w:fldChar w:fldCharType="end"/>
    </w:r>
    <w:r w:rsidR="00730410">
      <w:t xml:space="preserve"> – </w:t>
    </w:r>
    <w:r>
      <w:fldChar w:fldCharType="begin"/>
    </w:r>
    <w:r w:rsidR="00730410">
      <w:instrText xml:space="preserve"> REF _Ref349552358 \h </w:instrText>
    </w:r>
    <w:r>
      <w:fldChar w:fldCharType="separate"/>
    </w:r>
    <w:r w:rsidR="00730410">
      <w:rPr>
        <w:b/>
        <w:bCs/>
        <w:lang w:val="en-US"/>
      </w:rPr>
      <w:t>Error! Reference source not found.</w:t>
    </w:r>
    <w: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D67976">
    <w:pPr>
      <w:spacing w:after="0"/>
      <w:jc w:val="right"/>
    </w:pPr>
  </w:p>
  <w:p w:rsidR="00730410" w:rsidRDefault="00730410" w:rsidP="00D67976">
    <w:pPr>
      <w:spacing w:after="0"/>
      <w:jc w:val="right"/>
    </w:pPr>
  </w:p>
  <w:p w:rsidR="00730410" w:rsidRDefault="00730410" w:rsidP="00D67976">
    <w:pPr>
      <w:spacing w:after="0"/>
      <w:jc w:val="right"/>
    </w:pPr>
  </w:p>
  <w:p w:rsidR="00730410" w:rsidRPr="00790F62" w:rsidRDefault="00730410" w:rsidP="00502D80">
    <w:pPr>
      <w:pStyle w:val="Headerodd"/>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D67976">
    <w:pPr>
      <w:spacing w:after="0"/>
    </w:pPr>
  </w:p>
  <w:p w:rsidR="00730410" w:rsidRDefault="00730410" w:rsidP="00D67976">
    <w:pPr>
      <w:spacing w:after="0"/>
    </w:pPr>
  </w:p>
  <w:p w:rsidR="00730410" w:rsidRDefault="00E2593B" w:rsidP="00502D80">
    <w:pPr>
      <w:pStyle w:val="Headereven"/>
    </w:pPr>
    <w:r>
      <w:fldChar w:fldCharType="begin"/>
    </w:r>
    <w:r w:rsidR="00730410">
      <w:instrText xml:space="preserve"> REF _Ref364695177 \r \h </w:instrText>
    </w:r>
    <w:r>
      <w:fldChar w:fldCharType="separate"/>
    </w:r>
    <w:r w:rsidR="00730410">
      <w:t>1</w:t>
    </w:r>
    <w:r>
      <w:fldChar w:fldCharType="end"/>
    </w:r>
    <w:r w:rsidR="00730410">
      <w:t xml:space="preserve"> – </w:t>
    </w:r>
    <w:r>
      <w:fldChar w:fldCharType="begin"/>
    </w:r>
    <w:r w:rsidR="00730410">
      <w:instrText xml:space="preserve"> REF _Ref364695177 \h </w:instrText>
    </w:r>
    <w:r>
      <w:fldChar w:fldCharType="separate"/>
    </w:r>
    <w:r w:rsidR="00730410">
      <w:t>Introduction</w:t>
    </w:r>
    <w: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D67976">
    <w:pPr>
      <w:spacing w:after="0"/>
      <w:jc w:val="right"/>
    </w:pPr>
  </w:p>
  <w:p w:rsidR="00730410" w:rsidRDefault="00730410" w:rsidP="00D67976">
    <w:pPr>
      <w:spacing w:after="0"/>
      <w:jc w:val="right"/>
    </w:pPr>
  </w:p>
  <w:p w:rsidR="00730410" w:rsidRPr="00790F62" w:rsidRDefault="00E2593B" w:rsidP="00502D80">
    <w:pPr>
      <w:pStyle w:val="Headerodd"/>
    </w:pPr>
    <w:r>
      <w:fldChar w:fldCharType="begin"/>
    </w:r>
    <w:r w:rsidR="00730410">
      <w:instrText xml:space="preserve"> PAGEREF _Ref364695177 \h </w:instrText>
    </w:r>
    <w:r>
      <w:fldChar w:fldCharType="separate"/>
    </w:r>
    <w:r w:rsidR="0065681A">
      <w:rPr>
        <w:noProof/>
      </w:rPr>
      <w:t>1</w:t>
    </w:r>
    <w:r>
      <w:fldChar w:fldCharType="end"/>
    </w:r>
    <w:r w:rsidR="00730410">
      <w:t xml:space="preserve"> – </w:t>
    </w:r>
    <w:r>
      <w:fldChar w:fldCharType="begin"/>
    </w:r>
    <w:r w:rsidR="00730410">
      <w:instrText xml:space="preserve"> REF _Ref364695177 \h </w:instrText>
    </w:r>
    <w:r>
      <w:fldChar w:fldCharType="separate"/>
    </w:r>
    <w:r w:rsidR="00730410">
      <w:t>Introduction</w:t>
    </w:r>
    <w: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D67976">
    <w:pPr>
      <w:spacing w:after="0"/>
    </w:pPr>
  </w:p>
  <w:p w:rsidR="00730410" w:rsidRDefault="00730410" w:rsidP="00D67976">
    <w:pPr>
      <w:spacing w:after="0"/>
    </w:pPr>
  </w:p>
  <w:p w:rsidR="00730410" w:rsidRDefault="00730410" w:rsidP="00502D80">
    <w:pPr>
      <w:pStyle w:val="Headereven"/>
    </w:pPr>
  </w:p>
  <w:p w:rsidR="00730410" w:rsidRDefault="00E2593B" w:rsidP="00502D80">
    <w:pPr>
      <w:pStyle w:val="Headereven"/>
    </w:pPr>
    <w:r>
      <w:fldChar w:fldCharType="begin"/>
    </w:r>
    <w:r w:rsidR="00730410">
      <w:instrText xml:space="preserve"> REF _Ref462987379 \w \h </w:instrText>
    </w:r>
    <w:r>
      <w:fldChar w:fldCharType="separate"/>
    </w:r>
    <w:r w:rsidR="00730410">
      <w:t>2</w:t>
    </w:r>
    <w:r>
      <w:fldChar w:fldCharType="end"/>
    </w:r>
    <w:r w:rsidR="00730410">
      <w:t xml:space="preserve"> – </w:t>
    </w:r>
    <w:r>
      <w:fldChar w:fldCharType="begin"/>
    </w:r>
    <w:r w:rsidR="00730410">
      <w:instrText xml:space="preserve"> REF _Ref462987379 \h </w:instrText>
    </w:r>
    <w:r>
      <w:fldChar w:fldCharType="separate"/>
    </w:r>
    <w:r w:rsidR="00730410">
      <w:t>Commission’s regulatory approach and pricing model</w:t>
    </w:r>
    <w: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D67976">
    <w:pPr>
      <w:spacing w:after="0"/>
      <w:jc w:val="right"/>
    </w:pPr>
  </w:p>
  <w:p w:rsidR="00730410" w:rsidRDefault="00730410" w:rsidP="00D67976">
    <w:pPr>
      <w:spacing w:after="0"/>
      <w:jc w:val="right"/>
    </w:pPr>
  </w:p>
  <w:p w:rsidR="00730410" w:rsidRDefault="00730410" w:rsidP="00115C91">
    <w:pPr>
      <w:pStyle w:val="Headereven"/>
      <w:jc w:val="righ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D67976">
    <w:pPr>
      <w:spacing w:after="0"/>
      <w:jc w:val="right"/>
    </w:pPr>
  </w:p>
  <w:p w:rsidR="00730410" w:rsidRDefault="00730410" w:rsidP="00D67976">
    <w:pPr>
      <w:spacing w:after="0"/>
      <w:jc w:val="right"/>
    </w:pPr>
  </w:p>
  <w:p w:rsidR="00730410" w:rsidRDefault="00E2593B" w:rsidP="00115C91">
    <w:pPr>
      <w:pStyle w:val="Headereven"/>
      <w:jc w:val="right"/>
    </w:pPr>
    <w:r>
      <w:fldChar w:fldCharType="begin"/>
    </w:r>
    <w:r w:rsidR="00730410">
      <w:instrText xml:space="preserve"> REF _Ref462987379 \w \h </w:instrText>
    </w:r>
    <w:r>
      <w:fldChar w:fldCharType="separate"/>
    </w:r>
    <w:r w:rsidR="00730410">
      <w:t>2</w:t>
    </w:r>
    <w:r>
      <w:fldChar w:fldCharType="end"/>
    </w:r>
    <w:r w:rsidR="00730410">
      <w:t xml:space="preserve"> – </w:t>
    </w:r>
    <w:fldSimple w:instr=" REF _Ref462987379 \h  \* MERGEFORMAT ">
      <w:r w:rsidR="00730410">
        <w:t>Commission’s regulatory approach and pricing model</w:t>
      </w:r>
    </w:fldSimple>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D67976">
    <w:pPr>
      <w:spacing w:after="0"/>
      <w:jc w:val="right"/>
    </w:pPr>
  </w:p>
  <w:p w:rsidR="00730410" w:rsidRDefault="00730410" w:rsidP="00D67976">
    <w:pPr>
      <w:spacing w:after="0"/>
      <w:jc w:val="right"/>
    </w:pPr>
  </w:p>
  <w:p w:rsidR="00730410" w:rsidRPr="00790F62" w:rsidRDefault="00730410" w:rsidP="008A39FC">
    <w:pPr>
      <w:pStyle w:val="Headerodd"/>
    </w:pPr>
  </w:p>
  <w:p w:rsidR="00730410" w:rsidRDefault="00730410" w:rsidP="00502D80">
    <w:pPr>
      <w:pStyle w:val="Headerod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Pr="00EC19F8" w:rsidRDefault="00E2593B" w:rsidP="00EF6AF3">
    <w:pPr>
      <w:jc w:val="center"/>
      <w:rPr>
        <w:sz w:val="44"/>
      </w:rPr>
    </w:pPr>
    <w:r>
      <w:rPr>
        <w:noProof/>
        <w:sz w:val="44"/>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8" o:spid="_x0000_s2131" type="#_x0000_t75" style="position:absolute;left:0;text-align:left;margin-left:0;margin-top:0;width:416.3pt;height:662.55pt;z-index:-251626496;mso-position-horizontal:center;mso-position-horizontal-relative:margin;mso-position-vertical:center;mso-position-vertical-relative:margin" o:allowincell="f">
          <v:imagedata r:id="rId1" o:title="ICRC_reports_cover"/>
          <w10:wrap anchorx="margin" anchory="margin"/>
        </v:shape>
      </w:pict>
    </w:r>
    <w:r w:rsidR="00730410" w:rsidRPr="00EC19F8">
      <w:rPr>
        <w:sz w:val="44"/>
      </w:rPr>
      <w:t>Commission-in-Confidence</w:t>
    </w:r>
  </w:p>
  <w:p w:rsidR="00730410" w:rsidRDefault="00730410"/>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2F3A80">
    <w:pPr>
      <w:pStyle w:val="Headereven"/>
    </w:pPr>
  </w:p>
  <w:p w:rsidR="00730410" w:rsidRDefault="00730410" w:rsidP="002F3A80">
    <w:pPr>
      <w:pStyle w:val="Headereven"/>
    </w:pPr>
  </w:p>
  <w:p w:rsidR="00730410" w:rsidRDefault="00E2593B" w:rsidP="002F3A80">
    <w:pPr>
      <w:pStyle w:val="Headereven"/>
    </w:pPr>
    <w:r>
      <w:fldChar w:fldCharType="begin"/>
    </w:r>
    <w:r w:rsidR="00730410">
      <w:instrText xml:space="preserve"> REF _Ref463349286 \r \h </w:instrText>
    </w:r>
    <w:r>
      <w:fldChar w:fldCharType="separate"/>
    </w:r>
    <w:r w:rsidR="00730410">
      <w:t>3</w:t>
    </w:r>
    <w:r>
      <w:fldChar w:fldCharType="end"/>
    </w:r>
    <w:r w:rsidR="00730410">
      <w:t xml:space="preserve"> – </w:t>
    </w:r>
    <w:r>
      <w:fldChar w:fldCharType="begin"/>
    </w:r>
    <w:r w:rsidR="00730410">
      <w:instrText xml:space="preserve"> REF _Ref463349310 \h </w:instrText>
    </w:r>
    <w:r>
      <w:fldChar w:fldCharType="separate"/>
    </w:r>
    <w:r w:rsidR="00730410" w:rsidRPr="006B1018">
      <w:t>State of the market and recent regulatory developments</w:t>
    </w:r>
    <w:r>
      <w:fldChar w:fldCharType="end"/>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D67976">
    <w:pPr>
      <w:spacing w:after="0"/>
      <w:jc w:val="right"/>
    </w:pPr>
  </w:p>
  <w:p w:rsidR="00730410" w:rsidRDefault="00730410" w:rsidP="002F3A80">
    <w:pPr>
      <w:pStyle w:val="Headerodd"/>
    </w:pPr>
  </w:p>
  <w:p w:rsidR="00730410" w:rsidRDefault="00E2593B" w:rsidP="002F3A80">
    <w:pPr>
      <w:pStyle w:val="Headerodd"/>
    </w:pPr>
    <w:r>
      <w:fldChar w:fldCharType="begin"/>
    </w:r>
    <w:r w:rsidR="00730410">
      <w:instrText xml:space="preserve"> REF _Ref463349410 \r \h </w:instrText>
    </w:r>
    <w:r>
      <w:fldChar w:fldCharType="separate"/>
    </w:r>
    <w:r w:rsidR="00730410">
      <w:t>3</w:t>
    </w:r>
    <w:r>
      <w:fldChar w:fldCharType="end"/>
    </w:r>
    <w:r w:rsidR="00730410">
      <w:t xml:space="preserve">– </w:t>
    </w:r>
    <w:r>
      <w:fldChar w:fldCharType="begin"/>
    </w:r>
    <w:r w:rsidR="00730410">
      <w:instrText xml:space="preserve"> REF _Ref463349374 \h </w:instrText>
    </w:r>
    <w:r>
      <w:fldChar w:fldCharType="separate"/>
    </w:r>
    <w:r w:rsidR="00730410" w:rsidRPr="006B1018">
      <w:t>State of the market and recent regulatory developments</w:t>
    </w:r>
    <w:r>
      <w:fldChar w:fldCharType="end"/>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ED2CCF">
    <w:pPr>
      <w:spacing w:after="0"/>
    </w:pPr>
  </w:p>
  <w:p w:rsidR="00730410" w:rsidRDefault="00730410" w:rsidP="00ED2CCF">
    <w:pPr>
      <w:spacing w:after="0"/>
    </w:pPr>
  </w:p>
  <w:p w:rsidR="00730410" w:rsidRDefault="00E2593B" w:rsidP="00A859E0">
    <w:pPr>
      <w:pStyle w:val="Headereven"/>
    </w:pPr>
    <w:r>
      <w:fldChar w:fldCharType="begin"/>
    </w:r>
    <w:r w:rsidR="00730410">
      <w:instrText xml:space="preserve"> REF  _Ref338172668 \h \r  \* MERGEFORMAT </w:instrText>
    </w:r>
    <w:r>
      <w:fldChar w:fldCharType="separate"/>
    </w:r>
    <w:r w:rsidR="00730410">
      <w:rPr>
        <w:b/>
        <w:bCs/>
        <w:lang w:val="en-US"/>
      </w:rPr>
      <w:t>Error! Reference source not found.</w:t>
    </w:r>
    <w:r>
      <w:fldChar w:fldCharType="end"/>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ED2CCF">
    <w:pPr>
      <w:spacing w:after="0"/>
      <w:jc w:val="right"/>
    </w:pPr>
  </w:p>
  <w:p w:rsidR="00730410" w:rsidRDefault="00730410" w:rsidP="00ED2CCF">
    <w:pPr>
      <w:spacing w:after="0"/>
      <w:jc w:val="right"/>
    </w:pPr>
  </w:p>
  <w:p w:rsidR="00730410" w:rsidRDefault="00730410" w:rsidP="00ED2CCF">
    <w:pPr>
      <w:spacing w:after="0"/>
      <w:jc w:val="right"/>
    </w:pPr>
  </w:p>
  <w:p w:rsidR="00730410" w:rsidRPr="00EF3464" w:rsidRDefault="00730410" w:rsidP="00A859E0">
    <w:pPr>
      <w:pStyle w:val="Headerodd"/>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3975E4">
    <w:pPr>
      <w:pStyle w:val="Headereven"/>
    </w:pPr>
  </w:p>
  <w:p w:rsidR="00730410" w:rsidRDefault="00E2593B" w:rsidP="00053E54">
    <w:pPr>
      <w:pStyle w:val="Oddheaderauthorname"/>
      <w:jc w:val="left"/>
    </w:pPr>
    <w:r>
      <w:fldChar w:fldCharType="begin"/>
    </w:r>
    <w:r w:rsidR="00730410">
      <w:instrText xml:space="preserve"> REF _Ref463334795 \r \h </w:instrText>
    </w:r>
    <w:r>
      <w:fldChar w:fldCharType="separate"/>
    </w:r>
    <w:r w:rsidR="00730410">
      <w:t>4</w:t>
    </w:r>
    <w:r>
      <w:fldChar w:fldCharType="end"/>
    </w:r>
    <w:r w:rsidR="00730410">
      <w:t xml:space="preserve">– </w:t>
    </w:r>
    <w:r>
      <w:fldChar w:fldCharType="begin"/>
    </w:r>
    <w:r w:rsidR="00730410">
      <w:instrText xml:space="preserve"> REF _Ref463352870 \h </w:instrText>
    </w:r>
    <w:r>
      <w:fldChar w:fldCharType="separate"/>
    </w:r>
    <w:r w:rsidR="00730410">
      <w:t>Issues for consultation: Summary</w:t>
    </w:r>
    <w:r>
      <w:fldChar w:fldCharType="end"/>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FA4133">
    <w:pPr>
      <w:spacing w:after="0"/>
      <w:jc w:val="right"/>
    </w:pPr>
  </w:p>
  <w:p w:rsidR="00730410" w:rsidRDefault="00730410" w:rsidP="00FA4133">
    <w:pPr>
      <w:spacing w:after="0"/>
      <w:jc w:val="right"/>
    </w:pPr>
  </w:p>
  <w:p w:rsidR="00730410" w:rsidRPr="0083382B" w:rsidRDefault="00E2593B" w:rsidP="00FA4133">
    <w:pPr>
      <w:spacing w:after="0"/>
      <w:jc w:val="right"/>
      <w:rPr>
        <w:i/>
        <w:color w:val="808080"/>
        <w:sz w:val="18"/>
        <w:szCs w:val="18"/>
      </w:rPr>
    </w:pPr>
    <w:r w:rsidRPr="0083382B">
      <w:rPr>
        <w:i/>
        <w:color w:val="808080"/>
        <w:sz w:val="18"/>
        <w:szCs w:val="18"/>
      </w:rPr>
      <w:fldChar w:fldCharType="begin"/>
    </w:r>
    <w:r w:rsidR="00730410" w:rsidRPr="0083382B">
      <w:rPr>
        <w:i/>
        <w:color w:val="808080"/>
        <w:sz w:val="18"/>
        <w:szCs w:val="18"/>
      </w:rPr>
      <w:instrText xml:space="preserve"> REF _Ref463352870 \r \h </w:instrText>
    </w:r>
    <w:r w:rsidRPr="0083382B">
      <w:rPr>
        <w:i/>
        <w:color w:val="808080"/>
        <w:sz w:val="18"/>
        <w:szCs w:val="18"/>
      </w:rPr>
    </w:r>
    <w:r w:rsidRPr="0083382B">
      <w:rPr>
        <w:i/>
        <w:color w:val="808080"/>
        <w:sz w:val="18"/>
        <w:szCs w:val="18"/>
      </w:rPr>
      <w:fldChar w:fldCharType="separate"/>
    </w:r>
    <w:r w:rsidR="00730410">
      <w:rPr>
        <w:i/>
        <w:color w:val="808080"/>
        <w:sz w:val="18"/>
        <w:szCs w:val="18"/>
      </w:rPr>
      <w:t>4</w:t>
    </w:r>
    <w:r w:rsidRPr="0083382B">
      <w:rPr>
        <w:i/>
        <w:color w:val="808080"/>
        <w:sz w:val="18"/>
        <w:szCs w:val="18"/>
      </w:rPr>
      <w:fldChar w:fldCharType="end"/>
    </w:r>
    <w:r w:rsidR="00730410" w:rsidRPr="0083382B">
      <w:rPr>
        <w:i/>
        <w:color w:val="808080"/>
        <w:sz w:val="18"/>
        <w:szCs w:val="18"/>
      </w:rPr>
      <w:t xml:space="preserve">– </w:t>
    </w:r>
    <w:fldSimple w:instr=" REF _Ref463352870 \h  \* MERGEFORMAT ">
      <w:r w:rsidR="00730410" w:rsidRPr="004325DB">
        <w:rPr>
          <w:i/>
          <w:color w:val="808080"/>
          <w:sz w:val="18"/>
          <w:szCs w:val="18"/>
        </w:rPr>
        <w:t>Issues for consultation: Summary</w:t>
      </w:r>
    </w:fldSimple>
  </w:p>
  <w:p w:rsidR="00730410" w:rsidRPr="00FA4133" w:rsidRDefault="00730410" w:rsidP="00FA4133">
    <w:pPr>
      <w:pStyle w:val="Headerodd"/>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FA4133">
    <w:pPr>
      <w:spacing w:after="0"/>
      <w:jc w:val="right"/>
    </w:pPr>
  </w:p>
  <w:p w:rsidR="00730410" w:rsidRDefault="00730410" w:rsidP="00FA4133">
    <w:pPr>
      <w:spacing w:after="0"/>
      <w:jc w:val="right"/>
    </w:pPr>
  </w:p>
  <w:p w:rsidR="00730410" w:rsidRPr="0083382B" w:rsidRDefault="00730410" w:rsidP="00FA4133">
    <w:pPr>
      <w:spacing w:after="0"/>
      <w:jc w:val="right"/>
      <w:rPr>
        <w:i/>
        <w:color w:val="808080"/>
        <w:sz w:val="18"/>
        <w:szCs w:val="18"/>
      </w:rPr>
    </w:pPr>
  </w:p>
  <w:p w:rsidR="00730410" w:rsidRPr="00FA4133" w:rsidRDefault="00730410" w:rsidP="00FA4133">
    <w:pPr>
      <w:pStyle w:val="Headerodd"/>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FA4133">
    <w:pPr>
      <w:spacing w:after="0"/>
      <w:jc w:val="right"/>
    </w:pPr>
  </w:p>
  <w:p w:rsidR="00730410" w:rsidRDefault="00730410" w:rsidP="00FA4133">
    <w:pPr>
      <w:spacing w:after="0"/>
      <w:jc w:val="right"/>
    </w:pPr>
  </w:p>
  <w:p w:rsidR="00730410" w:rsidRDefault="00730410" w:rsidP="00FA4133">
    <w:pPr>
      <w:spacing w:after="0"/>
      <w:jc w:val="right"/>
    </w:pPr>
  </w:p>
  <w:p w:rsidR="00730410" w:rsidRPr="00FA4133" w:rsidRDefault="00730410" w:rsidP="00FA4133">
    <w:pPr>
      <w:pStyle w:val="Headerodd"/>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3975E4">
    <w:pPr>
      <w:pStyle w:val="Headereven"/>
    </w:pPr>
  </w:p>
  <w:p w:rsidR="00730410" w:rsidRDefault="00730410" w:rsidP="003975E4">
    <w:pPr>
      <w:pStyle w:val="Headereven"/>
    </w:pPr>
  </w:p>
  <w:p w:rsidR="00730410" w:rsidRDefault="00E2593B" w:rsidP="00CF681F">
    <w:pPr>
      <w:pStyle w:val="Oddheaderauthorname"/>
      <w:jc w:val="left"/>
    </w:pPr>
    <w:r>
      <w:fldChar w:fldCharType="begin"/>
    </w:r>
    <w:r w:rsidR="00730410">
      <w:instrText xml:space="preserve"> REF _Ref459711230 \r \h </w:instrText>
    </w:r>
    <w:r>
      <w:fldChar w:fldCharType="separate"/>
    </w:r>
    <w:r w:rsidR="00730410">
      <w:t>Appendix 1</w:t>
    </w:r>
    <w:r>
      <w:fldChar w:fldCharType="end"/>
    </w:r>
    <w:r w:rsidR="00730410">
      <w:t>–</w:t>
    </w:r>
    <w:fldSimple w:instr=" REF _Ref459711230 \h  \* MERGEFORMAT ">
      <w:r w:rsidR="00730410">
        <w:t>Terms of reference</w:t>
      </w:r>
    </w:fldSimple>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D641A8">
    <w:pPr>
      <w:spacing w:after="0"/>
      <w:jc w:val="right"/>
    </w:pPr>
  </w:p>
  <w:p w:rsidR="00730410" w:rsidRDefault="00730410" w:rsidP="00D641A8">
    <w:pPr>
      <w:spacing w:after="0"/>
      <w:jc w:val="right"/>
    </w:pPr>
  </w:p>
  <w:p w:rsidR="00730410" w:rsidRDefault="00E2593B" w:rsidP="00E42FAB">
    <w:pPr>
      <w:pStyle w:val="Headerodd"/>
    </w:pPr>
    <w:r>
      <w:fldChar w:fldCharType="begin"/>
    </w:r>
    <w:r w:rsidR="00730410">
      <w:instrText xml:space="preserve"> REF _Ref459710150 \r \h </w:instrText>
    </w:r>
    <w:r>
      <w:fldChar w:fldCharType="separate"/>
    </w:r>
    <w:r w:rsidR="00730410">
      <w:rPr>
        <w:b/>
        <w:bCs/>
        <w:lang w:val="en-US"/>
      </w:rPr>
      <w:t>Error! Reference source not found.</w:t>
    </w:r>
    <w:r>
      <w:fldChar w:fldCharType="end"/>
    </w:r>
    <w:r w:rsidR="00730410">
      <w:t xml:space="preserve"> – </w:t>
    </w:r>
    <w:r>
      <w:fldChar w:fldCharType="begin"/>
    </w:r>
    <w:r w:rsidR="00730410">
      <w:instrText xml:space="preserve"> REF _Ref459710150 \h </w:instrText>
    </w:r>
    <w:r>
      <w:fldChar w:fldCharType="separate"/>
    </w:r>
    <w:r w:rsidR="00730410">
      <w:rPr>
        <w:b/>
        <w:bCs/>
        <w:lang w:val="en-US"/>
      </w:rPr>
      <w:t>Error! Reference source not found.</w:t>
    </w:r>
    <w: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E2593B">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6" o:spid="_x0000_s2129" type="#_x0000_t75" style="position:absolute;margin-left:0;margin-top:0;width:457.8pt;height:728.6pt;z-index:-251628544;mso-position-horizontal:center;mso-position-horizontal-relative:margin;mso-position-vertical:center;mso-position-vertical-relative:margin" o:allowincell="f">
          <v:imagedata r:id="rId1" o:title="ICRC_reports_cover"/>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D641A8">
    <w:pPr>
      <w:spacing w:after="0"/>
      <w:jc w:val="right"/>
    </w:pPr>
  </w:p>
  <w:p w:rsidR="00730410" w:rsidRDefault="00730410" w:rsidP="00D641A8">
    <w:pPr>
      <w:spacing w:after="0"/>
      <w:jc w:val="right"/>
    </w:pPr>
  </w:p>
  <w:p w:rsidR="00730410" w:rsidRDefault="00730410" w:rsidP="00D641A8">
    <w:pPr>
      <w:spacing w:after="0"/>
      <w:jc w:val="right"/>
    </w:pPr>
  </w:p>
  <w:p w:rsidR="00730410" w:rsidRDefault="00730410" w:rsidP="00653EF7">
    <w:pPr>
      <w:pStyle w:val="Headerodd"/>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pPr>
      <w:pStyle w:val="Headereven"/>
    </w:pPr>
  </w:p>
  <w:p w:rsidR="00730410" w:rsidRDefault="00730410">
    <w:pPr>
      <w:pStyle w:val="Headereven"/>
    </w:pPr>
  </w:p>
  <w:p w:rsidR="00730410" w:rsidRDefault="00730410">
    <w:pPr>
      <w:pStyle w:val="Headereven"/>
    </w:pPr>
    <w:r>
      <w:t>References</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sidP="00F922F1">
    <w:pPr>
      <w:pStyle w:val="Headerodd"/>
    </w:pPr>
  </w:p>
  <w:p w:rsidR="00730410" w:rsidRDefault="00730410" w:rsidP="00F922F1">
    <w:pPr>
      <w:pStyle w:val="Headerodd"/>
    </w:pPr>
  </w:p>
  <w:p w:rsidR="00730410" w:rsidRDefault="00730410" w:rsidP="00F922F1">
    <w:pPr>
      <w:pStyle w:val="Headerodd"/>
    </w:pPr>
  </w:p>
  <w:p w:rsidR="00730410" w:rsidRDefault="00730410" w:rsidP="00F922F1">
    <w:pPr>
      <w:pStyle w:val="Headerodd"/>
    </w:pPr>
    <w:r>
      <w:t>References</w:t>
    </w:r>
  </w:p>
  <w:p w:rsidR="00730410" w:rsidRDefault="00730410" w:rsidP="00D641A8">
    <w:pPr>
      <w:spacing w:after="0"/>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Pr="00E42160" w:rsidRDefault="00730410" w:rsidP="00E42160"/>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r>
      <w:rPr>
        <w:noProof/>
        <w:lang w:val="en-AU" w:eastAsia="en-AU"/>
      </w:rPr>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5287010" cy="8414385"/>
          <wp:effectExtent l="0" t="0" r="8890" b="5715"/>
          <wp:wrapNone/>
          <wp:docPr id="57" name="Picture 57" descr="ICRC_reports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CRC_reports_cover"/>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7010" cy="8414385"/>
                  </a:xfrm>
                  <a:prstGeom prst="rect">
                    <a:avLst/>
                  </a:prstGeom>
                  <a:noFill/>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Pr="00E42160" w:rsidRDefault="00730410" w:rsidP="00E42160"/>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410" w:rsidRDefault="0073041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CB1B64"/>
    <w:multiLevelType w:val="hybridMultilevel"/>
    <w:tmpl w:val="82FC36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8"/>
    <w:multiLevelType w:val="singleLevel"/>
    <w:tmpl w:val="4C3AD61A"/>
    <w:lvl w:ilvl="0">
      <w:start w:val="1"/>
      <w:numFmt w:val="decimal"/>
      <w:lvlText w:val="%1."/>
      <w:lvlJc w:val="left"/>
      <w:pPr>
        <w:tabs>
          <w:tab w:val="num" w:pos="360"/>
        </w:tabs>
        <w:ind w:left="360" w:hanging="360"/>
      </w:pPr>
    </w:lvl>
  </w:abstractNum>
  <w:abstractNum w:abstractNumId="2">
    <w:nsid w:val="FFFFFF89"/>
    <w:multiLevelType w:val="singleLevel"/>
    <w:tmpl w:val="AD0E794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FFFFFFFE"/>
    <w:multiLevelType w:val="singleLevel"/>
    <w:tmpl w:val="1F9E56BC"/>
    <w:lvl w:ilvl="0">
      <w:numFmt w:val="decimal"/>
      <w:pStyle w:val="QuoteBullet"/>
      <w:lvlText w:val="*"/>
      <w:lvlJc w:val="left"/>
      <w:rPr>
        <w:rFonts w:cs="Times New Roman"/>
      </w:rPr>
    </w:lvl>
  </w:abstractNum>
  <w:abstractNum w:abstractNumId="4">
    <w:nsid w:val="0119CEB5"/>
    <w:multiLevelType w:val="hybridMultilevel"/>
    <w:tmpl w:val="5C2D54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3434E67"/>
    <w:multiLevelType w:val="multilevel"/>
    <w:tmpl w:val="CF62576C"/>
    <w:lvl w:ilvl="0">
      <w:start w:val="1"/>
      <w:numFmt w:val="upperRoman"/>
      <w:pStyle w:val="HeadingPart"/>
      <w:lvlText w:val="Part %1"/>
      <w:lvlJc w:val="left"/>
      <w:pPr>
        <w:ind w:left="1814" w:hanging="181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35C0E8E"/>
    <w:multiLevelType w:val="hybridMultilevel"/>
    <w:tmpl w:val="33E07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7690369"/>
    <w:multiLevelType w:val="hybridMultilevel"/>
    <w:tmpl w:val="0CA47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A0D4F29"/>
    <w:multiLevelType w:val="hybridMultilevel"/>
    <w:tmpl w:val="D70A5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D732650"/>
    <w:multiLevelType w:val="hybridMultilevel"/>
    <w:tmpl w:val="0A6E7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D9E0F12"/>
    <w:multiLevelType w:val="hybridMultilevel"/>
    <w:tmpl w:val="2EB64B72"/>
    <w:lvl w:ilvl="0" w:tplc="B67A19DA">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5D07AF8"/>
    <w:multiLevelType w:val="hybridMultilevel"/>
    <w:tmpl w:val="37BCB24C"/>
    <w:lvl w:ilvl="0" w:tplc="3F3C518E">
      <w:start w:val="2"/>
      <w:numFmt w:val="bullet"/>
      <w:lvlText w:val=""/>
      <w:lvlJc w:val="left"/>
      <w:pPr>
        <w:ind w:left="1961" w:hanging="360"/>
      </w:pPr>
      <w:rPr>
        <w:rFonts w:ascii="Symbol" w:eastAsia="Cambria" w:hAnsi="Symbol" w:cs="Times New Roman" w:hint="default"/>
      </w:rPr>
    </w:lvl>
    <w:lvl w:ilvl="1" w:tplc="0C090003" w:tentative="1">
      <w:start w:val="1"/>
      <w:numFmt w:val="bullet"/>
      <w:lvlText w:val="o"/>
      <w:lvlJc w:val="left"/>
      <w:pPr>
        <w:ind w:left="2681" w:hanging="360"/>
      </w:pPr>
      <w:rPr>
        <w:rFonts w:ascii="Courier New" w:hAnsi="Courier New" w:cs="Courier New" w:hint="default"/>
      </w:rPr>
    </w:lvl>
    <w:lvl w:ilvl="2" w:tplc="0C090005" w:tentative="1">
      <w:start w:val="1"/>
      <w:numFmt w:val="bullet"/>
      <w:lvlText w:val=""/>
      <w:lvlJc w:val="left"/>
      <w:pPr>
        <w:ind w:left="3401" w:hanging="360"/>
      </w:pPr>
      <w:rPr>
        <w:rFonts w:ascii="Wingdings" w:hAnsi="Wingdings" w:hint="default"/>
      </w:rPr>
    </w:lvl>
    <w:lvl w:ilvl="3" w:tplc="0C090001" w:tentative="1">
      <w:start w:val="1"/>
      <w:numFmt w:val="bullet"/>
      <w:lvlText w:val=""/>
      <w:lvlJc w:val="left"/>
      <w:pPr>
        <w:ind w:left="4121" w:hanging="360"/>
      </w:pPr>
      <w:rPr>
        <w:rFonts w:ascii="Symbol" w:hAnsi="Symbol" w:hint="default"/>
      </w:rPr>
    </w:lvl>
    <w:lvl w:ilvl="4" w:tplc="0C090003" w:tentative="1">
      <w:start w:val="1"/>
      <w:numFmt w:val="bullet"/>
      <w:lvlText w:val="o"/>
      <w:lvlJc w:val="left"/>
      <w:pPr>
        <w:ind w:left="4841" w:hanging="360"/>
      </w:pPr>
      <w:rPr>
        <w:rFonts w:ascii="Courier New" w:hAnsi="Courier New" w:cs="Courier New" w:hint="default"/>
      </w:rPr>
    </w:lvl>
    <w:lvl w:ilvl="5" w:tplc="0C090005" w:tentative="1">
      <w:start w:val="1"/>
      <w:numFmt w:val="bullet"/>
      <w:lvlText w:val=""/>
      <w:lvlJc w:val="left"/>
      <w:pPr>
        <w:ind w:left="5561" w:hanging="360"/>
      </w:pPr>
      <w:rPr>
        <w:rFonts w:ascii="Wingdings" w:hAnsi="Wingdings" w:hint="default"/>
      </w:rPr>
    </w:lvl>
    <w:lvl w:ilvl="6" w:tplc="0C090001" w:tentative="1">
      <w:start w:val="1"/>
      <w:numFmt w:val="bullet"/>
      <w:lvlText w:val=""/>
      <w:lvlJc w:val="left"/>
      <w:pPr>
        <w:ind w:left="6281" w:hanging="360"/>
      </w:pPr>
      <w:rPr>
        <w:rFonts w:ascii="Symbol" w:hAnsi="Symbol" w:hint="default"/>
      </w:rPr>
    </w:lvl>
    <w:lvl w:ilvl="7" w:tplc="0C090003" w:tentative="1">
      <w:start w:val="1"/>
      <w:numFmt w:val="bullet"/>
      <w:lvlText w:val="o"/>
      <w:lvlJc w:val="left"/>
      <w:pPr>
        <w:ind w:left="7001" w:hanging="360"/>
      </w:pPr>
      <w:rPr>
        <w:rFonts w:ascii="Courier New" w:hAnsi="Courier New" w:cs="Courier New" w:hint="default"/>
      </w:rPr>
    </w:lvl>
    <w:lvl w:ilvl="8" w:tplc="0C090005" w:tentative="1">
      <w:start w:val="1"/>
      <w:numFmt w:val="bullet"/>
      <w:lvlText w:val=""/>
      <w:lvlJc w:val="left"/>
      <w:pPr>
        <w:ind w:left="7721" w:hanging="360"/>
      </w:pPr>
      <w:rPr>
        <w:rFonts w:ascii="Wingdings" w:hAnsi="Wingdings" w:hint="default"/>
      </w:rPr>
    </w:lvl>
  </w:abstractNum>
  <w:abstractNum w:abstractNumId="12">
    <w:nsid w:val="18576930"/>
    <w:multiLevelType w:val="hybridMultilevel"/>
    <w:tmpl w:val="23CCC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B9A2457"/>
    <w:multiLevelType w:val="hybridMultilevel"/>
    <w:tmpl w:val="E15C3B16"/>
    <w:lvl w:ilvl="0" w:tplc="0394C0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0D8251C"/>
    <w:multiLevelType w:val="hybridMultilevel"/>
    <w:tmpl w:val="DF4268C8"/>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Arial"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Arial"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Arial"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5">
    <w:nsid w:val="25D10244"/>
    <w:multiLevelType w:val="hybridMultilevel"/>
    <w:tmpl w:val="41524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6F657ED"/>
    <w:multiLevelType w:val="hybridMultilevel"/>
    <w:tmpl w:val="CE7E3B26"/>
    <w:lvl w:ilvl="0" w:tplc="9F1C8E8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B075CC9"/>
    <w:multiLevelType w:val="multilevel"/>
    <w:tmpl w:val="C37E6462"/>
    <w:lvl w:ilvl="0">
      <w:start w:val="1"/>
      <w:numFmt w:val="decimal"/>
      <w:lvlText w:val="(%1)"/>
      <w:lvlJc w:val="left"/>
      <w:pPr>
        <w:ind w:left="717" w:hanging="360"/>
      </w:pPr>
      <w:rPr>
        <w:rFonts w:ascii="Times New Roman" w:hAnsi="Times New Roman" w:hint="default"/>
        <w:b w:val="0"/>
        <w:i w:val="0"/>
        <w:sz w:val="20"/>
      </w:rPr>
    </w:lvl>
    <w:lvl w:ilvl="1">
      <w:start w:val="1"/>
      <w:numFmt w:val="lowerLetter"/>
      <w:lvlText w:val="(%2)"/>
      <w:lvlJc w:val="left"/>
      <w:pPr>
        <w:ind w:left="1077"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lvlText w:val="(%3)"/>
      <w:lvlJc w:val="left"/>
      <w:pPr>
        <w:ind w:left="1437" w:hanging="360"/>
      </w:pPr>
      <w:rPr>
        <w:rFonts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8">
    <w:nsid w:val="2D525F94"/>
    <w:multiLevelType w:val="hybridMultilevel"/>
    <w:tmpl w:val="493287DA"/>
    <w:lvl w:ilvl="0" w:tplc="0C09000F">
      <w:start w:val="1"/>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9">
    <w:nsid w:val="2E6807EF"/>
    <w:multiLevelType w:val="hybridMultilevel"/>
    <w:tmpl w:val="3CF01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1D90C0E"/>
    <w:multiLevelType w:val="hybridMultilevel"/>
    <w:tmpl w:val="65CA815C"/>
    <w:lvl w:ilvl="0" w:tplc="0C090011">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1">
    <w:nsid w:val="32047364"/>
    <w:multiLevelType w:val="hybridMultilevel"/>
    <w:tmpl w:val="17B84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5497C04"/>
    <w:multiLevelType w:val="hybridMultilevel"/>
    <w:tmpl w:val="51C20A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8D215F8"/>
    <w:multiLevelType w:val="hybridMultilevel"/>
    <w:tmpl w:val="47D88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0774F1A"/>
    <w:multiLevelType w:val="multilevel"/>
    <w:tmpl w:val="DA104F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080"/>
        </w:tabs>
        <w:ind w:left="720" w:hanging="720"/>
      </w:pPr>
      <w:rPr>
        <w:rFonts w:cs="Times New Roman"/>
      </w:rPr>
    </w:lvl>
    <w:lvl w:ilvl="2">
      <w:start w:val="1"/>
      <w:numFmt w:val="decimal"/>
      <w:lvlText w:val="%1.%2.%3"/>
      <w:lvlJc w:val="left"/>
      <w:pPr>
        <w:tabs>
          <w:tab w:val="num" w:pos="144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nsid w:val="422309DF"/>
    <w:multiLevelType w:val="hybridMultilevel"/>
    <w:tmpl w:val="BBE4C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3C06547"/>
    <w:multiLevelType w:val="hybridMultilevel"/>
    <w:tmpl w:val="3158754E"/>
    <w:lvl w:ilvl="0" w:tplc="E5CC8A56">
      <w:start w:val="1"/>
      <w:numFmt w:val="bullet"/>
      <w:pStyle w:val="BulletLast"/>
      <w:lvlText w:val=""/>
      <w:lvlJc w:val="left"/>
      <w:pPr>
        <w:ind w:left="1083" w:hanging="360"/>
      </w:pPr>
      <w:rPr>
        <w:rFonts w:ascii="Symbol" w:hAnsi="Symbol" w:hint="default"/>
      </w:rPr>
    </w:lvl>
    <w:lvl w:ilvl="1" w:tplc="0C090003">
      <w:start w:val="1"/>
      <w:numFmt w:val="bullet"/>
      <w:lvlText w:val="o"/>
      <w:lvlJc w:val="left"/>
      <w:pPr>
        <w:ind w:left="1803" w:hanging="360"/>
      </w:pPr>
      <w:rPr>
        <w:rFonts w:ascii="Courier New" w:hAnsi="Courier New" w:cs="Courier New" w:hint="default"/>
      </w:rPr>
    </w:lvl>
    <w:lvl w:ilvl="2" w:tplc="0C090005">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7">
    <w:nsid w:val="44367C8E"/>
    <w:multiLevelType w:val="hybridMultilevel"/>
    <w:tmpl w:val="6F2A32E0"/>
    <w:lvl w:ilvl="0" w:tplc="B310F7D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4D678DA"/>
    <w:multiLevelType w:val="hybridMultilevel"/>
    <w:tmpl w:val="16D089EC"/>
    <w:lvl w:ilvl="0" w:tplc="EFA8B3AC">
      <w:start w:val="1"/>
      <w:numFmt w:val="lowerLetter"/>
      <w:lvlText w:val="%1)"/>
      <w:lvlJc w:val="left"/>
      <w:pPr>
        <w:ind w:left="720" w:hanging="360"/>
      </w:pPr>
      <w:rPr>
        <w:rFonts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5691102"/>
    <w:multiLevelType w:val="hybridMultilevel"/>
    <w:tmpl w:val="494A1FF6"/>
    <w:lvl w:ilvl="0" w:tplc="0C090011">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0">
    <w:nsid w:val="47566048"/>
    <w:multiLevelType w:val="hybridMultilevel"/>
    <w:tmpl w:val="52FCE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ACF2B83"/>
    <w:multiLevelType w:val="multilevel"/>
    <w:tmpl w:val="91EA314C"/>
    <w:lvl w:ilvl="0">
      <w:start w:val="1"/>
      <w:numFmt w:val="decimal"/>
      <w:pStyle w:val="Heading1"/>
      <w:lvlText w:val="%1"/>
      <w:lvlJc w:val="left"/>
      <w:pPr>
        <w:tabs>
          <w:tab w:val="num" w:pos="720"/>
        </w:tabs>
        <w:ind w:left="720" w:hanging="720"/>
      </w:pPr>
      <w:rPr>
        <w:rFonts w:cs="Times New Roman"/>
      </w:rPr>
    </w:lvl>
    <w:lvl w:ilvl="1">
      <w:start w:val="1"/>
      <w:numFmt w:val="decimal"/>
      <w:pStyle w:val="Heading2"/>
      <w:lvlText w:val="%1.%2"/>
      <w:lvlJc w:val="left"/>
      <w:pPr>
        <w:tabs>
          <w:tab w:val="num" w:pos="1222"/>
        </w:tabs>
        <w:ind w:left="862" w:hanging="720"/>
      </w:pPr>
      <w:rPr>
        <w:rFonts w:cs="Times New Roman"/>
      </w:rPr>
    </w:lvl>
    <w:lvl w:ilvl="2">
      <w:start w:val="1"/>
      <w:numFmt w:val="decimal"/>
      <w:pStyle w:val="Heading3"/>
      <w:lvlText w:val="%1.%2.%3"/>
      <w:lvlJc w:val="left"/>
      <w:pPr>
        <w:tabs>
          <w:tab w:val="num" w:pos="5125"/>
        </w:tabs>
        <w:ind w:left="4405"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2">
    <w:nsid w:val="569C589C"/>
    <w:multiLevelType w:val="multilevel"/>
    <w:tmpl w:val="3BA80B6C"/>
    <w:lvl w:ilvl="0">
      <w:start w:val="1"/>
      <w:numFmt w:val="decimal"/>
      <w:pStyle w:val="HeadingAppendix1"/>
      <w:lvlText w:val="Appendix %1"/>
      <w:lvlJc w:val="left"/>
      <w:pPr>
        <w:ind w:left="2693" w:hanging="2693"/>
      </w:pPr>
      <w:rPr>
        <w:rFonts w:hint="default"/>
      </w:rPr>
    </w:lvl>
    <w:lvl w:ilvl="1">
      <w:start w:val="1"/>
      <w:numFmt w:val="decimal"/>
      <w:pStyle w:val="HeadingAppendix2"/>
      <w:lvlText w:val="A%1.%2"/>
      <w:lvlJc w:val="left"/>
      <w:pPr>
        <w:ind w:left="907" w:hanging="907"/>
      </w:pPr>
      <w:rPr>
        <w:rFonts w:cs="Times New Roman"/>
        <w:bCs w:val="0"/>
        <w:i w:val="0"/>
        <w:iCs w:val="0"/>
        <w:caps w:val="0"/>
        <w:smallCaps w:val="0"/>
        <w:strike w:val="0"/>
        <w:dstrike w:val="0"/>
        <w:noProof w:val="0"/>
        <w:vanish w:val="0"/>
        <w:color w:val="000000"/>
        <w:spacing w:val="0"/>
        <w:position w:val="0"/>
        <w:u w:val="none"/>
        <w:vertAlign w:val="baseline"/>
        <w:em w:val="none"/>
      </w:rPr>
    </w:lvl>
    <w:lvl w:ilvl="2">
      <w:start w:val="1"/>
      <w:numFmt w:val="decimal"/>
      <w:pStyle w:val="HeadingAppendix3"/>
      <w:lvlText w:val="A%1.%2.%3"/>
      <w:lvlJc w:val="left"/>
      <w:pPr>
        <w:ind w:left="907" w:hanging="907"/>
      </w:pPr>
      <w:rPr>
        <w:rFonts w:hint="default"/>
      </w:rPr>
    </w:lvl>
    <w:lvl w:ilvl="3">
      <w:start w:val="1"/>
      <w:numFmt w:val="decimal"/>
      <w:lvlText w:val="%4."/>
      <w:lvlJc w:val="left"/>
      <w:pPr>
        <w:ind w:left="2693" w:hanging="2693"/>
      </w:pPr>
      <w:rPr>
        <w:rFonts w:hint="default"/>
      </w:rPr>
    </w:lvl>
    <w:lvl w:ilvl="4">
      <w:start w:val="1"/>
      <w:numFmt w:val="lowerLetter"/>
      <w:lvlText w:val="%5."/>
      <w:lvlJc w:val="left"/>
      <w:pPr>
        <w:ind w:left="2693" w:hanging="2693"/>
      </w:pPr>
      <w:rPr>
        <w:rFonts w:hint="default"/>
      </w:rPr>
    </w:lvl>
    <w:lvl w:ilvl="5">
      <w:start w:val="1"/>
      <w:numFmt w:val="lowerRoman"/>
      <w:lvlText w:val="%6."/>
      <w:lvlJc w:val="right"/>
      <w:pPr>
        <w:ind w:left="2693" w:hanging="2693"/>
      </w:pPr>
      <w:rPr>
        <w:rFonts w:hint="default"/>
      </w:rPr>
    </w:lvl>
    <w:lvl w:ilvl="6">
      <w:start w:val="1"/>
      <w:numFmt w:val="decimal"/>
      <w:lvlText w:val="%7."/>
      <w:lvlJc w:val="left"/>
      <w:pPr>
        <w:ind w:left="2693" w:hanging="2693"/>
      </w:pPr>
      <w:rPr>
        <w:rFonts w:hint="default"/>
      </w:rPr>
    </w:lvl>
    <w:lvl w:ilvl="7">
      <w:start w:val="1"/>
      <w:numFmt w:val="lowerLetter"/>
      <w:lvlText w:val="%8."/>
      <w:lvlJc w:val="left"/>
      <w:pPr>
        <w:ind w:left="2693" w:hanging="2693"/>
      </w:pPr>
      <w:rPr>
        <w:rFonts w:hint="default"/>
      </w:rPr>
    </w:lvl>
    <w:lvl w:ilvl="8">
      <w:start w:val="1"/>
      <w:numFmt w:val="lowerRoman"/>
      <w:lvlText w:val="%9."/>
      <w:lvlJc w:val="right"/>
      <w:pPr>
        <w:ind w:left="2693" w:hanging="2693"/>
      </w:pPr>
      <w:rPr>
        <w:rFonts w:hint="default"/>
      </w:rPr>
    </w:lvl>
  </w:abstractNum>
  <w:abstractNum w:abstractNumId="33">
    <w:nsid w:val="58516BFF"/>
    <w:multiLevelType w:val="hybridMultilevel"/>
    <w:tmpl w:val="D9CA9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A565032"/>
    <w:multiLevelType w:val="multilevel"/>
    <w:tmpl w:val="1C2C1154"/>
    <w:lvl w:ilvl="0">
      <w:start w:val="1"/>
      <w:numFmt w:val="lowerLetter"/>
      <w:lvlText w:val="(%1)"/>
      <w:lvlJc w:val="left"/>
      <w:pPr>
        <w:ind w:left="680" w:hanging="396"/>
      </w:pPr>
      <w:rPr>
        <w:rFonts w:hint="default"/>
        <w:b/>
      </w:rPr>
    </w:lvl>
    <w:lvl w:ilvl="1">
      <w:start w:val="1"/>
      <w:numFmt w:val="lowerRoman"/>
      <w:lvlText w:val="(%2)"/>
      <w:lvlJc w:val="left"/>
      <w:pPr>
        <w:ind w:left="1701" w:hanging="624"/>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5">
    <w:nsid w:val="5BFC0F86"/>
    <w:multiLevelType w:val="hybridMultilevel"/>
    <w:tmpl w:val="967807A0"/>
    <w:lvl w:ilvl="0" w:tplc="080C19FA">
      <w:start w:val="1"/>
      <w:numFmt w:val="bullet"/>
      <w:pStyle w:val="TableBullet"/>
      <w:lvlText w:val=""/>
      <w:lvlJc w:val="left"/>
      <w:pPr>
        <w:tabs>
          <w:tab w:val="num" w:pos="360"/>
        </w:tabs>
        <w:ind w:left="216" w:hanging="216"/>
      </w:pPr>
      <w:rPr>
        <w:rFonts w:ascii="Symbol" w:hAnsi="Symbol" w:hint="default"/>
        <w:sz w:val="16"/>
      </w:rPr>
    </w:lvl>
    <w:lvl w:ilvl="1" w:tplc="F9E2E734" w:tentative="1">
      <w:start w:val="1"/>
      <w:numFmt w:val="bullet"/>
      <w:lvlText w:val="o"/>
      <w:lvlJc w:val="left"/>
      <w:pPr>
        <w:tabs>
          <w:tab w:val="num" w:pos="1440"/>
        </w:tabs>
        <w:ind w:left="1440" w:hanging="360"/>
      </w:pPr>
      <w:rPr>
        <w:rFonts w:ascii="Courier New" w:hAnsi="Courier New" w:hint="default"/>
      </w:rPr>
    </w:lvl>
    <w:lvl w:ilvl="2" w:tplc="6DEEAAA4" w:tentative="1">
      <w:start w:val="1"/>
      <w:numFmt w:val="bullet"/>
      <w:lvlText w:val=""/>
      <w:lvlJc w:val="left"/>
      <w:pPr>
        <w:tabs>
          <w:tab w:val="num" w:pos="2160"/>
        </w:tabs>
        <w:ind w:left="2160" w:hanging="360"/>
      </w:pPr>
      <w:rPr>
        <w:rFonts w:ascii="Wingdings" w:hAnsi="Wingdings" w:hint="default"/>
      </w:rPr>
    </w:lvl>
    <w:lvl w:ilvl="3" w:tplc="C598E346" w:tentative="1">
      <w:start w:val="1"/>
      <w:numFmt w:val="bullet"/>
      <w:lvlText w:val=""/>
      <w:lvlJc w:val="left"/>
      <w:pPr>
        <w:tabs>
          <w:tab w:val="num" w:pos="2880"/>
        </w:tabs>
        <w:ind w:left="2880" w:hanging="360"/>
      </w:pPr>
      <w:rPr>
        <w:rFonts w:ascii="Symbol" w:hAnsi="Symbol" w:hint="default"/>
      </w:rPr>
    </w:lvl>
    <w:lvl w:ilvl="4" w:tplc="790C274C" w:tentative="1">
      <w:start w:val="1"/>
      <w:numFmt w:val="bullet"/>
      <w:lvlText w:val="o"/>
      <w:lvlJc w:val="left"/>
      <w:pPr>
        <w:tabs>
          <w:tab w:val="num" w:pos="3600"/>
        </w:tabs>
        <w:ind w:left="3600" w:hanging="360"/>
      </w:pPr>
      <w:rPr>
        <w:rFonts w:ascii="Courier New" w:hAnsi="Courier New" w:hint="default"/>
      </w:rPr>
    </w:lvl>
    <w:lvl w:ilvl="5" w:tplc="D0E442FA" w:tentative="1">
      <w:start w:val="1"/>
      <w:numFmt w:val="bullet"/>
      <w:lvlText w:val=""/>
      <w:lvlJc w:val="left"/>
      <w:pPr>
        <w:tabs>
          <w:tab w:val="num" w:pos="4320"/>
        </w:tabs>
        <w:ind w:left="4320" w:hanging="360"/>
      </w:pPr>
      <w:rPr>
        <w:rFonts w:ascii="Wingdings" w:hAnsi="Wingdings" w:hint="default"/>
      </w:rPr>
    </w:lvl>
    <w:lvl w:ilvl="6" w:tplc="D24C2F38" w:tentative="1">
      <w:start w:val="1"/>
      <w:numFmt w:val="bullet"/>
      <w:lvlText w:val=""/>
      <w:lvlJc w:val="left"/>
      <w:pPr>
        <w:tabs>
          <w:tab w:val="num" w:pos="5040"/>
        </w:tabs>
        <w:ind w:left="5040" w:hanging="360"/>
      </w:pPr>
      <w:rPr>
        <w:rFonts w:ascii="Symbol" w:hAnsi="Symbol" w:hint="default"/>
      </w:rPr>
    </w:lvl>
    <w:lvl w:ilvl="7" w:tplc="D8A6F982" w:tentative="1">
      <w:start w:val="1"/>
      <w:numFmt w:val="bullet"/>
      <w:lvlText w:val="o"/>
      <w:lvlJc w:val="left"/>
      <w:pPr>
        <w:tabs>
          <w:tab w:val="num" w:pos="5760"/>
        </w:tabs>
        <w:ind w:left="5760" w:hanging="360"/>
      </w:pPr>
      <w:rPr>
        <w:rFonts w:ascii="Courier New" w:hAnsi="Courier New" w:hint="default"/>
      </w:rPr>
    </w:lvl>
    <w:lvl w:ilvl="8" w:tplc="9F1A4FD0" w:tentative="1">
      <w:start w:val="1"/>
      <w:numFmt w:val="bullet"/>
      <w:lvlText w:val=""/>
      <w:lvlJc w:val="left"/>
      <w:pPr>
        <w:tabs>
          <w:tab w:val="num" w:pos="6480"/>
        </w:tabs>
        <w:ind w:left="6480" w:hanging="360"/>
      </w:pPr>
      <w:rPr>
        <w:rFonts w:ascii="Wingdings" w:hAnsi="Wingdings" w:hint="default"/>
      </w:rPr>
    </w:lvl>
  </w:abstractNum>
  <w:abstractNum w:abstractNumId="36">
    <w:nsid w:val="62AB11EF"/>
    <w:multiLevelType w:val="multilevel"/>
    <w:tmpl w:val="6DE0CE06"/>
    <w:lvl w:ilvl="0">
      <w:start w:val="1"/>
      <w:numFmt w:val="lowerLetter"/>
      <w:pStyle w:val="LetteredList"/>
      <w:lvlText w:val="(%1)"/>
      <w:lvlJc w:val="left"/>
      <w:pPr>
        <w:ind w:left="680" w:hanging="396"/>
      </w:pPr>
      <w:rPr>
        <w:rFonts w:hint="default"/>
        <w:b/>
        <w:i w:val="0"/>
        <w:color w:val="auto"/>
        <w:sz w:val="22"/>
      </w:rPr>
    </w:lvl>
    <w:lvl w:ilvl="1">
      <w:start w:val="1"/>
      <w:numFmt w:val="lowerRoman"/>
      <w:lvlText w:val="(%2)"/>
      <w:lvlJc w:val="left"/>
      <w:pPr>
        <w:ind w:left="1701" w:hanging="624"/>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7">
    <w:nsid w:val="69483DDE"/>
    <w:multiLevelType w:val="hybridMultilevel"/>
    <w:tmpl w:val="1CEC0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ABC7145"/>
    <w:multiLevelType w:val="hybridMultilevel"/>
    <w:tmpl w:val="A024266C"/>
    <w:lvl w:ilvl="0" w:tplc="4AAE5956">
      <w:start w:val="1"/>
      <w:numFmt w:val="decimal"/>
      <w:pStyle w:val="ListNumber"/>
      <w:lvlText w:val="%1."/>
      <w:lvlJc w:val="left"/>
      <w:pPr>
        <w:tabs>
          <w:tab w:val="num" w:pos="360"/>
        </w:tabs>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0C0580F"/>
    <w:multiLevelType w:val="hybridMultilevel"/>
    <w:tmpl w:val="8E4C8FFC"/>
    <w:lvl w:ilvl="0" w:tplc="61AEB950">
      <w:start w:val="1"/>
      <w:numFmt w:val="bullet"/>
      <w:pStyle w:val="Dash"/>
      <w:lvlText w:val="–"/>
      <w:lvlJc w:val="left"/>
      <w:pPr>
        <w:tabs>
          <w:tab w:val="num" w:pos="2160"/>
        </w:tabs>
        <w:ind w:left="2160" w:hanging="720"/>
      </w:pPr>
      <w:rPr>
        <w:rFonts w:ascii="Verdana" w:hAnsi="Verdana" w:hint="default"/>
      </w:rPr>
    </w:lvl>
    <w:lvl w:ilvl="1" w:tplc="0C090019" w:tentative="1">
      <w:start w:val="1"/>
      <w:numFmt w:val="bullet"/>
      <w:lvlText w:val="o"/>
      <w:lvlJc w:val="left"/>
      <w:pPr>
        <w:tabs>
          <w:tab w:val="num" w:pos="1800"/>
        </w:tabs>
        <w:ind w:left="1800" w:hanging="360"/>
      </w:pPr>
      <w:rPr>
        <w:rFonts w:ascii="Courier New" w:hAnsi="Courier New" w:hint="default"/>
      </w:rPr>
    </w:lvl>
    <w:lvl w:ilvl="2" w:tplc="0C09001B" w:tentative="1">
      <w:start w:val="1"/>
      <w:numFmt w:val="bullet"/>
      <w:lvlText w:val=""/>
      <w:lvlJc w:val="left"/>
      <w:pPr>
        <w:tabs>
          <w:tab w:val="num" w:pos="2520"/>
        </w:tabs>
        <w:ind w:left="2520" w:hanging="360"/>
      </w:pPr>
      <w:rPr>
        <w:rFonts w:ascii="Wingdings" w:hAnsi="Wingdings" w:hint="default"/>
      </w:rPr>
    </w:lvl>
    <w:lvl w:ilvl="3" w:tplc="0C09000F" w:tentative="1">
      <w:start w:val="1"/>
      <w:numFmt w:val="bullet"/>
      <w:lvlText w:val=""/>
      <w:lvlJc w:val="left"/>
      <w:pPr>
        <w:tabs>
          <w:tab w:val="num" w:pos="3240"/>
        </w:tabs>
        <w:ind w:left="3240" w:hanging="360"/>
      </w:pPr>
      <w:rPr>
        <w:rFonts w:ascii="Symbol" w:hAnsi="Symbol" w:hint="default"/>
      </w:rPr>
    </w:lvl>
    <w:lvl w:ilvl="4" w:tplc="0C090019" w:tentative="1">
      <w:start w:val="1"/>
      <w:numFmt w:val="bullet"/>
      <w:lvlText w:val="o"/>
      <w:lvlJc w:val="left"/>
      <w:pPr>
        <w:tabs>
          <w:tab w:val="num" w:pos="3960"/>
        </w:tabs>
        <w:ind w:left="3960" w:hanging="360"/>
      </w:pPr>
      <w:rPr>
        <w:rFonts w:ascii="Courier New" w:hAnsi="Courier New" w:hint="default"/>
      </w:rPr>
    </w:lvl>
    <w:lvl w:ilvl="5" w:tplc="0C09001B" w:tentative="1">
      <w:start w:val="1"/>
      <w:numFmt w:val="bullet"/>
      <w:lvlText w:val=""/>
      <w:lvlJc w:val="left"/>
      <w:pPr>
        <w:tabs>
          <w:tab w:val="num" w:pos="4680"/>
        </w:tabs>
        <w:ind w:left="4680" w:hanging="360"/>
      </w:pPr>
      <w:rPr>
        <w:rFonts w:ascii="Wingdings" w:hAnsi="Wingdings" w:hint="default"/>
      </w:rPr>
    </w:lvl>
    <w:lvl w:ilvl="6" w:tplc="0C09000F" w:tentative="1">
      <w:start w:val="1"/>
      <w:numFmt w:val="bullet"/>
      <w:lvlText w:val=""/>
      <w:lvlJc w:val="left"/>
      <w:pPr>
        <w:tabs>
          <w:tab w:val="num" w:pos="5400"/>
        </w:tabs>
        <w:ind w:left="5400" w:hanging="360"/>
      </w:pPr>
      <w:rPr>
        <w:rFonts w:ascii="Symbol" w:hAnsi="Symbol" w:hint="default"/>
      </w:rPr>
    </w:lvl>
    <w:lvl w:ilvl="7" w:tplc="0C090019" w:tentative="1">
      <w:start w:val="1"/>
      <w:numFmt w:val="bullet"/>
      <w:lvlText w:val="o"/>
      <w:lvlJc w:val="left"/>
      <w:pPr>
        <w:tabs>
          <w:tab w:val="num" w:pos="6120"/>
        </w:tabs>
        <w:ind w:left="6120" w:hanging="360"/>
      </w:pPr>
      <w:rPr>
        <w:rFonts w:ascii="Courier New" w:hAnsi="Courier New" w:hint="default"/>
      </w:rPr>
    </w:lvl>
    <w:lvl w:ilvl="8" w:tplc="0C09001B" w:tentative="1">
      <w:start w:val="1"/>
      <w:numFmt w:val="bullet"/>
      <w:lvlText w:val=""/>
      <w:lvlJc w:val="left"/>
      <w:pPr>
        <w:tabs>
          <w:tab w:val="num" w:pos="6840"/>
        </w:tabs>
        <w:ind w:left="6840" w:hanging="360"/>
      </w:pPr>
      <w:rPr>
        <w:rFonts w:ascii="Wingdings" w:hAnsi="Wingdings" w:hint="default"/>
      </w:rPr>
    </w:lvl>
  </w:abstractNum>
  <w:abstractNum w:abstractNumId="40">
    <w:nsid w:val="730E407D"/>
    <w:multiLevelType w:val="hybridMultilevel"/>
    <w:tmpl w:val="9D288BB0"/>
    <w:lvl w:ilvl="0" w:tplc="0C090001">
      <w:start w:val="1"/>
      <w:numFmt w:val="bullet"/>
      <w:lvlText w:val=""/>
      <w:lvlJc w:val="left"/>
      <w:pPr>
        <w:ind w:left="1565" w:hanging="360"/>
      </w:pPr>
      <w:rPr>
        <w:rFonts w:ascii="Symbol" w:hAnsi="Symbol" w:hint="default"/>
      </w:rPr>
    </w:lvl>
    <w:lvl w:ilvl="1" w:tplc="0C090003" w:tentative="1">
      <w:start w:val="1"/>
      <w:numFmt w:val="bullet"/>
      <w:lvlText w:val="o"/>
      <w:lvlJc w:val="left"/>
      <w:pPr>
        <w:ind w:left="2285" w:hanging="360"/>
      </w:pPr>
      <w:rPr>
        <w:rFonts w:ascii="Courier New" w:hAnsi="Courier New" w:cs="Courier New" w:hint="default"/>
      </w:rPr>
    </w:lvl>
    <w:lvl w:ilvl="2" w:tplc="0C090005" w:tentative="1">
      <w:start w:val="1"/>
      <w:numFmt w:val="bullet"/>
      <w:lvlText w:val=""/>
      <w:lvlJc w:val="left"/>
      <w:pPr>
        <w:ind w:left="3005" w:hanging="360"/>
      </w:pPr>
      <w:rPr>
        <w:rFonts w:ascii="Wingdings" w:hAnsi="Wingdings" w:hint="default"/>
      </w:rPr>
    </w:lvl>
    <w:lvl w:ilvl="3" w:tplc="0C090001" w:tentative="1">
      <w:start w:val="1"/>
      <w:numFmt w:val="bullet"/>
      <w:lvlText w:val=""/>
      <w:lvlJc w:val="left"/>
      <w:pPr>
        <w:ind w:left="3725" w:hanging="360"/>
      </w:pPr>
      <w:rPr>
        <w:rFonts w:ascii="Symbol" w:hAnsi="Symbol" w:hint="default"/>
      </w:rPr>
    </w:lvl>
    <w:lvl w:ilvl="4" w:tplc="0C090003" w:tentative="1">
      <w:start w:val="1"/>
      <w:numFmt w:val="bullet"/>
      <w:lvlText w:val="o"/>
      <w:lvlJc w:val="left"/>
      <w:pPr>
        <w:ind w:left="4445" w:hanging="360"/>
      </w:pPr>
      <w:rPr>
        <w:rFonts w:ascii="Courier New" w:hAnsi="Courier New" w:cs="Courier New" w:hint="default"/>
      </w:rPr>
    </w:lvl>
    <w:lvl w:ilvl="5" w:tplc="0C090005" w:tentative="1">
      <w:start w:val="1"/>
      <w:numFmt w:val="bullet"/>
      <w:lvlText w:val=""/>
      <w:lvlJc w:val="left"/>
      <w:pPr>
        <w:ind w:left="5165" w:hanging="360"/>
      </w:pPr>
      <w:rPr>
        <w:rFonts w:ascii="Wingdings" w:hAnsi="Wingdings" w:hint="default"/>
      </w:rPr>
    </w:lvl>
    <w:lvl w:ilvl="6" w:tplc="0C090001" w:tentative="1">
      <w:start w:val="1"/>
      <w:numFmt w:val="bullet"/>
      <w:lvlText w:val=""/>
      <w:lvlJc w:val="left"/>
      <w:pPr>
        <w:ind w:left="5885" w:hanging="360"/>
      </w:pPr>
      <w:rPr>
        <w:rFonts w:ascii="Symbol" w:hAnsi="Symbol" w:hint="default"/>
      </w:rPr>
    </w:lvl>
    <w:lvl w:ilvl="7" w:tplc="0C090003" w:tentative="1">
      <w:start w:val="1"/>
      <w:numFmt w:val="bullet"/>
      <w:lvlText w:val="o"/>
      <w:lvlJc w:val="left"/>
      <w:pPr>
        <w:ind w:left="6605" w:hanging="360"/>
      </w:pPr>
      <w:rPr>
        <w:rFonts w:ascii="Courier New" w:hAnsi="Courier New" w:cs="Courier New" w:hint="default"/>
      </w:rPr>
    </w:lvl>
    <w:lvl w:ilvl="8" w:tplc="0C090005" w:tentative="1">
      <w:start w:val="1"/>
      <w:numFmt w:val="bullet"/>
      <w:lvlText w:val=""/>
      <w:lvlJc w:val="left"/>
      <w:pPr>
        <w:ind w:left="7325" w:hanging="360"/>
      </w:pPr>
      <w:rPr>
        <w:rFonts w:ascii="Wingdings" w:hAnsi="Wingdings" w:hint="default"/>
      </w:rPr>
    </w:lvl>
  </w:abstractNum>
  <w:abstractNum w:abstractNumId="41">
    <w:nsid w:val="73FF3C2A"/>
    <w:multiLevelType w:val="hybridMultilevel"/>
    <w:tmpl w:val="84CE7A78"/>
    <w:lvl w:ilvl="0" w:tplc="0C090011">
      <w:start w:val="1"/>
      <w:numFmt w:val="bullet"/>
      <w:lvlText w:val=""/>
      <w:lvlJc w:val="left"/>
      <w:pPr>
        <w:ind w:left="360" w:hanging="360"/>
      </w:pPr>
      <w:rPr>
        <w:rFonts w:ascii="Symbol" w:hAnsi="Symbol" w:hint="default"/>
      </w:rPr>
    </w:lvl>
    <w:lvl w:ilvl="1" w:tplc="54E43686">
      <w:start w:val="1"/>
      <w:numFmt w:val="bullet"/>
      <w:lvlText w:val="o"/>
      <w:lvlJc w:val="left"/>
      <w:pPr>
        <w:ind w:left="1080" w:hanging="360"/>
      </w:pPr>
      <w:rPr>
        <w:rFonts w:ascii="Courier New" w:hAnsi="Courier New" w:cs="Courier New" w:hint="default"/>
      </w:rPr>
    </w:lvl>
    <w:lvl w:ilvl="2" w:tplc="0C09001B">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42">
    <w:nsid w:val="79465082"/>
    <w:multiLevelType w:val="hybridMultilevel"/>
    <w:tmpl w:val="B608F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AD74D2B"/>
    <w:multiLevelType w:val="hybridMultilevel"/>
    <w:tmpl w:val="FC20107E"/>
    <w:lvl w:ilvl="0" w:tplc="8CFC3DEC">
      <w:start w:val="2"/>
      <w:numFmt w:val="bullet"/>
      <w:lvlText w:val="-"/>
      <w:lvlJc w:val="left"/>
      <w:pPr>
        <w:ind w:left="1961" w:hanging="360"/>
      </w:pPr>
      <w:rPr>
        <w:rFonts w:ascii="Arial Narrow" w:eastAsia="Cambria" w:hAnsi="Arial Narrow" w:cs="Times New Roman" w:hint="default"/>
      </w:rPr>
    </w:lvl>
    <w:lvl w:ilvl="1" w:tplc="0C090003" w:tentative="1">
      <w:start w:val="1"/>
      <w:numFmt w:val="bullet"/>
      <w:lvlText w:val="o"/>
      <w:lvlJc w:val="left"/>
      <w:pPr>
        <w:ind w:left="2681" w:hanging="360"/>
      </w:pPr>
      <w:rPr>
        <w:rFonts w:ascii="Courier New" w:hAnsi="Courier New" w:cs="Courier New" w:hint="default"/>
      </w:rPr>
    </w:lvl>
    <w:lvl w:ilvl="2" w:tplc="0C090005" w:tentative="1">
      <w:start w:val="1"/>
      <w:numFmt w:val="bullet"/>
      <w:lvlText w:val=""/>
      <w:lvlJc w:val="left"/>
      <w:pPr>
        <w:ind w:left="3401" w:hanging="360"/>
      </w:pPr>
      <w:rPr>
        <w:rFonts w:ascii="Wingdings" w:hAnsi="Wingdings" w:hint="default"/>
      </w:rPr>
    </w:lvl>
    <w:lvl w:ilvl="3" w:tplc="0C090001" w:tentative="1">
      <w:start w:val="1"/>
      <w:numFmt w:val="bullet"/>
      <w:lvlText w:val=""/>
      <w:lvlJc w:val="left"/>
      <w:pPr>
        <w:ind w:left="4121" w:hanging="360"/>
      </w:pPr>
      <w:rPr>
        <w:rFonts w:ascii="Symbol" w:hAnsi="Symbol" w:hint="default"/>
      </w:rPr>
    </w:lvl>
    <w:lvl w:ilvl="4" w:tplc="0C090003" w:tentative="1">
      <w:start w:val="1"/>
      <w:numFmt w:val="bullet"/>
      <w:lvlText w:val="o"/>
      <w:lvlJc w:val="left"/>
      <w:pPr>
        <w:ind w:left="4841" w:hanging="360"/>
      </w:pPr>
      <w:rPr>
        <w:rFonts w:ascii="Courier New" w:hAnsi="Courier New" w:cs="Courier New" w:hint="default"/>
      </w:rPr>
    </w:lvl>
    <w:lvl w:ilvl="5" w:tplc="0C090005" w:tentative="1">
      <w:start w:val="1"/>
      <w:numFmt w:val="bullet"/>
      <w:lvlText w:val=""/>
      <w:lvlJc w:val="left"/>
      <w:pPr>
        <w:ind w:left="5561" w:hanging="360"/>
      </w:pPr>
      <w:rPr>
        <w:rFonts w:ascii="Wingdings" w:hAnsi="Wingdings" w:hint="default"/>
      </w:rPr>
    </w:lvl>
    <w:lvl w:ilvl="6" w:tplc="0C090001" w:tentative="1">
      <w:start w:val="1"/>
      <w:numFmt w:val="bullet"/>
      <w:lvlText w:val=""/>
      <w:lvlJc w:val="left"/>
      <w:pPr>
        <w:ind w:left="6281" w:hanging="360"/>
      </w:pPr>
      <w:rPr>
        <w:rFonts w:ascii="Symbol" w:hAnsi="Symbol" w:hint="default"/>
      </w:rPr>
    </w:lvl>
    <w:lvl w:ilvl="7" w:tplc="0C090003" w:tentative="1">
      <w:start w:val="1"/>
      <w:numFmt w:val="bullet"/>
      <w:lvlText w:val="o"/>
      <w:lvlJc w:val="left"/>
      <w:pPr>
        <w:ind w:left="7001" w:hanging="360"/>
      </w:pPr>
      <w:rPr>
        <w:rFonts w:ascii="Courier New" w:hAnsi="Courier New" w:cs="Courier New" w:hint="default"/>
      </w:rPr>
    </w:lvl>
    <w:lvl w:ilvl="8" w:tplc="0C090005" w:tentative="1">
      <w:start w:val="1"/>
      <w:numFmt w:val="bullet"/>
      <w:lvlText w:val=""/>
      <w:lvlJc w:val="left"/>
      <w:pPr>
        <w:ind w:left="7721" w:hanging="360"/>
      </w:pPr>
      <w:rPr>
        <w:rFonts w:ascii="Wingdings" w:hAnsi="Wingdings" w:hint="default"/>
      </w:rPr>
    </w:lvl>
  </w:abstractNum>
  <w:abstractNum w:abstractNumId="44">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7EA552EB"/>
    <w:multiLevelType w:val="hybridMultilevel"/>
    <w:tmpl w:val="BB56791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35"/>
  </w:num>
  <w:num w:numId="3">
    <w:abstractNumId w:val="3"/>
    <w:lvlOverride w:ilvl="0">
      <w:lvl w:ilvl="0">
        <w:start w:val="1"/>
        <w:numFmt w:val="bullet"/>
        <w:pStyle w:val="QuoteBullet"/>
        <w:lvlText w:val=""/>
        <w:legacy w:legacy="1" w:legacySpace="0" w:legacyIndent="360"/>
        <w:lvlJc w:val="left"/>
        <w:pPr>
          <w:ind w:left="360" w:hanging="360"/>
        </w:pPr>
        <w:rPr>
          <w:rFonts w:ascii="Symbol" w:hAnsi="Symbol" w:hint="default"/>
        </w:rPr>
      </w:lvl>
    </w:lvlOverride>
  </w:num>
  <w:num w:numId="4">
    <w:abstractNumId w:val="5"/>
  </w:num>
  <w:num w:numId="5">
    <w:abstractNumId w:val="26"/>
  </w:num>
  <w:num w:numId="6">
    <w:abstractNumId w:val="32"/>
  </w:num>
  <w:num w:numId="7">
    <w:abstractNumId w:val="31"/>
  </w:num>
  <w:num w:numId="8">
    <w:abstractNumId w:val="18"/>
  </w:num>
  <w:num w:numId="9">
    <w:abstractNumId w:val="1"/>
  </w:num>
  <w:num w:numId="10">
    <w:abstractNumId w:val="34"/>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4"/>
  </w:num>
  <w:num w:numId="14">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40"/>
  </w:num>
  <w:num w:numId="18">
    <w:abstractNumId w:val="0"/>
  </w:num>
  <w:num w:numId="19">
    <w:abstractNumId w:val="4"/>
  </w:num>
  <w:num w:numId="20">
    <w:abstractNumId w:val="28"/>
  </w:num>
  <w:num w:numId="21">
    <w:abstractNumId w:val="27"/>
  </w:num>
  <w:num w:numId="22">
    <w:abstractNumId w:val="29"/>
  </w:num>
  <w:num w:numId="23">
    <w:abstractNumId w:val="2"/>
  </w:num>
  <w:num w:numId="24">
    <w:abstractNumId w:val="14"/>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43"/>
  </w:num>
  <w:num w:numId="28">
    <w:abstractNumId w:val="11"/>
  </w:num>
  <w:num w:numId="29">
    <w:abstractNumId w:val="39"/>
  </w:num>
  <w:num w:numId="30">
    <w:abstractNumId w:val="41"/>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38"/>
    <w:lvlOverride w:ilvl="0">
      <w:startOverride w:val="1"/>
    </w:lvlOverride>
  </w:num>
  <w:num w:numId="34">
    <w:abstractNumId w:val="19"/>
  </w:num>
  <w:num w:numId="35">
    <w:abstractNumId w:val="22"/>
  </w:num>
  <w:num w:numId="36">
    <w:abstractNumId w:val="8"/>
  </w:num>
  <w:num w:numId="37">
    <w:abstractNumId w:val="45"/>
  </w:num>
  <w:num w:numId="38">
    <w:abstractNumId w:val="42"/>
  </w:num>
  <w:num w:numId="39">
    <w:abstractNumId w:val="9"/>
  </w:num>
  <w:num w:numId="40">
    <w:abstractNumId w:val="16"/>
  </w:num>
  <w:num w:numId="41">
    <w:abstractNumId w:val="10"/>
  </w:num>
  <w:num w:numId="42">
    <w:abstractNumId w:val="30"/>
  </w:num>
  <w:num w:numId="43">
    <w:abstractNumId w:val="33"/>
  </w:num>
  <w:num w:numId="44">
    <w:abstractNumId w:val="21"/>
  </w:num>
  <w:num w:numId="45">
    <w:abstractNumId w:val="44"/>
  </w:num>
  <w:num w:numId="46">
    <w:abstractNumId w:val="37"/>
  </w:num>
  <w:num w:numId="47">
    <w:abstractNumId w:val="25"/>
  </w:num>
  <w:num w:numId="48">
    <w:abstractNumId w:val="7"/>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 w:numId="51">
    <w:abstractNumId w:val="36"/>
  </w:num>
  <w:num w:numId="52">
    <w:abstractNumId w:val="36"/>
  </w:num>
  <w:num w:numId="53">
    <w:abstractNumId w:val="38"/>
    <w:lvlOverride w:ilvl="0">
      <w:startOverride w:val="1"/>
    </w:lvlOverride>
  </w:num>
  <w:num w:numId="54">
    <w:abstractNumId w:val="13"/>
  </w:num>
  <w:num w:numId="55">
    <w:abstractNumId w:val="38"/>
    <w:lvlOverride w:ilvl="0">
      <w:startOverride w:val="1"/>
    </w:lvlOverride>
  </w:num>
  <w:num w:numId="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num>
  <w:num w:numId="62">
    <w:abstractNumId w:val="6"/>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8" w:nlCheck="1" w:checkStyle="0"/>
  <w:activeWritingStyle w:appName="MSWord" w:lang="en-AU" w:vendorID="64" w:dllVersion="131078" w:nlCheck="1" w:checkStyle="0"/>
  <w:activeWritingStyle w:appName="MSWord" w:lang="en-US" w:vendorID="64" w:dllVersion="131078" w:nlCheck="1" w:checkStyle="0"/>
  <w:proofState w:spelling="clean" w:grammar="clean"/>
  <w:stylePaneFormatFilter w:val="9021"/>
  <w:stylePaneSortMethod w:val="0000"/>
  <w:documentProtection w:formatting="1" w:enforcement="0"/>
  <w:styleLockTheme/>
  <w:defaultTabStop w:val="720"/>
  <w:evenAndOddHeaders/>
  <w:drawingGridHorizontalSpacing w:val="110"/>
  <w:displayHorizontalDrawingGridEvery w:val="2"/>
  <w:characterSpacingControl w:val="doNotCompress"/>
  <w:hdrShapeDefaults>
    <o:shapedefaults v:ext="edit" spidmax="2137" fillcolor="none [3200]" strokecolor="none [3212]">
      <v:fill color="none [3200]"/>
      <v:stroke color="none [3212]" weight="0"/>
      <v:shadow type="perspective" color="none [1601]" opacity=".5" offset="1pt" offset2="-1pt"/>
      <o:colormru v:ext="edit" colors="black"/>
    </o:shapedefaults>
    <o:shapelayout v:ext="edit">
      <o:idmap v:ext="edit" data="2"/>
    </o:shapelayout>
  </w:hdrShapeDefaults>
  <w:footnotePr>
    <w:footnote w:id="-1"/>
    <w:footnote w:id="0"/>
    <w:footnote w:id="1"/>
  </w:footnotePr>
  <w:endnotePr>
    <w:pos w:val="sectEnd"/>
    <w:numFmt w:val="decimal"/>
    <w:endnote w:id="-1"/>
    <w:endnote w:id="0"/>
  </w:endnotePr>
  <w:compat/>
  <w:docVars>
    <w:docVar w:name="EN.InstantFormat" w:val="&lt;ENInstantFormat&gt;&lt;Enabled&gt;1&lt;/Enabled&gt;&lt;ScanUnformatted&gt;0&lt;/ScanUnformatted&gt;&lt;ScanChanges&gt;1&lt;/ScanChanges&gt;&lt;Suspended&gt;0&lt;/Suspended&gt;&lt;/ENInstantFormat&gt;"/>
    <w:docVar w:name="EN.Layout" w:val="&lt;ENLayout&gt;&lt;Style&gt;ICRC&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0xfx5d9ss0wzred9wbpa5e4zwfrepsaw0v9&quot;&gt;Jayanthi EndNote Library&lt;record-ids&gt;&lt;item&gt;443&lt;/item&gt;&lt;item&gt;459&lt;/item&gt;&lt;item&gt;461&lt;/item&gt;&lt;item&gt;623&lt;/item&gt;&lt;item&gt;624&lt;/item&gt;&lt;item&gt;625&lt;/item&gt;&lt;item&gt;626&lt;/item&gt;&lt;item&gt;627&lt;/item&gt;&lt;item&gt;629&lt;/item&gt;&lt;item&gt;630&lt;/item&gt;&lt;item&gt;631&lt;/item&gt;&lt;item&gt;634&lt;/item&gt;&lt;item&gt;635&lt;/item&gt;&lt;item&gt;636&lt;/item&gt;&lt;item&gt;637&lt;/item&gt;&lt;item&gt;638&lt;/item&gt;&lt;item&gt;639&lt;/item&gt;&lt;/record-ids&gt;&lt;/item&gt;&lt;/Libraries&gt;"/>
  </w:docVars>
  <w:rsids>
    <w:rsidRoot w:val="005123B8"/>
    <w:rsid w:val="0000003A"/>
    <w:rsid w:val="0000005F"/>
    <w:rsid w:val="00000086"/>
    <w:rsid w:val="0000019A"/>
    <w:rsid w:val="0000019F"/>
    <w:rsid w:val="000003CD"/>
    <w:rsid w:val="00000594"/>
    <w:rsid w:val="00000646"/>
    <w:rsid w:val="00000798"/>
    <w:rsid w:val="000008FF"/>
    <w:rsid w:val="0000091B"/>
    <w:rsid w:val="0000092A"/>
    <w:rsid w:val="00000ABE"/>
    <w:rsid w:val="00000B8D"/>
    <w:rsid w:val="00000C99"/>
    <w:rsid w:val="00000CB8"/>
    <w:rsid w:val="00000CF1"/>
    <w:rsid w:val="00000E58"/>
    <w:rsid w:val="00000EEE"/>
    <w:rsid w:val="000010D0"/>
    <w:rsid w:val="00001196"/>
    <w:rsid w:val="00001248"/>
    <w:rsid w:val="000014DB"/>
    <w:rsid w:val="00001571"/>
    <w:rsid w:val="00001610"/>
    <w:rsid w:val="0000165D"/>
    <w:rsid w:val="00001706"/>
    <w:rsid w:val="00001719"/>
    <w:rsid w:val="00001961"/>
    <w:rsid w:val="000019D0"/>
    <w:rsid w:val="00001A64"/>
    <w:rsid w:val="00001B4C"/>
    <w:rsid w:val="00001B56"/>
    <w:rsid w:val="00001BA4"/>
    <w:rsid w:val="00001C65"/>
    <w:rsid w:val="00001DC3"/>
    <w:rsid w:val="00001E01"/>
    <w:rsid w:val="00001FB0"/>
    <w:rsid w:val="0000210F"/>
    <w:rsid w:val="00002137"/>
    <w:rsid w:val="0000220C"/>
    <w:rsid w:val="00002215"/>
    <w:rsid w:val="000023D0"/>
    <w:rsid w:val="0000240B"/>
    <w:rsid w:val="0000240F"/>
    <w:rsid w:val="000025E5"/>
    <w:rsid w:val="0000266D"/>
    <w:rsid w:val="00002767"/>
    <w:rsid w:val="000028E1"/>
    <w:rsid w:val="00002A16"/>
    <w:rsid w:val="00002C07"/>
    <w:rsid w:val="00002CE1"/>
    <w:rsid w:val="00002D86"/>
    <w:rsid w:val="00002F3E"/>
    <w:rsid w:val="00002F3F"/>
    <w:rsid w:val="000031A3"/>
    <w:rsid w:val="00003227"/>
    <w:rsid w:val="000032D2"/>
    <w:rsid w:val="00003375"/>
    <w:rsid w:val="00003449"/>
    <w:rsid w:val="0000385D"/>
    <w:rsid w:val="000039C7"/>
    <w:rsid w:val="00003AA7"/>
    <w:rsid w:val="00003AD0"/>
    <w:rsid w:val="00003C22"/>
    <w:rsid w:val="00003C33"/>
    <w:rsid w:val="00003C3C"/>
    <w:rsid w:val="00003C6F"/>
    <w:rsid w:val="00003DDD"/>
    <w:rsid w:val="00003E12"/>
    <w:rsid w:val="000040CD"/>
    <w:rsid w:val="00004112"/>
    <w:rsid w:val="000042B1"/>
    <w:rsid w:val="00004331"/>
    <w:rsid w:val="00004345"/>
    <w:rsid w:val="000043A5"/>
    <w:rsid w:val="000044CC"/>
    <w:rsid w:val="000044F9"/>
    <w:rsid w:val="0000455F"/>
    <w:rsid w:val="000045D1"/>
    <w:rsid w:val="0000462F"/>
    <w:rsid w:val="0000471C"/>
    <w:rsid w:val="0000476E"/>
    <w:rsid w:val="00004B0B"/>
    <w:rsid w:val="00004B79"/>
    <w:rsid w:val="00004B81"/>
    <w:rsid w:val="00004D00"/>
    <w:rsid w:val="00004E3A"/>
    <w:rsid w:val="00004F11"/>
    <w:rsid w:val="00004F1F"/>
    <w:rsid w:val="000050AA"/>
    <w:rsid w:val="00005116"/>
    <w:rsid w:val="00005127"/>
    <w:rsid w:val="00005150"/>
    <w:rsid w:val="000051F1"/>
    <w:rsid w:val="000052D0"/>
    <w:rsid w:val="0000542D"/>
    <w:rsid w:val="00005543"/>
    <w:rsid w:val="00005554"/>
    <w:rsid w:val="0000567C"/>
    <w:rsid w:val="000057D1"/>
    <w:rsid w:val="00005AEE"/>
    <w:rsid w:val="00005B3D"/>
    <w:rsid w:val="00005B3E"/>
    <w:rsid w:val="00005B70"/>
    <w:rsid w:val="00005B7D"/>
    <w:rsid w:val="00005BA2"/>
    <w:rsid w:val="00005D62"/>
    <w:rsid w:val="00005E98"/>
    <w:rsid w:val="00006000"/>
    <w:rsid w:val="000061FA"/>
    <w:rsid w:val="000064A9"/>
    <w:rsid w:val="00006859"/>
    <w:rsid w:val="0000695B"/>
    <w:rsid w:val="00006A2C"/>
    <w:rsid w:val="00006A62"/>
    <w:rsid w:val="00006B34"/>
    <w:rsid w:val="00006C61"/>
    <w:rsid w:val="00006CE7"/>
    <w:rsid w:val="00006D70"/>
    <w:rsid w:val="00006EA7"/>
    <w:rsid w:val="00007041"/>
    <w:rsid w:val="000070A2"/>
    <w:rsid w:val="000070C2"/>
    <w:rsid w:val="00007198"/>
    <w:rsid w:val="0000726C"/>
    <w:rsid w:val="0000732B"/>
    <w:rsid w:val="000074E3"/>
    <w:rsid w:val="00007844"/>
    <w:rsid w:val="00007880"/>
    <w:rsid w:val="00007A2C"/>
    <w:rsid w:val="00007BEA"/>
    <w:rsid w:val="00007E1C"/>
    <w:rsid w:val="00007E23"/>
    <w:rsid w:val="00007FB5"/>
    <w:rsid w:val="00010370"/>
    <w:rsid w:val="00010436"/>
    <w:rsid w:val="00010458"/>
    <w:rsid w:val="000106D8"/>
    <w:rsid w:val="00010857"/>
    <w:rsid w:val="00010A8E"/>
    <w:rsid w:val="00010AD0"/>
    <w:rsid w:val="00010B28"/>
    <w:rsid w:val="00010EAE"/>
    <w:rsid w:val="00011266"/>
    <w:rsid w:val="000112FF"/>
    <w:rsid w:val="000113AB"/>
    <w:rsid w:val="00011457"/>
    <w:rsid w:val="00011515"/>
    <w:rsid w:val="00011611"/>
    <w:rsid w:val="0001166E"/>
    <w:rsid w:val="000116EA"/>
    <w:rsid w:val="00011A94"/>
    <w:rsid w:val="00011B91"/>
    <w:rsid w:val="00011BB5"/>
    <w:rsid w:val="00011DFB"/>
    <w:rsid w:val="00011E35"/>
    <w:rsid w:val="00012018"/>
    <w:rsid w:val="00012182"/>
    <w:rsid w:val="000125D0"/>
    <w:rsid w:val="00012870"/>
    <w:rsid w:val="00012AAB"/>
    <w:rsid w:val="00012AEE"/>
    <w:rsid w:val="00012CC1"/>
    <w:rsid w:val="00012D17"/>
    <w:rsid w:val="00012DF0"/>
    <w:rsid w:val="00012E87"/>
    <w:rsid w:val="00012EDE"/>
    <w:rsid w:val="00012F28"/>
    <w:rsid w:val="00012F43"/>
    <w:rsid w:val="00012F88"/>
    <w:rsid w:val="000130ED"/>
    <w:rsid w:val="0001321D"/>
    <w:rsid w:val="00013477"/>
    <w:rsid w:val="00013767"/>
    <w:rsid w:val="0001391F"/>
    <w:rsid w:val="00013B51"/>
    <w:rsid w:val="00013B77"/>
    <w:rsid w:val="00013BA5"/>
    <w:rsid w:val="00013CC4"/>
    <w:rsid w:val="00013E0E"/>
    <w:rsid w:val="00013EBE"/>
    <w:rsid w:val="00013F00"/>
    <w:rsid w:val="00014108"/>
    <w:rsid w:val="00014150"/>
    <w:rsid w:val="000141CA"/>
    <w:rsid w:val="0001440E"/>
    <w:rsid w:val="00014453"/>
    <w:rsid w:val="00014476"/>
    <w:rsid w:val="00014665"/>
    <w:rsid w:val="00014771"/>
    <w:rsid w:val="0001481B"/>
    <w:rsid w:val="00014B1C"/>
    <w:rsid w:val="00014D0B"/>
    <w:rsid w:val="00014D13"/>
    <w:rsid w:val="000150CA"/>
    <w:rsid w:val="0001510D"/>
    <w:rsid w:val="000151F3"/>
    <w:rsid w:val="0001532C"/>
    <w:rsid w:val="00015481"/>
    <w:rsid w:val="0001550D"/>
    <w:rsid w:val="0001551E"/>
    <w:rsid w:val="000155B6"/>
    <w:rsid w:val="000155EA"/>
    <w:rsid w:val="0001566A"/>
    <w:rsid w:val="000158FC"/>
    <w:rsid w:val="00015A5F"/>
    <w:rsid w:val="00015D63"/>
    <w:rsid w:val="00015EBD"/>
    <w:rsid w:val="00015F3F"/>
    <w:rsid w:val="0001603E"/>
    <w:rsid w:val="0001604F"/>
    <w:rsid w:val="000160C6"/>
    <w:rsid w:val="00016146"/>
    <w:rsid w:val="0001644E"/>
    <w:rsid w:val="0001660A"/>
    <w:rsid w:val="00016818"/>
    <w:rsid w:val="000168AD"/>
    <w:rsid w:val="00016A55"/>
    <w:rsid w:val="00016A76"/>
    <w:rsid w:val="00016AF3"/>
    <w:rsid w:val="00016F25"/>
    <w:rsid w:val="00016FB1"/>
    <w:rsid w:val="0001742D"/>
    <w:rsid w:val="000174D7"/>
    <w:rsid w:val="0001756A"/>
    <w:rsid w:val="0001776B"/>
    <w:rsid w:val="00017944"/>
    <w:rsid w:val="00017C31"/>
    <w:rsid w:val="00017D71"/>
    <w:rsid w:val="00017EA3"/>
    <w:rsid w:val="00017F87"/>
    <w:rsid w:val="000201AB"/>
    <w:rsid w:val="0002044A"/>
    <w:rsid w:val="00020545"/>
    <w:rsid w:val="00020689"/>
    <w:rsid w:val="000206F9"/>
    <w:rsid w:val="00020C52"/>
    <w:rsid w:val="00020D0B"/>
    <w:rsid w:val="00020E71"/>
    <w:rsid w:val="00020F0D"/>
    <w:rsid w:val="00020FF9"/>
    <w:rsid w:val="000210DB"/>
    <w:rsid w:val="000210E3"/>
    <w:rsid w:val="00021228"/>
    <w:rsid w:val="000212A6"/>
    <w:rsid w:val="0002137B"/>
    <w:rsid w:val="000214AA"/>
    <w:rsid w:val="000218ED"/>
    <w:rsid w:val="0002192E"/>
    <w:rsid w:val="00021984"/>
    <w:rsid w:val="00021A67"/>
    <w:rsid w:val="00021CB1"/>
    <w:rsid w:val="00022038"/>
    <w:rsid w:val="000220A9"/>
    <w:rsid w:val="00022261"/>
    <w:rsid w:val="000222EB"/>
    <w:rsid w:val="0002235D"/>
    <w:rsid w:val="0002249A"/>
    <w:rsid w:val="00022533"/>
    <w:rsid w:val="00022567"/>
    <w:rsid w:val="00022594"/>
    <w:rsid w:val="0002271B"/>
    <w:rsid w:val="0002280B"/>
    <w:rsid w:val="0002290B"/>
    <w:rsid w:val="00022960"/>
    <w:rsid w:val="000229DE"/>
    <w:rsid w:val="000229E6"/>
    <w:rsid w:val="00022CFE"/>
    <w:rsid w:val="00022D23"/>
    <w:rsid w:val="00022DBD"/>
    <w:rsid w:val="0002312F"/>
    <w:rsid w:val="00023202"/>
    <w:rsid w:val="00023211"/>
    <w:rsid w:val="0002322E"/>
    <w:rsid w:val="00023244"/>
    <w:rsid w:val="0002326B"/>
    <w:rsid w:val="000232DD"/>
    <w:rsid w:val="000232FB"/>
    <w:rsid w:val="0002347A"/>
    <w:rsid w:val="000234C6"/>
    <w:rsid w:val="000235DB"/>
    <w:rsid w:val="000236CD"/>
    <w:rsid w:val="00023AC7"/>
    <w:rsid w:val="00023D8C"/>
    <w:rsid w:val="00023EDB"/>
    <w:rsid w:val="00023FD6"/>
    <w:rsid w:val="000240B7"/>
    <w:rsid w:val="000240C2"/>
    <w:rsid w:val="0002426C"/>
    <w:rsid w:val="0002438D"/>
    <w:rsid w:val="00024454"/>
    <w:rsid w:val="00024566"/>
    <w:rsid w:val="0002459B"/>
    <w:rsid w:val="00024A76"/>
    <w:rsid w:val="00024B1B"/>
    <w:rsid w:val="00024B97"/>
    <w:rsid w:val="00024C2B"/>
    <w:rsid w:val="00024CED"/>
    <w:rsid w:val="00024F42"/>
    <w:rsid w:val="0002512A"/>
    <w:rsid w:val="000253E1"/>
    <w:rsid w:val="000254AE"/>
    <w:rsid w:val="00025534"/>
    <w:rsid w:val="00025809"/>
    <w:rsid w:val="000258A3"/>
    <w:rsid w:val="00025B1F"/>
    <w:rsid w:val="00025EDE"/>
    <w:rsid w:val="00025F2C"/>
    <w:rsid w:val="0002603C"/>
    <w:rsid w:val="000261BB"/>
    <w:rsid w:val="00026318"/>
    <w:rsid w:val="00026426"/>
    <w:rsid w:val="0002648B"/>
    <w:rsid w:val="000264A8"/>
    <w:rsid w:val="000264FD"/>
    <w:rsid w:val="0002673A"/>
    <w:rsid w:val="000267A9"/>
    <w:rsid w:val="00026BC5"/>
    <w:rsid w:val="00026FE8"/>
    <w:rsid w:val="000270F3"/>
    <w:rsid w:val="000271A9"/>
    <w:rsid w:val="000271FD"/>
    <w:rsid w:val="000273BF"/>
    <w:rsid w:val="000274CD"/>
    <w:rsid w:val="0002766E"/>
    <w:rsid w:val="00027784"/>
    <w:rsid w:val="000277A0"/>
    <w:rsid w:val="00027A14"/>
    <w:rsid w:val="00027B74"/>
    <w:rsid w:val="00027C8D"/>
    <w:rsid w:val="00027D28"/>
    <w:rsid w:val="00027DFB"/>
    <w:rsid w:val="00027F53"/>
    <w:rsid w:val="000302BE"/>
    <w:rsid w:val="00030428"/>
    <w:rsid w:val="00030474"/>
    <w:rsid w:val="0003052F"/>
    <w:rsid w:val="00030590"/>
    <w:rsid w:val="0003062E"/>
    <w:rsid w:val="000307A1"/>
    <w:rsid w:val="00030A9B"/>
    <w:rsid w:val="00030BAA"/>
    <w:rsid w:val="00030D19"/>
    <w:rsid w:val="00030D9D"/>
    <w:rsid w:val="00030F2C"/>
    <w:rsid w:val="00030F4B"/>
    <w:rsid w:val="00030F6B"/>
    <w:rsid w:val="0003101E"/>
    <w:rsid w:val="0003115F"/>
    <w:rsid w:val="000313D6"/>
    <w:rsid w:val="000314DD"/>
    <w:rsid w:val="00031730"/>
    <w:rsid w:val="000318F8"/>
    <w:rsid w:val="00031B28"/>
    <w:rsid w:val="00031BCC"/>
    <w:rsid w:val="00031D64"/>
    <w:rsid w:val="00031E16"/>
    <w:rsid w:val="00031ECB"/>
    <w:rsid w:val="00032001"/>
    <w:rsid w:val="000320B2"/>
    <w:rsid w:val="000323F1"/>
    <w:rsid w:val="00032439"/>
    <w:rsid w:val="000325A2"/>
    <w:rsid w:val="0003262B"/>
    <w:rsid w:val="0003269D"/>
    <w:rsid w:val="0003276A"/>
    <w:rsid w:val="000328D8"/>
    <w:rsid w:val="00032A42"/>
    <w:rsid w:val="00032AA1"/>
    <w:rsid w:val="00032B9B"/>
    <w:rsid w:val="00032CED"/>
    <w:rsid w:val="00032DDF"/>
    <w:rsid w:val="00032E4A"/>
    <w:rsid w:val="00032E68"/>
    <w:rsid w:val="00032FB5"/>
    <w:rsid w:val="00033398"/>
    <w:rsid w:val="00033592"/>
    <w:rsid w:val="0003377C"/>
    <w:rsid w:val="000337FD"/>
    <w:rsid w:val="0003386F"/>
    <w:rsid w:val="000339C1"/>
    <w:rsid w:val="000339CA"/>
    <w:rsid w:val="00033C37"/>
    <w:rsid w:val="00033E03"/>
    <w:rsid w:val="00033F1E"/>
    <w:rsid w:val="0003406A"/>
    <w:rsid w:val="000341B1"/>
    <w:rsid w:val="0003426C"/>
    <w:rsid w:val="000344C0"/>
    <w:rsid w:val="0003463D"/>
    <w:rsid w:val="00034649"/>
    <w:rsid w:val="000346B8"/>
    <w:rsid w:val="00034876"/>
    <w:rsid w:val="000348BC"/>
    <w:rsid w:val="00034CF7"/>
    <w:rsid w:val="00034E32"/>
    <w:rsid w:val="00034E5E"/>
    <w:rsid w:val="00034FC4"/>
    <w:rsid w:val="000350BB"/>
    <w:rsid w:val="00035499"/>
    <w:rsid w:val="0003560C"/>
    <w:rsid w:val="00035A44"/>
    <w:rsid w:val="00035A6B"/>
    <w:rsid w:val="00035A9E"/>
    <w:rsid w:val="00035C19"/>
    <w:rsid w:val="00035C2A"/>
    <w:rsid w:val="00035C38"/>
    <w:rsid w:val="00035CE5"/>
    <w:rsid w:val="00035F3F"/>
    <w:rsid w:val="00035FB2"/>
    <w:rsid w:val="0003608F"/>
    <w:rsid w:val="000360DB"/>
    <w:rsid w:val="0003626B"/>
    <w:rsid w:val="00036289"/>
    <w:rsid w:val="00036312"/>
    <w:rsid w:val="000364A1"/>
    <w:rsid w:val="000368C5"/>
    <w:rsid w:val="00036920"/>
    <w:rsid w:val="00036988"/>
    <w:rsid w:val="000369E5"/>
    <w:rsid w:val="00036CB6"/>
    <w:rsid w:val="0003706E"/>
    <w:rsid w:val="000372BB"/>
    <w:rsid w:val="000372FE"/>
    <w:rsid w:val="000373A1"/>
    <w:rsid w:val="000373B0"/>
    <w:rsid w:val="0003745D"/>
    <w:rsid w:val="000374B1"/>
    <w:rsid w:val="0003760E"/>
    <w:rsid w:val="00037624"/>
    <w:rsid w:val="00037640"/>
    <w:rsid w:val="000376F6"/>
    <w:rsid w:val="000377B5"/>
    <w:rsid w:val="000377BF"/>
    <w:rsid w:val="000377E3"/>
    <w:rsid w:val="00037820"/>
    <w:rsid w:val="000378E3"/>
    <w:rsid w:val="0003799E"/>
    <w:rsid w:val="00037D3C"/>
    <w:rsid w:val="00037D50"/>
    <w:rsid w:val="00037E18"/>
    <w:rsid w:val="00037E55"/>
    <w:rsid w:val="00037E8B"/>
    <w:rsid w:val="00037EB4"/>
    <w:rsid w:val="00037FB0"/>
    <w:rsid w:val="00040071"/>
    <w:rsid w:val="00040097"/>
    <w:rsid w:val="0004055B"/>
    <w:rsid w:val="00040609"/>
    <w:rsid w:val="00040852"/>
    <w:rsid w:val="000408DB"/>
    <w:rsid w:val="00040925"/>
    <w:rsid w:val="00040943"/>
    <w:rsid w:val="00040C1F"/>
    <w:rsid w:val="00040DC1"/>
    <w:rsid w:val="00040E42"/>
    <w:rsid w:val="0004104A"/>
    <w:rsid w:val="00041065"/>
    <w:rsid w:val="000412E8"/>
    <w:rsid w:val="00041660"/>
    <w:rsid w:val="000416F6"/>
    <w:rsid w:val="000417B2"/>
    <w:rsid w:val="000418F1"/>
    <w:rsid w:val="00041988"/>
    <w:rsid w:val="00041A2B"/>
    <w:rsid w:val="00041B48"/>
    <w:rsid w:val="00041E43"/>
    <w:rsid w:val="00041EA2"/>
    <w:rsid w:val="00041ED4"/>
    <w:rsid w:val="000421E6"/>
    <w:rsid w:val="000422FB"/>
    <w:rsid w:val="00042330"/>
    <w:rsid w:val="000423E2"/>
    <w:rsid w:val="00042495"/>
    <w:rsid w:val="0004260D"/>
    <w:rsid w:val="0004260E"/>
    <w:rsid w:val="00042859"/>
    <w:rsid w:val="00042896"/>
    <w:rsid w:val="000428A8"/>
    <w:rsid w:val="00042ACE"/>
    <w:rsid w:val="00042D97"/>
    <w:rsid w:val="00042FA7"/>
    <w:rsid w:val="000430DF"/>
    <w:rsid w:val="00043249"/>
    <w:rsid w:val="00043276"/>
    <w:rsid w:val="000432EC"/>
    <w:rsid w:val="00043481"/>
    <w:rsid w:val="000435B7"/>
    <w:rsid w:val="00043897"/>
    <w:rsid w:val="00043929"/>
    <w:rsid w:val="00043AC6"/>
    <w:rsid w:val="00043BA3"/>
    <w:rsid w:val="00043BCD"/>
    <w:rsid w:val="00043D38"/>
    <w:rsid w:val="00044122"/>
    <w:rsid w:val="00044333"/>
    <w:rsid w:val="0004440A"/>
    <w:rsid w:val="00044476"/>
    <w:rsid w:val="0004450B"/>
    <w:rsid w:val="000449A5"/>
    <w:rsid w:val="00044DD2"/>
    <w:rsid w:val="00044F7D"/>
    <w:rsid w:val="00045002"/>
    <w:rsid w:val="00045065"/>
    <w:rsid w:val="000450AE"/>
    <w:rsid w:val="00045325"/>
    <w:rsid w:val="0004554D"/>
    <w:rsid w:val="00045718"/>
    <w:rsid w:val="000457F4"/>
    <w:rsid w:val="00045809"/>
    <w:rsid w:val="00045924"/>
    <w:rsid w:val="00045942"/>
    <w:rsid w:val="00045D9E"/>
    <w:rsid w:val="00045E9B"/>
    <w:rsid w:val="00045F1E"/>
    <w:rsid w:val="00046279"/>
    <w:rsid w:val="000464FC"/>
    <w:rsid w:val="000465BA"/>
    <w:rsid w:val="000465EC"/>
    <w:rsid w:val="000466E7"/>
    <w:rsid w:val="00046A2E"/>
    <w:rsid w:val="00046B0F"/>
    <w:rsid w:val="00046B64"/>
    <w:rsid w:val="00046BAA"/>
    <w:rsid w:val="00046C59"/>
    <w:rsid w:val="00046CFC"/>
    <w:rsid w:val="00046E5C"/>
    <w:rsid w:val="00046E6A"/>
    <w:rsid w:val="00046E75"/>
    <w:rsid w:val="00046F16"/>
    <w:rsid w:val="00046FFE"/>
    <w:rsid w:val="00047330"/>
    <w:rsid w:val="000473E6"/>
    <w:rsid w:val="00047570"/>
    <w:rsid w:val="00047710"/>
    <w:rsid w:val="000477B6"/>
    <w:rsid w:val="0004783F"/>
    <w:rsid w:val="000478B4"/>
    <w:rsid w:val="000479E8"/>
    <w:rsid w:val="00047A02"/>
    <w:rsid w:val="00047A76"/>
    <w:rsid w:val="00047CB1"/>
    <w:rsid w:val="00047D2C"/>
    <w:rsid w:val="00047F67"/>
    <w:rsid w:val="00050032"/>
    <w:rsid w:val="00050146"/>
    <w:rsid w:val="000501AB"/>
    <w:rsid w:val="000501B8"/>
    <w:rsid w:val="000504D2"/>
    <w:rsid w:val="000506C5"/>
    <w:rsid w:val="000506E8"/>
    <w:rsid w:val="00050803"/>
    <w:rsid w:val="0005090D"/>
    <w:rsid w:val="00050A26"/>
    <w:rsid w:val="00050AFF"/>
    <w:rsid w:val="00050CDE"/>
    <w:rsid w:val="00050F70"/>
    <w:rsid w:val="000510E1"/>
    <w:rsid w:val="0005118B"/>
    <w:rsid w:val="00051325"/>
    <w:rsid w:val="000514BB"/>
    <w:rsid w:val="000514CF"/>
    <w:rsid w:val="0005174A"/>
    <w:rsid w:val="000518A0"/>
    <w:rsid w:val="00051A80"/>
    <w:rsid w:val="00051B01"/>
    <w:rsid w:val="0005211F"/>
    <w:rsid w:val="0005234F"/>
    <w:rsid w:val="00052350"/>
    <w:rsid w:val="00052383"/>
    <w:rsid w:val="00052646"/>
    <w:rsid w:val="000526C9"/>
    <w:rsid w:val="000527F9"/>
    <w:rsid w:val="00052815"/>
    <w:rsid w:val="00052910"/>
    <w:rsid w:val="00052972"/>
    <w:rsid w:val="00052B34"/>
    <w:rsid w:val="00052D6E"/>
    <w:rsid w:val="00052E19"/>
    <w:rsid w:val="0005326C"/>
    <w:rsid w:val="000532AA"/>
    <w:rsid w:val="00053458"/>
    <w:rsid w:val="00053694"/>
    <w:rsid w:val="00053733"/>
    <w:rsid w:val="000537D0"/>
    <w:rsid w:val="0005383A"/>
    <w:rsid w:val="000538EC"/>
    <w:rsid w:val="00053A51"/>
    <w:rsid w:val="00053B10"/>
    <w:rsid w:val="00053B4C"/>
    <w:rsid w:val="00053CC9"/>
    <w:rsid w:val="00053D5C"/>
    <w:rsid w:val="00053D9F"/>
    <w:rsid w:val="00053E26"/>
    <w:rsid w:val="00053E54"/>
    <w:rsid w:val="00053F82"/>
    <w:rsid w:val="00054007"/>
    <w:rsid w:val="0005437B"/>
    <w:rsid w:val="00054827"/>
    <w:rsid w:val="000549A4"/>
    <w:rsid w:val="00054BE2"/>
    <w:rsid w:val="00054C1D"/>
    <w:rsid w:val="00054E41"/>
    <w:rsid w:val="00054E6C"/>
    <w:rsid w:val="00054EED"/>
    <w:rsid w:val="00054EF0"/>
    <w:rsid w:val="00054F1A"/>
    <w:rsid w:val="00054F5F"/>
    <w:rsid w:val="00054FB4"/>
    <w:rsid w:val="0005510A"/>
    <w:rsid w:val="00055110"/>
    <w:rsid w:val="0005553E"/>
    <w:rsid w:val="0005569B"/>
    <w:rsid w:val="0005594C"/>
    <w:rsid w:val="00055DE3"/>
    <w:rsid w:val="00055E25"/>
    <w:rsid w:val="0005609F"/>
    <w:rsid w:val="00056526"/>
    <w:rsid w:val="0005682F"/>
    <w:rsid w:val="00056A97"/>
    <w:rsid w:val="00056AD3"/>
    <w:rsid w:val="00056C52"/>
    <w:rsid w:val="00056C65"/>
    <w:rsid w:val="00056D90"/>
    <w:rsid w:val="00056FF5"/>
    <w:rsid w:val="0005708E"/>
    <w:rsid w:val="0005714B"/>
    <w:rsid w:val="0005714C"/>
    <w:rsid w:val="000571A7"/>
    <w:rsid w:val="000575D4"/>
    <w:rsid w:val="00057644"/>
    <w:rsid w:val="00057698"/>
    <w:rsid w:val="000576DE"/>
    <w:rsid w:val="00057FCF"/>
    <w:rsid w:val="0006029A"/>
    <w:rsid w:val="00060305"/>
    <w:rsid w:val="0006051B"/>
    <w:rsid w:val="000605E7"/>
    <w:rsid w:val="000608A0"/>
    <w:rsid w:val="000608F8"/>
    <w:rsid w:val="00060A00"/>
    <w:rsid w:val="00060A67"/>
    <w:rsid w:val="00060B08"/>
    <w:rsid w:val="00060D25"/>
    <w:rsid w:val="00060F70"/>
    <w:rsid w:val="00060F87"/>
    <w:rsid w:val="0006101F"/>
    <w:rsid w:val="00061066"/>
    <w:rsid w:val="0006109E"/>
    <w:rsid w:val="0006118A"/>
    <w:rsid w:val="0006133B"/>
    <w:rsid w:val="000613A8"/>
    <w:rsid w:val="00061542"/>
    <w:rsid w:val="00061566"/>
    <w:rsid w:val="0006156B"/>
    <w:rsid w:val="000615C7"/>
    <w:rsid w:val="00061817"/>
    <w:rsid w:val="000618E9"/>
    <w:rsid w:val="00061A43"/>
    <w:rsid w:val="00061AA5"/>
    <w:rsid w:val="00061B28"/>
    <w:rsid w:val="00061B34"/>
    <w:rsid w:val="00061B7F"/>
    <w:rsid w:val="00061B83"/>
    <w:rsid w:val="00061C62"/>
    <w:rsid w:val="00061C88"/>
    <w:rsid w:val="00061D30"/>
    <w:rsid w:val="00061E3D"/>
    <w:rsid w:val="00061E47"/>
    <w:rsid w:val="0006229D"/>
    <w:rsid w:val="000623CC"/>
    <w:rsid w:val="000623ED"/>
    <w:rsid w:val="000626C4"/>
    <w:rsid w:val="0006273E"/>
    <w:rsid w:val="000627FD"/>
    <w:rsid w:val="00062A15"/>
    <w:rsid w:val="00062AC5"/>
    <w:rsid w:val="00062B04"/>
    <w:rsid w:val="00062E89"/>
    <w:rsid w:val="00062FAE"/>
    <w:rsid w:val="0006302B"/>
    <w:rsid w:val="0006309C"/>
    <w:rsid w:val="00063108"/>
    <w:rsid w:val="00063283"/>
    <w:rsid w:val="00063330"/>
    <w:rsid w:val="000633C3"/>
    <w:rsid w:val="000634F3"/>
    <w:rsid w:val="00063627"/>
    <w:rsid w:val="0006376F"/>
    <w:rsid w:val="000638D2"/>
    <w:rsid w:val="0006394A"/>
    <w:rsid w:val="00063A1F"/>
    <w:rsid w:val="00063A81"/>
    <w:rsid w:val="00063BB7"/>
    <w:rsid w:val="00063D9D"/>
    <w:rsid w:val="00063E32"/>
    <w:rsid w:val="00063EA4"/>
    <w:rsid w:val="00063EB5"/>
    <w:rsid w:val="0006421A"/>
    <w:rsid w:val="00064291"/>
    <w:rsid w:val="00064460"/>
    <w:rsid w:val="000644CB"/>
    <w:rsid w:val="0006452C"/>
    <w:rsid w:val="00064678"/>
    <w:rsid w:val="0006477D"/>
    <w:rsid w:val="000648FD"/>
    <w:rsid w:val="00064C82"/>
    <w:rsid w:val="00064D43"/>
    <w:rsid w:val="00064F13"/>
    <w:rsid w:val="00065183"/>
    <w:rsid w:val="0006522C"/>
    <w:rsid w:val="00065578"/>
    <w:rsid w:val="0006558A"/>
    <w:rsid w:val="00065609"/>
    <w:rsid w:val="00065628"/>
    <w:rsid w:val="00065A86"/>
    <w:rsid w:val="00065CA6"/>
    <w:rsid w:val="00065D6E"/>
    <w:rsid w:val="00066052"/>
    <w:rsid w:val="0006609B"/>
    <w:rsid w:val="00066191"/>
    <w:rsid w:val="0006630E"/>
    <w:rsid w:val="0006662B"/>
    <w:rsid w:val="00066679"/>
    <w:rsid w:val="000667D7"/>
    <w:rsid w:val="000668F0"/>
    <w:rsid w:val="0006698E"/>
    <w:rsid w:val="00066C6B"/>
    <w:rsid w:val="00066CEA"/>
    <w:rsid w:val="00066E53"/>
    <w:rsid w:val="00066F06"/>
    <w:rsid w:val="00066F0E"/>
    <w:rsid w:val="00066F42"/>
    <w:rsid w:val="00066FB3"/>
    <w:rsid w:val="0006715C"/>
    <w:rsid w:val="0006723A"/>
    <w:rsid w:val="000672D2"/>
    <w:rsid w:val="00067A3A"/>
    <w:rsid w:val="00067AF0"/>
    <w:rsid w:val="00067C5F"/>
    <w:rsid w:val="00067CF8"/>
    <w:rsid w:val="00067DD4"/>
    <w:rsid w:val="00067F52"/>
    <w:rsid w:val="0007003E"/>
    <w:rsid w:val="00070125"/>
    <w:rsid w:val="0007046B"/>
    <w:rsid w:val="00070530"/>
    <w:rsid w:val="0007054E"/>
    <w:rsid w:val="0007055A"/>
    <w:rsid w:val="00070640"/>
    <w:rsid w:val="00070729"/>
    <w:rsid w:val="0007080F"/>
    <w:rsid w:val="0007082C"/>
    <w:rsid w:val="0007087A"/>
    <w:rsid w:val="00070A90"/>
    <w:rsid w:val="00070B08"/>
    <w:rsid w:val="00070CDC"/>
    <w:rsid w:val="00070E61"/>
    <w:rsid w:val="00071030"/>
    <w:rsid w:val="00071222"/>
    <w:rsid w:val="0007127B"/>
    <w:rsid w:val="0007138E"/>
    <w:rsid w:val="0007141C"/>
    <w:rsid w:val="0007142E"/>
    <w:rsid w:val="00071656"/>
    <w:rsid w:val="000716D9"/>
    <w:rsid w:val="000716E8"/>
    <w:rsid w:val="0007192C"/>
    <w:rsid w:val="0007194E"/>
    <w:rsid w:val="00071A1D"/>
    <w:rsid w:val="00071A9F"/>
    <w:rsid w:val="00071AC1"/>
    <w:rsid w:val="00071D3A"/>
    <w:rsid w:val="00071E33"/>
    <w:rsid w:val="00071EA3"/>
    <w:rsid w:val="00072029"/>
    <w:rsid w:val="0007209F"/>
    <w:rsid w:val="000721C4"/>
    <w:rsid w:val="00072257"/>
    <w:rsid w:val="00072281"/>
    <w:rsid w:val="000723C6"/>
    <w:rsid w:val="000726A0"/>
    <w:rsid w:val="00072736"/>
    <w:rsid w:val="000728BE"/>
    <w:rsid w:val="000728D6"/>
    <w:rsid w:val="00072997"/>
    <w:rsid w:val="00072A8C"/>
    <w:rsid w:val="00072C3A"/>
    <w:rsid w:val="00073142"/>
    <w:rsid w:val="00073593"/>
    <w:rsid w:val="0007370F"/>
    <w:rsid w:val="00073991"/>
    <w:rsid w:val="000739AE"/>
    <w:rsid w:val="00073A5B"/>
    <w:rsid w:val="00073B88"/>
    <w:rsid w:val="00073CC2"/>
    <w:rsid w:val="00073D58"/>
    <w:rsid w:val="00073E37"/>
    <w:rsid w:val="00073E45"/>
    <w:rsid w:val="00073F73"/>
    <w:rsid w:val="0007406C"/>
    <w:rsid w:val="000740A5"/>
    <w:rsid w:val="0007426A"/>
    <w:rsid w:val="000743D8"/>
    <w:rsid w:val="00074439"/>
    <w:rsid w:val="00074647"/>
    <w:rsid w:val="00074738"/>
    <w:rsid w:val="00074925"/>
    <w:rsid w:val="00074AC4"/>
    <w:rsid w:val="00074B05"/>
    <w:rsid w:val="00074C26"/>
    <w:rsid w:val="00074CA0"/>
    <w:rsid w:val="00074CD8"/>
    <w:rsid w:val="00074E24"/>
    <w:rsid w:val="00074F10"/>
    <w:rsid w:val="0007522A"/>
    <w:rsid w:val="000752C0"/>
    <w:rsid w:val="000754BA"/>
    <w:rsid w:val="000754D9"/>
    <w:rsid w:val="000754DD"/>
    <w:rsid w:val="000755AA"/>
    <w:rsid w:val="000755E9"/>
    <w:rsid w:val="00075617"/>
    <w:rsid w:val="00075765"/>
    <w:rsid w:val="00075868"/>
    <w:rsid w:val="00075D91"/>
    <w:rsid w:val="00075FA9"/>
    <w:rsid w:val="000761DA"/>
    <w:rsid w:val="00076556"/>
    <w:rsid w:val="00076601"/>
    <w:rsid w:val="00076638"/>
    <w:rsid w:val="0007686C"/>
    <w:rsid w:val="00076875"/>
    <w:rsid w:val="00076C6B"/>
    <w:rsid w:val="00076C7B"/>
    <w:rsid w:val="00076CBA"/>
    <w:rsid w:val="00076D22"/>
    <w:rsid w:val="00076DAA"/>
    <w:rsid w:val="00076F86"/>
    <w:rsid w:val="00076FAB"/>
    <w:rsid w:val="00076FDF"/>
    <w:rsid w:val="00077215"/>
    <w:rsid w:val="0007730C"/>
    <w:rsid w:val="000775F7"/>
    <w:rsid w:val="00077792"/>
    <w:rsid w:val="00077BA3"/>
    <w:rsid w:val="00077DFC"/>
    <w:rsid w:val="00077E77"/>
    <w:rsid w:val="00077F0A"/>
    <w:rsid w:val="00080161"/>
    <w:rsid w:val="00080197"/>
    <w:rsid w:val="00080284"/>
    <w:rsid w:val="000803FE"/>
    <w:rsid w:val="00080677"/>
    <w:rsid w:val="0008076B"/>
    <w:rsid w:val="00080822"/>
    <w:rsid w:val="0008098F"/>
    <w:rsid w:val="000809BA"/>
    <w:rsid w:val="00080C73"/>
    <w:rsid w:val="00080ECD"/>
    <w:rsid w:val="00080F18"/>
    <w:rsid w:val="00081014"/>
    <w:rsid w:val="00081155"/>
    <w:rsid w:val="00081712"/>
    <w:rsid w:val="00081716"/>
    <w:rsid w:val="000817D7"/>
    <w:rsid w:val="0008183F"/>
    <w:rsid w:val="00081D0E"/>
    <w:rsid w:val="00081E66"/>
    <w:rsid w:val="00081EAB"/>
    <w:rsid w:val="00081F46"/>
    <w:rsid w:val="0008209B"/>
    <w:rsid w:val="000820D5"/>
    <w:rsid w:val="0008210C"/>
    <w:rsid w:val="00082211"/>
    <w:rsid w:val="000823D4"/>
    <w:rsid w:val="000824F6"/>
    <w:rsid w:val="000825E1"/>
    <w:rsid w:val="00082606"/>
    <w:rsid w:val="000826F9"/>
    <w:rsid w:val="00082895"/>
    <w:rsid w:val="000828CD"/>
    <w:rsid w:val="00082974"/>
    <w:rsid w:val="000829A4"/>
    <w:rsid w:val="000829FA"/>
    <w:rsid w:val="00082ACC"/>
    <w:rsid w:val="00082B1A"/>
    <w:rsid w:val="00082D1C"/>
    <w:rsid w:val="00082DD2"/>
    <w:rsid w:val="00082DFE"/>
    <w:rsid w:val="00082F80"/>
    <w:rsid w:val="000830BB"/>
    <w:rsid w:val="0008315B"/>
    <w:rsid w:val="00083224"/>
    <w:rsid w:val="00083390"/>
    <w:rsid w:val="0008339A"/>
    <w:rsid w:val="000835B9"/>
    <w:rsid w:val="000835F4"/>
    <w:rsid w:val="00083659"/>
    <w:rsid w:val="00083753"/>
    <w:rsid w:val="00083ACC"/>
    <w:rsid w:val="00083B10"/>
    <w:rsid w:val="00083B8E"/>
    <w:rsid w:val="00083E72"/>
    <w:rsid w:val="00083F05"/>
    <w:rsid w:val="00083F81"/>
    <w:rsid w:val="000840EB"/>
    <w:rsid w:val="00084204"/>
    <w:rsid w:val="00084397"/>
    <w:rsid w:val="000843BE"/>
    <w:rsid w:val="00084586"/>
    <w:rsid w:val="00084632"/>
    <w:rsid w:val="000846AB"/>
    <w:rsid w:val="00084703"/>
    <w:rsid w:val="0008472C"/>
    <w:rsid w:val="00084C95"/>
    <w:rsid w:val="00084D5B"/>
    <w:rsid w:val="00084E09"/>
    <w:rsid w:val="0008501B"/>
    <w:rsid w:val="00085151"/>
    <w:rsid w:val="00085490"/>
    <w:rsid w:val="0008579A"/>
    <w:rsid w:val="000857AF"/>
    <w:rsid w:val="00085860"/>
    <w:rsid w:val="00085A03"/>
    <w:rsid w:val="00085A41"/>
    <w:rsid w:val="00085AB6"/>
    <w:rsid w:val="00085ACC"/>
    <w:rsid w:val="00085B78"/>
    <w:rsid w:val="00085BC5"/>
    <w:rsid w:val="00085D96"/>
    <w:rsid w:val="00085E55"/>
    <w:rsid w:val="00086185"/>
    <w:rsid w:val="000863AD"/>
    <w:rsid w:val="0008673F"/>
    <w:rsid w:val="00086755"/>
    <w:rsid w:val="0008683B"/>
    <w:rsid w:val="000868E4"/>
    <w:rsid w:val="00086900"/>
    <w:rsid w:val="00086934"/>
    <w:rsid w:val="000869DB"/>
    <w:rsid w:val="00086A90"/>
    <w:rsid w:val="00086CB0"/>
    <w:rsid w:val="00087096"/>
    <w:rsid w:val="00087176"/>
    <w:rsid w:val="0008753B"/>
    <w:rsid w:val="000875AD"/>
    <w:rsid w:val="00087679"/>
    <w:rsid w:val="0008773A"/>
    <w:rsid w:val="000878D9"/>
    <w:rsid w:val="000879DA"/>
    <w:rsid w:val="00087A6B"/>
    <w:rsid w:val="00087AA5"/>
    <w:rsid w:val="00087ABE"/>
    <w:rsid w:val="00087B9F"/>
    <w:rsid w:val="00087C3B"/>
    <w:rsid w:val="00087C52"/>
    <w:rsid w:val="00087C54"/>
    <w:rsid w:val="00087D65"/>
    <w:rsid w:val="00087F95"/>
    <w:rsid w:val="00087FDB"/>
    <w:rsid w:val="0009007F"/>
    <w:rsid w:val="0009025C"/>
    <w:rsid w:val="0009032A"/>
    <w:rsid w:val="000903F2"/>
    <w:rsid w:val="000909C3"/>
    <w:rsid w:val="00090BF3"/>
    <w:rsid w:val="00090D3B"/>
    <w:rsid w:val="00090D8C"/>
    <w:rsid w:val="00090E77"/>
    <w:rsid w:val="00090F60"/>
    <w:rsid w:val="00090F7A"/>
    <w:rsid w:val="0009116B"/>
    <w:rsid w:val="00091331"/>
    <w:rsid w:val="000914F3"/>
    <w:rsid w:val="00091621"/>
    <w:rsid w:val="000916B1"/>
    <w:rsid w:val="0009193A"/>
    <w:rsid w:val="0009197B"/>
    <w:rsid w:val="000919AD"/>
    <w:rsid w:val="00091A04"/>
    <w:rsid w:val="00091A1D"/>
    <w:rsid w:val="00091A4A"/>
    <w:rsid w:val="00091AC6"/>
    <w:rsid w:val="00091DF5"/>
    <w:rsid w:val="00091FF2"/>
    <w:rsid w:val="0009202C"/>
    <w:rsid w:val="00092349"/>
    <w:rsid w:val="000923F0"/>
    <w:rsid w:val="00092694"/>
    <w:rsid w:val="000926A4"/>
    <w:rsid w:val="00092756"/>
    <w:rsid w:val="000927E1"/>
    <w:rsid w:val="00092930"/>
    <w:rsid w:val="00092B5C"/>
    <w:rsid w:val="00092CC5"/>
    <w:rsid w:val="00092D0D"/>
    <w:rsid w:val="00092D12"/>
    <w:rsid w:val="00092D73"/>
    <w:rsid w:val="00092E37"/>
    <w:rsid w:val="00092E49"/>
    <w:rsid w:val="00093078"/>
    <w:rsid w:val="0009307D"/>
    <w:rsid w:val="0009308C"/>
    <w:rsid w:val="000930DA"/>
    <w:rsid w:val="000931EB"/>
    <w:rsid w:val="00093382"/>
    <w:rsid w:val="000933C9"/>
    <w:rsid w:val="0009345D"/>
    <w:rsid w:val="00093550"/>
    <w:rsid w:val="00093985"/>
    <w:rsid w:val="000939A7"/>
    <w:rsid w:val="00093C27"/>
    <w:rsid w:val="00093EDE"/>
    <w:rsid w:val="00093FF4"/>
    <w:rsid w:val="0009408D"/>
    <w:rsid w:val="000941B8"/>
    <w:rsid w:val="00094280"/>
    <w:rsid w:val="0009441A"/>
    <w:rsid w:val="00094450"/>
    <w:rsid w:val="000945C6"/>
    <w:rsid w:val="00094733"/>
    <w:rsid w:val="0009491A"/>
    <w:rsid w:val="00094AC3"/>
    <w:rsid w:val="00094D5F"/>
    <w:rsid w:val="00094EE2"/>
    <w:rsid w:val="00094F74"/>
    <w:rsid w:val="000950C9"/>
    <w:rsid w:val="00095472"/>
    <w:rsid w:val="00095611"/>
    <w:rsid w:val="00095839"/>
    <w:rsid w:val="000958D1"/>
    <w:rsid w:val="0009593B"/>
    <w:rsid w:val="000959DE"/>
    <w:rsid w:val="00095A92"/>
    <w:rsid w:val="00095D94"/>
    <w:rsid w:val="00095EC1"/>
    <w:rsid w:val="00095FC6"/>
    <w:rsid w:val="00095FED"/>
    <w:rsid w:val="00096110"/>
    <w:rsid w:val="0009621D"/>
    <w:rsid w:val="000962AE"/>
    <w:rsid w:val="000963B8"/>
    <w:rsid w:val="00096430"/>
    <w:rsid w:val="0009677E"/>
    <w:rsid w:val="00096901"/>
    <w:rsid w:val="00096977"/>
    <w:rsid w:val="00096B95"/>
    <w:rsid w:val="00096C0A"/>
    <w:rsid w:val="00096C1B"/>
    <w:rsid w:val="00096CDC"/>
    <w:rsid w:val="00096E5E"/>
    <w:rsid w:val="00096EE9"/>
    <w:rsid w:val="00096F84"/>
    <w:rsid w:val="00096FC7"/>
    <w:rsid w:val="000975D0"/>
    <w:rsid w:val="000976F3"/>
    <w:rsid w:val="000976FD"/>
    <w:rsid w:val="0009770D"/>
    <w:rsid w:val="0009777B"/>
    <w:rsid w:val="0009782A"/>
    <w:rsid w:val="000978A4"/>
    <w:rsid w:val="000978B4"/>
    <w:rsid w:val="00097B40"/>
    <w:rsid w:val="00097D6D"/>
    <w:rsid w:val="00097FEB"/>
    <w:rsid w:val="000A0093"/>
    <w:rsid w:val="000A013B"/>
    <w:rsid w:val="000A01BD"/>
    <w:rsid w:val="000A01E9"/>
    <w:rsid w:val="000A04E8"/>
    <w:rsid w:val="000A073E"/>
    <w:rsid w:val="000A07CE"/>
    <w:rsid w:val="000A080B"/>
    <w:rsid w:val="000A080C"/>
    <w:rsid w:val="000A098B"/>
    <w:rsid w:val="000A0A38"/>
    <w:rsid w:val="000A0B9C"/>
    <w:rsid w:val="000A0CAD"/>
    <w:rsid w:val="000A0CBD"/>
    <w:rsid w:val="000A0D18"/>
    <w:rsid w:val="000A0EC5"/>
    <w:rsid w:val="000A0F17"/>
    <w:rsid w:val="000A148C"/>
    <w:rsid w:val="000A14EF"/>
    <w:rsid w:val="000A1523"/>
    <w:rsid w:val="000A1951"/>
    <w:rsid w:val="000A1E29"/>
    <w:rsid w:val="000A1F1A"/>
    <w:rsid w:val="000A207C"/>
    <w:rsid w:val="000A209F"/>
    <w:rsid w:val="000A20CA"/>
    <w:rsid w:val="000A22BD"/>
    <w:rsid w:val="000A231E"/>
    <w:rsid w:val="000A24A5"/>
    <w:rsid w:val="000A2525"/>
    <w:rsid w:val="000A25DD"/>
    <w:rsid w:val="000A260E"/>
    <w:rsid w:val="000A26BD"/>
    <w:rsid w:val="000A28EE"/>
    <w:rsid w:val="000A290D"/>
    <w:rsid w:val="000A29A8"/>
    <w:rsid w:val="000A2A37"/>
    <w:rsid w:val="000A2BC7"/>
    <w:rsid w:val="000A2CEA"/>
    <w:rsid w:val="000A2E0D"/>
    <w:rsid w:val="000A3738"/>
    <w:rsid w:val="000A39D5"/>
    <w:rsid w:val="000A3C5E"/>
    <w:rsid w:val="000A3D3E"/>
    <w:rsid w:val="000A3F9C"/>
    <w:rsid w:val="000A402F"/>
    <w:rsid w:val="000A4145"/>
    <w:rsid w:val="000A4392"/>
    <w:rsid w:val="000A4433"/>
    <w:rsid w:val="000A444E"/>
    <w:rsid w:val="000A45CE"/>
    <w:rsid w:val="000A480A"/>
    <w:rsid w:val="000A48D1"/>
    <w:rsid w:val="000A495D"/>
    <w:rsid w:val="000A4AC8"/>
    <w:rsid w:val="000A4C61"/>
    <w:rsid w:val="000A4D58"/>
    <w:rsid w:val="000A4F54"/>
    <w:rsid w:val="000A4F89"/>
    <w:rsid w:val="000A514F"/>
    <w:rsid w:val="000A5153"/>
    <w:rsid w:val="000A5309"/>
    <w:rsid w:val="000A5313"/>
    <w:rsid w:val="000A5332"/>
    <w:rsid w:val="000A555F"/>
    <w:rsid w:val="000A55C5"/>
    <w:rsid w:val="000A5802"/>
    <w:rsid w:val="000A580C"/>
    <w:rsid w:val="000A596A"/>
    <w:rsid w:val="000A5B8E"/>
    <w:rsid w:val="000A5CE0"/>
    <w:rsid w:val="000A6017"/>
    <w:rsid w:val="000A616F"/>
    <w:rsid w:val="000A64DD"/>
    <w:rsid w:val="000A661C"/>
    <w:rsid w:val="000A674B"/>
    <w:rsid w:val="000A677D"/>
    <w:rsid w:val="000A679F"/>
    <w:rsid w:val="000A67A2"/>
    <w:rsid w:val="000A694F"/>
    <w:rsid w:val="000A6990"/>
    <w:rsid w:val="000A6C73"/>
    <w:rsid w:val="000A6E61"/>
    <w:rsid w:val="000A6E89"/>
    <w:rsid w:val="000A7099"/>
    <w:rsid w:val="000A709B"/>
    <w:rsid w:val="000A71A5"/>
    <w:rsid w:val="000A71DF"/>
    <w:rsid w:val="000A72D7"/>
    <w:rsid w:val="000A7502"/>
    <w:rsid w:val="000A750C"/>
    <w:rsid w:val="000A76D0"/>
    <w:rsid w:val="000A778F"/>
    <w:rsid w:val="000A7837"/>
    <w:rsid w:val="000A787C"/>
    <w:rsid w:val="000A799F"/>
    <w:rsid w:val="000A7AB4"/>
    <w:rsid w:val="000A7ADF"/>
    <w:rsid w:val="000A7B37"/>
    <w:rsid w:val="000A7E5E"/>
    <w:rsid w:val="000A7FEA"/>
    <w:rsid w:val="000B0027"/>
    <w:rsid w:val="000B0064"/>
    <w:rsid w:val="000B00AF"/>
    <w:rsid w:val="000B02A7"/>
    <w:rsid w:val="000B04F3"/>
    <w:rsid w:val="000B05DB"/>
    <w:rsid w:val="000B07D1"/>
    <w:rsid w:val="000B088A"/>
    <w:rsid w:val="000B09E4"/>
    <w:rsid w:val="000B0A57"/>
    <w:rsid w:val="000B0B0D"/>
    <w:rsid w:val="000B0B8E"/>
    <w:rsid w:val="000B0B93"/>
    <w:rsid w:val="000B0CF4"/>
    <w:rsid w:val="000B1106"/>
    <w:rsid w:val="000B11AA"/>
    <w:rsid w:val="000B1253"/>
    <w:rsid w:val="000B127F"/>
    <w:rsid w:val="000B144B"/>
    <w:rsid w:val="000B158F"/>
    <w:rsid w:val="000B1616"/>
    <w:rsid w:val="000B161D"/>
    <w:rsid w:val="000B179B"/>
    <w:rsid w:val="000B1ADD"/>
    <w:rsid w:val="000B1B5A"/>
    <w:rsid w:val="000B1CBD"/>
    <w:rsid w:val="000B1E1B"/>
    <w:rsid w:val="000B1E48"/>
    <w:rsid w:val="000B20B1"/>
    <w:rsid w:val="000B2101"/>
    <w:rsid w:val="000B237D"/>
    <w:rsid w:val="000B23B6"/>
    <w:rsid w:val="000B23BA"/>
    <w:rsid w:val="000B2402"/>
    <w:rsid w:val="000B261E"/>
    <w:rsid w:val="000B27AE"/>
    <w:rsid w:val="000B27CA"/>
    <w:rsid w:val="000B2ADF"/>
    <w:rsid w:val="000B2BF1"/>
    <w:rsid w:val="000B2EB9"/>
    <w:rsid w:val="000B2ED4"/>
    <w:rsid w:val="000B31A2"/>
    <w:rsid w:val="000B328C"/>
    <w:rsid w:val="000B36B8"/>
    <w:rsid w:val="000B36C4"/>
    <w:rsid w:val="000B374B"/>
    <w:rsid w:val="000B3A75"/>
    <w:rsid w:val="000B3B16"/>
    <w:rsid w:val="000B3DB8"/>
    <w:rsid w:val="000B3EB4"/>
    <w:rsid w:val="000B3F05"/>
    <w:rsid w:val="000B4015"/>
    <w:rsid w:val="000B4206"/>
    <w:rsid w:val="000B42A2"/>
    <w:rsid w:val="000B4394"/>
    <w:rsid w:val="000B4613"/>
    <w:rsid w:val="000B46DF"/>
    <w:rsid w:val="000B4AB0"/>
    <w:rsid w:val="000B4B69"/>
    <w:rsid w:val="000B4DB1"/>
    <w:rsid w:val="000B4DF6"/>
    <w:rsid w:val="000B4FA8"/>
    <w:rsid w:val="000B4FC4"/>
    <w:rsid w:val="000B50AE"/>
    <w:rsid w:val="000B50F4"/>
    <w:rsid w:val="000B515A"/>
    <w:rsid w:val="000B5302"/>
    <w:rsid w:val="000B5332"/>
    <w:rsid w:val="000B57C6"/>
    <w:rsid w:val="000B5995"/>
    <w:rsid w:val="000B5C90"/>
    <w:rsid w:val="000B5E06"/>
    <w:rsid w:val="000B5E6B"/>
    <w:rsid w:val="000B5ED4"/>
    <w:rsid w:val="000B612F"/>
    <w:rsid w:val="000B6168"/>
    <w:rsid w:val="000B6339"/>
    <w:rsid w:val="000B66A7"/>
    <w:rsid w:val="000B680A"/>
    <w:rsid w:val="000B6826"/>
    <w:rsid w:val="000B68F4"/>
    <w:rsid w:val="000B69A3"/>
    <w:rsid w:val="000B6A70"/>
    <w:rsid w:val="000B6B37"/>
    <w:rsid w:val="000B6DC3"/>
    <w:rsid w:val="000B7103"/>
    <w:rsid w:val="000B7187"/>
    <w:rsid w:val="000B719B"/>
    <w:rsid w:val="000B7429"/>
    <w:rsid w:val="000B746E"/>
    <w:rsid w:val="000B74A3"/>
    <w:rsid w:val="000B77E2"/>
    <w:rsid w:val="000B791F"/>
    <w:rsid w:val="000B7982"/>
    <w:rsid w:val="000B7CA4"/>
    <w:rsid w:val="000B7DA0"/>
    <w:rsid w:val="000B7DB9"/>
    <w:rsid w:val="000B7ED5"/>
    <w:rsid w:val="000B7EE9"/>
    <w:rsid w:val="000C019D"/>
    <w:rsid w:val="000C01FB"/>
    <w:rsid w:val="000C02FC"/>
    <w:rsid w:val="000C0356"/>
    <w:rsid w:val="000C03EE"/>
    <w:rsid w:val="000C042D"/>
    <w:rsid w:val="000C0475"/>
    <w:rsid w:val="000C04B3"/>
    <w:rsid w:val="000C05B0"/>
    <w:rsid w:val="000C0609"/>
    <w:rsid w:val="000C060F"/>
    <w:rsid w:val="000C065C"/>
    <w:rsid w:val="000C068F"/>
    <w:rsid w:val="000C08B4"/>
    <w:rsid w:val="000C0902"/>
    <w:rsid w:val="000C0C6A"/>
    <w:rsid w:val="000C0DD5"/>
    <w:rsid w:val="000C10FA"/>
    <w:rsid w:val="000C112D"/>
    <w:rsid w:val="000C1148"/>
    <w:rsid w:val="000C11EC"/>
    <w:rsid w:val="000C13A4"/>
    <w:rsid w:val="000C159B"/>
    <w:rsid w:val="000C163B"/>
    <w:rsid w:val="000C170C"/>
    <w:rsid w:val="000C18AB"/>
    <w:rsid w:val="000C1A0D"/>
    <w:rsid w:val="000C1AEF"/>
    <w:rsid w:val="000C1AF8"/>
    <w:rsid w:val="000C1B86"/>
    <w:rsid w:val="000C1D30"/>
    <w:rsid w:val="000C1ED6"/>
    <w:rsid w:val="000C201B"/>
    <w:rsid w:val="000C2056"/>
    <w:rsid w:val="000C20ED"/>
    <w:rsid w:val="000C2162"/>
    <w:rsid w:val="000C21D1"/>
    <w:rsid w:val="000C2260"/>
    <w:rsid w:val="000C2383"/>
    <w:rsid w:val="000C2504"/>
    <w:rsid w:val="000C2A16"/>
    <w:rsid w:val="000C2AA4"/>
    <w:rsid w:val="000C2C11"/>
    <w:rsid w:val="000C2F54"/>
    <w:rsid w:val="000C2FDE"/>
    <w:rsid w:val="000C30A8"/>
    <w:rsid w:val="000C3119"/>
    <w:rsid w:val="000C33DA"/>
    <w:rsid w:val="000C34B8"/>
    <w:rsid w:val="000C3567"/>
    <w:rsid w:val="000C369B"/>
    <w:rsid w:val="000C3881"/>
    <w:rsid w:val="000C39C3"/>
    <w:rsid w:val="000C3A1E"/>
    <w:rsid w:val="000C3C51"/>
    <w:rsid w:val="000C3DB1"/>
    <w:rsid w:val="000C4344"/>
    <w:rsid w:val="000C43F2"/>
    <w:rsid w:val="000C4410"/>
    <w:rsid w:val="000C445B"/>
    <w:rsid w:val="000C4516"/>
    <w:rsid w:val="000C477C"/>
    <w:rsid w:val="000C4956"/>
    <w:rsid w:val="000C49DA"/>
    <w:rsid w:val="000C4A8B"/>
    <w:rsid w:val="000C4C86"/>
    <w:rsid w:val="000C560D"/>
    <w:rsid w:val="000C5639"/>
    <w:rsid w:val="000C57DE"/>
    <w:rsid w:val="000C5A3D"/>
    <w:rsid w:val="000C5C51"/>
    <w:rsid w:val="000C5CB6"/>
    <w:rsid w:val="000C5D93"/>
    <w:rsid w:val="000C5DB0"/>
    <w:rsid w:val="000C5E97"/>
    <w:rsid w:val="000C606B"/>
    <w:rsid w:val="000C60EB"/>
    <w:rsid w:val="000C60FF"/>
    <w:rsid w:val="000C61AD"/>
    <w:rsid w:val="000C61D8"/>
    <w:rsid w:val="000C63EF"/>
    <w:rsid w:val="000C6436"/>
    <w:rsid w:val="000C65B4"/>
    <w:rsid w:val="000C66FB"/>
    <w:rsid w:val="000C672B"/>
    <w:rsid w:val="000C677C"/>
    <w:rsid w:val="000C68CF"/>
    <w:rsid w:val="000C6AAB"/>
    <w:rsid w:val="000C6BF1"/>
    <w:rsid w:val="000C6CE9"/>
    <w:rsid w:val="000C6D9B"/>
    <w:rsid w:val="000C6FAB"/>
    <w:rsid w:val="000C724F"/>
    <w:rsid w:val="000C72C0"/>
    <w:rsid w:val="000C73BC"/>
    <w:rsid w:val="000C73C0"/>
    <w:rsid w:val="000C76FD"/>
    <w:rsid w:val="000C7805"/>
    <w:rsid w:val="000C7A10"/>
    <w:rsid w:val="000C7AB0"/>
    <w:rsid w:val="000C7CE2"/>
    <w:rsid w:val="000C7E62"/>
    <w:rsid w:val="000C7EBB"/>
    <w:rsid w:val="000C7EC8"/>
    <w:rsid w:val="000D00F9"/>
    <w:rsid w:val="000D0222"/>
    <w:rsid w:val="000D0290"/>
    <w:rsid w:val="000D040E"/>
    <w:rsid w:val="000D044E"/>
    <w:rsid w:val="000D061D"/>
    <w:rsid w:val="000D063C"/>
    <w:rsid w:val="000D071D"/>
    <w:rsid w:val="000D0A0D"/>
    <w:rsid w:val="000D0BBA"/>
    <w:rsid w:val="000D0BC4"/>
    <w:rsid w:val="000D0CA3"/>
    <w:rsid w:val="000D0DC6"/>
    <w:rsid w:val="000D0DC9"/>
    <w:rsid w:val="000D0EAC"/>
    <w:rsid w:val="000D0EF2"/>
    <w:rsid w:val="000D0EF7"/>
    <w:rsid w:val="000D10F1"/>
    <w:rsid w:val="000D11C3"/>
    <w:rsid w:val="000D13F7"/>
    <w:rsid w:val="000D1693"/>
    <w:rsid w:val="000D178C"/>
    <w:rsid w:val="000D1843"/>
    <w:rsid w:val="000D1883"/>
    <w:rsid w:val="000D1982"/>
    <w:rsid w:val="000D1A63"/>
    <w:rsid w:val="000D1D2C"/>
    <w:rsid w:val="000D1D6E"/>
    <w:rsid w:val="000D1F51"/>
    <w:rsid w:val="000D2000"/>
    <w:rsid w:val="000D20C2"/>
    <w:rsid w:val="000D2183"/>
    <w:rsid w:val="000D220A"/>
    <w:rsid w:val="000D2261"/>
    <w:rsid w:val="000D24D1"/>
    <w:rsid w:val="000D286F"/>
    <w:rsid w:val="000D2972"/>
    <w:rsid w:val="000D2B1E"/>
    <w:rsid w:val="000D2B3B"/>
    <w:rsid w:val="000D2C19"/>
    <w:rsid w:val="000D2CFF"/>
    <w:rsid w:val="000D2DA7"/>
    <w:rsid w:val="000D303F"/>
    <w:rsid w:val="000D3084"/>
    <w:rsid w:val="000D310E"/>
    <w:rsid w:val="000D3290"/>
    <w:rsid w:val="000D32DE"/>
    <w:rsid w:val="000D32EB"/>
    <w:rsid w:val="000D3430"/>
    <w:rsid w:val="000D3461"/>
    <w:rsid w:val="000D3501"/>
    <w:rsid w:val="000D3593"/>
    <w:rsid w:val="000D365A"/>
    <w:rsid w:val="000D383B"/>
    <w:rsid w:val="000D3B00"/>
    <w:rsid w:val="000D3B0A"/>
    <w:rsid w:val="000D3EA1"/>
    <w:rsid w:val="000D3F62"/>
    <w:rsid w:val="000D4250"/>
    <w:rsid w:val="000D42EA"/>
    <w:rsid w:val="000D4435"/>
    <w:rsid w:val="000D451E"/>
    <w:rsid w:val="000D46DB"/>
    <w:rsid w:val="000D4892"/>
    <w:rsid w:val="000D48E9"/>
    <w:rsid w:val="000D4900"/>
    <w:rsid w:val="000D4958"/>
    <w:rsid w:val="000D4B25"/>
    <w:rsid w:val="000D4C9D"/>
    <w:rsid w:val="000D4CD2"/>
    <w:rsid w:val="000D4D4C"/>
    <w:rsid w:val="000D4DB9"/>
    <w:rsid w:val="000D4EE5"/>
    <w:rsid w:val="000D4F8A"/>
    <w:rsid w:val="000D4FFD"/>
    <w:rsid w:val="000D527F"/>
    <w:rsid w:val="000D532B"/>
    <w:rsid w:val="000D537B"/>
    <w:rsid w:val="000D54E9"/>
    <w:rsid w:val="000D55FE"/>
    <w:rsid w:val="000D56D0"/>
    <w:rsid w:val="000D583B"/>
    <w:rsid w:val="000D598B"/>
    <w:rsid w:val="000D5BAE"/>
    <w:rsid w:val="000D5FEC"/>
    <w:rsid w:val="000D6030"/>
    <w:rsid w:val="000D6082"/>
    <w:rsid w:val="000D60EB"/>
    <w:rsid w:val="000D6161"/>
    <w:rsid w:val="000D61A4"/>
    <w:rsid w:val="000D61AB"/>
    <w:rsid w:val="000D637A"/>
    <w:rsid w:val="000D6385"/>
    <w:rsid w:val="000D63A4"/>
    <w:rsid w:val="000D63CD"/>
    <w:rsid w:val="000D64B6"/>
    <w:rsid w:val="000D6645"/>
    <w:rsid w:val="000D6685"/>
    <w:rsid w:val="000D6782"/>
    <w:rsid w:val="000D68A5"/>
    <w:rsid w:val="000D69EE"/>
    <w:rsid w:val="000D6AF3"/>
    <w:rsid w:val="000D6C5E"/>
    <w:rsid w:val="000D6D2B"/>
    <w:rsid w:val="000D6DA7"/>
    <w:rsid w:val="000D7251"/>
    <w:rsid w:val="000D7374"/>
    <w:rsid w:val="000D739E"/>
    <w:rsid w:val="000D7611"/>
    <w:rsid w:val="000D76E7"/>
    <w:rsid w:val="000D7901"/>
    <w:rsid w:val="000D7B01"/>
    <w:rsid w:val="000D7DED"/>
    <w:rsid w:val="000D7FBE"/>
    <w:rsid w:val="000E0304"/>
    <w:rsid w:val="000E034E"/>
    <w:rsid w:val="000E03DF"/>
    <w:rsid w:val="000E06BB"/>
    <w:rsid w:val="000E0802"/>
    <w:rsid w:val="000E0899"/>
    <w:rsid w:val="000E0910"/>
    <w:rsid w:val="000E09A2"/>
    <w:rsid w:val="000E0B74"/>
    <w:rsid w:val="000E0B8E"/>
    <w:rsid w:val="000E0D09"/>
    <w:rsid w:val="000E0DC5"/>
    <w:rsid w:val="000E0F04"/>
    <w:rsid w:val="000E1078"/>
    <w:rsid w:val="000E11E9"/>
    <w:rsid w:val="000E130A"/>
    <w:rsid w:val="000E1471"/>
    <w:rsid w:val="000E14AF"/>
    <w:rsid w:val="000E16F7"/>
    <w:rsid w:val="000E177C"/>
    <w:rsid w:val="000E18C8"/>
    <w:rsid w:val="000E1C02"/>
    <w:rsid w:val="000E1C59"/>
    <w:rsid w:val="000E1CB7"/>
    <w:rsid w:val="000E1EE4"/>
    <w:rsid w:val="000E200A"/>
    <w:rsid w:val="000E203A"/>
    <w:rsid w:val="000E2111"/>
    <w:rsid w:val="000E2134"/>
    <w:rsid w:val="000E2137"/>
    <w:rsid w:val="000E2151"/>
    <w:rsid w:val="000E21B2"/>
    <w:rsid w:val="000E21D4"/>
    <w:rsid w:val="000E22CA"/>
    <w:rsid w:val="000E22D5"/>
    <w:rsid w:val="000E23D7"/>
    <w:rsid w:val="000E267B"/>
    <w:rsid w:val="000E26B9"/>
    <w:rsid w:val="000E2893"/>
    <w:rsid w:val="000E2A5D"/>
    <w:rsid w:val="000E2D24"/>
    <w:rsid w:val="000E2E75"/>
    <w:rsid w:val="000E2FF3"/>
    <w:rsid w:val="000E30DF"/>
    <w:rsid w:val="000E32C9"/>
    <w:rsid w:val="000E337E"/>
    <w:rsid w:val="000E3412"/>
    <w:rsid w:val="000E3612"/>
    <w:rsid w:val="000E3634"/>
    <w:rsid w:val="000E374E"/>
    <w:rsid w:val="000E37C4"/>
    <w:rsid w:val="000E387B"/>
    <w:rsid w:val="000E38FB"/>
    <w:rsid w:val="000E3A23"/>
    <w:rsid w:val="000E3CAF"/>
    <w:rsid w:val="000E3CF9"/>
    <w:rsid w:val="000E3D27"/>
    <w:rsid w:val="000E3DE4"/>
    <w:rsid w:val="000E3F75"/>
    <w:rsid w:val="000E4053"/>
    <w:rsid w:val="000E40BE"/>
    <w:rsid w:val="000E42A5"/>
    <w:rsid w:val="000E4351"/>
    <w:rsid w:val="000E443C"/>
    <w:rsid w:val="000E453E"/>
    <w:rsid w:val="000E4550"/>
    <w:rsid w:val="000E4554"/>
    <w:rsid w:val="000E45F0"/>
    <w:rsid w:val="000E4697"/>
    <w:rsid w:val="000E470A"/>
    <w:rsid w:val="000E4A86"/>
    <w:rsid w:val="000E4AB8"/>
    <w:rsid w:val="000E4C2D"/>
    <w:rsid w:val="000E4FCB"/>
    <w:rsid w:val="000E501B"/>
    <w:rsid w:val="000E5311"/>
    <w:rsid w:val="000E55C8"/>
    <w:rsid w:val="000E5647"/>
    <w:rsid w:val="000E573D"/>
    <w:rsid w:val="000E5819"/>
    <w:rsid w:val="000E599D"/>
    <w:rsid w:val="000E5A27"/>
    <w:rsid w:val="000E5A54"/>
    <w:rsid w:val="000E5B11"/>
    <w:rsid w:val="000E5B9A"/>
    <w:rsid w:val="000E5C56"/>
    <w:rsid w:val="000E6017"/>
    <w:rsid w:val="000E6222"/>
    <w:rsid w:val="000E6530"/>
    <w:rsid w:val="000E661B"/>
    <w:rsid w:val="000E66E6"/>
    <w:rsid w:val="000E67D8"/>
    <w:rsid w:val="000E6852"/>
    <w:rsid w:val="000E69F1"/>
    <w:rsid w:val="000E6B59"/>
    <w:rsid w:val="000E6E97"/>
    <w:rsid w:val="000E70D0"/>
    <w:rsid w:val="000E72C0"/>
    <w:rsid w:val="000E75A0"/>
    <w:rsid w:val="000E76CB"/>
    <w:rsid w:val="000E76D9"/>
    <w:rsid w:val="000E781D"/>
    <w:rsid w:val="000E7BC1"/>
    <w:rsid w:val="000E7C32"/>
    <w:rsid w:val="000E7CEA"/>
    <w:rsid w:val="000E7E43"/>
    <w:rsid w:val="000E7F21"/>
    <w:rsid w:val="000E7F42"/>
    <w:rsid w:val="000E7F71"/>
    <w:rsid w:val="000F03C3"/>
    <w:rsid w:val="000F0590"/>
    <w:rsid w:val="000F085C"/>
    <w:rsid w:val="000F0B02"/>
    <w:rsid w:val="000F0C68"/>
    <w:rsid w:val="000F0CB7"/>
    <w:rsid w:val="000F0D08"/>
    <w:rsid w:val="000F0FA9"/>
    <w:rsid w:val="000F10AC"/>
    <w:rsid w:val="000F1160"/>
    <w:rsid w:val="000F11EC"/>
    <w:rsid w:val="000F13F8"/>
    <w:rsid w:val="000F17AD"/>
    <w:rsid w:val="000F19DF"/>
    <w:rsid w:val="000F1A56"/>
    <w:rsid w:val="000F1A69"/>
    <w:rsid w:val="000F1BAB"/>
    <w:rsid w:val="000F1CB7"/>
    <w:rsid w:val="000F1D1D"/>
    <w:rsid w:val="000F1F57"/>
    <w:rsid w:val="000F2107"/>
    <w:rsid w:val="000F2271"/>
    <w:rsid w:val="000F2329"/>
    <w:rsid w:val="000F27F2"/>
    <w:rsid w:val="000F282F"/>
    <w:rsid w:val="000F297C"/>
    <w:rsid w:val="000F2A81"/>
    <w:rsid w:val="000F2ABB"/>
    <w:rsid w:val="000F2BBD"/>
    <w:rsid w:val="000F2CCD"/>
    <w:rsid w:val="000F2D4F"/>
    <w:rsid w:val="000F2DBF"/>
    <w:rsid w:val="000F2E31"/>
    <w:rsid w:val="000F2EE3"/>
    <w:rsid w:val="000F2FE7"/>
    <w:rsid w:val="000F2FEB"/>
    <w:rsid w:val="000F3097"/>
    <w:rsid w:val="000F316A"/>
    <w:rsid w:val="000F32B7"/>
    <w:rsid w:val="000F3424"/>
    <w:rsid w:val="000F3457"/>
    <w:rsid w:val="000F35B1"/>
    <w:rsid w:val="000F3653"/>
    <w:rsid w:val="000F397E"/>
    <w:rsid w:val="000F3B93"/>
    <w:rsid w:val="000F3BE3"/>
    <w:rsid w:val="000F3C75"/>
    <w:rsid w:val="000F3D46"/>
    <w:rsid w:val="000F3DE3"/>
    <w:rsid w:val="000F3E2B"/>
    <w:rsid w:val="000F3ED5"/>
    <w:rsid w:val="000F4085"/>
    <w:rsid w:val="000F410A"/>
    <w:rsid w:val="000F417D"/>
    <w:rsid w:val="000F4181"/>
    <w:rsid w:val="000F4193"/>
    <w:rsid w:val="000F4213"/>
    <w:rsid w:val="000F434E"/>
    <w:rsid w:val="000F43AE"/>
    <w:rsid w:val="000F4530"/>
    <w:rsid w:val="000F47E5"/>
    <w:rsid w:val="000F4845"/>
    <w:rsid w:val="000F49B9"/>
    <w:rsid w:val="000F4A80"/>
    <w:rsid w:val="000F4ABB"/>
    <w:rsid w:val="000F4ADE"/>
    <w:rsid w:val="000F4C0A"/>
    <w:rsid w:val="000F4C81"/>
    <w:rsid w:val="000F4CD0"/>
    <w:rsid w:val="000F4DAA"/>
    <w:rsid w:val="000F4FC1"/>
    <w:rsid w:val="000F507F"/>
    <w:rsid w:val="000F509F"/>
    <w:rsid w:val="000F51C4"/>
    <w:rsid w:val="000F525B"/>
    <w:rsid w:val="000F53E8"/>
    <w:rsid w:val="000F544D"/>
    <w:rsid w:val="000F5505"/>
    <w:rsid w:val="000F575F"/>
    <w:rsid w:val="000F5764"/>
    <w:rsid w:val="000F578B"/>
    <w:rsid w:val="000F57CB"/>
    <w:rsid w:val="000F5858"/>
    <w:rsid w:val="000F5B3F"/>
    <w:rsid w:val="000F5B95"/>
    <w:rsid w:val="000F5BB5"/>
    <w:rsid w:val="000F5C4C"/>
    <w:rsid w:val="000F5D46"/>
    <w:rsid w:val="000F5DDA"/>
    <w:rsid w:val="000F60A0"/>
    <w:rsid w:val="000F6138"/>
    <w:rsid w:val="000F6161"/>
    <w:rsid w:val="000F61C1"/>
    <w:rsid w:val="000F625F"/>
    <w:rsid w:val="000F6349"/>
    <w:rsid w:val="000F6539"/>
    <w:rsid w:val="000F671D"/>
    <w:rsid w:val="000F6B5F"/>
    <w:rsid w:val="000F6BB3"/>
    <w:rsid w:val="000F6BC3"/>
    <w:rsid w:val="000F6C11"/>
    <w:rsid w:val="000F6D2F"/>
    <w:rsid w:val="000F6F0B"/>
    <w:rsid w:val="000F7212"/>
    <w:rsid w:val="000F74A9"/>
    <w:rsid w:val="000F760E"/>
    <w:rsid w:val="000F76CF"/>
    <w:rsid w:val="000F76DA"/>
    <w:rsid w:val="000F7CB0"/>
    <w:rsid w:val="000F7F7E"/>
    <w:rsid w:val="0010007A"/>
    <w:rsid w:val="001001F2"/>
    <w:rsid w:val="0010024A"/>
    <w:rsid w:val="001002A3"/>
    <w:rsid w:val="001002DA"/>
    <w:rsid w:val="001003CB"/>
    <w:rsid w:val="0010061F"/>
    <w:rsid w:val="0010062A"/>
    <w:rsid w:val="00100667"/>
    <w:rsid w:val="001006A7"/>
    <w:rsid w:val="001006FD"/>
    <w:rsid w:val="001008D2"/>
    <w:rsid w:val="00100A2D"/>
    <w:rsid w:val="00100A79"/>
    <w:rsid w:val="00100B9A"/>
    <w:rsid w:val="00100D2E"/>
    <w:rsid w:val="00100D42"/>
    <w:rsid w:val="00100FD5"/>
    <w:rsid w:val="0010109A"/>
    <w:rsid w:val="0010111A"/>
    <w:rsid w:val="001012E7"/>
    <w:rsid w:val="0010143F"/>
    <w:rsid w:val="00101524"/>
    <w:rsid w:val="00101601"/>
    <w:rsid w:val="001016FB"/>
    <w:rsid w:val="00101792"/>
    <w:rsid w:val="001017F3"/>
    <w:rsid w:val="0010192A"/>
    <w:rsid w:val="00101AB8"/>
    <w:rsid w:val="00101B44"/>
    <w:rsid w:val="00101BCC"/>
    <w:rsid w:val="00101C00"/>
    <w:rsid w:val="00101D4B"/>
    <w:rsid w:val="00102214"/>
    <w:rsid w:val="0010235C"/>
    <w:rsid w:val="001024AE"/>
    <w:rsid w:val="00102589"/>
    <w:rsid w:val="00102698"/>
    <w:rsid w:val="00102733"/>
    <w:rsid w:val="00102806"/>
    <w:rsid w:val="0010284C"/>
    <w:rsid w:val="001028E2"/>
    <w:rsid w:val="00102B33"/>
    <w:rsid w:val="00102E55"/>
    <w:rsid w:val="00103090"/>
    <w:rsid w:val="00103188"/>
    <w:rsid w:val="0010327D"/>
    <w:rsid w:val="0010341D"/>
    <w:rsid w:val="0010347B"/>
    <w:rsid w:val="0010357E"/>
    <w:rsid w:val="00103677"/>
    <w:rsid w:val="00103877"/>
    <w:rsid w:val="00103B7F"/>
    <w:rsid w:val="00103D01"/>
    <w:rsid w:val="00103E5C"/>
    <w:rsid w:val="00103E5D"/>
    <w:rsid w:val="00103E99"/>
    <w:rsid w:val="00103F47"/>
    <w:rsid w:val="00103F5A"/>
    <w:rsid w:val="00103F8F"/>
    <w:rsid w:val="001040BF"/>
    <w:rsid w:val="00104147"/>
    <w:rsid w:val="00104154"/>
    <w:rsid w:val="0010423D"/>
    <w:rsid w:val="001044F5"/>
    <w:rsid w:val="00104528"/>
    <w:rsid w:val="0010453B"/>
    <w:rsid w:val="001046DD"/>
    <w:rsid w:val="0010472E"/>
    <w:rsid w:val="00104738"/>
    <w:rsid w:val="00104ACC"/>
    <w:rsid w:val="00104CA5"/>
    <w:rsid w:val="00104E77"/>
    <w:rsid w:val="00104F77"/>
    <w:rsid w:val="0010510E"/>
    <w:rsid w:val="00105273"/>
    <w:rsid w:val="00105380"/>
    <w:rsid w:val="001053C6"/>
    <w:rsid w:val="001057FE"/>
    <w:rsid w:val="00105855"/>
    <w:rsid w:val="0010591F"/>
    <w:rsid w:val="00105D45"/>
    <w:rsid w:val="00105D96"/>
    <w:rsid w:val="00106052"/>
    <w:rsid w:val="00106136"/>
    <w:rsid w:val="0010627D"/>
    <w:rsid w:val="001062AF"/>
    <w:rsid w:val="00106590"/>
    <w:rsid w:val="00106A08"/>
    <w:rsid w:val="00106B5D"/>
    <w:rsid w:val="00106BC9"/>
    <w:rsid w:val="00106BCE"/>
    <w:rsid w:val="00106E21"/>
    <w:rsid w:val="00106E2A"/>
    <w:rsid w:val="00107073"/>
    <w:rsid w:val="00107264"/>
    <w:rsid w:val="0010740E"/>
    <w:rsid w:val="0010747B"/>
    <w:rsid w:val="001074A0"/>
    <w:rsid w:val="00107A5A"/>
    <w:rsid w:val="00107B43"/>
    <w:rsid w:val="00107E9C"/>
    <w:rsid w:val="00107F08"/>
    <w:rsid w:val="00107F26"/>
    <w:rsid w:val="00107F4E"/>
    <w:rsid w:val="00110529"/>
    <w:rsid w:val="00110666"/>
    <w:rsid w:val="001106C8"/>
    <w:rsid w:val="001109CC"/>
    <w:rsid w:val="001109D6"/>
    <w:rsid w:val="00110A13"/>
    <w:rsid w:val="00110AEF"/>
    <w:rsid w:val="00110BEC"/>
    <w:rsid w:val="00110BFE"/>
    <w:rsid w:val="00110C9A"/>
    <w:rsid w:val="00110CFA"/>
    <w:rsid w:val="00110D1C"/>
    <w:rsid w:val="00110D21"/>
    <w:rsid w:val="00111069"/>
    <w:rsid w:val="00111081"/>
    <w:rsid w:val="00111099"/>
    <w:rsid w:val="00111120"/>
    <w:rsid w:val="00111421"/>
    <w:rsid w:val="001115B4"/>
    <w:rsid w:val="001117BA"/>
    <w:rsid w:val="00111803"/>
    <w:rsid w:val="0011181C"/>
    <w:rsid w:val="00111A0A"/>
    <w:rsid w:val="00111A7E"/>
    <w:rsid w:val="00111AD9"/>
    <w:rsid w:val="00111B37"/>
    <w:rsid w:val="00111CAD"/>
    <w:rsid w:val="00111D73"/>
    <w:rsid w:val="00111DAC"/>
    <w:rsid w:val="00111E00"/>
    <w:rsid w:val="00111E94"/>
    <w:rsid w:val="00111FD5"/>
    <w:rsid w:val="0011206E"/>
    <w:rsid w:val="00112195"/>
    <w:rsid w:val="00112254"/>
    <w:rsid w:val="0011237D"/>
    <w:rsid w:val="001123B1"/>
    <w:rsid w:val="00112666"/>
    <w:rsid w:val="00112BA6"/>
    <w:rsid w:val="00112BCB"/>
    <w:rsid w:val="00112BE4"/>
    <w:rsid w:val="00112E94"/>
    <w:rsid w:val="0011313E"/>
    <w:rsid w:val="0011333A"/>
    <w:rsid w:val="001133C6"/>
    <w:rsid w:val="001133D1"/>
    <w:rsid w:val="00113408"/>
    <w:rsid w:val="00113791"/>
    <w:rsid w:val="001138A7"/>
    <w:rsid w:val="001138AA"/>
    <w:rsid w:val="00113946"/>
    <w:rsid w:val="00113AE8"/>
    <w:rsid w:val="00113B25"/>
    <w:rsid w:val="00113E28"/>
    <w:rsid w:val="00114000"/>
    <w:rsid w:val="001140DE"/>
    <w:rsid w:val="0011431F"/>
    <w:rsid w:val="00114372"/>
    <w:rsid w:val="00114470"/>
    <w:rsid w:val="0011474E"/>
    <w:rsid w:val="0011475E"/>
    <w:rsid w:val="0011481F"/>
    <w:rsid w:val="00114885"/>
    <w:rsid w:val="00114A63"/>
    <w:rsid w:val="00114C30"/>
    <w:rsid w:val="00115106"/>
    <w:rsid w:val="0011530A"/>
    <w:rsid w:val="00115323"/>
    <w:rsid w:val="00115425"/>
    <w:rsid w:val="0011557A"/>
    <w:rsid w:val="00115922"/>
    <w:rsid w:val="00115B6D"/>
    <w:rsid w:val="00115C0B"/>
    <w:rsid w:val="00115C91"/>
    <w:rsid w:val="00115DBC"/>
    <w:rsid w:val="00115DDF"/>
    <w:rsid w:val="00116155"/>
    <w:rsid w:val="00116408"/>
    <w:rsid w:val="0011640A"/>
    <w:rsid w:val="001168E4"/>
    <w:rsid w:val="00116B4B"/>
    <w:rsid w:val="00116E97"/>
    <w:rsid w:val="00117042"/>
    <w:rsid w:val="00117061"/>
    <w:rsid w:val="00117078"/>
    <w:rsid w:val="00117131"/>
    <w:rsid w:val="001173F1"/>
    <w:rsid w:val="0011745A"/>
    <w:rsid w:val="00117474"/>
    <w:rsid w:val="00117497"/>
    <w:rsid w:val="001174D1"/>
    <w:rsid w:val="001175D3"/>
    <w:rsid w:val="0011778F"/>
    <w:rsid w:val="00117B03"/>
    <w:rsid w:val="00117C40"/>
    <w:rsid w:val="00117F08"/>
    <w:rsid w:val="00117F38"/>
    <w:rsid w:val="00117F9A"/>
    <w:rsid w:val="00120085"/>
    <w:rsid w:val="001203E4"/>
    <w:rsid w:val="00120491"/>
    <w:rsid w:val="00120672"/>
    <w:rsid w:val="001207BB"/>
    <w:rsid w:val="001207EA"/>
    <w:rsid w:val="0012088E"/>
    <w:rsid w:val="00120A8E"/>
    <w:rsid w:val="00120BB3"/>
    <w:rsid w:val="00120D19"/>
    <w:rsid w:val="00120D7A"/>
    <w:rsid w:val="00120DEC"/>
    <w:rsid w:val="00120E55"/>
    <w:rsid w:val="00120F77"/>
    <w:rsid w:val="00121060"/>
    <w:rsid w:val="0012107E"/>
    <w:rsid w:val="00121233"/>
    <w:rsid w:val="00121458"/>
    <w:rsid w:val="00121552"/>
    <w:rsid w:val="001217A2"/>
    <w:rsid w:val="00121A83"/>
    <w:rsid w:val="00121EE2"/>
    <w:rsid w:val="001220DB"/>
    <w:rsid w:val="001222FD"/>
    <w:rsid w:val="0012237C"/>
    <w:rsid w:val="00122442"/>
    <w:rsid w:val="001225BD"/>
    <w:rsid w:val="00122816"/>
    <w:rsid w:val="001228B8"/>
    <w:rsid w:val="00122AA5"/>
    <w:rsid w:val="00122B17"/>
    <w:rsid w:val="00122B33"/>
    <w:rsid w:val="00122B7E"/>
    <w:rsid w:val="00122C8C"/>
    <w:rsid w:val="00122C8F"/>
    <w:rsid w:val="00122EB2"/>
    <w:rsid w:val="00122F2D"/>
    <w:rsid w:val="00122FA2"/>
    <w:rsid w:val="001233BA"/>
    <w:rsid w:val="0012350D"/>
    <w:rsid w:val="00123604"/>
    <w:rsid w:val="001236BF"/>
    <w:rsid w:val="0012381F"/>
    <w:rsid w:val="00123832"/>
    <w:rsid w:val="00123962"/>
    <w:rsid w:val="00123AB0"/>
    <w:rsid w:val="00123AC4"/>
    <w:rsid w:val="00123D02"/>
    <w:rsid w:val="00123D4D"/>
    <w:rsid w:val="00123D6E"/>
    <w:rsid w:val="00123EE7"/>
    <w:rsid w:val="00123F58"/>
    <w:rsid w:val="001241DC"/>
    <w:rsid w:val="00124349"/>
    <w:rsid w:val="001243B7"/>
    <w:rsid w:val="001244AA"/>
    <w:rsid w:val="001244EA"/>
    <w:rsid w:val="0012460E"/>
    <w:rsid w:val="001247E3"/>
    <w:rsid w:val="0012485E"/>
    <w:rsid w:val="00124972"/>
    <w:rsid w:val="001249EF"/>
    <w:rsid w:val="00124C54"/>
    <w:rsid w:val="00124DB6"/>
    <w:rsid w:val="00124E51"/>
    <w:rsid w:val="00124ED1"/>
    <w:rsid w:val="00124FD0"/>
    <w:rsid w:val="001251F1"/>
    <w:rsid w:val="001252B0"/>
    <w:rsid w:val="00125383"/>
    <w:rsid w:val="0012570D"/>
    <w:rsid w:val="00125783"/>
    <w:rsid w:val="001257E9"/>
    <w:rsid w:val="0012587E"/>
    <w:rsid w:val="001259B6"/>
    <w:rsid w:val="00125A79"/>
    <w:rsid w:val="00125AF9"/>
    <w:rsid w:val="00125C2F"/>
    <w:rsid w:val="00125C39"/>
    <w:rsid w:val="00125DDC"/>
    <w:rsid w:val="00125EF6"/>
    <w:rsid w:val="00126049"/>
    <w:rsid w:val="00126091"/>
    <w:rsid w:val="0012620E"/>
    <w:rsid w:val="001262AE"/>
    <w:rsid w:val="0012632C"/>
    <w:rsid w:val="00126612"/>
    <w:rsid w:val="00126644"/>
    <w:rsid w:val="00126A1F"/>
    <w:rsid w:val="00126A95"/>
    <w:rsid w:val="00126A97"/>
    <w:rsid w:val="001270C6"/>
    <w:rsid w:val="00127175"/>
    <w:rsid w:val="00127206"/>
    <w:rsid w:val="00127640"/>
    <w:rsid w:val="001277D2"/>
    <w:rsid w:val="0012787E"/>
    <w:rsid w:val="0012795E"/>
    <w:rsid w:val="00127B14"/>
    <w:rsid w:val="00127B54"/>
    <w:rsid w:val="00127D57"/>
    <w:rsid w:val="00127D67"/>
    <w:rsid w:val="00127EA2"/>
    <w:rsid w:val="00127EA7"/>
    <w:rsid w:val="00127F9F"/>
    <w:rsid w:val="00130025"/>
    <w:rsid w:val="0013003C"/>
    <w:rsid w:val="0013030D"/>
    <w:rsid w:val="00130347"/>
    <w:rsid w:val="001303DC"/>
    <w:rsid w:val="00130422"/>
    <w:rsid w:val="001304C1"/>
    <w:rsid w:val="0013058E"/>
    <w:rsid w:val="001307EC"/>
    <w:rsid w:val="001308BA"/>
    <w:rsid w:val="001308E2"/>
    <w:rsid w:val="001308FC"/>
    <w:rsid w:val="00130B1F"/>
    <w:rsid w:val="0013119C"/>
    <w:rsid w:val="00131768"/>
    <w:rsid w:val="001319F5"/>
    <w:rsid w:val="00131D22"/>
    <w:rsid w:val="001321A7"/>
    <w:rsid w:val="0013223F"/>
    <w:rsid w:val="0013234F"/>
    <w:rsid w:val="0013254D"/>
    <w:rsid w:val="00132785"/>
    <w:rsid w:val="00132913"/>
    <w:rsid w:val="00132A5A"/>
    <w:rsid w:val="00132B17"/>
    <w:rsid w:val="00132BA4"/>
    <w:rsid w:val="00132D37"/>
    <w:rsid w:val="00132DE4"/>
    <w:rsid w:val="00132DFB"/>
    <w:rsid w:val="00132EA2"/>
    <w:rsid w:val="00132F0C"/>
    <w:rsid w:val="00132FC7"/>
    <w:rsid w:val="00133026"/>
    <w:rsid w:val="00133089"/>
    <w:rsid w:val="0013310F"/>
    <w:rsid w:val="00133157"/>
    <w:rsid w:val="001331B0"/>
    <w:rsid w:val="001331F9"/>
    <w:rsid w:val="001332D9"/>
    <w:rsid w:val="001333E8"/>
    <w:rsid w:val="0013344F"/>
    <w:rsid w:val="001334CE"/>
    <w:rsid w:val="00133665"/>
    <w:rsid w:val="0013377C"/>
    <w:rsid w:val="00133C63"/>
    <w:rsid w:val="00133C7B"/>
    <w:rsid w:val="00133D16"/>
    <w:rsid w:val="00133D41"/>
    <w:rsid w:val="00133E1A"/>
    <w:rsid w:val="00133E43"/>
    <w:rsid w:val="00133F69"/>
    <w:rsid w:val="00133F8F"/>
    <w:rsid w:val="0013413B"/>
    <w:rsid w:val="00134395"/>
    <w:rsid w:val="00134440"/>
    <w:rsid w:val="001344CF"/>
    <w:rsid w:val="0013457C"/>
    <w:rsid w:val="0013462B"/>
    <w:rsid w:val="001346C6"/>
    <w:rsid w:val="0013476F"/>
    <w:rsid w:val="001347A1"/>
    <w:rsid w:val="001348A2"/>
    <w:rsid w:val="0013495E"/>
    <w:rsid w:val="00134BDD"/>
    <w:rsid w:val="00134C2D"/>
    <w:rsid w:val="00134DDD"/>
    <w:rsid w:val="00134F95"/>
    <w:rsid w:val="0013505D"/>
    <w:rsid w:val="00135080"/>
    <w:rsid w:val="001351BF"/>
    <w:rsid w:val="00135247"/>
    <w:rsid w:val="00135343"/>
    <w:rsid w:val="0013565B"/>
    <w:rsid w:val="001356C9"/>
    <w:rsid w:val="001357B2"/>
    <w:rsid w:val="0013597F"/>
    <w:rsid w:val="001359E9"/>
    <w:rsid w:val="00135A16"/>
    <w:rsid w:val="00135CE7"/>
    <w:rsid w:val="00135EDD"/>
    <w:rsid w:val="00136048"/>
    <w:rsid w:val="00136276"/>
    <w:rsid w:val="001362F7"/>
    <w:rsid w:val="0013651C"/>
    <w:rsid w:val="00136611"/>
    <w:rsid w:val="0013686A"/>
    <w:rsid w:val="001368A6"/>
    <w:rsid w:val="00136900"/>
    <w:rsid w:val="00136958"/>
    <w:rsid w:val="001369C9"/>
    <w:rsid w:val="00136A9C"/>
    <w:rsid w:val="00136B89"/>
    <w:rsid w:val="00137082"/>
    <w:rsid w:val="00137159"/>
    <w:rsid w:val="00137187"/>
    <w:rsid w:val="001371F9"/>
    <w:rsid w:val="0013756B"/>
    <w:rsid w:val="00137590"/>
    <w:rsid w:val="00137676"/>
    <w:rsid w:val="001378FE"/>
    <w:rsid w:val="00137969"/>
    <w:rsid w:val="00137AF4"/>
    <w:rsid w:val="00137C07"/>
    <w:rsid w:val="00137EE9"/>
    <w:rsid w:val="00140061"/>
    <w:rsid w:val="00140213"/>
    <w:rsid w:val="001402D1"/>
    <w:rsid w:val="001402DF"/>
    <w:rsid w:val="001403A2"/>
    <w:rsid w:val="0014047D"/>
    <w:rsid w:val="00140489"/>
    <w:rsid w:val="001407A0"/>
    <w:rsid w:val="001407ED"/>
    <w:rsid w:val="0014083F"/>
    <w:rsid w:val="00140886"/>
    <w:rsid w:val="0014088B"/>
    <w:rsid w:val="001409D6"/>
    <w:rsid w:val="00140ABF"/>
    <w:rsid w:val="00140D7B"/>
    <w:rsid w:val="00140E68"/>
    <w:rsid w:val="00140EA0"/>
    <w:rsid w:val="00140FA2"/>
    <w:rsid w:val="001410AD"/>
    <w:rsid w:val="0014110B"/>
    <w:rsid w:val="001411B4"/>
    <w:rsid w:val="001411DB"/>
    <w:rsid w:val="0014136D"/>
    <w:rsid w:val="001415DB"/>
    <w:rsid w:val="00141643"/>
    <w:rsid w:val="0014168A"/>
    <w:rsid w:val="001416A0"/>
    <w:rsid w:val="00141728"/>
    <w:rsid w:val="00141855"/>
    <w:rsid w:val="001418E8"/>
    <w:rsid w:val="001419E9"/>
    <w:rsid w:val="00141A32"/>
    <w:rsid w:val="00141AF6"/>
    <w:rsid w:val="00141B09"/>
    <w:rsid w:val="00141C65"/>
    <w:rsid w:val="00141DD0"/>
    <w:rsid w:val="00141E51"/>
    <w:rsid w:val="00141E92"/>
    <w:rsid w:val="00142021"/>
    <w:rsid w:val="00142246"/>
    <w:rsid w:val="0014233C"/>
    <w:rsid w:val="00142670"/>
    <w:rsid w:val="001427E3"/>
    <w:rsid w:val="00142B67"/>
    <w:rsid w:val="00142C09"/>
    <w:rsid w:val="00142DA7"/>
    <w:rsid w:val="00142E0A"/>
    <w:rsid w:val="00142FA3"/>
    <w:rsid w:val="0014303E"/>
    <w:rsid w:val="00143138"/>
    <w:rsid w:val="0014314A"/>
    <w:rsid w:val="001432C1"/>
    <w:rsid w:val="001433A9"/>
    <w:rsid w:val="001433DD"/>
    <w:rsid w:val="001433F6"/>
    <w:rsid w:val="001434DB"/>
    <w:rsid w:val="00143509"/>
    <w:rsid w:val="0014355E"/>
    <w:rsid w:val="00143DF2"/>
    <w:rsid w:val="00143E02"/>
    <w:rsid w:val="00143E18"/>
    <w:rsid w:val="00143F61"/>
    <w:rsid w:val="00143FEF"/>
    <w:rsid w:val="001440A4"/>
    <w:rsid w:val="00144238"/>
    <w:rsid w:val="0014439A"/>
    <w:rsid w:val="001443E5"/>
    <w:rsid w:val="00144711"/>
    <w:rsid w:val="00144964"/>
    <w:rsid w:val="00144B7B"/>
    <w:rsid w:val="00144BC3"/>
    <w:rsid w:val="00144C8A"/>
    <w:rsid w:val="00144D07"/>
    <w:rsid w:val="0014500B"/>
    <w:rsid w:val="00145027"/>
    <w:rsid w:val="001450F3"/>
    <w:rsid w:val="00145296"/>
    <w:rsid w:val="001452C0"/>
    <w:rsid w:val="001452C5"/>
    <w:rsid w:val="0014542D"/>
    <w:rsid w:val="0014552A"/>
    <w:rsid w:val="00145664"/>
    <w:rsid w:val="001457B3"/>
    <w:rsid w:val="001457C0"/>
    <w:rsid w:val="0014599D"/>
    <w:rsid w:val="00145A41"/>
    <w:rsid w:val="00145A5F"/>
    <w:rsid w:val="00145D48"/>
    <w:rsid w:val="001463D0"/>
    <w:rsid w:val="001463E2"/>
    <w:rsid w:val="00146478"/>
    <w:rsid w:val="0014674C"/>
    <w:rsid w:val="00146819"/>
    <w:rsid w:val="00146ABA"/>
    <w:rsid w:val="00146AC9"/>
    <w:rsid w:val="00146B34"/>
    <w:rsid w:val="00146B8C"/>
    <w:rsid w:val="00146CAC"/>
    <w:rsid w:val="00146E6D"/>
    <w:rsid w:val="00146EB8"/>
    <w:rsid w:val="0014719E"/>
    <w:rsid w:val="0014727A"/>
    <w:rsid w:val="0014729B"/>
    <w:rsid w:val="00147499"/>
    <w:rsid w:val="001476C8"/>
    <w:rsid w:val="00147754"/>
    <w:rsid w:val="00147829"/>
    <w:rsid w:val="001479D4"/>
    <w:rsid w:val="00147B85"/>
    <w:rsid w:val="00147BB3"/>
    <w:rsid w:val="00147BE1"/>
    <w:rsid w:val="00147D83"/>
    <w:rsid w:val="00150004"/>
    <w:rsid w:val="0015008C"/>
    <w:rsid w:val="001500D0"/>
    <w:rsid w:val="0015012B"/>
    <w:rsid w:val="001505C5"/>
    <w:rsid w:val="001507E6"/>
    <w:rsid w:val="00150925"/>
    <w:rsid w:val="00150AE3"/>
    <w:rsid w:val="00150C5D"/>
    <w:rsid w:val="00150EAD"/>
    <w:rsid w:val="00150F46"/>
    <w:rsid w:val="00150F82"/>
    <w:rsid w:val="00151022"/>
    <w:rsid w:val="0015118E"/>
    <w:rsid w:val="0015127C"/>
    <w:rsid w:val="0015130A"/>
    <w:rsid w:val="0015135E"/>
    <w:rsid w:val="00151399"/>
    <w:rsid w:val="0015142E"/>
    <w:rsid w:val="00151510"/>
    <w:rsid w:val="0015153F"/>
    <w:rsid w:val="001515C0"/>
    <w:rsid w:val="0015174A"/>
    <w:rsid w:val="001517FC"/>
    <w:rsid w:val="00151989"/>
    <w:rsid w:val="00151A14"/>
    <w:rsid w:val="00151A4C"/>
    <w:rsid w:val="00151AC6"/>
    <w:rsid w:val="00151D20"/>
    <w:rsid w:val="00151D21"/>
    <w:rsid w:val="00151DDF"/>
    <w:rsid w:val="00152032"/>
    <w:rsid w:val="001523D2"/>
    <w:rsid w:val="001523F3"/>
    <w:rsid w:val="0015291E"/>
    <w:rsid w:val="00152AB0"/>
    <w:rsid w:val="00152C56"/>
    <w:rsid w:val="00152C6D"/>
    <w:rsid w:val="00152CCC"/>
    <w:rsid w:val="00152D05"/>
    <w:rsid w:val="00152D53"/>
    <w:rsid w:val="00152ED1"/>
    <w:rsid w:val="00153061"/>
    <w:rsid w:val="001530A5"/>
    <w:rsid w:val="001533EC"/>
    <w:rsid w:val="00153431"/>
    <w:rsid w:val="001534C3"/>
    <w:rsid w:val="001534E5"/>
    <w:rsid w:val="00153703"/>
    <w:rsid w:val="00153877"/>
    <w:rsid w:val="00153C4A"/>
    <w:rsid w:val="00153CB8"/>
    <w:rsid w:val="00153FA9"/>
    <w:rsid w:val="0015417B"/>
    <w:rsid w:val="001543A0"/>
    <w:rsid w:val="00154560"/>
    <w:rsid w:val="00154747"/>
    <w:rsid w:val="001547AF"/>
    <w:rsid w:val="001547B1"/>
    <w:rsid w:val="0015484B"/>
    <w:rsid w:val="00154966"/>
    <w:rsid w:val="0015498F"/>
    <w:rsid w:val="001549A8"/>
    <w:rsid w:val="00154C26"/>
    <w:rsid w:val="00154CA4"/>
    <w:rsid w:val="00154DB5"/>
    <w:rsid w:val="00154F4E"/>
    <w:rsid w:val="00155032"/>
    <w:rsid w:val="001550EE"/>
    <w:rsid w:val="001551B7"/>
    <w:rsid w:val="001551F1"/>
    <w:rsid w:val="00155273"/>
    <w:rsid w:val="001552E9"/>
    <w:rsid w:val="001553C6"/>
    <w:rsid w:val="0015544F"/>
    <w:rsid w:val="001555EF"/>
    <w:rsid w:val="0015573A"/>
    <w:rsid w:val="0015583E"/>
    <w:rsid w:val="0015588C"/>
    <w:rsid w:val="00155AA3"/>
    <w:rsid w:val="00155C98"/>
    <w:rsid w:val="00155D0B"/>
    <w:rsid w:val="00155D3C"/>
    <w:rsid w:val="00155DAD"/>
    <w:rsid w:val="00155DCB"/>
    <w:rsid w:val="00155F67"/>
    <w:rsid w:val="00156009"/>
    <w:rsid w:val="00156031"/>
    <w:rsid w:val="00156142"/>
    <w:rsid w:val="00156354"/>
    <w:rsid w:val="001563AA"/>
    <w:rsid w:val="00156510"/>
    <w:rsid w:val="00156556"/>
    <w:rsid w:val="00156678"/>
    <w:rsid w:val="0015668E"/>
    <w:rsid w:val="00156B50"/>
    <w:rsid w:val="00156F18"/>
    <w:rsid w:val="00156FF7"/>
    <w:rsid w:val="001572EF"/>
    <w:rsid w:val="00157499"/>
    <w:rsid w:val="00157510"/>
    <w:rsid w:val="001575CD"/>
    <w:rsid w:val="0015767D"/>
    <w:rsid w:val="001576D7"/>
    <w:rsid w:val="00157B42"/>
    <w:rsid w:val="00157E59"/>
    <w:rsid w:val="00157F08"/>
    <w:rsid w:val="001600A9"/>
    <w:rsid w:val="001601C7"/>
    <w:rsid w:val="001601CB"/>
    <w:rsid w:val="0016023A"/>
    <w:rsid w:val="00160514"/>
    <w:rsid w:val="0016085E"/>
    <w:rsid w:val="001608AB"/>
    <w:rsid w:val="00160930"/>
    <w:rsid w:val="001609AB"/>
    <w:rsid w:val="001609BA"/>
    <w:rsid w:val="001609C8"/>
    <w:rsid w:val="00160ADA"/>
    <w:rsid w:val="00160BC0"/>
    <w:rsid w:val="00160C00"/>
    <w:rsid w:val="00160C87"/>
    <w:rsid w:val="00160CFE"/>
    <w:rsid w:val="00160F56"/>
    <w:rsid w:val="00161025"/>
    <w:rsid w:val="00161319"/>
    <w:rsid w:val="001615ED"/>
    <w:rsid w:val="00161683"/>
    <w:rsid w:val="001618A8"/>
    <w:rsid w:val="001619A8"/>
    <w:rsid w:val="00161B77"/>
    <w:rsid w:val="00161BD1"/>
    <w:rsid w:val="00161CB1"/>
    <w:rsid w:val="00161CD1"/>
    <w:rsid w:val="001620C1"/>
    <w:rsid w:val="0016218F"/>
    <w:rsid w:val="00162202"/>
    <w:rsid w:val="001624E2"/>
    <w:rsid w:val="001626BE"/>
    <w:rsid w:val="0016282D"/>
    <w:rsid w:val="001629E4"/>
    <w:rsid w:val="00162A6C"/>
    <w:rsid w:val="00162BDC"/>
    <w:rsid w:val="00163364"/>
    <w:rsid w:val="001634B7"/>
    <w:rsid w:val="001634E0"/>
    <w:rsid w:val="001634E4"/>
    <w:rsid w:val="00163558"/>
    <w:rsid w:val="00163636"/>
    <w:rsid w:val="001636B7"/>
    <w:rsid w:val="00163BA2"/>
    <w:rsid w:val="00163CD7"/>
    <w:rsid w:val="00163D59"/>
    <w:rsid w:val="00163DE6"/>
    <w:rsid w:val="001640B1"/>
    <w:rsid w:val="00164238"/>
    <w:rsid w:val="00164261"/>
    <w:rsid w:val="001644FD"/>
    <w:rsid w:val="001645AD"/>
    <w:rsid w:val="001645F1"/>
    <w:rsid w:val="00164655"/>
    <w:rsid w:val="0016479D"/>
    <w:rsid w:val="0016495B"/>
    <w:rsid w:val="00164F24"/>
    <w:rsid w:val="00165131"/>
    <w:rsid w:val="0016528A"/>
    <w:rsid w:val="001653AB"/>
    <w:rsid w:val="001653F7"/>
    <w:rsid w:val="00165659"/>
    <w:rsid w:val="00165699"/>
    <w:rsid w:val="001656C6"/>
    <w:rsid w:val="0016580F"/>
    <w:rsid w:val="001658D4"/>
    <w:rsid w:val="00165960"/>
    <w:rsid w:val="00165AD3"/>
    <w:rsid w:val="00165BC6"/>
    <w:rsid w:val="00165DCD"/>
    <w:rsid w:val="00165EAE"/>
    <w:rsid w:val="00166016"/>
    <w:rsid w:val="001660E5"/>
    <w:rsid w:val="001661B7"/>
    <w:rsid w:val="0016635B"/>
    <w:rsid w:val="001663B1"/>
    <w:rsid w:val="00166419"/>
    <w:rsid w:val="001668ED"/>
    <w:rsid w:val="0016690D"/>
    <w:rsid w:val="0016694D"/>
    <w:rsid w:val="00166AFE"/>
    <w:rsid w:val="00166B18"/>
    <w:rsid w:val="00166C87"/>
    <w:rsid w:val="00166EB8"/>
    <w:rsid w:val="00166EEE"/>
    <w:rsid w:val="00166FF9"/>
    <w:rsid w:val="0016742B"/>
    <w:rsid w:val="00167521"/>
    <w:rsid w:val="001675AB"/>
    <w:rsid w:val="0016768F"/>
    <w:rsid w:val="001676D9"/>
    <w:rsid w:val="001677D0"/>
    <w:rsid w:val="00167AD9"/>
    <w:rsid w:val="00167B8B"/>
    <w:rsid w:val="00167BE8"/>
    <w:rsid w:val="00167CE2"/>
    <w:rsid w:val="00167E12"/>
    <w:rsid w:val="00167E43"/>
    <w:rsid w:val="00167E53"/>
    <w:rsid w:val="00167E7E"/>
    <w:rsid w:val="0017005A"/>
    <w:rsid w:val="001700E5"/>
    <w:rsid w:val="0017022E"/>
    <w:rsid w:val="001702FD"/>
    <w:rsid w:val="001703F7"/>
    <w:rsid w:val="001705C7"/>
    <w:rsid w:val="00170614"/>
    <w:rsid w:val="00170748"/>
    <w:rsid w:val="00170B10"/>
    <w:rsid w:val="00170B63"/>
    <w:rsid w:val="00170B78"/>
    <w:rsid w:val="00170DD0"/>
    <w:rsid w:val="00170DDB"/>
    <w:rsid w:val="00170E09"/>
    <w:rsid w:val="00170FE2"/>
    <w:rsid w:val="0017118F"/>
    <w:rsid w:val="001711C9"/>
    <w:rsid w:val="001711E8"/>
    <w:rsid w:val="0017147C"/>
    <w:rsid w:val="001714C4"/>
    <w:rsid w:val="001717E2"/>
    <w:rsid w:val="00171A2F"/>
    <w:rsid w:val="00171A41"/>
    <w:rsid w:val="00171CE8"/>
    <w:rsid w:val="00171F1C"/>
    <w:rsid w:val="00172056"/>
    <w:rsid w:val="0017227B"/>
    <w:rsid w:val="0017236D"/>
    <w:rsid w:val="00172539"/>
    <w:rsid w:val="001725F1"/>
    <w:rsid w:val="001725FD"/>
    <w:rsid w:val="00172686"/>
    <w:rsid w:val="0017279D"/>
    <w:rsid w:val="001729C8"/>
    <w:rsid w:val="00172A20"/>
    <w:rsid w:val="00172A90"/>
    <w:rsid w:val="00172AE8"/>
    <w:rsid w:val="00172B06"/>
    <w:rsid w:val="00172B31"/>
    <w:rsid w:val="00172BCF"/>
    <w:rsid w:val="00172ED7"/>
    <w:rsid w:val="0017321D"/>
    <w:rsid w:val="001733F9"/>
    <w:rsid w:val="00173418"/>
    <w:rsid w:val="001735EB"/>
    <w:rsid w:val="00173676"/>
    <w:rsid w:val="001736E2"/>
    <w:rsid w:val="001737AE"/>
    <w:rsid w:val="00173957"/>
    <w:rsid w:val="001739E7"/>
    <w:rsid w:val="00173A27"/>
    <w:rsid w:val="00173C0E"/>
    <w:rsid w:val="00173C4D"/>
    <w:rsid w:val="00173CDB"/>
    <w:rsid w:val="001741A2"/>
    <w:rsid w:val="001742AF"/>
    <w:rsid w:val="0017432D"/>
    <w:rsid w:val="00174390"/>
    <w:rsid w:val="0017442F"/>
    <w:rsid w:val="00174506"/>
    <w:rsid w:val="0017451B"/>
    <w:rsid w:val="00174668"/>
    <w:rsid w:val="001746CC"/>
    <w:rsid w:val="00174A3A"/>
    <w:rsid w:val="00174C9B"/>
    <w:rsid w:val="00174DD6"/>
    <w:rsid w:val="00174F9C"/>
    <w:rsid w:val="00175205"/>
    <w:rsid w:val="0017537A"/>
    <w:rsid w:val="00175395"/>
    <w:rsid w:val="0017539A"/>
    <w:rsid w:val="001753DE"/>
    <w:rsid w:val="00175605"/>
    <w:rsid w:val="001757BA"/>
    <w:rsid w:val="001757D3"/>
    <w:rsid w:val="0017590F"/>
    <w:rsid w:val="00175AD4"/>
    <w:rsid w:val="00175D54"/>
    <w:rsid w:val="00175DAE"/>
    <w:rsid w:val="00175F35"/>
    <w:rsid w:val="001760A3"/>
    <w:rsid w:val="00176905"/>
    <w:rsid w:val="00176907"/>
    <w:rsid w:val="001769BC"/>
    <w:rsid w:val="00176AB3"/>
    <w:rsid w:val="00176BD4"/>
    <w:rsid w:val="00176C47"/>
    <w:rsid w:val="00176DE7"/>
    <w:rsid w:val="00176E0E"/>
    <w:rsid w:val="001770BC"/>
    <w:rsid w:val="001771E0"/>
    <w:rsid w:val="0017729B"/>
    <w:rsid w:val="0017765C"/>
    <w:rsid w:val="00177781"/>
    <w:rsid w:val="00177900"/>
    <w:rsid w:val="0017792E"/>
    <w:rsid w:val="001779E1"/>
    <w:rsid w:val="001779F5"/>
    <w:rsid w:val="00177A3F"/>
    <w:rsid w:val="00177A51"/>
    <w:rsid w:val="00177B91"/>
    <w:rsid w:val="00177C55"/>
    <w:rsid w:val="00177DB5"/>
    <w:rsid w:val="00177E32"/>
    <w:rsid w:val="00177ED5"/>
    <w:rsid w:val="00177ED9"/>
    <w:rsid w:val="0018001A"/>
    <w:rsid w:val="001802E5"/>
    <w:rsid w:val="001804AD"/>
    <w:rsid w:val="00180535"/>
    <w:rsid w:val="00180541"/>
    <w:rsid w:val="00180624"/>
    <w:rsid w:val="00180637"/>
    <w:rsid w:val="00180709"/>
    <w:rsid w:val="00180766"/>
    <w:rsid w:val="00180902"/>
    <w:rsid w:val="00180A18"/>
    <w:rsid w:val="00180B1C"/>
    <w:rsid w:val="00180C3C"/>
    <w:rsid w:val="00180CAE"/>
    <w:rsid w:val="00180D3D"/>
    <w:rsid w:val="00180DDD"/>
    <w:rsid w:val="00180EB8"/>
    <w:rsid w:val="0018111C"/>
    <w:rsid w:val="00181322"/>
    <w:rsid w:val="0018132C"/>
    <w:rsid w:val="001814DF"/>
    <w:rsid w:val="0018159D"/>
    <w:rsid w:val="001816BF"/>
    <w:rsid w:val="00181717"/>
    <w:rsid w:val="0018176B"/>
    <w:rsid w:val="001817F4"/>
    <w:rsid w:val="00181816"/>
    <w:rsid w:val="001818AD"/>
    <w:rsid w:val="001818B6"/>
    <w:rsid w:val="0018191E"/>
    <w:rsid w:val="001819BA"/>
    <w:rsid w:val="00181AF3"/>
    <w:rsid w:val="00181C2A"/>
    <w:rsid w:val="00181DE5"/>
    <w:rsid w:val="00182010"/>
    <w:rsid w:val="0018219D"/>
    <w:rsid w:val="001822B6"/>
    <w:rsid w:val="001822C4"/>
    <w:rsid w:val="00182863"/>
    <w:rsid w:val="00182A40"/>
    <w:rsid w:val="00182C88"/>
    <w:rsid w:val="00182CB4"/>
    <w:rsid w:val="00182D19"/>
    <w:rsid w:val="00182E39"/>
    <w:rsid w:val="0018300E"/>
    <w:rsid w:val="0018305F"/>
    <w:rsid w:val="00183318"/>
    <w:rsid w:val="00183327"/>
    <w:rsid w:val="00183384"/>
    <w:rsid w:val="001833E0"/>
    <w:rsid w:val="001835BF"/>
    <w:rsid w:val="0018371E"/>
    <w:rsid w:val="00183763"/>
    <w:rsid w:val="00183984"/>
    <w:rsid w:val="001839CD"/>
    <w:rsid w:val="00183BA5"/>
    <w:rsid w:val="00183C1B"/>
    <w:rsid w:val="00183E58"/>
    <w:rsid w:val="00183F27"/>
    <w:rsid w:val="0018402E"/>
    <w:rsid w:val="001840E8"/>
    <w:rsid w:val="00184176"/>
    <w:rsid w:val="00184193"/>
    <w:rsid w:val="00184353"/>
    <w:rsid w:val="0018467B"/>
    <w:rsid w:val="001846D2"/>
    <w:rsid w:val="0018478B"/>
    <w:rsid w:val="0018497E"/>
    <w:rsid w:val="001849AD"/>
    <w:rsid w:val="00184C47"/>
    <w:rsid w:val="00184D28"/>
    <w:rsid w:val="00184DE9"/>
    <w:rsid w:val="00184E93"/>
    <w:rsid w:val="00185034"/>
    <w:rsid w:val="001852F1"/>
    <w:rsid w:val="00185327"/>
    <w:rsid w:val="00185372"/>
    <w:rsid w:val="00185473"/>
    <w:rsid w:val="001855F5"/>
    <w:rsid w:val="0018574C"/>
    <w:rsid w:val="0018585C"/>
    <w:rsid w:val="00185861"/>
    <w:rsid w:val="00185872"/>
    <w:rsid w:val="0018593A"/>
    <w:rsid w:val="00185A07"/>
    <w:rsid w:val="00185A20"/>
    <w:rsid w:val="00185AC6"/>
    <w:rsid w:val="00185B19"/>
    <w:rsid w:val="00185C26"/>
    <w:rsid w:val="00185E1A"/>
    <w:rsid w:val="00185E1D"/>
    <w:rsid w:val="00185F9D"/>
    <w:rsid w:val="00186227"/>
    <w:rsid w:val="00186228"/>
    <w:rsid w:val="00186255"/>
    <w:rsid w:val="001862F6"/>
    <w:rsid w:val="00186573"/>
    <w:rsid w:val="001865F7"/>
    <w:rsid w:val="001867FD"/>
    <w:rsid w:val="00186AD0"/>
    <w:rsid w:val="00186B93"/>
    <w:rsid w:val="00186C4D"/>
    <w:rsid w:val="001870D4"/>
    <w:rsid w:val="001870D8"/>
    <w:rsid w:val="00187138"/>
    <w:rsid w:val="001871C6"/>
    <w:rsid w:val="00187235"/>
    <w:rsid w:val="00187313"/>
    <w:rsid w:val="00187599"/>
    <w:rsid w:val="00187731"/>
    <w:rsid w:val="00187784"/>
    <w:rsid w:val="001878D8"/>
    <w:rsid w:val="00187961"/>
    <w:rsid w:val="00187A8F"/>
    <w:rsid w:val="00187CF5"/>
    <w:rsid w:val="00187E13"/>
    <w:rsid w:val="0019000F"/>
    <w:rsid w:val="00190015"/>
    <w:rsid w:val="001901C2"/>
    <w:rsid w:val="00190268"/>
    <w:rsid w:val="0019040B"/>
    <w:rsid w:val="0019046E"/>
    <w:rsid w:val="00190552"/>
    <w:rsid w:val="00190580"/>
    <w:rsid w:val="001905EC"/>
    <w:rsid w:val="001907B6"/>
    <w:rsid w:val="00190836"/>
    <w:rsid w:val="0019083F"/>
    <w:rsid w:val="00190862"/>
    <w:rsid w:val="001908D6"/>
    <w:rsid w:val="00190956"/>
    <w:rsid w:val="00190CC1"/>
    <w:rsid w:val="00190E84"/>
    <w:rsid w:val="0019103A"/>
    <w:rsid w:val="001910C1"/>
    <w:rsid w:val="001912CE"/>
    <w:rsid w:val="001913EA"/>
    <w:rsid w:val="001914DB"/>
    <w:rsid w:val="0019173D"/>
    <w:rsid w:val="001917BC"/>
    <w:rsid w:val="001917CE"/>
    <w:rsid w:val="001918A3"/>
    <w:rsid w:val="00191D8F"/>
    <w:rsid w:val="00191E39"/>
    <w:rsid w:val="00191E6D"/>
    <w:rsid w:val="00191F95"/>
    <w:rsid w:val="00192061"/>
    <w:rsid w:val="00192096"/>
    <w:rsid w:val="00192119"/>
    <w:rsid w:val="001922BD"/>
    <w:rsid w:val="00192452"/>
    <w:rsid w:val="00192453"/>
    <w:rsid w:val="0019273A"/>
    <w:rsid w:val="001927A6"/>
    <w:rsid w:val="00192A20"/>
    <w:rsid w:val="00192A9D"/>
    <w:rsid w:val="00192C08"/>
    <w:rsid w:val="00192DAE"/>
    <w:rsid w:val="00192DD2"/>
    <w:rsid w:val="00192E10"/>
    <w:rsid w:val="00192E7B"/>
    <w:rsid w:val="00192F6C"/>
    <w:rsid w:val="00192F9F"/>
    <w:rsid w:val="001930F5"/>
    <w:rsid w:val="001931E7"/>
    <w:rsid w:val="0019327B"/>
    <w:rsid w:val="001934BD"/>
    <w:rsid w:val="001935D5"/>
    <w:rsid w:val="00193825"/>
    <w:rsid w:val="001938DC"/>
    <w:rsid w:val="00193ABA"/>
    <w:rsid w:val="00193BE5"/>
    <w:rsid w:val="00193C3D"/>
    <w:rsid w:val="00193C6D"/>
    <w:rsid w:val="00193CFA"/>
    <w:rsid w:val="00193D16"/>
    <w:rsid w:val="00193D1B"/>
    <w:rsid w:val="0019410C"/>
    <w:rsid w:val="001942B4"/>
    <w:rsid w:val="00194384"/>
    <w:rsid w:val="0019452C"/>
    <w:rsid w:val="00194746"/>
    <w:rsid w:val="00194769"/>
    <w:rsid w:val="00194BB6"/>
    <w:rsid w:val="00194C0B"/>
    <w:rsid w:val="00194E28"/>
    <w:rsid w:val="00194E45"/>
    <w:rsid w:val="00194E96"/>
    <w:rsid w:val="00194F2D"/>
    <w:rsid w:val="00194FE6"/>
    <w:rsid w:val="001950AE"/>
    <w:rsid w:val="00195302"/>
    <w:rsid w:val="00195318"/>
    <w:rsid w:val="00195605"/>
    <w:rsid w:val="00195680"/>
    <w:rsid w:val="0019568A"/>
    <w:rsid w:val="001956F8"/>
    <w:rsid w:val="001957CB"/>
    <w:rsid w:val="00195981"/>
    <w:rsid w:val="00195BDA"/>
    <w:rsid w:val="00195BE9"/>
    <w:rsid w:val="00195CA0"/>
    <w:rsid w:val="00195D7C"/>
    <w:rsid w:val="00195EBE"/>
    <w:rsid w:val="00195F19"/>
    <w:rsid w:val="00195F46"/>
    <w:rsid w:val="00196101"/>
    <w:rsid w:val="001961A5"/>
    <w:rsid w:val="001962C7"/>
    <w:rsid w:val="00196696"/>
    <w:rsid w:val="0019674F"/>
    <w:rsid w:val="0019686E"/>
    <w:rsid w:val="001968E3"/>
    <w:rsid w:val="00196967"/>
    <w:rsid w:val="001969B9"/>
    <w:rsid w:val="001969CB"/>
    <w:rsid w:val="00196A28"/>
    <w:rsid w:val="00196AF3"/>
    <w:rsid w:val="00196B16"/>
    <w:rsid w:val="00196BF6"/>
    <w:rsid w:val="00196D0B"/>
    <w:rsid w:val="00196E4F"/>
    <w:rsid w:val="0019727A"/>
    <w:rsid w:val="001972BE"/>
    <w:rsid w:val="0019768F"/>
    <w:rsid w:val="00197728"/>
    <w:rsid w:val="001977AE"/>
    <w:rsid w:val="0019781A"/>
    <w:rsid w:val="00197A98"/>
    <w:rsid w:val="00197D46"/>
    <w:rsid w:val="00197DFF"/>
    <w:rsid w:val="001A001B"/>
    <w:rsid w:val="001A00B0"/>
    <w:rsid w:val="001A0127"/>
    <w:rsid w:val="001A0165"/>
    <w:rsid w:val="001A0346"/>
    <w:rsid w:val="001A040D"/>
    <w:rsid w:val="001A043D"/>
    <w:rsid w:val="001A0506"/>
    <w:rsid w:val="001A05C6"/>
    <w:rsid w:val="001A06A1"/>
    <w:rsid w:val="001A06CD"/>
    <w:rsid w:val="001A070B"/>
    <w:rsid w:val="001A07B2"/>
    <w:rsid w:val="001A0900"/>
    <w:rsid w:val="001A0A7F"/>
    <w:rsid w:val="001A0AD6"/>
    <w:rsid w:val="001A0BA3"/>
    <w:rsid w:val="001A0C30"/>
    <w:rsid w:val="001A0C3A"/>
    <w:rsid w:val="001A0DB5"/>
    <w:rsid w:val="001A0E2D"/>
    <w:rsid w:val="001A0E4B"/>
    <w:rsid w:val="001A0EBC"/>
    <w:rsid w:val="001A0F67"/>
    <w:rsid w:val="001A13D8"/>
    <w:rsid w:val="001A13F1"/>
    <w:rsid w:val="001A14CD"/>
    <w:rsid w:val="001A14FB"/>
    <w:rsid w:val="001A1504"/>
    <w:rsid w:val="001A153D"/>
    <w:rsid w:val="001A15AE"/>
    <w:rsid w:val="001A1624"/>
    <w:rsid w:val="001A17B5"/>
    <w:rsid w:val="001A17DF"/>
    <w:rsid w:val="001A1B78"/>
    <w:rsid w:val="001A1B9C"/>
    <w:rsid w:val="001A1CD4"/>
    <w:rsid w:val="001A1E13"/>
    <w:rsid w:val="001A1FB7"/>
    <w:rsid w:val="001A1FBD"/>
    <w:rsid w:val="001A20F4"/>
    <w:rsid w:val="001A229E"/>
    <w:rsid w:val="001A22CA"/>
    <w:rsid w:val="001A255C"/>
    <w:rsid w:val="001A2731"/>
    <w:rsid w:val="001A278A"/>
    <w:rsid w:val="001A2A54"/>
    <w:rsid w:val="001A2D17"/>
    <w:rsid w:val="001A2DA7"/>
    <w:rsid w:val="001A2DDF"/>
    <w:rsid w:val="001A301B"/>
    <w:rsid w:val="001A31AF"/>
    <w:rsid w:val="001A3303"/>
    <w:rsid w:val="001A3464"/>
    <w:rsid w:val="001A3563"/>
    <w:rsid w:val="001A39EF"/>
    <w:rsid w:val="001A3B0E"/>
    <w:rsid w:val="001A3C05"/>
    <w:rsid w:val="001A3C87"/>
    <w:rsid w:val="001A3DBB"/>
    <w:rsid w:val="001A3F7C"/>
    <w:rsid w:val="001A4068"/>
    <w:rsid w:val="001A4137"/>
    <w:rsid w:val="001A4200"/>
    <w:rsid w:val="001A42E4"/>
    <w:rsid w:val="001A438A"/>
    <w:rsid w:val="001A43EA"/>
    <w:rsid w:val="001A46C1"/>
    <w:rsid w:val="001A4C30"/>
    <w:rsid w:val="001A4DE7"/>
    <w:rsid w:val="001A4EBD"/>
    <w:rsid w:val="001A504A"/>
    <w:rsid w:val="001A5127"/>
    <w:rsid w:val="001A535B"/>
    <w:rsid w:val="001A5377"/>
    <w:rsid w:val="001A540C"/>
    <w:rsid w:val="001A5777"/>
    <w:rsid w:val="001A5979"/>
    <w:rsid w:val="001A5A03"/>
    <w:rsid w:val="001A5B03"/>
    <w:rsid w:val="001A5B2A"/>
    <w:rsid w:val="001A5B40"/>
    <w:rsid w:val="001A5C5A"/>
    <w:rsid w:val="001A5E11"/>
    <w:rsid w:val="001A5E76"/>
    <w:rsid w:val="001A6192"/>
    <w:rsid w:val="001A61BC"/>
    <w:rsid w:val="001A63AC"/>
    <w:rsid w:val="001A63D1"/>
    <w:rsid w:val="001A6426"/>
    <w:rsid w:val="001A64B1"/>
    <w:rsid w:val="001A6B26"/>
    <w:rsid w:val="001A6D2E"/>
    <w:rsid w:val="001A6E51"/>
    <w:rsid w:val="001A6E63"/>
    <w:rsid w:val="001A70D0"/>
    <w:rsid w:val="001A71BC"/>
    <w:rsid w:val="001A74DE"/>
    <w:rsid w:val="001A76A8"/>
    <w:rsid w:val="001A7705"/>
    <w:rsid w:val="001A773E"/>
    <w:rsid w:val="001A7C1E"/>
    <w:rsid w:val="001A7C26"/>
    <w:rsid w:val="001A7C60"/>
    <w:rsid w:val="001A7CDB"/>
    <w:rsid w:val="001A7D05"/>
    <w:rsid w:val="001A7F72"/>
    <w:rsid w:val="001B0019"/>
    <w:rsid w:val="001B018F"/>
    <w:rsid w:val="001B01D5"/>
    <w:rsid w:val="001B0346"/>
    <w:rsid w:val="001B03CC"/>
    <w:rsid w:val="001B0454"/>
    <w:rsid w:val="001B047A"/>
    <w:rsid w:val="001B04E4"/>
    <w:rsid w:val="001B0507"/>
    <w:rsid w:val="001B056D"/>
    <w:rsid w:val="001B079C"/>
    <w:rsid w:val="001B08A1"/>
    <w:rsid w:val="001B08EC"/>
    <w:rsid w:val="001B0E13"/>
    <w:rsid w:val="001B0EA1"/>
    <w:rsid w:val="001B105A"/>
    <w:rsid w:val="001B116C"/>
    <w:rsid w:val="001B1322"/>
    <w:rsid w:val="001B13A4"/>
    <w:rsid w:val="001B14FA"/>
    <w:rsid w:val="001B1646"/>
    <w:rsid w:val="001B1677"/>
    <w:rsid w:val="001B1D4B"/>
    <w:rsid w:val="001B1D63"/>
    <w:rsid w:val="001B1E70"/>
    <w:rsid w:val="001B1FAF"/>
    <w:rsid w:val="001B22F0"/>
    <w:rsid w:val="001B244F"/>
    <w:rsid w:val="001B266A"/>
    <w:rsid w:val="001B2674"/>
    <w:rsid w:val="001B26F5"/>
    <w:rsid w:val="001B2891"/>
    <w:rsid w:val="001B2988"/>
    <w:rsid w:val="001B29A0"/>
    <w:rsid w:val="001B2B98"/>
    <w:rsid w:val="001B2BD0"/>
    <w:rsid w:val="001B2DC2"/>
    <w:rsid w:val="001B2DE1"/>
    <w:rsid w:val="001B2F92"/>
    <w:rsid w:val="001B3495"/>
    <w:rsid w:val="001B351C"/>
    <w:rsid w:val="001B35A0"/>
    <w:rsid w:val="001B37A3"/>
    <w:rsid w:val="001B3979"/>
    <w:rsid w:val="001B3A17"/>
    <w:rsid w:val="001B3ACB"/>
    <w:rsid w:val="001B3B90"/>
    <w:rsid w:val="001B3BF7"/>
    <w:rsid w:val="001B3CCD"/>
    <w:rsid w:val="001B3DDF"/>
    <w:rsid w:val="001B3F25"/>
    <w:rsid w:val="001B3F4E"/>
    <w:rsid w:val="001B3FF5"/>
    <w:rsid w:val="001B4066"/>
    <w:rsid w:val="001B41D6"/>
    <w:rsid w:val="001B42E4"/>
    <w:rsid w:val="001B4B36"/>
    <w:rsid w:val="001B4E70"/>
    <w:rsid w:val="001B4FEA"/>
    <w:rsid w:val="001B53C0"/>
    <w:rsid w:val="001B544F"/>
    <w:rsid w:val="001B55C5"/>
    <w:rsid w:val="001B5682"/>
    <w:rsid w:val="001B56EA"/>
    <w:rsid w:val="001B5798"/>
    <w:rsid w:val="001B57F7"/>
    <w:rsid w:val="001B58F8"/>
    <w:rsid w:val="001B5D3D"/>
    <w:rsid w:val="001B5F85"/>
    <w:rsid w:val="001B61E3"/>
    <w:rsid w:val="001B6248"/>
    <w:rsid w:val="001B6285"/>
    <w:rsid w:val="001B6430"/>
    <w:rsid w:val="001B6500"/>
    <w:rsid w:val="001B6594"/>
    <w:rsid w:val="001B659D"/>
    <w:rsid w:val="001B6609"/>
    <w:rsid w:val="001B663E"/>
    <w:rsid w:val="001B67CC"/>
    <w:rsid w:val="001B6AA1"/>
    <w:rsid w:val="001B6ACC"/>
    <w:rsid w:val="001B6AEC"/>
    <w:rsid w:val="001B6B0C"/>
    <w:rsid w:val="001B6CD3"/>
    <w:rsid w:val="001B6E32"/>
    <w:rsid w:val="001B70F0"/>
    <w:rsid w:val="001B7170"/>
    <w:rsid w:val="001B7233"/>
    <w:rsid w:val="001B726D"/>
    <w:rsid w:val="001B72B3"/>
    <w:rsid w:val="001B73BE"/>
    <w:rsid w:val="001B748D"/>
    <w:rsid w:val="001B749F"/>
    <w:rsid w:val="001B7589"/>
    <w:rsid w:val="001B769C"/>
    <w:rsid w:val="001B77FE"/>
    <w:rsid w:val="001B78E7"/>
    <w:rsid w:val="001B7CCE"/>
    <w:rsid w:val="001B7E38"/>
    <w:rsid w:val="001B7E3B"/>
    <w:rsid w:val="001B7F1F"/>
    <w:rsid w:val="001B7F45"/>
    <w:rsid w:val="001B7F4E"/>
    <w:rsid w:val="001C00BE"/>
    <w:rsid w:val="001C02B1"/>
    <w:rsid w:val="001C035D"/>
    <w:rsid w:val="001C04CA"/>
    <w:rsid w:val="001C04DE"/>
    <w:rsid w:val="001C05F4"/>
    <w:rsid w:val="001C06E8"/>
    <w:rsid w:val="001C08E7"/>
    <w:rsid w:val="001C0A7C"/>
    <w:rsid w:val="001C0BF6"/>
    <w:rsid w:val="001C0D39"/>
    <w:rsid w:val="001C0E25"/>
    <w:rsid w:val="001C0E53"/>
    <w:rsid w:val="001C115B"/>
    <w:rsid w:val="001C116A"/>
    <w:rsid w:val="001C11EC"/>
    <w:rsid w:val="001C128E"/>
    <w:rsid w:val="001C12EB"/>
    <w:rsid w:val="001C132C"/>
    <w:rsid w:val="001C13BC"/>
    <w:rsid w:val="001C13BE"/>
    <w:rsid w:val="001C142D"/>
    <w:rsid w:val="001C1440"/>
    <w:rsid w:val="001C14D0"/>
    <w:rsid w:val="001C15BD"/>
    <w:rsid w:val="001C1636"/>
    <w:rsid w:val="001C1681"/>
    <w:rsid w:val="001C1773"/>
    <w:rsid w:val="001C1BF9"/>
    <w:rsid w:val="001C1E20"/>
    <w:rsid w:val="001C1EDD"/>
    <w:rsid w:val="001C1EF9"/>
    <w:rsid w:val="001C1F31"/>
    <w:rsid w:val="001C20C0"/>
    <w:rsid w:val="001C210D"/>
    <w:rsid w:val="001C26BB"/>
    <w:rsid w:val="001C26DB"/>
    <w:rsid w:val="001C2707"/>
    <w:rsid w:val="001C287A"/>
    <w:rsid w:val="001C2A7D"/>
    <w:rsid w:val="001C2BC5"/>
    <w:rsid w:val="001C2D7C"/>
    <w:rsid w:val="001C2E24"/>
    <w:rsid w:val="001C2E81"/>
    <w:rsid w:val="001C3519"/>
    <w:rsid w:val="001C3580"/>
    <w:rsid w:val="001C38FB"/>
    <w:rsid w:val="001C39EC"/>
    <w:rsid w:val="001C3ABD"/>
    <w:rsid w:val="001C3C2B"/>
    <w:rsid w:val="001C3D88"/>
    <w:rsid w:val="001C3E2A"/>
    <w:rsid w:val="001C3F4F"/>
    <w:rsid w:val="001C4261"/>
    <w:rsid w:val="001C428C"/>
    <w:rsid w:val="001C4295"/>
    <w:rsid w:val="001C4320"/>
    <w:rsid w:val="001C46D9"/>
    <w:rsid w:val="001C47F0"/>
    <w:rsid w:val="001C47F5"/>
    <w:rsid w:val="001C485E"/>
    <w:rsid w:val="001C486C"/>
    <w:rsid w:val="001C496E"/>
    <w:rsid w:val="001C4A8E"/>
    <w:rsid w:val="001C4D9A"/>
    <w:rsid w:val="001C4FA4"/>
    <w:rsid w:val="001C4FFB"/>
    <w:rsid w:val="001C50D7"/>
    <w:rsid w:val="001C5336"/>
    <w:rsid w:val="001C5517"/>
    <w:rsid w:val="001C5553"/>
    <w:rsid w:val="001C5568"/>
    <w:rsid w:val="001C55D3"/>
    <w:rsid w:val="001C5629"/>
    <w:rsid w:val="001C5754"/>
    <w:rsid w:val="001C58DE"/>
    <w:rsid w:val="001C592E"/>
    <w:rsid w:val="001C5AAF"/>
    <w:rsid w:val="001C5B08"/>
    <w:rsid w:val="001C5C6E"/>
    <w:rsid w:val="001C5D02"/>
    <w:rsid w:val="001C5E00"/>
    <w:rsid w:val="001C5E66"/>
    <w:rsid w:val="001C5E8F"/>
    <w:rsid w:val="001C60BB"/>
    <w:rsid w:val="001C61CF"/>
    <w:rsid w:val="001C6404"/>
    <w:rsid w:val="001C645A"/>
    <w:rsid w:val="001C67EC"/>
    <w:rsid w:val="001C6967"/>
    <w:rsid w:val="001C6A93"/>
    <w:rsid w:val="001C6B55"/>
    <w:rsid w:val="001C6C4D"/>
    <w:rsid w:val="001C6D2D"/>
    <w:rsid w:val="001C6EDC"/>
    <w:rsid w:val="001C6FBD"/>
    <w:rsid w:val="001C7064"/>
    <w:rsid w:val="001C720D"/>
    <w:rsid w:val="001C726A"/>
    <w:rsid w:val="001C737A"/>
    <w:rsid w:val="001C7465"/>
    <w:rsid w:val="001C762E"/>
    <w:rsid w:val="001C7882"/>
    <w:rsid w:val="001C7946"/>
    <w:rsid w:val="001C7995"/>
    <w:rsid w:val="001C7F2A"/>
    <w:rsid w:val="001C7F50"/>
    <w:rsid w:val="001D00F7"/>
    <w:rsid w:val="001D0404"/>
    <w:rsid w:val="001D0AF9"/>
    <w:rsid w:val="001D0C24"/>
    <w:rsid w:val="001D0E5D"/>
    <w:rsid w:val="001D0F02"/>
    <w:rsid w:val="001D104B"/>
    <w:rsid w:val="001D115F"/>
    <w:rsid w:val="001D120E"/>
    <w:rsid w:val="001D12BB"/>
    <w:rsid w:val="001D1317"/>
    <w:rsid w:val="001D140E"/>
    <w:rsid w:val="001D1520"/>
    <w:rsid w:val="001D174B"/>
    <w:rsid w:val="001D18C8"/>
    <w:rsid w:val="001D1B79"/>
    <w:rsid w:val="001D1D9B"/>
    <w:rsid w:val="001D1DC1"/>
    <w:rsid w:val="001D2088"/>
    <w:rsid w:val="001D20BE"/>
    <w:rsid w:val="001D20D0"/>
    <w:rsid w:val="001D266E"/>
    <w:rsid w:val="001D291A"/>
    <w:rsid w:val="001D2973"/>
    <w:rsid w:val="001D2CBB"/>
    <w:rsid w:val="001D2D9D"/>
    <w:rsid w:val="001D2F2A"/>
    <w:rsid w:val="001D2FB6"/>
    <w:rsid w:val="001D300C"/>
    <w:rsid w:val="001D30CA"/>
    <w:rsid w:val="001D30CC"/>
    <w:rsid w:val="001D31A4"/>
    <w:rsid w:val="001D33FD"/>
    <w:rsid w:val="001D34A1"/>
    <w:rsid w:val="001D35E6"/>
    <w:rsid w:val="001D369C"/>
    <w:rsid w:val="001D36B8"/>
    <w:rsid w:val="001D36C6"/>
    <w:rsid w:val="001D3741"/>
    <w:rsid w:val="001D3795"/>
    <w:rsid w:val="001D37C5"/>
    <w:rsid w:val="001D3995"/>
    <w:rsid w:val="001D3A61"/>
    <w:rsid w:val="001D3A79"/>
    <w:rsid w:val="001D3C37"/>
    <w:rsid w:val="001D3FFA"/>
    <w:rsid w:val="001D43C1"/>
    <w:rsid w:val="001D4459"/>
    <w:rsid w:val="001D4539"/>
    <w:rsid w:val="001D463B"/>
    <w:rsid w:val="001D46FC"/>
    <w:rsid w:val="001D4719"/>
    <w:rsid w:val="001D47A8"/>
    <w:rsid w:val="001D483E"/>
    <w:rsid w:val="001D48BA"/>
    <w:rsid w:val="001D4960"/>
    <w:rsid w:val="001D49A4"/>
    <w:rsid w:val="001D4A81"/>
    <w:rsid w:val="001D4D43"/>
    <w:rsid w:val="001D4E1D"/>
    <w:rsid w:val="001D4F1D"/>
    <w:rsid w:val="001D4F87"/>
    <w:rsid w:val="001D5238"/>
    <w:rsid w:val="001D525C"/>
    <w:rsid w:val="001D52F3"/>
    <w:rsid w:val="001D5360"/>
    <w:rsid w:val="001D5470"/>
    <w:rsid w:val="001D566A"/>
    <w:rsid w:val="001D568F"/>
    <w:rsid w:val="001D5690"/>
    <w:rsid w:val="001D5752"/>
    <w:rsid w:val="001D57A3"/>
    <w:rsid w:val="001D57CD"/>
    <w:rsid w:val="001D5879"/>
    <w:rsid w:val="001D5947"/>
    <w:rsid w:val="001D5D3D"/>
    <w:rsid w:val="001D5DB6"/>
    <w:rsid w:val="001D5E1C"/>
    <w:rsid w:val="001D5FB2"/>
    <w:rsid w:val="001D6206"/>
    <w:rsid w:val="001D620D"/>
    <w:rsid w:val="001D64D5"/>
    <w:rsid w:val="001D65B4"/>
    <w:rsid w:val="001D67CC"/>
    <w:rsid w:val="001D67CF"/>
    <w:rsid w:val="001D67DA"/>
    <w:rsid w:val="001D69BB"/>
    <w:rsid w:val="001D6B56"/>
    <w:rsid w:val="001D6D0A"/>
    <w:rsid w:val="001D6D6A"/>
    <w:rsid w:val="001D70C9"/>
    <w:rsid w:val="001D71B8"/>
    <w:rsid w:val="001D7355"/>
    <w:rsid w:val="001D755E"/>
    <w:rsid w:val="001D7846"/>
    <w:rsid w:val="001D7B3C"/>
    <w:rsid w:val="001D7CD3"/>
    <w:rsid w:val="001D7D05"/>
    <w:rsid w:val="001D7DC5"/>
    <w:rsid w:val="001E0068"/>
    <w:rsid w:val="001E00B6"/>
    <w:rsid w:val="001E0166"/>
    <w:rsid w:val="001E02E8"/>
    <w:rsid w:val="001E0350"/>
    <w:rsid w:val="001E03C9"/>
    <w:rsid w:val="001E0507"/>
    <w:rsid w:val="001E081B"/>
    <w:rsid w:val="001E0959"/>
    <w:rsid w:val="001E0C0A"/>
    <w:rsid w:val="001E0E42"/>
    <w:rsid w:val="001E124B"/>
    <w:rsid w:val="001E12A6"/>
    <w:rsid w:val="001E1305"/>
    <w:rsid w:val="001E13CE"/>
    <w:rsid w:val="001E15A5"/>
    <w:rsid w:val="001E19CA"/>
    <w:rsid w:val="001E1A17"/>
    <w:rsid w:val="001E1CFE"/>
    <w:rsid w:val="001E1D74"/>
    <w:rsid w:val="001E1F8C"/>
    <w:rsid w:val="001E1FBB"/>
    <w:rsid w:val="001E22F2"/>
    <w:rsid w:val="001E231B"/>
    <w:rsid w:val="001E2386"/>
    <w:rsid w:val="001E258F"/>
    <w:rsid w:val="001E2608"/>
    <w:rsid w:val="001E2722"/>
    <w:rsid w:val="001E2B8B"/>
    <w:rsid w:val="001E2BF6"/>
    <w:rsid w:val="001E2C1C"/>
    <w:rsid w:val="001E2C70"/>
    <w:rsid w:val="001E2C7D"/>
    <w:rsid w:val="001E2CBE"/>
    <w:rsid w:val="001E2DA4"/>
    <w:rsid w:val="001E2DC9"/>
    <w:rsid w:val="001E2EEE"/>
    <w:rsid w:val="001E2EF1"/>
    <w:rsid w:val="001E2F34"/>
    <w:rsid w:val="001E2F5D"/>
    <w:rsid w:val="001E3246"/>
    <w:rsid w:val="001E32CE"/>
    <w:rsid w:val="001E33EE"/>
    <w:rsid w:val="001E3700"/>
    <w:rsid w:val="001E3780"/>
    <w:rsid w:val="001E39AC"/>
    <w:rsid w:val="001E39B8"/>
    <w:rsid w:val="001E3B01"/>
    <w:rsid w:val="001E3C2C"/>
    <w:rsid w:val="001E3C89"/>
    <w:rsid w:val="001E3E55"/>
    <w:rsid w:val="001E3EA5"/>
    <w:rsid w:val="001E3FE6"/>
    <w:rsid w:val="001E412E"/>
    <w:rsid w:val="001E4197"/>
    <w:rsid w:val="001E436C"/>
    <w:rsid w:val="001E456E"/>
    <w:rsid w:val="001E45D0"/>
    <w:rsid w:val="001E4A72"/>
    <w:rsid w:val="001E4AAA"/>
    <w:rsid w:val="001E4AF3"/>
    <w:rsid w:val="001E4BF3"/>
    <w:rsid w:val="001E4C29"/>
    <w:rsid w:val="001E4C81"/>
    <w:rsid w:val="001E4D73"/>
    <w:rsid w:val="001E4ED4"/>
    <w:rsid w:val="001E4F21"/>
    <w:rsid w:val="001E4FE9"/>
    <w:rsid w:val="001E53E2"/>
    <w:rsid w:val="001E54A8"/>
    <w:rsid w:val="001E55CE"/>
    <w:rsid w:val="001E5A4D"/>
    <w:rsid w:val="001E5B49"/>
    <w:rsid w:val="001E5DD8"/>
    <w:rsid w:val="001E613D"/>
    <w:rsid w:val="001E6780"/>
    <w:rsid w:val="001E6818"/>
    <w:rsid w:val="001E6AE1"/>
    <w:rsid w:val="001E6B59"/>
    <w:rsid w:val="001E6E3F"/>
    <w:rsid w:val="001E6E48"/>
    <w:rsid w:val="001E6FA1"/>
    <w:rsid w:val="001E702F"/>
    <w:rsid w:val="001E7174"/>
    <w:rsid w:val="001E7355"/>
    <w:rsid w:val="001E75EF"/>
    <w:rsid w:val="001E7A2D"/>
    <w:rsid w:val="001E7E4C"/>
    <w:rsid w:val="001E7E94"/>
    <w:rsid w:val="001E7FAE"/>
    <w:rsid w:val="001E7FC6"/>
    <w:rsid w:val="001F014B"/>
    <w:rsid w:val="001F0390"/>
    <w:rsid w:val="001F039F"/>
    <w:rsid w:val="001F03B4"/>
    <w:rsid w:val="001F049C"/>
    <w:rsid w:val="001F049F"/>
    <w:rsid w:val="001F0888"/>
    <w:rsid w:val="001F0980"/>
    <w:rsid w:val="001F09D6"/>
    <w:rsid w:val="001F0AD8"/>
    <w:rsid w:val="001F0D0F"/>
    <w:rsid w:val="001F0DFC"/>
    <w:rsid w:val="001F12C3"/>
    <w:rsid w:val="001F1485"/>
    <w:rsid w:val="001F1657"/>
    <w:rsid w:val="001F16E0"/>
    <w:rsid w:val="001F17B6"/>
    <w:rsid w:val="001F17BB"/>
    <w:rsid w:val="001F186A"/>
    <w:rsid w:val="001F18BB"/>
    <w:rsid w:val="001F19EB"/>
    <w:rsid w:val="001F1A95"/>
    <w:rsid w:val="001F1B7C"/>
    <w:rsid w:val="001F1EB3"/>
    <w:rsid w:val="001F1EEC"/>
    <w:rsid w:val="001F1EF3"/>
    <w:rsid w:val="001F1FDD"/>
    <w:rsid w:val="001F208D"/>
    <w:rsid w:val="001F22BC"/>
    <w:rsid w:val="001F230C"/>
    <w:rsid w:val="001F2414"/>
    <w:rsid w:val="001F2539"/>
    <w:rsid w:val="001F2579"/>
    <w:rsid w:val="001F262F"/>
    <w:rsid w:val="001F26CD"/>
    <w:rsid w:val="001F291B"/>
    <w:rsid w:val="001F2A33"/>
    <w:rsid w:val="001F2A34"/>
    <w:rsid w:val="001F2ACE"/>
    <w:rsid w:val="001F2B10"/>
    <w:rsid w:val="001F2D79"/>
    <w:rsid w:val="001F2E7C"/>
    <w:rsid w:val="001F3198"/>
    <w:rsid w:val="001F3321"/>
    <w:rsid w:val="001F34AA"/>
    <w:rsid w:val="001F3578"/>
    <w:rsid w:val="001F360E"/>
    <w:rsid w:val="001F3656"/>
    <w:rsid w:val="001F36B0"/>
    <w:rsid w:val="001F37E2"/>
    <w:rsid w:val="001F3824"/>
    <w:rsid w:val="001F38AE"/>
    <w:rsid w:val="001F3A54"/>
    <w:rsid w:val="001F3BED"/>
    <w:rsid w:val="001F3CC9"/>
    <w:rsid w:val="001F3D6A"/>
    <w:rsid w:val="001F3E6F"/>
    <w:rsid w:val="001F3F4F"/>
    <w:rsid w:val="001F4048"/>
    <w:rsid w:val="001F40E3"/>
    <w:rsid w:val="001F4654"/>
    <w:rsid w:val="001F4690"/>
    <w:rsid w:val="001F471E"/>
    <w:rsid w:val="001F47A0"/>
    <w:rsid w:val="001F4885"/>
    <w:rsid w:val="001F48E7"/>
    <w:rsid w:val="001F4B0B"/>
    <w:rsid w:val="001F4BFD"/>
    <w:rsid w:val="001F4E2A"/>
    <w:rsid w:val="001F4EBE"/>
    <w:rsid w:val="001F5115"/>
    <w:rsid w:val="001F5143"/>
    <w:rsid w:val="001F5212"/>
    <w:rsid w:val="001F52EB"/>
    <w:rsid w:val="001F54B3"/>
    <w:rsid w:val="001F5A1E"/>
    <w:rsid w:val="001F5AAF"/>
    <w:rsid w:val="001F5AC1"/>
    <w:rsid w:val="001F5AEC"/>
    <w:rsid w:val="001F5D1C"/>
    <w:rsid w:val="001F5DDF"/>
    <w:rsid w:val="001F5DF4"/>
    <w:rsid w:val="001F5F27"/>
    <w:rsid w:val="001F5F78"/>
    <w:rsid w:val="001F606A"/>
    <w:rsid w:val="001F6092"/>
    <w:rsid w:val="001F60EA"/>
    <w:rsid w:val="001F61C1"/>
    <w:rsid w:val="001F61FC"/>
    <w:rsid w:val="001F62EF"/>
    <w:rsid w:val="001F63CA"/>
    <w:rsid w:val="001F6673"/>
    <w:rsid w:val="001F67F8"/>
    <w:rsid w:val="001F68EC"/>
    <w:rsid w:val="001F6988"/>
    <w:rsid w:val="001F6B2B"/>
    <w:rsid w:val="001F6CBF"/>
    <w:rsid w:val="001F6D9D"/>
    <w:rsid w:val="001F6DD1"/>
    <w:rsid w:val="001F6E3B"/>
    <w:rsid w:val="001F6E9D"/>
    <w:rsid w:val="001F7045"/>
    <w:rsid w:val="001F7528"/>
    <w:rsid w:val="001F75E3"/>
    <w:rsid w:val="001F782C"/>
    <w:rsid w:val="001F78CD"/>
    <w:rsid w:val="001F79D4"/>
    <w:rsid w:val="001F79D9"/>
    <w:rsid w:val="001F7A67"/>
    <w:rsid w:val="001F7B10"/>
    <w:rsid w:val="001F7D6B"/>
    <w:rsid w:val="001F7EFD"/>
    <w:rsid w:val="0020022F"/>
    <w:rsid w:val="00200358"/>
    <w:rsid w:val="002003BF"/>
    <w:rsid w:val="002003C4"/>
    <w:rsid w:val="002007C4"/>
    <w:rsid w:val="002008AD"/>
    <w:rsid w:val="0020094E"/>
    <w:rsid w:val="00200B9C"/>
    <w:rsid w:val="00200CD1"/>
    <w:rsid w:val="00200DDF"/>
    <w:rsid w:val="00201038"/>
    <w:rsid w:val="002010A5"/>
    <w:rsid w:val="002010FB"/>
    <w:rsid w:val="002012DD"/>
    <w:rsid w:val="00201419"/>
    <w:rsid w:val="0020196D"/>
    <w:rsid w:val="0020199F"/>
    <w:rsid w:val="00201A12"/>
    <w:rsid w:val="00201C0B"/>
    <w:rsid w:val="00201C57"/>
    <w:rsid w:val="00201E53"/>
    <w:rsid w:val="00201E94"/>
    <w:rsid w:val="00201EC8"/>
    <w:rsid w:val="002021BD"/>
    <w:rsid w:val="00202293"/>
    <w:rsid w:val="00202446"/>
    <w:rsid w:val="00202A97"/>
    <w:rsid w:val="00202AE3"/>
    <w:rsid w:val="00202B4A"/>
    <w:rsid w:val="00202BEA"/>
    <w:rsid w:val="00202C9D"/>
    <w:rsid w:val="00202D89"/>
    <w:rsid w:val="00202E56"/>
    <w:rsid w:val="00202EC1"/>
    <w:rsid w:val="00202F0C"/>
    <w:rsid w:val="00202F8B"/>
    <w:rsid w:val="0020307A"/>
    <w:rsid w:val="0020322C"/>
    <w:rsid w:val="00203236"/>
    <w:rsid w:val="00203866"/>
    <w:rsid w:val="002038D6"/>
    <w:rsid w:val="002038FC"/>
    <w:rsid w:val="00203995"/>
    <w:rsid w:val="00203B9C"/>
    <w:rsid w:val="00203BE9"/>
    <w:rsid w:val="00203D8B"/>
    <w:rsid w:val="00203DD7"/>
    <w:rsid w:val="00203E7F"/>
    <w:rsid w:val="00204037"/>
    <w:rsid w:val="002040AB"/>
    <w:rsid w:val="00204102"/>
    <w:rsid w:val="002046B6"/>
    <w:rsid w:val="00204A3B"/>
    <w:rsid w:val="00205220"/>
    <w:rsid w:val="00205248"/>
    <w:rsid w:val="00205457"/>
    <w:rsid w:val="00205485"/>
    <w:rsid w:val="00205504"/>
    <w:rsid w:val="0020573F"/>
    <w:rsid w:val="00205AB1"/>
    <w:rsid w:val="00205BE5"/>
    <w:rsid w:val="00205C9F"/>
    <w:rsid w:val="00205CA0"/>
    <w:rsid w:val="00205DBA"/>
    <w:rsid w:val="00205ED4"/>
    <w:rsid w:val="00205F4D"/>
    <w:rsid w:val="00206127"/>
    <w:rsid w:val="00206157"/>
    <w:rsid w:val="00206219"/>
    <w:rsid w:val="0020622B"/>
    <w:rsid w:val="00206261"/>
    <w:rsid w:val="002062DF"/>
    <w:rsid w:val="00206427"/>
    <w:rsid w:val="00206469"/>
    <w:rsid w:val="002065BA"/>
    <w:rsid w:val="002066EA"/>
    <w:rsid w:val="00206766"/>
    <w:rsid w:val="00206871"/>
    <w:rsid w:val="00206886"/>
    <w:rsid w:val="00206C3F"/>
    <w:rsid w:val="00206C60"/>
    <w:rsid w:val="00206F60"/>
    <w:rsid w:val="00206FB4"/>
    <w:rsid w:val="0020700A"/>
    <w:rsid w:val="002072DB"/>
    <w:rsid w:val="0020730B"/>
    <w:rsid w:val="0020758D"/>
    <w:rsid w:val="0020763A"/>
    <w:rsid w:val="002076E2"/>
    <w:rsid w:val="00207BE0"/>
    <w:rsid w:val="00207BEA"/>
    <w:rsid w:val="00207C1A"/>
    <w:rsid w:val="00207EC8"/>
    <w:rsid w:val="00207F22"/>
    <w:rsid w:val="002101E2"/>
    <w:rsid w:val="00210202"/>
    <w:rsid w:val="0021058E"/>
    <w:rsid w:val="002107CA"/>
    <w:rsid w:val="002107FB"/>
    <w:rsid w:val="00210849"/>
    <w:rsid w:val="00210942"/>
    <w:rsid w:val="00210B1B"/>
    <w:rsid w:val="00210B71"/>
    <w:rsid w:val="00210E42"/>
    <w:rsid w:val="00210E5C"/>
    <w:rsid w:val="00210EA2"/>
    <w:rsid w:val="0021105B"/>
    <w:rsid w:val="0021120D"/>
    <w:rsid w:val="002113D9"/>
    <w:rsid w:val="002113F5"/>
    <w:rsid w:val="002115CF"/>
    <w:rsid w:val="0021168E"/>
    <w:rsid w:val="00211964"/>
    <w:rsid w:val="00211A23"/>
    <w:rsid w:val="00211B2B"/>
    <w:rsid w:val="00211D7F"/>
    <w:rsid w:val="00211EE6"/>
    <w:rsid w:val="00211FF5"/>
    <w:rsid w:val="0021209D"/>
    <w:rsid w:val="002127B0"/>
    <w:rsid w:val="002127BE"/>
    <w:rsid w:val="0021282C"/>
    <w:rsid w:val="00212879"/>
    <w:rsid w:val="002128BA"/>
    <w:rsid w:val="0021292A"/>
    <w:rsid w:val="00212943"/>
    <w:rsid w:val="00212A90"/>
    <w:rsid w:val="00212B9B"/>
    <w:rsid w:val="00212BC7"/>
    <w:rsid w:val="00212CBD"/>
    <w:rsid w:val="00212D5A"/>
    <w:rsid w:val="00212DBA"/>
    <w:rsid w:val="00212DF7"/>
    <w:rsid w:val="00212E06"/>
    <w:rsid w:val="002131AC"/>
    <w:rsid w:val="0021353B"/>
    <w:rsid w:val="002135F4"/>
    <w:rsid w:val="002139CC"/>
    <w:rsid w:val="00213BEC"/>
    <w:rsid w:val="00213F93"/>
    <w:rsid w:val="00214096"/>
    <w:rsid w:val="002141CE"/>
    <w:rsid w:val="002142A4"/>
    <w:rsid w:val="002142FF"/>
    <w:rsid w:val="0021438F"/>
    <w:rsid w:val="0021453E"/>
    <w:rsid w:val="002145A8"/>
    <w:rsid w:val="00214D39"/>
    <w:rsid w:val="00214DD3"/>
    <w:rsid w:val="002150AD"/>
    <w:rsid w:val="002150D1"/>
    <w:rsid w:val="00215160"/>
    <w:rsid w:val="00215239"/>
    <w:rsid w:val="00215298"/>
    <w:rsid w:val="00215522"/>
    <w:rsid w:val="0021560F"/>
    <w:rsid w:val="00215A9B"/>
    <w:rsid w:val="00215B0A"/>
    <w:rsid w:val="00215D37"/>
    <w:rsid w:val="00215DB2"/>
    <w:rsid w:val="00215DF7"/>
    <w:rsid w:val="00215E7E"/>
    <w:rsid w:val="00215FF7"/>
    <w:rsid w:val="00216063"/>
    <w:rsid w:val="00216100"/>
    <w:rsid w:val="002161AF"/>
    <w:rsid w:val="002161CD"/>
    <w:rsid w:val="0021646E"/>
    <w:rsid w:val="0021648B"/>
    <w:rsid w:val="0021653A"/>
    <w:rsid w:val="002166F8"/>
    <w:rsid w:val="0021678B"/>
    <w:rsid w:val="00216807"/>
    <w:rsid w:val="00216A2E"/>
    <w:rsid w:val="00216FEA"/>
    <w:rsid w:val="00217054"/>
    <w:rsid w:val="0021723F"/>
    <w:rsid w:val="0021738E"/>
    <w:rsid w:val="002175B1"/>
    <w:rsid w:val="0021761F"/>
    <w:rsid w:val="002177E6"/>
    <w:rsid w:val="00217904"/>
    <w:rsid w:val="0021791B"/>
    <w:rsid w:val="0021792D"/>
    <w:rsid w:val="00217968"/>
    <w:rsid w:val="00217A60"/>
    <w:rsid w:val="00217B87"/>
    <w:rsid w:val="00217BC8"/>
    <w:rsid w:val="00220302"/>
    <w:rsid w:val="0022078D"/>
    <w:rsid w:val="002209AE"/>
    <w:rsid w:val="00220A04"/>
    <w:rsid w:val="00220BAD"/>
    <w:rsid w:val="00220C85"/>
    <w:rsid w:val="00220CBC"/>
    <w:rsid w:val="00220EE7"/>
    <w:rsid w:val="00221039"/>
    <w:rsid w:val="0022116A"/>
    <w:rsid w:val="002212C3"/>
    <w:rsid w:val="0022147A"/>
    <w:rsid w:val="00221493"/>
    <w:rsid w:val="0022149B"/>
    <w:rsid w:val="002215AF"/>
    <w:rsid w:val="00221640"/>
    <w:rsid w:val="002217D0"/>
    <w:rsid w:val="00221B7D"/>
    <w:rsid w:val="00221BAD"/>
    <w:rsid w:val="00221BFA"/>
    <w:rsid w:val="00221E9F"/>
    <w:rsid w:val="00222072"/>
    <w:rsid w:val="00222132"/>
    <w:rsid w:val="002221EB"/>
    <w:rsid w:val="0022241D"/>
    <w:rsid w:val="00222497"/>
    <w:rsid w:val="002228E8"/>
    <w:rsid w:val="002228F6"/>
    <w:rsid w:val="00222B97"/>
    <w:rsid w:val="00222BB2"/>
    <w:rsid w:val="00222C82"/>
    <w:rsid w:val="00222D32"/>
    <w:rsid w:val="00222E69"/>
    <w:rsid w:val="00222ED3"/>
    <w:rsid w:val="00223172"/>
    <w:rsid w:val="00223188"/>
    <w:rsid w:val="002233CA"/>
    <w:rsid w:val="0022351F"/>
    <w:rsid w:val="0022356E"/>
    <w:rsid w:val="00223596"/>
    <w:rsid w:val="002235B6"/>
    <w:rsid w:val="002235D9"/>
    <w:rsid w:val="00223601"/>
    <w:rsid w:val="00223621"/>
    <w:rsid w:val="00223890"/>
    <w:rsid w:val="002239F2"/>
    <w:rsid w:val="00223A92"/>
    <w:rsid w:val="00223AC3"/>
    <w:rsid w:val="00223CF1"/>
    <w:rsid w:val="00223D2F"/>
    <w:rsid w:val="00223D84"/>
    <w:rsid w:val="00223FDE"/>
    <w:rsid w:val="0022401D"/>
    <w:rsid w:val="002240D3"/>
    <w:rsid w:val="002245B1"/>
    <w:rsid w:val="002245F4"/>
    <w:rsid w:val="00224626"/>
    <w:rsid w:val="00224754"/>
    <w:rsid w:val="0022493A"/>
    <w:rsid w:val="00224C97"/>
    <w:rsid w:val="00224CFC"/>
    <w:rsid w:val="00224F15"/>
    <w:rsid w:val="00224FD3"/>
    <w:rsid w:val="00225507"/>
    <w:rsid w:val="0022560D"/>
    <w:rsid w:val="00225793"/>
    <w:rsid w:val="00225B20"/>
    <w:rsid w:val="00225B97"/>
    <w:rsid w:val="00225C2D"/>
    <w:rsid w:val="00225E52"/>
    <w:rsid w:val="00225FCC"/>
    <w:rsid w:val="0022607D"/>
    <w:rsid w:val="0022623A"/>
    <w:rsid w:val="0022644F"/>
    <w:rsid w:val="002265AC"/>
    <w:rsid w:val="00226A9C"/>
    <w:rsid w:val="00226C30"/>
    <w:rsid w:val="00226E32"/>
    <w:rsid w:val="002270C3"/>
    <w:rsid w:val="0022710F"/>
    <w:rsid w:val="00227195"/>
    <w:rsid w:val="002271DE"/>
    <w:rsid w:val="00227210"/>
    <w:rsid w:val="00227221"/>
    <w:rsid w:val="00227244"/>
    <w:rsid w:val="0022729F"/>
    <w:rsid w:val="0022733A"/>
    <w:rsid w:val="002278EF"/>
    <w:rsid w:val="002279BD"/>
    <w:rsid w:val="00227C37"/>
    <w:rsid w:val="00227D58"/>
    <w:rsid w:val="00227E18"/>
    <w:rsid w:val="00227E2D"/>
    <w:rsid w:val="00227ED0"/>
    <w:rsid w:val="00227F23"/>
    <w:rsid w:val="00227F41"/>
    <w:rsid w:val="00227F51"/>
    <w:rsid w:val="00230038"/>
    <w:rsid w:val="002302FE"/>
    <w:rsid w:val="0023031E"/>
    <w:rsid w:val="00230356"/>
    <w:rsid w:val="00230458"/>
    <w:rsid w:val="002305F5"/>
    <w:rsid w:val="0023092E"/>
    <w:rsid w:val="00230988"/>
    <w:rsid w:val="00230B78"/>
    <w:rsid w:val="00230B8C"/>
    <w:rsid w:val="00230D04"/>
    <w:rsid w:val="00230D51"/>
    <w:rsid w:val="00230EB7"/>
    <w:rsid w:val="00230EBD"/>
    <w:rsid w:val="00231051"/>
    <w:rsid w:val="00231100"/>
    <w:rsid w:val="002311DE"/>
    <w:rsid w:val="0023135B"/>
    <w:rsid w:val="0023146E"/>
    <w:rsid w:val="002315DA"/>
    <w:rsid w:val="00231686"/>
    <w:rsid w:val="002316F6"/>
    <w:rsid w:val="002317C7"/>
    <w:rsid w:val="00231851"/>
    <w:rsid w:val="0023189E"/>
    <w:rsid w:val="00231A27"/>
    <w:rsid w:val="00231A8B"/>
    <w:rsid w:val="00231BB8"/>
    <w:rsid w:val="00232002"/>
    <w:rsid w:val="0023200A"/>
    <w:rsid w:val="0023223E"/>
    <w:rsid w:val="00232466"/>
    <w:rsid w:val="00232626"/>
    <w:rsid w:val="0023271D"/>
    <w:rsid w:val="0023282B"/>
    <w:rsid w:val="002328E3"/>
    <w:rsid w:val="002329CB"/>
    <w:rsid w:val="00232AE4"/>
    <w:rsid w:val="00232CFD"/>
    <w:rsid w:val="00232F05"/>
    <w:rsid w:val="00233062"/>
    <w:rsid w:val="0023321E"/>
    <w:rsid w:val="002332AE"/>
    <w:rsid w:val="0023343A"/>
    <w:rsid w:val="00233761"/>
    <w:rsid w:val="00233798"/>
    <w:rsid w:val="002337F2"/>
    <w:rsid w:val="002338AA"/>
    <w:rsid w:val="00233AB1"/>
    <w:rsid w:val="00233DCA"/>
    <w:rsid w:val="00233DED"/>
    <w:rsid w:val="00233E79"/>
    <w:rsid w:val="00233EBF"/>
    <w:rsid w:val="00234015"/>
    <w:rsid w:val="00234223"/>
    <w:rsid w:val="002343B6"/>
    <w:rsid w:val="00234618"/>
    <w:rsid w:val="00234645"/>
    <w:rsid w:val="00234701"/>
    <w:rsid w:val="00234821"/>
    <w:rsid w:val="00234860"/>
    <w:rsid w:val="00234CE8"/>
    <w:rsid w:val="00234E09"/>
    <w:rsid w:val="002351B6"/>
    <w:rsid w:val="002353F3"/>
    <w:rsid w:val="0023559C"/>
    <w:rsid w:val="00235743"/>
    <w:rsid w:val="00235862"/>
    <w:rsid w:val="00235954"/>
    <w:rsid w:val="00235968"/>
    <w:rsid w:val="0023598D"/>
    <w:rsid w:val="00235A45"/>
    <w:rsid w:val="00235AF2"/>
    <w:rsid w:val="00235B00"/>
    <w:rsid w:val="00235DFE"/>
    <w:rsid w:val="00235F0B"/>
    <w:rsid w:val="00235F5C"/>
    <w:rsid w:val="00235F9C"/>
    <w:rsid w:val="00235FCF"/>
    <w:rsid w:val="00235FEF"/>
    <w:rsid w:val="00235FFD"/>
    <w:rsid w:val="00236203"/>
    <w:rsid w:val="0023672B"/>
    <w:rsid w:val="00236777"/>
    <w:rsid w:val="00236981"/>
    <w:rsid w:val="002369DC"/>
    <w:rsid w:val="00236B54"/>
    <w:rsid w:val="00236C95"/>
    <w:rsid w:val="002370E6"/>
    <w:rsid w:val="002372E6"/>
    <w:rsid w:val="00237560"/>
    <w:rsid w:val="00237604"/>
    <w:rsid w:val="002378DC"/>
    <w:rsid w:val="0023792D"/>
    <w:rsid w:val="00237945"/>
    <w:rsid w:val="00237C2B"/>
    <w:rsid w:val="00237FE6"/>
    <w:rsid w:val="00240095"/>
    <w:rsid w:val="002403AB"/>
    <w:rsid w:val="0024051F"/>
    <w:rsid w:val="00240660"/>
    <w:rsid w:val="00240729"/>
    <w:rsid w:val="00240AE4"/>
    <w:rsid w:val="00240B3D"/>
    <w:rsid w:val="00240B4D"/>
    <w:rsid w:val="00240BA9"/>
    <w:rsid w:val="00240BD3"/>
    <w:rsid w:val="002410BD"/>
    <w:rsid w:val="0024113F"/>
    <w:rsid w:val="002412BC"/>
    <w:rsid w:val="002412BD"/>
    <w:rsid w:val="00241446"/>
    <w:rsid w:val="0024179C"/>
    <w:rsid w:val="002418A0"/>
    <w:rsid w:val="00241A01"/>
    <w:rsid w:val="00241ADB"/>
    <w:rsid w:val="00241D1C"/>
    <w:rsid w:val="00241E03"/>
    <w:rsid w:val="00241F37"/>
    <w:rsid w:val="0024240C"/>
    <w:rsid w:val="0024254F"/>
    <w:rsid w:val="002425F1"/>
    <w:rsid w:val="00242741"/>
    <w:rsid w:val="0024289E"/>
    <w:rsid w:val="00242937"/>
    <w:rsid w:val="00242EEA"/>
    <w:rsid w:val="00242F20"/>
    <w:rsid w:val="00242F99"/>
    <w:rsid w:val="00242FF8"/>
    <w:rsid w:val="0024303D"/>
    <w:rsid w:val="0024309E"/>
    <w:rsid w:val="0024315E"/>
    <w:rsid w:val="002431BD"/>
    <w:rsid w:val="002431C1"/>
    <w:rsid w:val="002431EB"/>
    <w:rsid w:val="00243289"/>
    <w:rsid w:val="002432E6"/>
    <w:rsid w:val="00243352"/>
    <w:rsid w:val="00243649"/>
    <w:rsid w:val="00243746"/>
    <w:rsid w:val="0024384D"/>
    <w:rsid w:val="0024388B"/>
    <w:rsid w:val="002439C7"/>
    <w:rsid w:val="00243A55"/>
    <w:rsid w:val="00243D4C"/>
    <w:rsid w:val="00243EFD"/>
    <w:rsid w:val="00243F53"/>
    <w:rsid w:val="00244339"/>
    <w:rsid w:val="00244356"/>
    <w:rsid w:val="00244396"/>
    <w:rsid w:val="002443C6"/>
    <w:rsid w:val="0024457E"/>
    <w:rsid w:val="00244634"/>
    <w:rsid w:val="002446E5"/>
    <w:rsid w:val="00244811"/>
    <w:rsid w:val="002448F7"/>
    <w:rsid w:val="00244B46"/>
    <w:rsid w:val="00244D45"/>
    <w:rsid w:val="00244EE4"/>
    <w:rsid w:val="00244F43"/>
    <w:rsid w:val="00244FC1"/>
    <w:rsid w:val="0024535A"/>
    <w:rsid w:val="002453B3"/>
    <w:rsid w:val="00245425"/>
    <w:rsid w:val="002457BC"/>
    <w:rsid w:val="00245833"/>
    <w:rsid w:val="0024585B"/>
    <w:rsid w:val="00245C4C"/>
    <w:rsid w:val="00245C76"/>
    <w:rsid w:val="00245E25"/>
    <w:rsid w:val="00245EFF"/>
    <w:rsid w:val="00245F41"/>
    <w:rsid w:val="00246035"/>
    <w:rsid w:val="002460CD"/>
    <w:rsid w:val="00246129"/>
    <w:rsid w:val="002462E9"/>
    <w:rsid w:val="00246463"/>
    <w:rsid w:val="00246473"/>
    <w:rsid w:val="0024650C"/>
    <w:rsid w:val="002465C1"/>
    <w:rsid w:val="002466F6"/>
    <w:rsid w:val="00246740"/>
    <w:rsid w:val="00246775"/>
    <w:rsid w:val="0024681B"/>
    <w:rsid w:val="00246AB2"/>
    <w:rsid w:val="00246DB3"/>
    <w:rsid w:val="00246DD2"/>
    <w:rsid w:val="00246E1F"/>
    <w:rsid w:val="00246FD5"/>
    <w:rsid w:val="002473AB"/>
    <w:rsid w:val="002476A7"/>
    <w:rsid w:val="0024777E"/>
    <w:rsid w:val="00247A4C"/>
    <w:rsid w:val="00247B04"/>
    <w:rsid w:val="00247B10"/>
    <w:rsid w:val="00247B15"/>
    <w:rsid w:val="00247B55"/>
    <w:rsid w:val="00247B56"/>
    <w:rsid w:val="00247BA8"/>
    <w:rsid w:val="00247CAF"/>
    <w:rsid w:val="00247D78"/>
    <w:rsid w:val="00247E55"/>
    <w:rsid w:val="00247E60"/>
    <w:rsid w:val="002501CD"/>
    <w:rsid w:val="002503E4"/>
    <w:rsid w:val="0025043B"/>
    <w:rsid w:val="002504CA"/>
    <w:rsid w:val="00250667"/>
    <w:rsid w:val="002506D6"/>
    <w:rsid w:val="00250A7D"/>
    <w:rsid w:val="00250BB6"/>
    <w:rsid w:val="00250C2E"/>
    <w:rsid w:val="00250D7E"/>
    <w:rsid w:val="00250F78"/>
    <w:rsid w:val="00250F95"/>
    <w:rsid w:val="0025119B"/>
    <w:rsid w:val="00251353"/>
    <w:rsid w:val="002515CE"/>
    <w:rsid w:val="002516E1"/>
    <w:rsid w:val="002517AC"/>
    <w:rsid w:val="00251890"/>
    <w:rsid w:val="002519AA"/>
    <w:rsid w:val="00251AE3"/>
    <w:rsid w:val="00251B29"/>
    <w:rsid w:val="00251BD3"/>
    <w:rsid w:val="00251BF1"/>
    <w:rsid w:val="00251D3D"/>
    <w:rsid w:val="00251EED"/>
    <w:rsid w:val="00252079"/>
    <w:rsid w:val="002520C0"/>
    <w:rsid w:val="002520E2"/>
    <w:rsid w:val="0025211B"/>
    <w:rsid w:val="0025211D"/>
    <w:rsid w:val="002524FF"/>
    <w:rsid w:val="00252538"/>
    <w:rsid w:val="00252890"/>
    <w:rsid w:val="00252CF3"/>
    <w:rsid w:val="00252E00"/>
    <w:rsid w:val="00253028"/>
    <w:rsid w:val="002532FB"/>
    <w:rsid w:val="002534A5"/>
    <w:rsid w:val="00253748"/>
    <w:rsid w:val="00253A2F"/>
    <w:rsid w:val="00253B56"/>
    <w:rsid w:val="00253BA5"/>
    <w:rsid w:val="00253E4D"/>
    <w:rsid w:val="00253E67"/>
    <w:rsid w:val="00253F7A"/>
    <w:rsid w:val="00253FD2"/>
    <w:rsid w:val="00254020"/>
    <w:rsid w:val="00254167"/>
    <w:rsid w:val="00254337"/>
    <w:rsid w:val="0025434B"/>
    <w:rsid w:val="00254565"/>
    <w:rsid w:val="00254661"/>
    <w:rsid w:val="0025489F"/>
    <w:rsid w:val="002548BA"/>
    <w:rsid w:val="002549D9"/>
    <w:rsid w:val="002549FF"/>
    <w:rsid w:val="00254AB1"/>
    <w:rsid w:val="00254FD7"/>
    <w:rsid w:val="00255391"/>
    <w:rsid w:val="002553DF"/>
    <w:rsid w:val="002555E0"/>
    <w:rsid w:val="00255761"/>
    <w:rsid w:val="002557AE"/>
    <w:rsid w:val="002557C2"/>
    <w:rsid w:val="00255844"/>
    <w:rsid w:val="00255A6C"/>
    <w:rsid w:val="00255A86"/>
    <w:rsid w:val="00255C85"/>
    <w:rsid w:val="00255CDC"/>
    <w:rsid w:val="00255D0B"/>
    <w:rsid w:val="00255DD8"/>
    <w:rsid w:val="00255E60"/>
    <w:rsid w:val="00255F06"/>
    <w:rsid w:val="00256127"/>
    <w:rsid w:val="00256163"/>
    <w:rsid w:val="00256397"/>
    <w:rsid w:val="002564DB"/>
    <w:rsid w:val="002564F5"/>
    <w:rsid w:val="002565A3"/>
    <w:rsid w:val="00256899"/>
    <w:rsid w:val="00256E31"/>
    <w:rsid w:val="002571BD"/>
    <w:rsid w:val="0025721D"/>
    <w:rsid w:val="00257246"/>
    <w:rsid w:val="00257254"/>
    <w:rsid w:val="0025742D"/>
    <w:rsid w:val="00257489"/>
    <w:rsid w:val="0025760B"/>
    <w:rsid w:val="00257749"/>
    <w:rsid w:val="002577ED"/>
    <w:rsid w:val="002579CA"/>
    <w:rsid w:val="00257B34"/>
    <w:rsid w:val="00257C27"/>
    <w:rsid w:val="00257C40"/>
    <w:rsid w:val="00257D79"/>
    <w:rsid w:val="00257EE1"/>
    <w:rsid w:val="00260050"/>
    <w:rsid w:val="00260177"/>
    <w:rsid w:val="002602DA"/>
    <w:rsid w:val="00260456"/>
    <w:rsid w:val="002604AA"/>
    <w:rsid w:val="00260744"/>
    <w:rsid w:val="00260A3A"/>
    <w:rsid w:val="00260A8B"/>
    <w:rsid w:val="00260B2D"/>
    <w:rsid w:val="00260FAB"/>
    <w:rsid w:val="0026108B"/>
    <w:rsid w:val="00261228"/>
    <w:rsid w:val="00261392"/>
    <w:rsid w:val="00261404"/>
    <w:rsid w:val="002615FB"/>
    <w:rsid w:val="00261620"/>
    <w:rsid w:val="0026164C"/>
    <w:rsid w:val="0026168E"/>
    <w:rsid w:val="002616ED"/>
    <w:rsid w:val="002619E4"/>
    <w:rsid w:val="00261DA7"/>
    <w:rsid w:val="00261DF1"/>
    <w:rsid w:val="00261DF5"/>
    <w:rsid w:val="00261E72"/>
    <w:rsid w:val="00261ECC"/>
    <w:rsid w:val="00261EFB"/>
    <w:rsid w:val="00262069"/>
    <w:rsid w:val="002622CE"/>
    <w:rsid w:val="002623AB"/>
    <w:rsid w:val="00262527"/>
    <w:rsid w:val="002626E2"/>
    <w:rsid w:val="0026270B"/>
    <w:rsid w:val="00262899"/>
    <w:rsid w:val="00262A6D"/>
    <w:rsid w:val="00262A6F"/>
    <w:rsid w:val="00262AA7"/>
    <w:rsid w:val="00262DB6"/>
    <w:rsid w:val="00262E41"/>
    <w:rsid w:val="00262EC9"/>
    <w:rsid w:val="00262FB2"/>
    <w:rsid w:val="002630A5"/>
    <w:rsid w:val="002631F0"/>
    <w:rsid w:val="002634EE"/>
    <w:rsid w:val="002635C9"/>
    <w:rsid w:val="00263651"/>
    <w:rsid w:val="002636D7"/>
    <w:rsid w:val="0026370B"/>
    <w:rsid w:val="00263720"/>
    <w:rsid w:val="002637F9"/>
    <w:rsid w:val="002638E9"/>
    <w:rsid w:val="0026391A"/>
    <w:rsid w:val="00263C15"/>
    <w:rsid w:val="00263DD9"/>
    <w:rsid w:val="00263EE8"/>
    <w:rsid w:val="00264335"/>
    <w:rsid w:val="002644A3"/>
    <w:rsid w:val="002645CC"/>
    <w:rsid w:val="00264877"/>
    <w:rsid w:val="002648D4"/>
    <w:rsid w:val="00264A5C"/>
    <w:rsid w:val="00264B33"/>
    <w:rsid w:val="00264B66"/>
    <w:rsid w:val="00264BCE"/>
    <w:rsid w:val="00264C2F"/>
    <w:rsid w:val="00264C3E"/>
    <w:rsid w:val="00264E1E"/>
    <w:rsid w:val="00265070"/>
    <w:rsid w:val="00265121"/>
    <w:rsid w:val="00265184"/>
    <w:rsid w:val="00265220"/>
    <w:rsid w:val="00265369"/>
    <w:rsid w:val="00265691"/>
    <w:rsid w:val="002656C7"/>
    <w:rsid w:val="00265945"/>
    <w:rsid w:val="0026597A"/>
    <w:rsid w:val="00265998"/>
    <w:rsid w:val="002659A3"/>
    <w:rsid w:val="002659C4"/>
    <w:rsid w:val="00265B21"/>
    <w:rsid w:val="00265B2D"/>
    <w:rsid w:val="00265BC7"/>
    <w:rsid w:val="00265C78"/>
    <w:rsid w:val="00265CD6"/>
    <w:rsid w:val="00265CE4"/>
    <w:rsid w:val="00265D45"/>
    <w:rsid w:val="00265DFC"/>
    <w:rsid w:val="00265E76"/>
    <w:rsid w:val="00265E7D"/>
    <w:rsid w:val="00265F49"/>
    <w:rsid w:val="002661C6"/>
    <w:rsid w:val="0026624B"/>
    <w:rsid w:val="00266698"/>
    <w:rsid w:val="002667EB"/>
    <w:rsid w:val="00266888"/>
    <w:rsid w:val="00266978"/>
    <w:rsid w:val="00266C2B"/>
    <w:rsid w:val="00266D2C"/>
    <w:rsid w:val="00266E54"/>
    <w:rsid w:val="00266F5A"/>
    <w:rsid w:val="00267097"/>
    <w:rsid w:val="00267168"/>
    <w:rsid w:val="00267209"/>
    <w:rsid w:val="00267482"/>
    <w:rsid w:val="002675AA"/>
    <w:rsid w:val="002675D7"/>
    <w:rsid w:val="00267888"/>
    <w:rsid w:val="002678B3"/>
    <w:rsid w:val="00267982"/>
    <w:rsid w:val="002679E9"/>
    <w:rsid w:val="00267E22"/>
    <w:rsid w:val="0027005C"/>
    <w:rsid w:val="002705CC"/>
    <w:rsid w:val="002706F8"/>
    <w:rsid w:val="002707B2"/>
    <w:rsid w:val="0027083D"/>
    <w:rsid w:val="00270A30"/>
    <w:rsid w:val="00270A38"/>
    <w:rsid w:val="00270C58"/>
    <w:rsid w:val="00270D46"/>
    <w:rsid w:val="00270DD5"/>
    <w:rsid w:val="00270E97"/>
    <w:rsid w:val="00271169"/>
    <w:rsid w:val="002711B7"/>
    <w:rsid w:val="002711D2"/>
    <w:rsid w:val="002711F2"/>
    <w:rsid w:val="00271271"/>
    <w:rsid w:val="002714B3"/>
    <w:rsid w:val="00271690"/>
    <w:rsid w:val="002716AA"/>
    <w:rsid w:val="002716DF"/>
    <w:rsid w:val="002718DF"/>
    <w:rsid w:val="00271946"/>
    <w:rsid w:val="00271A77"/>
    <w:rsid w:val="00271CE7"/>
    <w:rsid w:val="00271D4B"/>
    <w:rsid w:val="00271DAF"/>
    <w:rsid w:val="00271DD9"/>
    <w:rsid w:val="00271DFF"/>
    <w:rsid w:val="00271FDA"/>
    <w:rsid w:val="0027203C"/>
    <w:rsid w:val="00272155"/>
    <w:rsid w:val="0027227F"/>
    <w:rsid w:val="00272326"/>
    <w:rsid w:val="0027237B"/>
    <w:rsid w:val="0027239C"/>
    <w:rsid w:val="002723AB"/>
    <w:rsid w:val="002723F9"/>
    <w:rsid w:val="00272519"/>
    <w:rsid w:val="00272660"/>
    <w:rsid w:val="002726B9"/>
    <w:rsid w:val="00272744"/>
    <w:rsid w:val="0027276A"/>
    <w:rsid w:val="00272891"/>
    <w:rsid w:val="0027289E"/>
    <w:rsid w:val="0027292E"/>
    <w:rsid w:val="0027299A"/>
    <w:rsid w:val="00272A9C"/>
    <w:rsid w:val="00272B45"/>
    <w:rsid w:val="00272B9E"/>
    <w:rsid w:val="00272C5D"/>
    <w:rsid w:val="00272D13"/>
    <w:rsid w:val="00272EBE"/>
    <w:rsid w:val="00273397"/>
    <w:rsid w:val="00273475"/>
    <w:rsid w:val="00273571"/>
    <w:rsid w:val="00273680"/>
    <w:rsid w:val="002739A4"/>
    <w:rsid w:val="00273BAB"/>
    <w:rsid w:val="00273C6C"/>
    <w:rsid w:val="00273E60"/>
    <w:rsid w:val="002741AE"/>
    <w:rsid w:val="0027420E"/>
    <w:rsid w:val="002743D0"/>
    <w:rsid w:val="00274530"/>
    <w:rsid w:val="00274690"/>
    <w:rsid w:val="00274887"/>
    <w:rsid w:val="002749C2"/>
    <w:rsid w:val="00274ADD"/>
    <w:rsid w:val="00274C39"/>
    <w:rsid w:val="00274C53"/>
    <w:rsid w:val="00274DE5"/>
    <w:rsid w:val="00274E38"/>
    <w:rsid w:val="00274E54"/>
    <w:rsid w:val="00275258"/>
    <w:rsid w:val="0027528E"/>
    <w:rsid w:val="0027529A"/>
    <w:rsid w:val="00275338"/>
    <w:rsid w:val="0027542B"/>
    <w:rsid w:val="00275571"/>
    <w:rsid w:val="00275A62"/>
    <w:rsid w:val="00275AC3"/>
    <w:rsid w:val="00275C05"/>
    <w:rsid w:val="00275C3B"/>
    <w:rsid w:val="00275C7E"/>
    <w:rsid w:val="00275CC1"/>
    <w:rsid w:val="00275D14"/>
    <w:rsid w:val="00275D93"/>
    <w:rsid w:val="0027615C"/>
    <w:rsid w:val="00276191"/>
    <w:rsid w:val="002762AA"/>
    <w:rsid w:val="002762D1"/>
    <w:rsid w:val="002763D9"/>
    <w:rsid w:val="00276458"/>
    <w:rsid w:val="00276525"/>
    <w:rsid w:val="002767C6"/>
    <w:rsid w:val="0027688F"/>
    <w:rsid w:val="00276A76"/>
    <w:rsid w:val="00276AFF"/>
    <w:rsid w:val="00276D3E"/>
    <w:rsid w:val="00276ED8"/>
    <w:rsid w:val="002771A7"/>
    <w:rsid w:val="002773C1"/>
    <w:rsid w:val="00277416"/>
    <w:rsid w:val="0027766D"/>
    <w:rsid w:val="002777BF"/>
    <w:rsid w:val="00277883"/>
    <w:rsid w:val="002778A8"/>
    <w:rsid w:val="00277A0E"/>
    <w:rsid w:val="00277B0F"/>
    <w:rsid w:val="00277B4E"/>
    <w:rsid w:val="00277B7C"/>
    <w:rsid w:val="00277E61"/>
    <w:rsid w:val="00277E91"/>
    <w:rsid w:val="00277ED3"/>
    <w:rsid w:val="0028001C"/>
    <w:rsid w:val="0028033F"/>
    <w:rsid w:val="00280368"/>
    <w:rsid w:val="002804B7"/>
    <w:rsid w:val="002804D3"/>
    <w:rsid w:val="00280518"/>
    <w:rsid w:val="002805D5"/>
    <w:rsid w:val="002806E6"/>
    <w:rsid w:val="00280832"/>
    <w:rsid w:val="002808A9"/>
    <w:rsid w:val="00280A0F"/>
    <w:rsid w:val="00280AFD"/>
    <w:rsid w:val="00280B77"/>
    <w:rsid w:val="00280C4A"/>
    <w:rsid w:val="00280C85"/>
    <w:rsid w:val="00280DA6"/>
    <w:rsid w:val="00280E0F"/>
    <w:rsid w:val="00280EB4"/>
    <w:rsid w:val="00280FEB"/>
    <w:rsid w:val="002810D2"/>
    <w:rsid w:val="00281135"/>
    <w:rsid w:val="00281155"/>
    <w:rsid w:val="002811A0"/>
    <w:rsid w:val="002811DD"/>
    <w:rsid w:val="002815D8"/>
    <w:rsid w:val="002817D6"/>
    <w:rsid w:val="0028189F"/>
    <w:rsid w:val="002819A5"/>
    <w:rsid w:val="00281BBD"/>
    <w:rsid w:val="00281CCC"/>
    <w:rsid w:val="00281DE7"/>
    <w:rsid w:val="00281E60"/>
    <w:rsid w:val="0028238A"/>
    <w:rsid w:val="00282982"/>
    <w:rsid w:val="00282B29"/>
    <w:rsid w:val="00282C04"/>
    <w:rsid w:val="00282F79"/>
    <w:rsid w:val="00282FDC"/>
    <w:rsid w:val="00283056"/>
    <w:rsid w:val="00283197"/>
    <w:rsid w:val="0028329F"/>
    <w:rsid w:val="00283652"/>
    <w:rsid w:val="002836BA"/>
    <w:rsid w:val="0028381B"/>
    <w:rsid w:val="002838D1"/>
    <w:rsid w:val="0028396C"/>
    <w:rsid w:val="00283A10"/>
    <w:rsid w:val="00283C79"/>
    <w:rsid w:val="00283D17"/>
    <w:rsid w:val="00283D68"/>
    <w:rsid w:val="00284404"/>
    <w:rsid w:val="0028481E"/>
    <w:rsid w:val="002848C0"/>
    <w:rsid w:val="002849BD"/>
    <w:rsid w:val="00284AC1"/>
    <w:rsid w:val="00284AEB"/>
    <w:rsid w:val="00284BF8"/>
    <w:rsid w:val="00284C3E"/>
    <w:rsid w:val="00284CE4"/>
    <w:rsid w:val="00285085"/>
    <w:rsid w:val="0028513C"/>
    <w:rsid w:val="002852A5"/>
    <w:rsid w:val="002852E9"/>
    <w:rsid w:val="002853D3"/>
    <w:rsid w:val="002854FD"/>
    <w:rsid w:val="002857F7"/>
    <w:rsid w:val="00285C57"/>
    <w:rsid w:val="00285CD6"/>
    <w:rsid w:val="00285F65"/>
    <w:rsid w:val="002860A4"/>
    <w:rsid w:val="002860EA"/>
    <w:rsid w:val="0028623F"/>
    <w:rsid w:val="002862BB"/>
    <w:rsid w:val="002866E3"/>
    <w:rsid w:val="002867A6"/>
    <w:rsid w:val="002867BE"/>
    <w:rsid w:val="00286817"/>
    <w:rsid w:val="0028685C"/>
    <w:rsid w:val="002869BE"/>
    <w:rsid w:val="002869E5"/>
    <w:rsid w:val="00286D81"/>
    <w:rsid w:val="00286E77"/>
    <w:rsid w:val="00286E9E"/>
    <w:rsid w:val="00286F17"/>
    <w:rsid w:val="00286FA6"/>
    <w:rsid w:val="00286FB4"/>
    <w:rsid w:val="00286FC2"/>
    <w:rsid w:val="00286FD6"/>
    <w:rsid w:val="00287094"/>
    <w:rsid w:val="002871A7"/>
    <w:rsid w:val="0028725F"/>
    <w:rsid w:val="002874B4"/>
    <w:rsid w:val="0028751F"/>
    <w:rsid w:val="00287569"/>
    <w:rsid w:val="00287744"/>
    <w:rsid w:val="00287869"/>
    <w:rsid w:val="002878E6"/>
    <w:rsid w:val="00287980"/>
    <w:rsid w:val="00287A40"/>
    <w:rsid w:val="00287BB3"/>
    <w:rsid w:val="00287E3A"/>
    <w:rsid w:val="00290072"/>
    <w:rsid w:val="002900A3"/>
    <w:rsid w:val="00290240"/>
    <w:rsid w:val="0029042F"/>
    <w:rsid w:val="0029069C"/>
    <w:rsid w:val="002906DF"/>
    <w:rsid w:val="002906EB"/>
    <w:rsid w:val="0029070A"/>
    <w:rsid w:val="00290845"/>
    <w:rsid w:val="00290A2D"/>
    <w:rsid w:val="00290A5B"/>
    <w:rsid w:val="00290AB2"/>
    <w:rsid w:val="00290B90"/>
    <w:rsid w:val="00290C8E"/>
    <w:rsid w:val="00290EE8"/>
    <w:rsid w:val="00290F79"/>
    <w:rsid w:val="00290FE5"/>
    <w:rsid w:val="00290FE9"/>
    <w:rsid w:val="00291193"/>
    <w:rsid w:val="00291417"/>
    <w:rsid w:val="0029141B"/>
    <w:rsid w:val="0029145B"/>
    <w:rsid w:val="0029159E"/>
    <w:rsid w:val="002915CE"/>
    <w:rsid w:val="00291724"/>
    <w:rsid w:val="00291975"/>
    <w:rsid w:val="00291991"/>
    <w:rsid w:val="00291BE7"/>
    <w:rsid w:val="00291CB4"/>
    <w:rsid w:val="00291E35"/>
    <w:rsid w:val="00291F3E"/>
    <w:rsid w:val="00292029"/>
    <w:rsid w:val="00292106"/>
    <w:rsid w:val="0029251A"/>
    <w:rsid w:val="0029261D"/>
    <w:rsid w:val="0029264B"/>
    <w:rsid w:val="00292666"/>
    <w:rsid w:val="002926D8"/>
    <w:rsid w:val="00292703"/>
    <w:rsid w:val="00292738"/>
    <w:rsid w:val="00292930"/>
    <w:rsid w:val="00292A67"/>
    <w:rsid w:val="00292B97"/>
    <w:rsid w:val="00292C7C"/>
    <w:rsid w:val="00292D26"/>
    <w:rsid w:val="00292F03"/>
    <w:rsid w:val="00292F36"/>
    <w:rsid w:val="00292F98"/>
    <w:rsid w:val="00292F9F"/>
    <w:rsid w:val="0029309D"/>
    <w:rsid w:val="002930AC"/>
    <w:rsid w:val="0029317E"/>
    <w:rsid w:val="00293268"/>
    <w:rsid w:val="0029363E"/>
    <w:rsid w:val="00293677"/>
    <w:rsid w:val="002937C2"/>
    <w:rsid w:val="0029384C"/>
    <w:rsid w:val="00293854"/>
    <w:rsid w:val="00293A5D"/>
    <w:rsid w:val="00293AEA"/>
    <w:rsid w:val="00293B00"/>
    <w:rsid w:val="00293F70"/>
    <w:rsid w:val="00294079"/>
    <w:rsid w:val="002941BF"/>
    <w:rsid w:val="00294365"/>
    <w:rsid w:val="00294468"/>
    <w:rsid w:val="00294472"/>
    <w:rsid w:val="0029460B"/>
    <w:rsid w:val="002946A9"/>
    <w:rsid w:val="002947C1"/>
    <w:rsid w:val="00294993"/>
    <w:rsid w:val="00294994"/>
    <w:rsid w:val="00294998"/>
    <w:rsid w:val="00294A95"/>
    <w:rsid w:val="00294B56"/>
    <w:rsid w:val="00294F3F"/>
    <w:rsid w:val="0029502D"/>
    <w:rsid w:val="00295096"/>
    <w:rsid w:val="002950CD"/>
    <w:rsid w:val="002950E3"/>
    <w:rsid w:val="0029535A"/>
    <w:rsid w:val="0029537F"/>
    <w:rsid w:val="002953AA"/>
    <w:rsid w:val="002953BF"/>
    <w:rsid w:val="0029560C"/>
    <w:rsid w:val="0029561B"/>
    <w:rsid w:val="002958CC"/>
    <w:rsid w:val="00295922"/>
    <w:rsid w:val="00295A6E"/>
    <w:rsid w:val="00295E5C"/>
    <w:rsid w:val="00295E7F"/>
    <w:rsid w:val="00296232"/>
    <w:rsid w:val="002962E1"/>
    <w:rsid w:val="002963FF"/>
    <w:rsid w:val="0029674A"/>
    <w:rsid w:val="0029676D"/>
    <w:rsid w:val="0029680B"/>
    <w:rsid w:val="00296A43"/>
    <w:rsid w:val="00296ACC"/>
    <w:rsid w:val="00296AD8"/>
    <w:rsid w:val="00296C63"/>
    <w:rsid w:val="00296C6F"/>
    <w:rsid w:val="00296D28"/>
    <w:rsid w:val="00296D52"/>
    <w:rsid w:val="00296E22"/>
    <w:rsid w:val="002970D4"/>
    <w:rsid w:val="00297366"/>
    <w:rsid w:val="0029737C"/>
    <w:rsid w:val="0029751F"/>
    <w:rsid w:val="00297725"/>
    <w:rsid w:val="00297B37"/>
    <w:rsid w:val="00297F9E"/>
    <w:rsid w:val="00297FB0"/>
    <w:rsid w:val="002A007F"/>
    <w:rsid w:val="002A0080"/>
    <w:rsid w:val="002A00F9"/>
    <w:rsid w:val="002A0232"/>
    <w:rsid w:val="002A025F"/>
    <w:rsid w:val="002A0331"/>
    <w:rsid w:val="002A044D"/>
    <w:rsid w:val="002A05FB"/>
    <w:rsid w:val="002A06BC"/>
    <w:rsid w:val="002A073C"/>
    <w:rsid w:val="002A0891"/>
    <w:rsid w:val="002A09F5"/>
    <w:rsid w:val="002A0A55"/>
    <w:rsid w:val="002A0A58"/>
    <w:rsid w:val="002A0C04"/>
    <w:rsid w:val="002A0D4A"/>
    <w:rsid w:val="002A0E98"/>
    <w:rsid w:val="002A0EB7"/>
    <w:rsid w:val="002A1143"/>
    <w:rsid w:val="002A11EE"/>
    <w:rsid w:val="002A1371"/>
    <w:rsid w:val="002A13D1"/>
    <w:rsid w:val="002A1573"/>
    <w:rsid w:val="002A158C"/>
    <w:rsid w:val="002A1619"/>
    <w:rsid w:val="002A16CC"/>
    <w:rsid w:val="002A16E7"/>
    <w:rsid w:val="002A17E3"/>
    <w:rsid w:val="002A17F4"/>
    <w:rsid w:val="002A1902"/>
    <w:rsid w:val="002A1912"/>
    <w:rsid w:val="002A1C7C"/>
    <w:rsid w:val="002A1D03"/>
    <w:rsid w:val="002A1D20"/>
    <w:rsid w:val="002A1EF7"/>
    <w:rsid w:val="002A1F50"/>
    <w:rsid w:val="002A221F"/>
    <w:rsid w:val="002A2548"/>
    <w:rsid w:val="002A277C"/>
    <w:rsid w:val="002A29AA"/>
    <w:rsid w:val="002A2D5E"/>
    <w:rsid w:val="002A2D96"/>
    <w:rsid w:val="002A2F1E"/>
    <w:rsid w:val="002A2F90"/>
    <w:rsid w:val="002A30F4"/>
    <w:rsid w:val="002A323E"/>
    <w:rsid w:val="002A3270"/>
    <w:rsid w:val="002A33DC"/>
    <w:rsid w:val="002A39C7"/>
    <w:rsid w:val="002A3ABE"/>
    <w:rsid w:val="002A3C7F"/>
    <w:rsid w:val="002A3E53"/>
    <w:rsid w:val="002A3E58"/>
    <w:rsid w:val="002A3E5F"/>
    <w:rsid w:val="002A4072"/>
    <w:rsid w:val="002A4467"/>
    <w:rsid w:val="002A44B9"/>
    <w:rsid w:val="002A45C7"/>
    <w:rsid w:val="002A4743"/>
    <w:rsid w:val="002A49DF"/>
    <w:rsid w:val="002A4A1C"/>
    <w:rsid w:val="002A4C21"/>
    <w:rsid w:val="002A4F74"/>
    <w:rsid w:val="002A50C3"/>
    <w:rsid w:val="002A50D0"/>
    <w:rsid w:val="002A52A4"/>
    <w:rsid w:val="002A52AD"/>
    <w:rsid w:val="002A5500"/>
    <w:rsid w:val="002A572E"/>
    <w:rsid w:val="002A59B3"/>
    <w:rsid w:val="002A59E0"/>
    <w:rsid w:val="002A59E2"/>
    <w:rsid w:val="002A5B38"/>
    <w:rsid w:val="002A5D35"/>
    <w:rsid w:val="002A5F0E"/>
    <w:rsid w:val="002A5F39"/>
    <w:rsid w:val="002A5F47"/>
    <w:rsid w:val="002A60DD"/>
    <w:rsid w:val="002A6570"/>
    <w:rsid w:val="002A66F4"/>
    <w:rsid w:val="002A6760"/>
    <w:rsid w:val="002A6854"/>
    <w:rsid w:val="002A686B"/>
    <w:rsid w:val="002A68D3"/>
    <w:rsid w:val="002A6955"/>
    <w:rsid w:val="002A6981"/>
    <w:rsid w:val="002A6B23"/>
    <w:rsid w:val="002A6C1B"/>
    <w:rsid w:val="002A6DE0"/>
    <w:rsid w:val="002A6E51"/>
    <w:rsid w:val="002A73A6"/>
    <w:rsid w:val="002A7763"/>
    <w:rsid w:val="002A79B9"/>
    <w:rsid w:val="002A7A00"/>
    <w:rsid w:val="002A7A13"/>
    <w:rsid w:val="002A7A18"/>
    <w:rsid w:val="002A7AB3"/>
    <w:rsid w:val="002A7CD8"/>
    <w:rsid w:val="002A7DAB"/>
    <w:rsid w:val="002A7DB0"/>
    <w:rsid w:val="002A7F43"/>
    <w:rsid w:val="002A7F90"/>
    <w:rsid w:val="002A7F9E"/>
    <w:rsid w:val="002B00D1"/>
    <w:rsid w:val="002B02CF"/>
    <w:rsid w:val="002B041B"/>
    <w:rsid w:val="002B0422"/>
    <w:rsid w:val="002B042D"/>
    <w:rsid w:val="002B05C7"/>
    <w:rsid w:val="002B0651"/>
    <w:rsid w:val="002B0752"/>
    <w:rsid w:val="002B08FD"/>
    <w:rsid w:val="002B0A16"/>
    <w:rsid w:val="002B0AC1"/>
    <w:rsid w:val="002B0AD8"/>
    <w:rsid w:val="002B0CB9"/>
    <w:rsid w:val="002B0CF3"/>
    <w:rsid w:val="002B0D4A"/>
    <w:rsid w:val="002B0D5D"/>
    <w:rsid w:val="002B0E2D"/>
    <w:rsid w:val="002B0EBF"/>
    <w:rsid w:val="002B0FD9"/>
    <w:rsid w:val="002B106D"/>
    <w:rsid w:val="002B11C0"/>
    <w:rsid w:val="002B1521"/>
    <w:rsid w:val="002B15AE"/>
    <w:rsid w:val="002B1732"/>
    <w:rsid w:val="002B176D"/>
    <w:rsid w:val="002B189D"/>
    <w:rsid w:val="002B18C9"/>
    <w:rsid w:val="002B1D72"/>
    <w:rsid w:val="002B1E6B"/>
    <w:rsid w:val="002B2171"/>
    <w:rsid w:val="002B21DA"/>
    <w:rsid w:val="002B2224"/>
    <w:rsid w:val="002B2257"/>
    <w:rsid w:val="002B2433"/>
    <w:rsid w:val="002B24F4"/>
    <w:rsid w:val="002B2533"/>
    <w:rsid w:val="002B25B7"/>
    <w:rsid w:val="002B2699"/>
    <w:rsid w:val="002B26E8"/>
    <w:rsid w:val="002B2864"/>
    <w:rsid w:val="002B298F"/>
    <w:rsid w:val="002B29CE"/>
    <w:rsid w:val="002B2A31"/>
    <w:rsid w:val="002B2A74"/>
    <w:rsid w:val="002B2C9E"/>
    <w:rsid w:val="002B2D2D"/>
    <w:rsid w:val="002B2D49"/>
    <w:rsid w:val="002B2D69"/>
    <w:rsid w:val="002B2DA8"/>
    <w:rsid w:val="002B2E4D"/>
    <w:rsid w:val="002B2F2F"/>
    <w:rsid w:val="002B3037"/>
    <w:rsid w:val="002B3134"/>
    <w:rsid w:val="002B314C"/>
    <w:rsid w:val="002B35CF"/>
    <w:rsid w:val="002B35F6"/>
    <w:rsid w:val="002B370A"/>
    <w:rsid w:val="002B37E0"/>
    <w:rsid w:val="002B386F"/>
    <w:rsid w:val="002B38A7"/>
    <w:rsid w:val="002B3CB6"/>
    <w:rsid w:val="002B3CE5"/>
    <w:rsid w:val="002B3D16"/>
    <w:rsid w:val="002B3D54"/>
    <w:rsid w:val="002B3EE7"/>
    <w:rsid w:val="002B40DB"/>
    <w:rsid w:val="002B4120"/>
    <w:rsid w:val="002B42E9"/>
    <w:rsid w:val="002B4348"/>
    <w:rsid w:val="002B43F0"/>
    <w:rsid w:val="002B440F"/>
    <w:rsid w:val="002B47AA"/>
    <w:rsid w:val="002B4900"/>
    <w:rsid w:val="002B4D9F"/>
    <w:rsid w:val="002B4E09"/>
    <w:rsid w:val="002B4F85"/>
    <w:rsid w:val="002B501D"/>
    <w:rsid w:val="002B50EC"/>
    <w:rsid w:val="002B5184"/>
    <w:rsid w:val="002B51BC"/>
    <w:rsid w:val="002B51EC"/>
    <w:rsid w:val="002B527A"/>
    <w:rsid w:val="002B535F"/>
    <w:rsid w:val="002B53CE"/>
    <w:rsid w:val="002B54AB"/>
    <w:rsid w:val="002B5527"/>
    <w:rsid w:val="002B553A"/>
    <w:rsid w:val="002B56C1"/>
    <w:rsid w:val="002B5842"/>
    <w:rsid w:val="002B5A6A"/>
    <w:rsid w:val="002B5D07"/>
    <w:rsid w:val="002B5D10"/>
    <w:rsid w:val="002B5D87"/>
    <w:rsid w:val="002B5DA4"/>
    <w:rsid w:val="002B5E29"/>
    <w:rsid w:val="002B5E76"/>
    <w:rsid w:val="002B5FB6"/>
    <w:rsid w:val="002B6072"/>
    <w:rsid w:val="002B6136"/>
    <w:rsid w:val="002B6167"/>
    <w:rsid w:val="002B6327"/>
    <w:rsid w:val="002B6426"/>
    <w:rsid w:val="002B6478"/>
    <w:rsid w:val="002B6510"/>
    <w:rsid w:val="002B6543"/>
    <w:rsid w:val="002B6640"/>
    <w:rsid w:val="002B6655"/>
    <w:rsid w:val="002B66A6"/>
    <w:rsid w:val="002B6726"/>
    <w:rsid w:val="002B689C"/>
    <w:rsid w:val="002B6982"/>
    <w:rsid w:val="002B6B76"/>
    <w:rsid w:val="002B6B91"/>
    <w:rsid w:val="002B6DA8"/>
    <w:rsid w:val="002B6E54"/>
    <w:rsid w:val="002B725D"/>
    <w:rsid w:val="002B7454"/>
    <w:rsid w:val="002B74FF"/>
    <w:rsid w:val="002B76CB"/>
    <w:rsid w:val="002B7770"/>
    <w:rsid w:val="002B783D"/>
    <w:rsid w:val="002B79D1"/>
    <w:rsid w:val="002B7CBD"/>
    <w:rsid w:val="002B7CFB"/>
    <w:rsid w:val="002B7DDE"/>
    <w:rsid w:val="002B7E7E"/>
    <w:rsid w:val="002C00F8"/>
    <w:rsid w:val="002C023B"/>
    <w:rsid w:val="002C027F"/>
    <w:rsid w:val="002C0757"/>
    <w:rsid w:val="002C0907"/>
    <w:rsid w:val="002C0939"/>
    <w:rsid w:val="002C0985"/>
    <w:rsid w:val="002C0B27"/>
    <w:rsid w:val="002C0C52"/>
    <w:rsid w:val="002C0C7C"/>
    <w:rsid w:val="002C0E61"/>
    <w:rsid w:val="002C0EDC"/>
    <w:rsid w:val="002C0EEC"/>
    <w:rsid w:val="002C1096"/>
    <w:rsid w:val="002C10C7"/>
    <w:rsid w:val="002C110E"/>
    <w:rsid w:val="002C1128"/>
    <w:rsid w:val="002C12C7"/>
    <w:rsid w:val="002C139E"/>
    <w:rsid w:val="002C13B6"/>
    <w:rsid w:val="002C17B6"/>
    <w:rsid w:val="002C1863"/>
    <w:rsid w:val="002C1C47"/>
    <w:rsid w:val="002C1E0D"/>
    <w:rsid w:val="002C1FD4"/>
    <w:rsid w:val="002C2111"/>
    <w:rsid w:val="002C228B"/>
    <w:rsid w:val="002C2367"/>
    <w:rsid w:val="002C23B4"/>
    <w:rsid w:val="002C245C"/>
    <w:rsid w:val="002C258A"/>
    <w:rsid w:val="002C26D2"/>
    <w:rsid w:val="002C2761"/>
    <w:rsid w:val="002C27C2"/>
    <w:rsid w:val="002C2879"/>
    <w:rsid w:val="002C2A7F"/>
    <w:rsid w:val="002C2BD5"/>
    <w:rsid w:val="002C2BE2"/>
    <w:rsid w:val="002C2C82"/>
    <w:rsid w:val="002C355B"/>
    <w:rsid w:val="002C36C8"/>
    <w:rsid w:val="002C385C"/>
    <w:rsid w:val="002C38DD"/>
    <w:rsid w:val="002C38E5"/>
    <w:rsid w:val="002C3ADA"/>
    <w:rsid w:val="002C3CAB"/>
    <w:rsid w:val="002C3CB8"/>
    <w:rsid w:val="002C3D6B"/>
    <w:rsid w:val="002C3E4F"/>
    <w:rsid w:val="002C3F73"/>
    <w:rsid w:val="002C3FE9"/>
    <w:rsid w:val="002C4112"/>
    <w:rsid w:val="002C43A2"/>
    <w:rsid w:val="002C46CB"/>
    <w:rsid w:val="002C471C"/>
    <w:rsid w:val="002C486A"/>
    <w:rsid w:val="002C4984"/>
    <w:rsid w:val="002C4A8D"/>
    <w:rsid w:val="002C4BA8"/>
    <w:rsid w:val="002C4CAB"/>
    <w:rsid w:val="002C51F7"/>
    <w:rsid w:val="002C523C"/>
    <w:rsid w:val="002C54BB"/>
    <w:rsid w:val="002C54C4"/>
    <w:rsid w:val="002C54CA"/>
    <w:rsid w:val="002C56F2"/>
    <w:rsid w:val="002C5707"/>
    <w:rsid w:val="002C576B"/>
    <w:rsid w:val="002C5A28"/>
    <w:rsid w:val="002C5DC4"/>
    <w:rsid w:val="002C5DD1"/>
    <w:rsid w:val="002C605A"/>
    <w:rsid w:val="002C61D1"/>
    <w:rsid w:val="002C635F"/>
    <w:rsid w:val="002C63D5"/>
    <w:rsid w:val="002C64A9"/>
    <w:rsid w:val="002C64D1"/>
    <w:rsid w:val="002C64D6"/>
    <w:rsid w:val="002C6834"/>
    <w:rsid w:val="002C6C0E"/>
    <w:rsid w:val="002C6D00"/>
    <w:rsid w:val="002C6D65"/>
    <w:rsid w:val="002C6F3D"/>
    <w:rsid w:val="002C6F8A"/>
    <w:rsid w:val="002C7067"/>
    <w:rsid w:val="002C7542"/>
    <w:rsid w:val="002C769B"/>
    <w:rsid w:val="002C7781"/>
    <w:rsid w:val="002C7854"/>
    <w:rsid w:val="002C7934"/>
    <w:rsid w:val="002C7B4B"/>
    <w:rsid w:val="002C7DFA"/>
    <w:rsid w:val="002C7E34"/>
    <w:rsid w:val="002C7EE2"/>
    <w:rsid w:val="002C7FD8"/>
    <w:rsid w:val="002D01E7"/>
    <w:rsid w:val="002D0232"/>
    <w:rsid w:val="002D0327"/>
    <w:rsid w:val="002D0395"/>
    <w:rsid w:val="002D07E4"/>
    <w:rsid w:val="002D0864"/>
    <w:rsid w:val="002D08F7"/>
    <w:rsid w:val="002D08FB"/>
    <w:rsid w:val="002D0934"/>
    <w:rsid w:val="002D0938"/>
    <w:rsid w:val="002D095C"/>
    <w:rsid w:val="002D09E3"/>
    <w:rsid w:val="002D0A31"/>
    <w:rsid w:val="002D0AE5"/>
    <w:rsid w:val="002D0B84"/>
    <w:rsid w:val="002D0BD8"/>
    <w:rsid w:val="002D0C64"/>
    <w:rsid w:val="002D0C65"/>
    <w:rsid w:val="002D0CCE"/>
    <w:rsid w:val="002D0DC6"/>
    <w:rsid w:val="002D0EB0"/>
    <w:rsid w:val="002D0EBF"/>
    <w:rsid w:val="002D112A"/>
    <w:rsid w:val="002D1202"/>
    <w:rsid w:val="002D1308"/>
    <w:rsid w:val="002D14B9"/>
    <w:rsid w:val="002D15E1"/>
    <w:rsid w:val="002D1703"/>
    <w:rsid w:val="002D186B"/>
    <w:rsid w:val="002D1941"/>
    <w:rsid w:val="002D1956"/>
    <w:rsid w:val="002D1AF5"/>
    <w:rsid w:val="002D1BEB"/>
    <w:rsid w:val="002D1E69"/>
    <w:rsid w:val="002D1FDB"/>
    <w:rsid w:val="002D2021"/>
    <w:rsid w:val="002D20FD"/>
    <w:rsid w:val="002D22AA"/>
    <w:rsid w:val="002D234A"/>
    <w:rsid w:val="002D23D9"/>
    <w:rsid w:val="002D24E8"/>
    <w:rsid w:val="002D257A"/>
    <w:rsid w:val="002D2589"/>
    <w:rsid w:val="002D25F0"/>
    <w:rsid w:val="002D2611"/>
    <w:rsid w:val="002D264C"/>
    <w:rsid w:val="002D26F5"/>
    <w:rsid w:val="002D29A8"/>
    <w:rsid w:val="002D29F1"/>
    <w:rsid w:val="002D2A46"/>
    <w:rsid w:val="002D2A6F"/>
    <w:rsid w:val="002D2CB8"/>
    <w:rsid w:val="002D2CE2"/>
    <w:rsid w:val="002D2D52"/>
    <w:rsid w:val="002D2D7B"/>
    <w:rsid w:val="002D2D7E"/>
    <w:rsid w:val="002D2DDE"/>
    <w:rsid w:val="002D2E04"/>
    <w:rsid w:val="002D2E4C"/>
    <w:rsid w:val="002D301C"/>
    <w:rsid w:val="002D34C4"/>
    <w:rsid w:val="002D35D9"/>
    <w:rsid w:val="002D3672"/>
    <w:rsid w:val="002D36CD"/>
    <w:rsid w:val="002D3916"/>
    <w:rsid w:val="002D3BF2"/>
    <w:rsid w:val="002D3D91"/>
    <w:rsid w:val="002D3DC4"/>
    <w:rsid w:val="002D3F0C"/>
    <w:rsid w:val="002D3F3F"/>
    <w:rsid w:val="002D3FA4"/>
    <w:rsid w:val="002D4002"/>
    <w:rsid w:val="002D409B"/>
    <w:rsid w:val="002D422F"/>
    <w:rsid w:val="002D438A"/>
    <w:rsid w:val="002D4447"/>
    <w:rsid w:val="002D4499"/>
    <w:rsid w:val="002D4697"/>
    <w:rsid w:val="002D4701"/>
    <w:rsid w:val="002D4824"/>
    <w:rsid w:val="002D499A"/>
    <w:rsid w:val="002D4A68"/>
    <w:rsid w:val="002D4A89"/>
    <w:rsid w:val="002D4B8D"/>
    <w:rsid w:val="002D4B8F"/>
    <w:rsid w:val="002D4C70"/>
    <w:rsid w:val="002D4E07"/>
    <w:rsid w:val="002D4E15"/>
    <w:rsid w:val="002D4E91"/>
    <w:rsid w:val="002D4EB5"/>
    <w:rsid w:val="002D5017"/>
    <w:rsid w:val="002D501F"/>
    <w:rsid w:val="002D51E4"/>
    <w:rsid w:val="002D5209"/>
    <w:rsid w:val="002D5269"/>
    <w:rsid w:val="002D5297"/>
    <w:rsid w:val="002D52C1"/>
    <w:rsid w:val="002D5464"/>
    <w:rsid w:val="002D55CE"/>
    <w:rsid w:val="002D5641"/>
    <w:rsid w:val="002D5646"/>
    <w:rsid w:val="002D568A"/>
    <w:rsid w:val="002D5777"/>
    <w:rsid w:val="002D5AB7"/>
    <w:rsid w:val="002D5B5E"/>
    <w:rsid w:val="002D5CE3"/>
    <w:rsid w:val="002D5DAA"/>
    <w:rsid w:val="002D5DE5"/>
    <w:rsid w:val="002D6037"/>
    <w:rsid w:val="002D6086"/>
    <w:rsid w:val="002D6297"/>
    <w:rsid w:val="002D631A"/>
    <w:rsid w:val="002D633F"/>
    <w:rsid w:val="002D6392"/>
    <w:rsid w:val="002D64D2"/>
    <w:rsid w:val="002D66B8"/>
    <w:rsid w:val="002D66C7"/>
    <w:rsid w:val="002D6D19"/>
    <w:rsid w:val="002D6E01"/>
    <w:rsid w:val="002D710D"/>
    <w:rsid w:val="002D7239"/>
    <w:rsid w:val="002D7340"/>
    <w:rsid w:val="002D73DE"/>
    <w:rsid w:val="002D76EA"/>
    <w:rsid w:val="002D7766"/>
    <w:rsid w:val="002D7A9A"/>
    <w:rsid w:val="002D7DED"/>
    <w:rsid w:val="002D7E3D"/>
    <w:rsid w:val="002D7F1D"/>
    <w:rsid w:val="002E0024"/>
    <w:rsid w:val="002E022B"/>
    <w:rsid w:val="002E02AB"/>
    <w:rsid w:val="002E04EA"/>
    <w:rsid w:val="002E0524"/>
    <w:rsid w:val="002E052A"/>
    <w:rsid w:val="002E0584"/>
    <w:rsid w:val="002E05F2"/>
    <w:rsid w:val="002E06A9"/>
    <w:rsid w:val="002E071D"/>
    <w:rsid w:val="002E07E5"/>
    <w:rsid w:val="002E08C3"/>
    <w:rsid w:val="002E08F6"/>
    <w:rsid w:val="002E0B15"/>
    <w:rsid w:val="002E0C03"/>
    <w:rsid w:val="002E0EDA"/>
    <w:rsid w:val="002E0F2F"/>
    <w:rsid w:val="002E1090"/>
    <w:rsid w:val="002E10A9"/>
    <w:rsid w:val="002E1269"/>
    <w:rsid w:val="002E138A"/>
    <w:rsid w:val="002E13F1"/>
    <w:rsid w:val="002E140B"/>
    <w:rsid w:val="002E148F"/>
    <w:rsid w:val="002E14DA"/>
    <w:rsid w:val="002E1783"/>
    <w:rsid w:val="002E1966"/>
    <w:rsid w:val="002E1AC6"/>
    <w:rsid w:val="002E1C91"/>
    <w:rsid w:val="002E1DF1"/>
    <w:rsid w:val="002E2034"/>
    <w:rsid w:val="002E25FB"/>
    <w:rsid w:val="002E26E7"/>
    <w:rsid w:val="002E276D"/>
    <w:rsid w:val="002E2BA5"/>
    <w:rsid w:val="002E2BE7"/>
    <w:rsid w:val="002E2BF0"/>
    <w:rsid w:val="002E2D10"/>
    <w:rsid w:val="002E2FD3"/>
    <w:rsid w:val="002E30F4"/>
    <w:rsid w:val="002E3578"/>
    <w:rsid w:val="002E35B8"/>
    <w:rsid w:val="002E3721"/>
    <w:rsid w:val="002E37A8"/>
    <w:rsid w:val="002E383B"/>
    <w:rsid w:val="002E3997"/>
    <w:rsid w:val="002E3A8A"/>
    <w:rsid w:val="002E3B58"/>
    <w:rsid w:val="002E3D01"/>
    <w:rsid w:val="002E401D"/>
    <w:rsid w:val="002E4083"/>
    <w:rsid w:val="002E417F"/>
    <w:rsid w:val="002E432A"/>
    <w:rsid w:val="002E44EC"/>
    <w:rsid w:val="002E4592"/>
    <w:rsid w:val="002E4678"/>
    <w:rsid w:val="002E49CD"/>
    <w:rsid w:val="002E4A3E"/>
    <w:rsid w:val="002E4A61"/>
    <w:rsid w:val="002E4B2E"/>
    <w:rsid w:val="002E4B6A"/>
    <w:rsid w:val="002E4B82"/>
    <w:rsid w:val="002E4C7C"/>
    <w:rsid w:val="002E4FA9"/>
    <w:rsid w:val="002E5189"/>
    <w:rsid w:val="002E52CD"/>
    <w:rsid w:val="002E52D2"/>
    <w:rsid w:val="002E5349"/>
    <w:rsid w:val="002E540B"/>
    <w:rsid w:val="002E56B1"/>
    <w:rsid w:val="002E57A6"/>
    <w:rsid w:val="002E5C0C"/>
    <w:rsid w:val="002E5C89"/>
    <w:rsid w:val="002E5EE4"/>
    <w:rsid w:val="002E5F11"/>
    <w:rsid w:val="002E6083"/>
    <w:rsid w:val="002E61D8"/>
    <w:rsid w:val="002E6337"/>
    <w:rsid w:val="002E6343"/>
    <w:rsid w:val="002E6441"/>
    <w:rsid w:val="002E64DA"/>
    <w:rsid w:val="002E691E"/>
    <w:rsid w:val="002E695B"/>
    <w:rsid w:val="002E6ACE"/>
    <w:rsid w:val="002E6D83"/>
    <w:rsid w:val="002E6E01"/>
    <w:rsid w:val="002E6FEA"/>
    <w:rsid w:val="002E72CE"/>
    <w:rsid w:val="002E73A6"/>
    <w:rsid w:val="002E73B9"/>
    <w:rsid w:val="002E73F4"/>
    <w:rsid w:val="002E746C"/>
    <w:rsid w:val="002E74AE"/>
    <w:rsid w:val="002E7588"/>
    <w:rsid w:val="002E7606"/>
    <w:rsid w:val="002E7696"/>
    <w:rsid w:val="002E7840"/>
    <w:rsid w:val="002E7857"/>
    <w:rsid w:val="002E78E5"/>
    <w:rsid w:val="002E793D"/>
    <w:rsid w:val="002E7C85"/>
    <w:rsid w:val="002E7CB8"/>
    <w:rsid w:val="002E7DBB"/>
    <w:rsid w:val="002E7DBF"/>
    <w:rsid w:val="002E7E16"/>
    <w:rsid w:val="002E7EE2"/>
    <w:rsid w:val="002E7F11"/>
    <w:rsid w:val="002E7F46"/>
    <w:rsid w:val="002F0044"/>
    <w:rsid w:val="002F008A"/>
    <w:rsid w:val="002F06BC"/>
    <w:rsid w:val="002F07E6"/>
    <w:rsid w:val="002F0840"/>
    <w:rsid w:val="002F08B7"/>
    <w:rsid w:val="002F08BF"/>
    <w:rsid w:val="002F08D4"/>
    <w:rsid w:val="002F091E"/>
    <w:rsid w:val="002F0949"/>
    <w:rsid w:val="002F0AD3"/>
    <w:rsid w:val="002F0B58"/>
    <w:rsid w:val="002F0D1B"/>
    <w:rsid w:val="002F0D81"/>
    <w:rsid w:val="002F0E61"/>
    <w:rsid w:val="002F1040"/>
    <w:rsid w:val="002F1251"/>
    <w:rsid w:val="002F12AA"/>
    <w:rsid w:val="002F142E"/>
    <w:rsid w:val="002F152E"/>
    <w:rsid w:val="002F1749"/>
    <w:rsid w:val="002F18DF"/>
    <w:rsid w:val="002F1931"/>
    <w:rsid w:val="002F1ACE"/>
    <w:rsid w:val="002F1C9A"/>
    <w:rsid w:val="002F1EB3"/>
    <w:rsid w:val="002F1EBF"/>
    <w:rsid w:val="002F1F65"/>
    <w:rsid w:val="002F2181"/>
    <w:rsid w:val="002F221E"/>
    <w:rsid w:val="002F22B0"/>
    <w:rsid w:val="002F270C"/>
    <w:rsid w:val="002F27B2"/>
    <w:rsid w:val="002F2A32"/>
    <w:rsid w:val="002F2C89"/>
    <w:rsid w:val="002F31A6"/>
    <w:rsid w:val="002F3203"/>
    <w:rsid w:val="002F33FE"/>
    <w:rsid w:val="002F3469"/>
    <w:rsid w:val="002F3577"/>
    <w:rsid w:val="002F358F"/>
    <w:rsid w:val="002F3748"/>
    <w:rsid w:val="002F38B2"/>
    <w:rsid w:val="002F3968"/>
    <w:rsid w:val="002F3A80"/>
    <w:rsid w:val="002F3AF4"/>
    <w:rsid w:val="002F3C0D"/>
    <w:rsid w:val="002F3C8A"/>
    <w:rsid w:val="002F3D03"/>
    <w:rsid w:val="002F3F41"/>
    <w:rsid w:val="002F4252"/>
    <w:rsid w:val="002F4518"/>
    <w:rsid w:val="002F4553"/>
    <w:rsid w:val="002F45C1"/>
    <w:rsid w:val="002F45FD"/>
    <w:rsid w:val="002F48C4"/>
    <w:rsid w:val="002F4B26"/>
    <w:rsid w:val="002F4EF6"/>
    <w:rsid w:val="002F4F2B"/>
    <w:rsid w:val="002F4FD9"/>
    <w:rsid w:val="002F4FE2"/>
    <w:rsid w:val="002F5198"/>
    <w:rsid w:val="002F5228"/>
    <w:rsid w:val="002F528A"/>
    <w:rsid w:val="002F5322"/>
    <w:rsid w:val="002F54EF"/>
    <w:rsid w:val="002F55FE"/>
    <w:rsid w:val="002F5A3F"/>
    <w:rsid w:val="002F5C5B"/>
    <w:rsid w:val="002F5CFD"/>
    <w:rsid w:val="002F5D64"/>
    <w:rsid w:val="002F5D6F"/>
    <w:rsid w:val="002F60EB"/>
    <w:rsid w:val="002F6168"/>
    <w:rsid w:val="002F620E"/>
    <w:rsid w:val="002F6301"/>
    <w:rsid w:val="002F63EE"/>
    <w:rsid w:val="002F640B"/>
    <w:rsid w:val="002F6619"/>
    <w:rsid w:val="002F6697"/>
    <w:rsid w:val="002F670F"/>
    <w:rsid w:val="002F6865"/>
    <w:rsid w:val="002F6889"/>
    <w:rsid w:val="002F69E4"/>
    <w:rsid w:val="002F6A9B"/>
    <w:rsid w:val="002F6BE6"/>
    <w:rsid w:val="002F6E22"/>
    <w:rsid w:val="002F6E7D"/>
    <w:rsid w:val="002F6F49"/>
    <w:rsid w:val="002F721E"/>
    <w:rsid w:val="002F726C"/>
    <w:rsid w:val="002F7299"/>
    <w:rsid w:val="002F73D1"/>
    <w:rsid w:val="002F7671"/>
    <w:rsid w:val="002F76A9"/>
    <w:rsid w:val="002F7810"/>
    <w:rsid w:val="002F7A1A"/>
    <w:rsid w:val="002F7B93"/>
    <w:rsid w:val="002F7D2B"/>
    <w:rsid w:val="002F7F07"/>
    <w:rsid w:val="002F7F30"/>
    <w:rsid w:val="002F7F32"/>
    <w:rsid w:val="00300156"/>
    <w:rsid w:val="003001B0"/>
    <w:rsid w:val="00300318"/>
    <w:rsid w:val="003006F3"/>
    <w:rsid w:val="00300733"/>
    <w:rsid w:val="00300ACE"/>
    <w:rsid w:val="00300C26"/>
    <w:rsid w:val="00300CC0"/>
    <w:rsid w:val="00300E0B"/>
    <w:rsid w:val="00300E6B"/>
    <w:rsid w:val="00301079"/>
    <w:rsid w:val="003016D7"/>
    <w:rsid w:val="0030171B"/>
    <w:rsid w:val="00301875"/>
    <w:rsid w:val="00301A7C"/>
    <w:rsid w:val="00301AE1"/>
    <w:rsid w:val="00301B9A"/>
    <w:rsid w:val="00301E4F"/>
    <w:rsid w:val="00302002"/>
    <w:rsid w:val="00302065"/>
    <w:rsid w:val="00302131"/>
    <w:rsid w:val="0030236E"/>
    <w:rsid w:val="00302383"/>
    <w:rsid w:val="00302647"/>
    <w:rsid w:val="00302A33"/>
    <w:rsid w:val="00302A8D"/>
    <w:rsid w:val="00302A95"/>
    <w:rsid w:val="00302AE8"/>
    <w:rsid w:val="00302D13"/>
    <w:rsid w:val="00302FA4"/>
    <w:rsid w:val="00302FA7"/>
    <w:rsid w:val="00303073"/>
    <w:rsid w:val="00303096"/>
    <w:rsid w:val="0030328C"/>
    <w:rsid w:val="003036D5"/>
    <w:rsid w:val="0030370F"/>
    <w:rsid w:val="00303AA2"/>
    <w:rsid w:val="00303AC8"/>
    <w:rsid w:val="00303D03"/>
    <w:rsid w:val="00303DC4"/>
    <w:rsid w:val="00303E02"/>
    <w:rsid w:val="00303F05"/>
    <w:rsid w:val="00304120"/>
    <w:rsid w:val="003042C2"/>
    <w:rsid w:val="003043AB"/>
    <w:rsid w:val="003046B9"/>
    <w:rsid w:val="003046E5"/>
    <w:rsid w:val="003047E6"/>
    <w:rsid w:val="00304DC2"/>
    <w:rsid w:val="00304DDD"/>
    <w:rsid w:val="0030504B"/>
    <w:rsid w:val="003050B0"/>
    <w:rsid w:val="00305294"/>
    <w:rsid w:val="00305348"/>
    <w:rsid w:val="00305375"/>
    <w:rsid w:val="00305478"/>
    <w:rsid w:val="00305649"/>
    <w:rsid w:val="00305672"/>
    <w:rsid w:val="003056DA"/>
    <w:rsid w:val="00305853"/>
    <w:rsid w:val="003058F4"/>
    <w:rsid w:val="00305906"/>
    <w:rsid w:val="00305938"/>
    <w:rsid w:val="00305A91"/>
    <w:rsid w:val="00305B2A"/>
    <w:rsid w:val="00305B51"/>
    <w:rsid w:val="00305BDB"/>
    <w:rsid w:val="00305C6F"/>
    <w:rsid w:val="00305D67"/>
    <w:rsid w:val="00305F0B"/>
    <w:rsid w:val="00305F3E"/>
    <w:rsid w:val="00305F6D"/>
    <w:rsid w:val="003061D3"/>
    <w:rsid w:val="00306610"/>
    <w:rsid w:val="0030670D"/>
    <w:rsid w:val="00306743"/>
    <w:rsid w:val="00306A12"/>
    <w:rsid w:val="00306DD9"/>
    <w:rsid w:val="00307131"/>
    <w:rsid w:val="003071C6"/>
    <w:rsid w:val="0030754E"/>
    <w:rsid w:val="003075D0"/>
    <w:rsid w:val="00307821"/>
    <w:rsid w:val="00307A63"/>
    <w:rsid w:val="00307B3D"/>
    <w:rsid w:val="00307BC2"/>
    <w:rsid w:val="00307C75"/>
    <w:rsid w:val="00307E0B"/>
    <w:rsid w:val="00307ECB"/>
    <w:rsid w:val="0031018E"/>
    <w:rsid w:val="003101C5"/>
    <w:rsid w:val="0031048E"/>
    <w:rsid w:val="00310652"/>
    <w:rsid w:val="0031068D"/>
    <w:rsid w:val="00310698"/>
    <w:rsid w:val="003107ED"/>
    <w:rsid w:val="00310821"/>
    <w:rsid w:val="00310834"/>
    <w:rsid w:val="00310A84"/>
    <w:rsid w:val="00310ADC"/>
    <w:rsid w:val="00310B0D"/>
    <w:rsid w:val="00310C19"/>
    <w:rsid w:val="00310D5A"/>
    <w:rsid w:val="00310F43"/>
    <w:rsid w:val="003110ED"/>
    <w:rsid w:val="0031124D"/>
    <w:rsid w:val="00311455"/>
    <w:rsid w:val="003114F0"/>
    <w:rsid w:val="00311654"/>
    <w:rsid w:val="00311705"/>
    <w:rsid w:val="00311769"/>
    <w:rsid w:val="003117C9"/>
    <w:rsid w:val="00311AAD"/>
    <w:rsid w:val="00311C1E"/>
    <w:rsid w:val="00311CC0"/>
    <w:rsid w:val="00311D40"/>
    <w:rsid w:val="00311D44"/>
    <w:rsid w:val="00311D5F"/>
    <w:rsid w:val="00311F69"/>
    <w:rsid w:val="003121AD"/>
    <w:rsid w:val="003125AE"/>
    <w:rsid w:val="003125BD"/>
    <w:rsid w:val="00312714"/>
    <w:rsid w:val="003127C1"/>
    <w:rsid w:val="003128C5"/>
    <w:rsid w:val="00312ADC"/>
    <w:rsid w:val="00312B51"/>
    <w:rsid w:val="00312BC6"/>
    <w:rsid w:val="00312C68"/>
    <w:rsid w:val="00312CB0"/>
    <w:rsid w:val="00312CFB"/>
    <w:rsid w:val="00312DA2"/>
    <w:rsid w:val="00312DC4"/>
    <w:rsid w:val="00312ECB"/>
    <w:rsid w:val="00313482"/>
    <w:rsid w:val="003135A9"/>
    <w:rsid w:val="0031381F"/>
    <w:rsid w:val="00313A98"/>
    <w:rsid w:val="00313C59"/>
    <w:rsid w:val="00313C73"/>
    <w:rsid w:val="0031409F"/>
    <w:rsid w:val="003141F7"/>
    <w:rsid w:val="0031426B"/>
    <w:rsid w:val="00314297"/>
    <w:rsid w:val="003144CF"/>
    <w:rsid w:val="0031462D"/>
    <w:rsid w:val="0031476F"/>
    <w:rsid w:val="00314A3B"/>
    <w:rsid w:val="00314CA7"/>
    <w:rsid w:val="00314DB0"/>
    <w:rsid w:val="00314DFB"/>
    <w:rsid w:val="0031506B"/>
    <w:rsid w:val="003150D0"/>
    <w:rsid w:val="003150EE"/>
    <w:rsid w:val="003151D5"/>
    <w:rsid w:val="00315228"/>
    <w:rsid w:val="00315307"/>
    <w:rsid w:val="00315443"/>
    <w:rsid w:val="00315452"/>
    <w:rsid w:val="00315672"/>
    <w:rsid w:val="0031586A"/>
    <w:rsid w:val="00315B44"/>
    <w:rsid w:val="00315DBC"/>
    <w:rsid w:val="00315DF4"/>
    <w:rsid w:val="00315EA6"/>
    <w:rsid w:val="0031604C"/>
    <w:rsid w:val="00316084"/>
    <w:rsid w:val="003162A0"/>
    <w:rsid w:val="00316434"/>
    <w:rsid w:val="00316549"/>
    <w:rsid w:val="0031657D"/>
    <w:rsid w:val="003166CB"/>
    <w:rsid w:val="003167AC"/>
    <w:rsid w:val="00316811"/>
    <w:rsid w:val="00316AA5"/>
    <w:rsid w:val="00316C7C"/>
    <w:rsid w:val="00316D5A"/>
    <w:rsid w:val="00316EB5"/>
    <w:rsid w:val="0031720E"/>
    <w:rsid w:val="00317210"/>
    <w:rsid w:val="003172D1"/>
    <w:rsid w:val="00317402"/>
    <w:rsid w:val="0031750B"/>
    <w:rsid w:val="00317586"/>
    <w:rsid w:val="003176B5"/>
    <w:rsid w:val="003178D0"/>
    <w:rsid w:val="00317B65"/>
    <w:rsid w:val="00317B8F"/>
    <w:rsid w:val="00317D53"/>
    <w:rsid w:val="00317D85"/>
    <w:rsid w:val="00317FF9"/>
    <w:rsid w:val="003202CB"/>
    <w:rsid w:val="003202D0"/>
    <w:rsid w:val="00320401"/>
    <w:rsid w:val="00320550"/>
    <w:rsid w:val="00320731"/>
    <w:rsid w:val="00320A6C"/>
    <w:rsid w:val="00320C98"/>
    <w:rsid w:val="00320D56"/>
    <w:rsid w:val="00320F0B"/>
    <w:rsid w:val="00320F85"/>
    <w:rsid w:val="00321031"/>
    <w:rsid w:val="0032127C"/>
    <w:rsid w:val="003214DA"/>
    <w:rsid w:val="003215EB"/>
    <w:rsid w:val="003216B4"/>
    <w:rsid w:val="003216C5"/>
    <w:rsid w:val="003217ED"/>
    <w:rsid w:val="00321823"/>
    <w:rsid w:val="003218A9"/>
    <w:rsid w:val="00321960"/>
    <w:rsid w:val="00321B94"/>
    <w:rsid w:val="00321DFB"/>
    <w:rsid w:val="00321E3F"/>
    <w:rsid w:val="00321E6D"/>
    <w:rsid w:val="00321F15"/>
    <w:rsid w:val="00321FF0"/>
    <w:rsid w:val="00322106"/>
    <w:rsid w:val="0032217D"/>
    <w:rsid w:val="003221A5"/>
    <w:rsid w:val="00322262"/>
    <w:rsid w:val="003222E8"/>
    <w:rsid w:val="003224D2"/>
    <w:rsid w:val="0032259D"/>
    <w:rsid w:val="003225C4"/>
    <w:rsid w:val="00322656"/>
    <w:rsid w:val="00322709"/>
    <w:rsid w:val="00322A8F"/>
    <w:rsid w:val="00322A98"/>
    <w:rsid w:val="00322C8E"/>
    <w:rsid w:val="00322CB1"/>
    <w:rsid w:val="00322D3E"/>
    <w:rsid w:val="00322F4E"/>
    <w:rsid w:val="003230D3"/>
    <w:rsid w:val="003230E6"/>
    <w:rsid w:val="003231E5"/>
    <w:rsid w:val="003232E2"/>
    <w:rsid w:val="003233D5"/>
    <w:rsid w:val="003234CF"/>
    <w:rsid w:val="003234DE"/>
    <w:rsid w:val="00323738"/>
    <w:rsid w:val="00323745"/>
    <w:rsid w:val="00323946"/>
    <w:rsid w:val="003239A6"/>
    <w:rsid w:val="003239DD"/>
    <w:rsid w:val="00323A40"/>
    <w:rsid w:val="00323AF0"/>
    <w:rsid w:val="00323BBD"/>
    <w:rsid w:val="00323BD7"/>
    <w:rsid w:val="00323CE0"/>
    <w:rsid w:val="00323DC5"/>
    <w:rsid w:val="00323EAC"/>
    <w:rsid w:val="00323F1A"/>
    <w:rsid w:val="00323F2B"/>
    <w:rsid w:val="00323F8E"/>
    <w:rsid w:val="00323FEF"/>
    <w:rsid w:val="003241D3"/>
    <w:rsid w:val="0032440B"/>
    <w:rsid w:val="00324761"/>
    <w:rsid w:val="00324890"/>
    <w:rsid w:val="00324923"/>
    <w:rsid w:val="00324ABE"/>
    <w:rsid w:val="00324C75"/>
    <w:rsid w:val="00324CE2"/>
    <w:rsid w:val="00324D1E"/>
    <w:rsid w:val="00324ECA"/>
    <w:rsid w:val="00324FA4"/>
    <w:rsid w:val="00325291"/>
    <w:rsid w:val="003253F2"/>
    <w:rsid w:val="00325647"/>
    <w:rsid w:val="00325794"/>
    <w:rsid w:val="0032587B"/>
    <w:rsid w:val="00325C60"/>
    <w:rsid w:val="00325D07"/>
    <w:rsid w:val="00325E02"/>
    <w:rsid w:val="00326137"/>
    <w:rsid w:val="00326288"/>
    <w:rsid w:val="00326303"/>
    <w:rsid w:val="00326382"/>
    <w:rsid w:val="003263BD"/>
    <w:rsid w:val="003263F5"/>
    <w:rsid w:val="003264B4"/>
    <w:rsid w:val="003265A2"/>
    <w:rsid w:val="00326608"/>
    <w:rsid w:val="0032664E"/>
    <w:rsid w:val="0032664F"/>
    <w:rsid w:val="0032672E"/>
    <w:rsid w:val="00326747"/>
    <w:rsid w:val="00326A54"/>
    <w:rsid w:val="00326A91"/>
    <w:rsid w:val="00326B41"/>
    <w:rsid w:val="00326BA5"/>
    <w:rsid w:val="00326CEA"/>
    <w:rsid w:val="00326F85"/>
    <w:rsid w:val="00326FE2"/>
    <w:rsid w:val="003271F5"/>
    <w:rsid w:val="003272D8"/>
    <w:rsid w:val="0032730B"/>
    <w:rsid w:val="003274AC"/>
    <w:rsid w:val="003276A2"/>
    <w:rsid w:val="003277E1"/>
    <w:rsid w:val="00327867"/>
    <w:rsid w:val="003278AC"/>
    <w:rsid w:val="003278D3"/>
    <w:rsid w:val="00327A78"/>
    <w:rsid w:val="00327C46"/>
    <w:rsid w:val="00327D65"/>
    <w:rsid w:val="00327DA4"/>
    <w:rsid w:val="00327E6F"/>
    <w:rsid w:val="00330086"/>
    <w:rsid w:val="003300D3"/>
    <w:rsid w:val="003301A9"/>
    <w:rsid w:val="00330269"/>
    <w:rsid w:val="003302A2"/>
    <w:rsid w:val="003303B4"/>
    <w:rsid w:val="003303F7"/>
    <w:rsid w:val="00330748"/>
    <w:rsid w:val="0033081E"/>
    <w:rsid w:val="00330981"/>
    <w:rsid w:val="00330A05"/>
    <w:rsid w:val="00330AA0"/>
    <w:rsid w:val="00330B78"/>
    <w:rsid w:val="00330BED"/>
    <w:rsid w:val="00330CCD"/>
    <w:rsid w:val="00330F28"/>
    <w:rsid w:val="00330F68"/>
    <w:rsid w:val="00331070"/>
    <w:rsid w:val="0033108E"/>
    <w:rsid w:val="00331160"/>
    <w:rsid w:val="00331264"/>
    <w:rsid w:val="003312BE"/>
    <w:rsid w:val="00331417"/>
    <w:rsid w:val="003314C5"/>
    <w:rsid w:val="003315E4"/>
    <w:rsid w:val="003315EE"/>
    <w:rsid w:val="00331625"/>
    <w:rsid w:val="0033179F"/>
    <w:rsid w:val="003319F8"/>
    <w:rsid w:val="00331A4B"/>
    <w:rsid w:val="00331AB9"/>
    <w:rsid w:val="00331AC4"/>
    <w:rsid w:val="00331F0D"/>
    <w:rsid w:val="00332008"/>
    <w:rsid w:val="0033211F"/>
    <w:rsid w:val="003323F1"/>
    <w:rsid w:val="00332445"/>
    <w:rsid w:val="0033254C"/>
    <w:rsid w:val="0033262D"/>
    <w:rsid w:val="003327AB"/>
    <w:rsid w:val="00332A5F"/>
    <w:rsid w:val="00332B16"/>
    <w:rsid w:val="00332D22"/>
    <w:rsid w:val="00332EF7"/>
    <w:rsid w:val="003330F8"/>
    <w:rsid w:val="00333168"/>
    <w:rsid w:val="0033318C"/>
    <w:rsid w:val="003331A7"/>
    <w:rsid w:val="003331F2"/>
    <w:rsid w:val="0033356D"/>
    <w:rsid w:val="003335FF"/>
    <w:rsid w:val="0033374C"/>
    <w:rsid w:val="00333850"/>
    <w:rsid w:val="0033388A"/>
    <w:rsid w:val="003338F6"/>
    <w:rsid w:val="00333C15"/>
    <w:rsid w:val="00333C7F"/>
    <w:rsid w:val="00333DA2"/>
    <w:rsid w:val="00334032"/>
    <w:rsid w:val="003340F0"/>
    <w:rsid w:val="00334151"/>
    <w:rsid w:val="003341C4"/>
    <w:rsid w:val="0033423C"/>
    <w:rsid w:val="00334276"/>
    <w:rsid w:val="003344C6"/>
    <w:rsid w:val="003345F1"/>
    <w:rsid w:val="003347B6"/>
    <w:rsid w:val="00334863"/>
    <w:rsid w:val="00334BBD"/>
    <w:rsid w:val="00334DD0"/>
    <w:rsid w:val="00334DF5"/>
    <w:rsid w:val="00334DF8"/>
    <w:rsid w:val="0033509A"/>
    <w:rsid w:val="00335104"/>
    <w:rsid w:val="00335258"/>
    <w:rsid w:val="003352E4"/>
    <w:rsid w:val="0033530F"/>
    <w:rsid w:val="0033533E"/>
    <w:rsid w:val="003353C5"/>
    <w:rsid w:val="003354EA"/>
    <w:rsid w:val="003354EE"/>
    <w:rsid w:val="0033578A"/>
    <w:rsid w:val="00335887"/>
    <w:rsid w:val="00335B24"/>
    <w:rsid w:val="00335BBD"/>
    <w:rsid w:val="00336207"/>
    <w:rsid w:val="00336248"/>
    <w:rsid w:val="00336481"/>
    <w:rsid w:val="003364EE"/>
    <w:rsid w:val="003364F9"/>
    <w:rsid w:val="003367F0"/>
    <w:rsid w:val="003367FF"/>
    <w:rsid w:val="00336BF0"/>
    <w:rsid w:val="00336D23"/>
    <w:rsid w:val="00336D32"/>
    <w:rsid w:val="00336D5C"/>
    <w:rsid w:val="00336D87"/>
    <w:rsid w:val="00336DEC"/>
    <w:rsid w:val="003370EE"/>
    <w:rsid w:val="003373E1"/>
    <w:rsid w:val="003373E3"/>
    <w:rsid w:val="003376AA"/>
    <w:rsid w:val="00337791"/>
    <w:rsid w:val="003379DF"/>
    <w:rsid w:val="00337A16"/>
    <w:rsid w:val="00337DAE"/>
    <w:rsid w:val="00337DB0"/>
    <w:rsid w:val="00337E1A"/>
    <w:rsid w:val="00337E3A"/>
    <w:rsid w:val="00337EF0"/>
    <w:rsid w:val="00337FFB"/>
    <w:rsid w:val="00340083"/>
    <w:rsid w:val="00340111"/>
    <w:rsid w:val="00340183"/>
    <w:rsid w:val="003402BD"/>
    <w:rsid w:val="0034039D"/>
    <w:rsid w:val="00340413"/>
    <w:rsid w:val="00340462"/>
    <w:rsid w:val="00340922"/>
    <w:rsid w:val="00340B9A"/>
    <w:rsid w:val="00340D22"/>
    <w:rsid w:val="00340D8B"/>
    <w:rsid w:val="00340F55"/>
    <w:rsid w:val="00341008"/>
    <w:rsid w:val="0034109D"/>
    <w:rsid w:val="003411AC"/>
    <w:rsid w:val="00341230"/>
    <w:rsid w:val="00341242"/>
    <w:rsid w:val="003412B8"/>
    <w:rsid w:val="00341367"/>
    <w:rsid w:val="0034138A"/>
    <w:rsid w:val="00341464"/>
    <w:rsid w:val="003415AF"/>
    <w:rsid w:val="00341899"/>
    <w:rsid w:val="00341B2C"/>
    <w:rsid w:val="00341BA6"/>
    <w:rsid w:val="00341D59"/>
    <w:rsid w:val="00341D88"/>
    <w:rsid w:val="00341DD9"/>
    <w:rsid w:val="00341FB1"/>
    <w:rsid w:val="00342344"/>
    <w:rsid w:val="003423F2"/>
    <w:rsid w:val="00342450"/>
    <w:rsid w:val="003426B7"/>
    <w:rsid w:val="003427D4"/>
    <w:rsid w:val="003429FB"/>
    <w:rsid w:val="00342A3B"/>
    <w:rsid w:val="00342E06"/>
    <w:rsid w:val="00342E5B"/>
    <w:rsid w:val="0034303C"/>
    <w:rsid w:val="0034306A"/>
    <w:rsid w:val="0034311C"/>
    <w:rsid w:val="00343232"/>
    <w:rsid w:val="0034330C"/>
    <w:rsid w:val="00343397"/>
    <w:rsid w:val="003434F2"/>
    <w:rsid w:val="003436A4"/>
    <w:rsid w:val="00343719"/>
    <w:rsid w:val="0034391A"/>
    <w:rsid w:val="00343BB2"/>
    <w:rsid w:val="00343E41"/>
    <w:rsid w:val="00343E55"/>
    <w:rsid w:val="00343EA9"/>
    <w:rsid w:val="00344069"/>
    <w:rsid w:val="003443A2"/>
    <w:rsid w:val="003443A8"/>
    <w:rsid w:val="00344494"/>
    <w:rsid w:val="003444F7"/>
    <w:rsid w:val="0034453A"/>
    <w:rsid w:val="00344664"/>
    <w:rsid w:val="003446DD"/>
    <w:rsid w:val="0034484A"/>
    <w:rsid w:val="003448AA"/>
    <w:rsid w:val="003448E9"/>
    <w:rsid w:val="00344B34"/>
    <w:rsid w:val="00344BE2"/>
    <w:rsid w:val="00344ED5"/>
    <w:rsid w:val="00344ED6"/>
    <w:rsid w:val="00344FAC"/>
    <w:rsid w:val="003450C1"/>
    <w:rsid w:val="003453ED"/>
    <w:rsid w:val="003454F4"/>
    <w:rsid w:val="00345771"/>
    <w:rsid w:val="00345B13"/>
    <w:rsid w:val="00345B21"/>
    <w:rsid w:val="00345CA2"/>
    <w:rsid w:val="00345CC9"/>
    <w:rsid w:val="00345E27"/>
    <w:rsid w:val="00345E47"/>
    <w:rsid w:val="003460A3"/>
    <w:rsid w:val="0034618C"/>
    <w:rsid w:val="003461E9"/>
    <w:rsid w:val="003462AB"/>
    <w:rsid w:val="00346411"/>
    <w:rsid w:val="0034654F"/>
    <w:rsid w:val="00346789"/>
    <w:rsid w:val="003467FF"/>
    <w:rsid w:val="003468D5"/>
    <w:rsid w:val="003468DE"/>
    <w:rsid w:val="0034696A"/>
    <w:rsid w:val="00346A11"/>
    <w:rsid w:val="00346B41"/>
    <w:rsid w:val="00346B42"/>
    <w:rsid w:val="00346B7C"/>
    <w:rsid w:val="00346D27"/>
    <w:rsid w:val="00346D91"/>
    <w:rsid w:val="00346E6A"/>
    <w:rsid w:val="0034700A"/>
    <w:rsid w:val="00347314"/>
    <w:rsid w:val="003474D0"/>
    <w:rsid w:val="003475E2"/>
    <w:rsid w:val="003475EC"/>
    <w:rsid w:val="0034760A"/>
    <w:rsid w:val="00347831"/>
    <w:rsid w:val="00347885"/>
    <w:rsid w:val="003478C5"/>
    <w:rsid w:val="0034792F"/>
    <w:rsid w:val="00347A04"/>
    <w:rsid w:val="00347ABF"/>
    <w:rsid w:val="00347B08"/>
    <w:rsid w:val="00347B43"/>
    <w:rsid w:val="00347CE3"/>
    <w:rsid w:val="00347EC1"/>
    <w:rsid w:val="003500B8"/>
    <w:rsid w:val="003500EE"/>
    <w:rsid w:val="0035019D"/>
    <w:rsid w:val="00350244"/>
    <w:rsid w:val="0035038D"/>
    <w:rsid w:val="00350401"/>
    <w:rsid w:val="003504A4"/>
    <w:rsid w:val="00350523"/>
    <w:rsid w:val="00350768"/>
    <w:rsid w:val="0035078A"/>
    <w:rsid w:val="003507E8"/>
    <w:rsid w:val="00350A5D"/>
    <w:rsid w:val="00350B53"/>
    <w:rsid w:val="00350B88"/>
    <w:rsid w:val="00350C16"/>
    <w:rsid w:val="00350C73"/>
    <w:rsid w:val="00350F79"/>
    <w:rsid w:val="00350FCE"/>
    <w:rsid w:val="00351027"/>
    <w:rsid w:val="00351190"/>
    <w:rsid w:val="00351225"/>
    <w:rsid w:val="003513BA"/>
    <w:rsid w:val="00351401"/>
    <w:rsid w:val="0035141D"/>
    <w:rsid w:val="00351580"/>
    <w:rsid w:val="00351751"/>
    <w:rsid w:val="00351B59"/>
    <w:rsid w:val="00351C08"/>
    <w:rsid w:val="00351C5C"/>
    <w:rsid w:val="00351CD6"/>
    <w:rsid w:val="00351DA3"/>
    <w:rsid w:val="00351FD3"/>
    <w:rsid w:val="0035206A"/>
    <w:rsid w:val="00352121"/>
    <w:rsid w:val="0035258D"/>
    <w:rsid w:val="00352648"/>
    <w:rsid w:val="0035279C"/>
    <w:rsid w:val="003528CD"/>
    <w:rsid w:val="0035290C"/>
    <w:rsid w:val="003529D5"/>
    <w:rsid w:val="00352C16"/>
    <w:rsid w:val="00352DB4"/>
    <w:rsid w:val="00353001"/>
    <w:rsid w:val="00353175"/>
    <w:rsid w:val="0035328B"/>
    <w:rsid w:val="003533FC"/>
    <w:rsid w:val="0035350D"/>
    <w:rsid w:val="003538A1"/>
    <w:rsid w:val="00353908"/>
    <w:rsid w:val="00353CF2"/>
    <w:rsid w:val="00353D2C"/>
    <w:rsid w:val="00353DA1"/>
    <w:rsid w:val="00353DCC"/>
    <w:rsid w:val="00353DCD"/>
    <w:rsid w:val="00354131"/>
    <w:rsid w:val="00354136"/>
    <w:rsid w:val="00354191"/>
    <w:rsid w:val="00354192"/>
    <w:rsid w:val="00354231"/>
    <w:rsid w:val="00354369"/>
    <w:rsid w:val="00354428"/>
    <w:rsid w:val="00354575"/>
    <w:rsid w:val="00354606"/>
    <w:rsid w:val="003547C6"/>
    <w:rsid w:val="00354BB5"/>
    <w:rsid w:val="00354DBD"/>
    <w:rsid w:val="003551A7"/>
    <w:rsid w:val="0035521A"/>
    <w:rsid w:val="0035523A"/>
    <w:rsid w:val="00355538"/>
    <w:rsid w:val="0035553A"/>
    <w:rsid w:val="00355554"/>
    <w:rsid w:val="0035555B"/>
    <w:rsid w:val="0035566D"/>
    <w:rsid w:val="00355935"/>
    <w:rsid w:val="00355AB2"/>
    <w:rsid w:val="00355CE5"/>
    <w:rsid w:val="00355F61"/>
    <w:rsid w:val="00355F62"/>
    <w:rsid w:val="00356032"/>
    <w:rsid w:val="0035623B"/>
    <w:rsid w:val="003562AE"/>
    <w:rsid w:val="00356571"/>
    <w:rsid w:val="00356699"/>
    <w:rsid w:val="0035676F"/>
    <w:rsid w:val="00356C53"/>
    <w:rsid w:val="00356C81"/>
    <w:rsid w:val="00356CA5"/>
    <w:rsid w:val="00356CA9"/>
    <w:rsid w:val="00356CEE"/>
    <w:rsid w:val="00356D41"/>
    <w:rsid w:val="00356D88"/>
    <w:rsid w:val="00356E9E"/>
    <w:rsid w:val="00356EC1"/>
    <w:rsid w:val="00356ECB"/>
    <w:rsid w:val="00356F29"/>
    <w:rsid w:val="00356FD2"/>
    <w:rsid w:val="003571AA"/>
    <w:rsid w:val="00357211"/>
    <w:rsid w:val="0035728F"/>
    <w:rsid w:val="003573F0"/>
    <w:rsid w:val="00357527"/>
    <w:rsid w:val="003575C5"/>
    <w:rsid w:val="003575C7"/>
    <w:rsid w:val="00357674"/>
    <w:rsid w:val="003579F5"/>
    <w:rsid w:val="00357A17"/>
    <w:rsid w:val="00357B04"/>
    <w:rsid w:val="00357B65"/>
    <w:rsid w:val="00357C0B"/>
    <w:rsid w:val="00357C56"/>
    <w:rsid w:val="00357DEA"/>
    <w:rsid w:val="00360098"/>
    <w:rsid w:val="003600CA"/>
    <w:rsid w:val="00360186"/>
    <w:rsid w:val="00360398"/>
    <w:rsid w:val="003603C5"/>
    <w:rsid w:val="003605FF"/>
    <w:rsid w:val="00360AB8"/>
    <w:rsid w:val="00360ADD"/>
    <w:rsid w:val="00360C33"/>
    <w:rsid w:val="00360E85"/>
    <w:rsid w:val="00361276"/>
    <w:rsid w:val="00361493"/>
    <w:rsid w:val="003619B3"/>
    <w:rsid w:val="00361A95"/>
    <w:rsid w:val="00361ADA"/>
    <w:rsid w:val="00361B2D"/>
    <w:rsid w:val="00361D44"/>
    <w:rsid w:val="00361D7B"/>
    <w:rsid w:val="00361E31"/>
    <w:rsid w:val="00361FC0"/>
    <w:rsid w:val="003621A2"/>
    <w:rsid w:val="003621A5"/>
    <w:rsid w:val="0036248C"/>
    <w:rsid w:val="0036296D"/>
    <w:rsid w:val="0036298B"/>
    <w:rsid w:val="00362A11"/>
    <w:rsid w:val="00362A2E"/>
    <w:rsid w:val="00362CDB"/>
    <w:rsid w:val="00362CE6"/>
    <w:rsid w:val="00362EA9"/>
    <w:rsid w:val="00362EDF"/>
    <w:rsid w:val="00363443"/>
    <w:rsid w:val="003637B1"/>
    <w:rsid w:val="003637B7"/>
    <w:rsid w:val="003637C0"/>
    <w:rsid w:val="003637E0"/>
    <w:rsid w:val="003638F9"/>
    <w:rsid w:val="00363A77"/>
    <w:rsid w:val="00363ACA"/>
    <w:rsid w:val="00363B05"/>
    <w:rsid w:val="00363BD0"/>
    <w:rsid w:val="00363BEA"/>
    <w:rsid w:val="00363C34"/>
    <w:rsid w:val="003641C9"/>
    <w:rsid w:val="0036424F"/>
    <w:rsid w:val="00364304"/>
    <w:rsid w:val="0036447D"/>
    <w:rsid w:val="003644BE"/>
    <w:rsid w:val="00364608"/>
    <w:rsid w:val="0036468B"/>
    <w:rsid w:val="00364849"/>
    <w:rsid w:val="00364886"/>
    <w:rsid w:val="003648AE"/>
    <w:rsid w:val="00364926"/>
    <w:rsid w:val="00364969"/>
    <w:rsid w:val="00365087"/>
    <w:rsid w:val="0036518A"/>
    <w:rsid w:val="003655CC"/>
    <w:rsid w:val="0036568B"/>
    <w:rsid w:val="00365817"/>
    <w:rsid w:val="00365975"/>
    <w:rsid w:val="00365A81"/>
    <w:rsid w:val="00365B09"/>
    <w:rsid w:val="00365C35"/>
    <w:rsid w:val="00365D18"/>
    <w:rsid w:val="00365D70"/>
    <w:rsid w:val="00365E29"/>
    <w:rsid w:val="00365F02"/>
    <w:rsid w:val="00365F34"/>
    <w:rsid w:val="00365F38"/>
    <w:rsid w:val="0036606B"/>
    <w:rsid w:val="0036622B"/>
    <w:rsid w:val="003663F3"/>
    <w:rsid w:val="003664C9"/>
    <w:rsid w:val="003665D7"/>
    <w:rsid w:val="003665FB"/>
    <w:rsid w:val="0036682F"/>
    <w:rsid w:val="00366A15"/>
    <w:rsid w:val="00366D65"/>
    <w:rsid w:val="00366E08"/>
    <w:rsid w:val="00366ED9"/>
    <w:rsid w:val="003670F6"/>
    <w:rsid w:val="003670FD"/>
    <w:rsid w:val="003671CF"/>
    <w:rsid w:val="00367440"/>
    <w:rsid w:val="0036756A"/>
    <w:rsid w:val="003675D6"/>
    <w:rsid w:val="00367698"/>
    <w:rsid w:val="0036790F"/>
    <w:rsid w:val="003679A9"/>
    <w:rsid w:val="00367A87"/>
    <w:rsid w:val="00367BDB"/>
    <w:rsid w:val="00367BDC"/>
    <w:rsid w:val="00370132"/>
    <w:rsid w:val="0037014D"/>
    <w:rsid w:val="003702F8"/>
    <w:rsid w:val="00370304"/>
    <w:rsid w:val="0037036D"/>
    <w:rsid w:val="00370523"/>
    <w:rsid w:val="00370531"/>
    <w:rsid w:val="0037054D"/>
    <w:rsid w:val="003705D4"/>
    <w:rsid w:val="003706C9"/>
    <w:rsid w:val="00370734"/>
    <w:rsid w:val="003707E6"/>
    <w:rsid w:val="003707FA"/>
    <w:rsid w:val="00370A40"/>
    <w:rsid w:val="00370C12"/>
    <w:rsid w:val="00370D1A"/>
    <w:rsid w:val="00370DF7"/>
    <w:rsid w:val="00370F3B"/>
    <w:rsid w:val="00371266"/>
    <w:rsid w:val="003715D6"/>
    <w:rsid w:val="0037166D"/>
    <w:rsid w:val="00371A70"/>
    <w:rsid w:val="00371B22"/>
    <w:rsid w:val="00371BB6"/>
    <w:rsid w:val="00371DBB"/>
    <w:rsid w:val="003721B4"/>
    <w:rsid w:val="0037220F"/>
    <w:rsid w:val="003723D4"/>
    <w:rsid w:val="003724C5"/>
    <w:rsid w:val="0037255F"/>
    <w:rsid w:val="0037258B"/>
    <w:rsid w:val="0037269A"/>
    <w:rsid w:val="0037279C"/>
    <w:rsid w:val="00372808"/>
    <w:rsid w:val="0037296B"/>
    <w:rsid w:val="003729B6"/>
    <w:rsid w:val="00372A06"/>
    <w:rsid w:val="00372CCC"/>
    <w:rsid w:val="00372FE8"/>
    <w:rsid w:val="0037301B"/>
    <w:rsid w:val="00373061"/>
    <w:rsid w:val="00373125"/>
    <w:rsid w:val="00373268"/>
    <w:rsid w:val="0037332A"/>
    <w:rsid w:val="003733CC"/>
    <w:rsid w:val="003734F0"/>
    <w:rsid w:val="00373966"/>
    <w:rsid w:val="00373BFA"/>
    <w:rsid w:val="00373E59"/>
    <w:rsid w:val="00373F6F"/>
    <w:rsid w:val="00373F85"/>
    <w:rsid w:val="00374200"/>
    <w:rsid w:val="00374314"/>
    <w:rsid w:val="00374532"/>
    <w:rsid w:val="0037467B"/>
    <w:rsid w:val="00374869"/>
    <w:rsid w:val="003748E2"/>
    <w:rsid w:val="00374941"/>
    <w:rsid w:val="003749B1"/>
    <w:rsid w:val="00374AC0"/>
    <w:rsid w:val="00374AC9"/>
    <w:rsid w:val="00374B27"/>
    <w:rsid w:val="00374CAF"/>
    <w:rsid w:val="00374DFE"/>
    <w:rsid w:val="00374FCA"/>
    <w:rsid w:val="00374FD3"/>
    <w:rsid w:val="003752A5"/>
    <w:rsid w:val="00375354"/>
    <w:rsid w:val="00375361"/>
    <w:rsid w:val="003753C0"/>
    <w:rsid w:val="0037548D"/>
    <w:rsid w:val="00375570"/>
    <w:rsid w:val="0037568B"/>
    <w:rsid w:val="00375824"/>
    <w:rsid w:val="00375871"/>
    <w:rsid w:val="003758A6"/>
    <w:rsid w:val="00375A3E"/>
    <w:rsid w:val="00375B41"/>
    <w:rsid w:val="00375C23"/>
    <w:rsid w:val="00375CC0"/>
    <w:rsid w:val="00375D67"/>
    <w:rsid w:val="00375E68"/>
    <w:rsid w:val="00375F2D"/>
    <w:rsid w:val="00375FCC"/>
    <w:rsid w:val="00376154"/>
    <w:rsid w:val="00376258"/>
    <w:rsid w:val="003762B1"/>
    <w:rsid w:val="00376390"/>
    <w:rsid w:val="00376391"/>
    <w:rsid w:val="00376596"/>
    <w:rsid w:val="00376709"/>
    <w:rsid w:val="00376887"/>
    <w:rsid w:val="00376D47"/>
    <w:rsid w:val="00376E8E"/>
    <w:rsid w:val="00376F2F"/>
    <w:rsid w:val="00377291"/>
    <w:rsid w:val="003772BC"/>
    <w:rsid w:val="00377580"/>
    <w:rsid w:val="0037769F"/>
    <w:rsid w:val="00377838"/>
    <w:rsid w:val="00377B69"/>
    <w:rsid w:val="00377D0D"/>
    <w:rsid w:val="00377E36"/>
    <w:rsid w:val="00377EE8"/>
    <w:rsid w:val="00377F8E"/>
    <w:rsid w:val="00377FB2"/>
    <w:rsid w:val="00380067"/>
    <w:rsid w:val="003800AB"/>
    <w:rsid w:val="003803B4"/>
    <w:rsid w:val="0038045E"/>
    <w:rsid w:val="003805CE"/>
    <w:rsid w:val="003805D2"/>
    <w:rsid w:val="003805FC"/>
    <w:rsid w:val="003807CD"/>
    <w:rsid w:val="00380ABE"/>
    <w:rsid w:val="00380C02"/>
    <w:rsid w:val="00380C7A"/>
    <w:rsid w:val="00380D5D"/>
    <w:rsid w:val="00380E71"/>
    <w:rsid w:val="003810F1"/>
    <w:rsid w:val="00381185"/>
    <w:rsid w:val="00381331"/>
    <w:rsid w:val="0038136E"/>
    <w:rsid w:val="00381532"/>
    <w:rsid w:val="003816FC"/>
    <w:rsid w:val="00381760"/>
    <w:rsid w:val="003819A2"/>
    <w:rsid w:val="003819B5"/>
    <w:rsid w:val="00381D70"/>
    <w:rsid w:val="00381DBD"/>
    <w:rsid w:val="00381EEC"/>
    <w:rsid w:val="00381F79"/>
    <w:rsid w:val="0038219F"/>
    <w:rsid w:val="00382613"/>
    <w:rsid w:val="0038261C"/>
    <w:rsid w:val="003827FA"/>
    <w:rsid w:val="00382871"/>
    <w:rsid w:val="003828AE"/>
    <w:rsid w:val="003829ED"/>
    <w:rsid w:val="003829F6"/>
    <w:rsid w:val="00382A17"/>
    <w:rsid w:val="00382A5A"/>
    <w:rsid w:val="00382C3B"/>
    <w:rsid w:val="00382DE4"/>
    <w:rsid w:val="00382F8F"/>
    <w:rsid w:val="00382FD1"/>
    <w:rsid w:val="00382FE3"/>
    <w:rsid w:val="00382FE4"/>
    <w:rsid w:val="00383059"/>
    <w:rsid w:val="00383114"/>
    <w:rsid w:val="0038311C"/>
    <w:rsid w:val="003831E0"/>
    <w:rsid w:val="0038321C"/>
    <w:rsid w:val="003832AF"/>
    <w:rsid w:val="003833A1"/>
    <w:rsid w:val="003836D1"/>
    <w:rsid w:val="003837D5"/>
    <w:rsid w:val="00383AD0"/>
    <w:rsid w:val="00383AFF"/>
    <w:rsid w:val="00383CD9"/>
    <w:rsid w:val="00383D43"/>
    <w:rsid w:val="00383DA1"/>
    <w:rsid w:val="00383DD1"/>
    <w:rsid w:val="00383E33"/>
    <w:rsid w:val="0038402F"/>
    <w:rsid w:val="003840AA"/>
    <w:rsid w:val="003840AD"/>
    <w:rsid w:val="00384301"/>
    <w:rsid w:val="0038441B"/>
    <w:rsid w:val="00384537"/>
    <w:rsid w:val="00384568"/>
    <w:rsid w:val="003846F6"/>
    <w:rsid w:val="003848EE"/>
    <w:rsid w:val="003849B6"/>
    <w:rsid w:val="00384DCF"/>
    <w:rsid w:val="00384FC4"/>
    <w:rsid w:val="00385016"/>
    <w:rsid w:val="00385199"/>
    <w:rsid w:val="003853A0"/>
    <w:rsid w:val="003855EC"/>
    <w:rsid w:val="003856E3"/>
    <w:rsid w:val="0038574E"/>
    <w:rsid w:val="00385861"/>
    <w:rsid w:val="00385B04"/>
    <w:rsid w:val="00385B0F"/>
    <w:rsid w:val="00385D0E"/>
    <w:rsid w:val="00385D6D"/>
    <w:rsid w:val="00386056"/>
    <w:rsid w:val="003860BE"/>
    <w:rsid w:val="00386247"/>
    <w:rsid w:val="00386426"/>
    <w:rsid w:val="003864EB"/>
    <w:rsid w:val="003864F5"/>
    <w:rsid w:val="003865A5"/>
    <w:rsid w:val="003865AA"/>
    <w:rsid w:val="00386600"/>
    <w:rsid w:val="0038670A"/>
    <w:rsid w:val="0038692A"/>
    <w:rsid w:val="00386956"/>
    <w:rsid w:val="00386DF9"/>
    <w:rsid w:val="00386EAF"/>
    <w:rsid w:val="00386F20"/>
    <w:rsid w:val="00386FDF"/>
    <w:rsid w:val="00386FE5"/>
    <w:rsid w:val="00387132"/>
    <w:rsid w:val="00387215"/>
    <w:rsid w:val="00387230"/>
    <w:rsid w:val="00387282"/>
    <w:rsid w:val="003875C5"/>
    <w:rsid w:val="00387671"/>
    <w:rsid w:val="00387739"/>
    <w:rsid w:val="00387765"/>
    <w:rsid w:val="0038790C"/>
    <w:rsid w:val="00387980"/>
    <w:rsid w:val="00387AAF"/>
    <w:rsid w:val="00387C36"/>
    <w:rsid w:val="00387C44"/>
    <w:rsid w:val="00387C53"/>
    <w:rsid w:val="00387D04"/>
    <w:rsid w:val="00387D93"/>
    <w:rsid w:val="0039003D"/>
    <w:rsid w:val="00390332"/>
    <w:rsid w:val="0039042E"/>
    <w:rsid w:val="0039048E"/>
    <w:rsid w:val="003905F8"/>
    <w:rsid w:val="00390899"/>
    <w:rsid w:val="00390965"/>
    <w:rsid w:val="003909E9"/>
    <w:rsid w:val="00390ADD"/>
    <w:rsid w:val="00390C1A"/>
    <w:rsid w:val="00390CC8"/>
    <w:rsid w:val="00390DD7"/>
    <w:rsid w:val="00390F11"/>
    <w:rsid w:val="00391215"/>
    <w:rsid w:val="00391232"/>
    <w:rsid w:val="0039128C"/>
    <w:rsid w:val="00391311"/>
    <w:rsid w:val="0039136C"/>
    <w:rsid w:val="00391395"/>
    <w:rsid w:val="003913E5"/>
    <w:rsid w:val="0039188B"/>
    <w:rsid w:val="003918F3"/>
    <w:rsid w:val="0039191C"/>
    <w:rsid w:val="0039193F"/>
    <w:rsid w:val="00391AE0"/>
    <w:rsid w:val="00391E55"/>
    <w:rsid w:val="00392031"/>
    <w:rsid w:val="00392034"/>
    <w:rsid w:val="0039221E"/>
    <w:rsid w:val="003922DA"/>
    <w:rsid w:val="0039238E"/>
    <w:rsid w:val="00392750"/>
    <w:rsid w:val="003927EE"/>
    <w:rsid w:val="00392A47"/>
    <w:rsid w:val="00392A4D"/>
    <w:rsid w:val="00392A9B"/>
    <w:rsid w:val="00392C83"/>
    <w:rsid w:val="00392C92"/>
    <w:rsid w:val="00392DF2"/>
    <w:rsid w:val="00392EAC"/>
    <w:rsid w:val="00392ED1"/>
    <w:rsid w:val="00392EE5"/>
    <w:rsid w:val="00392FE7"/>
    <w:rsid w:val="003930F9"/>
    <w:rsid w:val="00393109"/>
    <w:rsid w:val="00393131"/>
    <w:rsid w:val="00393275"/>
    <w:rsid w:val="00393493"/>
    <w:rsid w:val="00393680"/>
    <w:rsid w:val="00393813"/>
    <w:rsid w:val="00393824"/>
    <w:rsid w:val="00393BCC"/>
    <w:rsid w:val="00393D58"/>
    <w:rsid w:val="00393DCD"/>
    <w:rsid w:val="00393E26"/>
    <w:rsid w:val="00393FD5"/>
    <w:rsid w:val="00393FEF"/>
    <w:rsid w:val="00394109"/>
    <w:rsid w:val="0039464D"/>
    <w:rsid w:val="00394732"/>
    <w:rsid w:val="0039473C"/>
    <w:rsid w:val="0039478A"/>
    <w:rsid w:val="003949E2"/>
    <w:rsid w:val="00394B46"/>
    <w:rsid w:val="00394C45"/>
    <w:rsid w:val="00394F69"/>
    <w:rsid w:val="00395078"/>
    <w:rsid w:val="00395119"/>
    <w:rsid w:val="00395164"/>
    <w:rsid w:val="003951EF"/>
    <w:rsid w:val="00395282"/>
    <w:rsid w:val="00395328"/>
    <w:rsid w:val="003953C1"/>
    <w:rsid w:val="0039557E"/>
    <w:rsid w:val="003955F6"/>
    <w:rsid w:val="0039574F"/>
    <w:rsid w:val="003959DD"/>
    <w:rsid w:val="00395C56"/>
    <w:rsid w:val="00395CD5"/>
    <w:rsid w:val="00395F5C"/>
    <w:rsid w:val="00395F91"/>
    <w:rsid w:val="00395FE8"/>
    <w:rsid w:val="00396726"/>
    <w:rsid w:val="00396905"/>
    <w:rsid w:val="003969BE"/>
    <w:rsid w:val="003969F9"/>
    <w:rsid w:val="00396CF4"/>
    <w:rsid w:val="00396D06"/>
    <w:rsid w:val="00397072"/>
    <w:rsid w:val="00397168"/>
    <w:rsid w:val="00397336"/>
    <w:rsid w:val="00397497"/>
    <w:rsid w:val="003974F5"/>
    <w:rsid w:val="003975E4"/>
    <w:rsid w:val="00397748"/>
    <w:rsid w:val="0039788E"/>
    <w:rsid w:val="003978BE"/>
    <w:rsid w:val="003979D3"/>
    <w:rsid w:val="00397CC1"/>
    <w:rsid w:val="00397D20"/>
    <w:rsid w:val="00397E73"/>
    <w:rsid w:val="00397E96"/>
    <w:rsid w:val="00397EAE"/>
    <w:rsid w:val="00397F1C"/>
    <w:rsid w:val="003A013F"/>
    <w:rsid w:val="003A037D"/>
    <w:rsid w:val="003A049B"/>
    <w:rsid w:val="003A0860"/>
    <w:rsid w:val="003A0B93"/>
    <w:rsid w:val="003A0C6A"/>
    <w:rsid w:val="003A0D97"/>
    <w:rsid w:val="003A0DCA"/>
    <w:rsid w:val="003A0DCC"/>
    <w:rsid w:val="003A0F87"/>
    <w:rsid w:val="003A0FCD"/>
    <w:rsid w:val="003A10CB"/>
    <w:rsid w:val="003A10DE"/>
    <w:rsid w:val="003A1231"/>
    <w:rsid w:val="003A1288"/>
    <w:rsid w:val="003A16A1"/>
    <w:rsid w:val="003A16CB"/>
    <w:rsid w:val="003A16CD"/>
    <w:rsid w:val="003A1768"/>
    <w:rsid w:val="003A1C18"/>
    <w:rsid w:val="003A2290"/>
    <w:rsid w:val="003A24DD"/>
    <w:rsid w:val="003A27B9"/>
    <w:rsid w:val="003A2926"/>
    <w:rsid w:val="003A2A71"/>
    <w:rsid w:val="003A2B3A"/>
    <w:rsid w:val="003A2BDB"/>
    <w:rsid w:val="003A2F5B"/>
    <w:rsid w:val="003A310A"/>
    <w:rsid w:val="003A31E3"/>
    <w:rsid w:val="003A3535"/>
    <w:rsid w:val="003A37DA"/>
    <w:rsid w:val="003A38E5"/>
    <w:rsid w:val="003A3ACD"/>
    <w:rsid w:val="003A3AEE"/>
    <w:rsid w:val="003A3D91"/>
    <w:rsid w:val="003A3DFD"/>
    <w:rsid w:val="003A3E8A"/>
    <w:rsid w:val="003A3EB7"/>
    <w:rsid w:val="003A406E"/>
    <w:rsid w:val="003A4199"/>
    <w:rsid w:val="003A4306"/>
    <w:rsid w:val="003A43ED"/>
    <w:rsid w:val="003A458F"/>
    <w:rsid w:val="003A459E"/>
    <w:rsid w:val="003A46EA"/>
    <w:rsid w:val="003A4836"/>
    <w:rsid w:val="003A4924"/>
    <w:rsid w:val="003A4A1A"/>
    <w:rsid w:val="003A4A41"/>
    <w:rsid w:val="003A4DBC"/>
    <w:rsid w:val="003A4E49"/>
    <w:rsid w:val="003A4F96"/>
    <w:rsid w:val="003A507E"/>
    <w:rsid w:val="003A5099"/>
    <w:rsid w:val="003A5199"/>
    <w:rsid w:val="003A52BD"/>
    <w:rsid w:val="003A5505"/>
    <w:rsid w:val="003A56A7"/>
    <w:rsid w:val="003A56E4"/>
    <w:rsid w:val="003A587F"/>
    <w:rsid w:val="003A58C6"/>
    <w:rsid w:val="003A592A"/>
    <w:rsid w:val="003A5A85"/>
    <w:rsid w:val="003A5B09"/>
    <w:rsid w:val="003A5BEE"/>
    <w:rsid w:val="003A5E23"/>
    <w:rsid w:val="003A6070"/>
    <w:rsid w:val="003A6235"/>
    <w:rsid w:val="003A62C5"/>
    <w:rsid w:val="003A63AD"/>
    <w:rsid w:val="003A63CD"/>
    <w:rsid w:val="003A63F7"/>
    <w:rsid w:val="003A6486"/>
    <w:rsid w:val="003A66B1"/>
    <w:rsid w:val="003A6AFC"/>
    <w:rsid w:val="003A6E66"/>
    <w:rsid w:val="003A6EA7"/>
    <w:rsid w:val="003A6F8E"/>
    <w:rsid w:val="003A72E3"/>
    <w:rsid w:val="003A73C3"/>
    <w:rsid w:val="003A740F"/>
    <w:rsid w:val="003A758E"/>
    <w:rsid w:val="003A75D3"/>
    <w:rsid w:val="003A76B1"/>
    <w:rsid w:val="003A76C0"/>
    <w:rsid w:val="003A7B12"/>
    <w:rsid w:val="003A7BC5"/>
    <w:rsid w:val="003A7BE2"/>
    <w:rsid w:val="003A7CE5"/>
    <w:rsid w:val="003A7D92"/>
    <w:rsid w:val="003A7E52"/>
    <w:rsid w:val="003A7F56"/>
    <w:rsid w:val="003A7F9C"/>
    <w:rsid w:val="003B00A7"/>
    <w:rsid w:val="003B0149"/>
    <w:rsid w:val="003B0296"/>
    <w:rsid w:val="003B045A"/>
    <w:rsid w:val="003B0559"/>
    <w:rsid w:val="003B06E0"/>
    <w:rsid w:val="003B09BD"/>
    <w:rsid w:val="003B0C5A"/>
    <w:rsid w:val="003B0CC8"/>
    <w:rsid w:val="003B0D96"/>
    <w:rsid w:val="003B0DD8"/>
    <w:rsid w:val="003B0EC0"/>
    <w:rsid w:val="003B0EC5"/>
    <w:rsid w:val="003B1052"/>
    <w:rsid w:val="003B1397"/>
    <w:rsid w:val="003B13A8"/>
    <w:rsid w:val="003B141C"/>
    <w:rsid w:val="003B1488"/>
    <w:rsid w:val="003B16D1"/>
    <w:rsid w:val="003B1909"/>
    <w:rsid w:val="003B190C"/>
    <w:rsid w:val="003B1C7C"/>
    <w:rsid w:val="003B1D19"/>
    <w:rsid w:val="003B1EC0"/>
    <w:rsid w:val="003B2630"/>
    <w:rsid w:val="003B2701"/>
    <w:rsid w:val="003B2A06"/>
    <w:rsid w:val="003B2A91"/>
    <w:rsid w:val="003B2C22"/>
    <w:rsid w:val="003B2CA1"/>
    <w:rsid w:val="003B2D3E"/>
    <w:rsid w:val="003B2D6C"/>
    <w:rsid w:val="003B2E4E"/>
    <w:rsid w:val="003B2E8C"/>
    <w:rsid w:val="003B2ED4"/>
    <w:rsid w:val="003B2FF8"/>
    <w:rsid w:val="003B30FB"/>
    <w:rsid w:val="003B314C"/>
    <w:rsid w:val="003B329F"/>
    <w:rsid w:val="003B33D2"/>
    <w:rsid w:val="003B3496"/>
    <w:rsid w:val="003B35AC"/>
    <w:rsid w:val="003B3606"/>
    <w:rsid w:val="003B3787"/>
    <w:rsid w:val="003B37CF"/>
    <w:rsid w:val="003B38FA"/>
    <w:rsid w:val="003B395F"/>
    <w:rsid w:val="003B3A14"/>
    <w:rsid w:val="003B3B14"/>
    <w:rsid w:val="003B3BC7"/>
    <w:rsid w:val="003B3C7E"/>
    <w:rsid w:val="003B3CE8"/>
    <w:rsid w:val="003B4041"/>
    <w:rsid w:val="003B41E4"/>
    <w:rsid w:val="003B4277"/>
    <w:rsid w:val="003B4439"/>
    <w:rsid w:val="003B4492"/>
    <w:rsid w:val="003B45EC"/>
    <w:rsid w:val="003B4601"/>
    <w:rsid w:val="003B49C7"/>
    <w:rsid w:val="003B4A05"/>
    <w:rsid w:val="003B4A6C"/>
    <w:rsid w:val="003B4F8C"/>
    <w:rsid w:val="003B5024"/>
    <w:rsid w:val="003B5185"/>
    <w:rsid w:val="003B51F9"/>
    <w:rsid w:val="003B5207"/>
    <w:rsid w:val="003B5256"/>
    <w:rsid w:val="003B53F7"/>
    <w:rsid w:val="003B5606"/>
    <w:rsid w:val="003B5651"/>
    <w:rsid w:val="003B5688"/>
    <w:rsid w:val="003B5B6F"/>
    <w:rsid w:val="003B5B98"/>
    <w:rsid w:val="003B5C14"/>
    <w:rsid w:val="003B5DA4"/>
    <w:rsid w:val="003B5FC9"/>
    <w:rsid w:val="003B607A"/>
    <w:rsid w:val="003B612A"/>
    <w:rsid w:val="003B6178"/>
    <w:rsid w:val="003B61FA"/>
    <w:rsid w:val="003B6286"/>
    <w:rsid w:val="003B636D"/>
    <w:rsid w:val="003B6385"/>
    <w:rsid w:val="003B66FF"/>
    <w:rsid w:val="003B6A61"/>
    <w:rsid w:val="003B6A7F"/>
    <w:rsid w:val="003B6C33"/>
    <w:rsid w:val="003B6E26"/>
    <w:rsid w:val="003B6E4B"/>
    <w:rsid w:val="003B6EAD"/>
    <w:rsid w:val="003B6ED7"/>
    <w:rsid w:val="003B716A"/>
    <w:rsid w:val="003B734E"/>
    <w:rsid w:val="003B73A8"/>
    <w:rsid w:val="003B76A9"/>
    <w:rsid w:val="003B76C4"/>
    <w:rsid w:val="003B784B"/>
    <w:rsid w:val="003B78AC"/>
    <w:rsid w:val="003B7947"/>
    <w:rsid w:val="003B7AC5"/>
    <w:rsid w:val="003B7B7C"/>
    <w:rsid w:val="003B7CE0"/>
    <w:rsid w:val="003B7CF1"/>
    <w:rsid w:val="003B7DFF"/>
    <w:rsid w:val="003B7F0E"/>
    <w:rsid w:val="003C00DF"/>
    <w:rsid w:val="003C0271"/>
    <w:rsid w:val="003C03B8"/>
    <w:rsid w:val="003C05AF"/>
    <w:rsid w:val="003C0657"/>
    <w:rsid w:val="003C081B"/>
    <w:rsid w:val="003C08A2"/>
    <w:rsid w:val="003C08BA"/>
    <w:rsid w:val="003C0AF4"/>
    <w:rsid w:val="003C0B05"/>
    <w:rsid w:val="003C0B23"/>
    <w:rsid w:val="003C0C3D"/>
    <w:rsid w:val="003C0C74"/>
    <w:rsid w:val="003C0C82"/>
    <w:rsid w:val="003C0D76"/>
    <w:rsid w:val="003C1047"/>
    <w:rsid w:val="003C113C"/>
    <w:rsid w:val="003C11E4"/>
    <w:rsid w:val="003C15D0"/>
    <w:rsid w:val="003C174C"/>
    <w:rsid w:val="003C17AB"/>
    <w:rsid w:val="003C187D"/>
    <w:rsid w:val="003C1911"/>
    <w:rsid w:val="003C19B3"/>
    <w:rsid w:val="003C1B24"/>
    <w:rsid w:val="003C1B3D"/>
    <w:rsid w:val="003C1D23"/>
    <w:rsid w:val="003C1E2A"/>
    <w:rsid w:val="003C1F54"/>
    <w:rsid w:val="003C231E"/>
    <w:rsid w:val="003C23BE"/>
    <w:rsid w:val="003C2432"/>
    <w:rsid w:val="003C2451"/>
    <w:rsid w:val="003C2465"/>
    <w:rsid w:val="003C2537"/>
    <w:rsid w:val="003C26F0"/>
    <w:rsid w:val="003C297A"/>
    <w:rsid w:val="003C299A"/>
    <w:rsid w:val="003C2A86"/>
    <w:rsid w:val="003C2AE7"/>
    <w:rsid w:val="003C2CB7"/>
    <w:rsid w:val="003C2D18"/>
    <w:rsid w:val="003C2DB8"/>
    <w:rsid w:val="003C2E44"/>
    <w:rsid w:val="003C2F63"/>
    <w:rsid w:val="003C306C"/>
    <w:rsid w:val="003C307E"/>
    <w:rsid w:val="003C31BD"/>
    <w:rsid w:val="003C322D"/>
    <w:rsid w:val="003C33CE"/>
    <w:rsid w:val="003C34E8"/>
    <w:rsid w:val="003C3622"/>
    <w:rsid w:val="003C368B"/>
    <w:rsid w:val="003C3711"/>
    <w:rsid w:val="003C37E2"/>
    <w:rsid w:val="003C3B57"/>
    <w:rsid w:val="003C3BCB"/>
    <w:rsid w:val="003C3C58"/>
    <w:rsid w:val="003C3D33"/>
    <w:rsid w:val="003C3DB3"/>
    <w:rsid w:val="003C3E1C"/>
    <w:rsid w:val="003C3EA1"/>
    <w:rsid w:val="003C3F7C"/>
    <w:rsid w:val="003C3F9A"/>
    <w:rsid w:val="003C443D"/>
    <w:rsid w:val="003C4672"/>
    <w:rsid w:val="003C47A6"/>
    <w:rsid w:val="003C47DE"/>
    <w:rsid w:val="003C47FB"/>
    <w:rsid w:val="003C4862"/>
    <w:rsid w:val="003C4870"/>
    <w:rsid w:val="003C48FB"/>
    <w:rsid w:val="003C49C5"/>
    <w:rsid w:val="003C4A22"/>
    <w:rsid w:val="003C4C27"/>
    <w:rsid w:val="003C4C63"/>
    <w:rsid w:val="003C4D05"/>
    <w:rsid w:val="003C4D68"/>
    <w:rsid w:val="003C4F32"/>
    <w:rsid w:val="003C5032"/>
    <w:rsid w:val="003C5150"/>
    <w:rsid w:val="003C51C9"/>
    <w:rsid w:val="003C52DA"/>
    <w:rsid w:val="003C53CD"/>
    <w:rsid w:val="003C5403"/>
    <w:rsid w:val="003C544E"/>
    <w:rsid w:val="003C5621"/>
    <w:rsid w:val="003C5849"/>
    <w:rsid w:val="003C58AE"/>
    <w:rsid w:val="003C58E0"/>
    <w:rsid w:val="003C595B"/>
    <w:rsid w:val="003C59EE"/>
    <w:rsid w:val="003C5A4F"/>
    <w:rsid w:val="003C5C62"/>
    <w:rsid w:val="003C5CB7"/>
    <w:rsid w:val="003C5D06"/>
    <w:rsid w:val="003C5DC9"/>
    <w:rsid w:val="003C6084"/>
    <w:rsid w:val="003C612A"/>
    <w:rsid w:val="003C6249"/>
    <w:rsid w:val="003C636E"/>
    <w:rsid w:val="003C63F6"/>
    <w:rsid w:val="003C64EF"/>
    <w:rsid w:val="003C662B"/>
    <w:rsid w:val="003C68CE"/>
    <w:rsid w:val="003C68F8"/>
    <w:rsid w:val="003C6A15"/>
    <w:rsid w:val="003C6A7D"/>
    <w:rsid w:val="003C6D82"/>
    <w:rsid w:val="003C6EC9"/>
    <w:rsid w:val="003C6F6F"/>
    <w:rsid w:val="003C6F98"/>
    <w:rsid w:val="003C7050"/>
    <w:rsid w:val="003C740B"/>
    <w:rsid w:val="003C743E"/>
    <w:rsid w:val="003C7632"/>
    <w:rsid w:val="003C77EA"/>
    <w:rsid w:val="003C7A3A"/>
    <w:rsid w:val="003C7B93"/>
    <w:rsid w:val="003C7C3B"/>
    <w:rsid w:val="003C7C79"/>
    <w:rsid w:val="003C7CE7"/>
    <w:rsid w:val="003C7D1C"/>
    <w:rsid w:val="003C7D32"/>
    <w:rsid w:val="003C7D4D"/>
    <w:rsid w:val="003D0125"/>
    <w:rsid w:val="003D024D"/>
    <w:rsid w:val="003D07DA"/>
    <w:rsid w:val="003D07F1"/>
    <w:rsid w:val="003D08E2"/>
    <w:rsid w:val="003D0936"/>
    <w:rsid w:val="003D097E"/>
    <w:rsid w:val="003D0A57"/>
    <w:rsid w:val="003D0AFD"/>
    <w:rsid w:val="003D0C9B"/>
    <w:rsid w:val="003D0CC9"/>
    <w:rsid w:val="003D0D99"/>
    <w:rsid w:val="003D0DF0"/>
    <w:rsid w:val="003D0E67"/>
    <w:rsid w:val="003D1024"/>
    <w:rsid w:val="003D1059"/>
    <w:rsid w:val="003D10BD"/>
    <w:rsid w:val="003D10CA"/>
    <w:rsid w:val="003D1147"/>
    <w:rsid w:val="003D142E"/>
    <w:rsid w:val="003D1754"/>
    <w:rsid w:val="003D193F"/>
    <w:rsid w:val="003D1B8B"/>
    <w:rsid w:val="003D1D7D"/>
    <w:rsid w:val="003D1DB5"/>
    <w:rsid w:val="003D1F63"/>
    <w:rsid w:val="003D22B6"/>
    <w:rsid w:val="003D22CF"/>
    <w:rsid w:val="003D23E3"/>
    <w:rsid w:val="003D24AD"/>
    <w:rsid w:val="003D25B1"/>
    <w:rsid w:val="003D271D"/>
    <w:rsid w:val="003D29CF"/>
    <w:rsid w:val="003D29FC"/>
    <w:rsid w:val="003D2A3C"/>
    <w:rsid w:val="003D2B3A"/>
    <w:rsid w:val="003D2BD9"/>
    <w:rsid w:val="003D2D93"/>
    <w:rsid w:val="003D2F9E"/>
    <w:rsid w:val="003D3136"/>
    <w:rsid w:val="003D3193"/>
    <w:rsid w:val="003D321F"/>
    <w:rsid w:val="003D3225"/>
    <w:rsid w:val="003D33D8"/>
    <w:rsid w:val="003D347A"/>
    <w:rsid w:val="003D3718"/>
    <w:rsid w:val="003D3823"/>
    <w:rsid w:val="003D3877"/>
    <w:rsid w:val="003D388B"/>
    <w:rsid w:val="003D3B35"/>
    <w:rsid w:val="003D3B84"/>
    <w:rsid w:val="003D3BD2"/>
    <w:rsid w:val="003D3CD8"/>
    <w:rsid w:val="003D3E9F"/>
    <w:rsid w:val="003D3FE1"/>
    <w:rsid w:val="003D4075"/>
    <w:rsid w:val="003D4194"/>
    <w:rsid w:val="003D428A"/>
    <w:rsid w:val="003D430F"/>
    <w:rsid w:val="003D43A6"/>
    <w:rsid w:val="003D43DE"/>
    <w:rsid w:val="003D4498"/>
    <w:rsid w:val="003D482C"/>
    <w:rsid w:val="003D4886"/>
    <w:rsid w:val="003D4A2F"/>
    <w:rsid w:val="003D4A6B"/>
    <w:rsid w:val="003D4B9D"/>
    <w:rsid w:val="003D4CD1"/>
    <w:rsid w:val="003D4CE2"/>
    <w:rsid w:val="003D4D59"/>
    <w:rsid w:val="003D5110"/>
    <w:rsid w:val="003D549B"/>
    <w:rsid w:val="003D55A0"/>
    <w:rsid w:val="003D55C7"/>
    <w:rsid w:val="003D57AF"/>
    <w:rsid w:val="003D5A82"/>
    <w:rsid w:val="003D5B9B"/>
    <w:rsid w:val="003D5D5F"/>
    <w:rsid w:val="003D609B"/>
    <w:rsid w:val="003D6291"/>
    <w:rsid w:val="003D6341"/>
    <w:rsid w:val="003D63A0"/>
    <w:rsid w:val="003D6406"/>
    <w:rsid w:val="003D65FF"/>
    <w:rsid w:val="003D662C"/>
    <w:rsid w:val="003D6736"/>
    <w:rsid w:val="003D697A"/>
    <w:rsid w:val="003D6A30"/>
    <w:rsid w:val="003D6DC5"/>
    <w:rsid w:val="003D704E"/>
    <w:rsid w:val="003D70C4"/>
    <w:rsid w:val="003D714C"/>
    <w:rsid w:val="003D7533"/>
    <w:rsid w:val="003D75D2"/>
    <w:rsid w:val="003D7633"/>
    <w:rsid w:val="003D7710"/>
    <w:rsid w:val="003D79E3"/>
    <w:rsid w:val="003D7A42"/>
    <w:rsid w:val="003D7A68"/>
    <w:rsid w:val="003D7B29"/>
    <w:rsid w:val="003D7D47"/>
    <w:rsid w:val="003D7D5D"/>
    <w:rsid w:val="003D7D8D"/>
    <w:rsid w:val="003D7F17"/>
    <w:rsid w:val="003E00AE"/>
    <w:rsid w:val="003E0204"/>
    <w:rsid w:val="003E024D"/>
    <w:rsid w:val="003E04A6"/>
    <w:rsid w:val="003E04FB"/>
    <w:rsid w:val="003E08EC"/>
    <w:rsid w:val="003E08EE"/>
    <w:rsid w:val="003E0918"/>
    <w:rsid w:val="003E0A1A"/>
    <w:rsid w:val="003E0A53"/>
    <w:rsid w:val="003E0BA4"/>
    <w:rsid w:val="003E0D0E"/>
    <w:rsid w:val="003E0D11"/>
    <w:rsid w:val="003E0E1A"/>
    <w:rsid w:val="003E1165"/>
    <w:rsid w:val="003E11F0"/>
    <w:rsid w:val="003E1362"/>
    <w:rsid w:val="003E14F2"/>
    <w:rsid w:val="003E152E"/>
    <w:rsid w:val="003E16A3"/>
    <w:rsid w:val="003E16D3"/>
    <w:rsid w:val="003E1786"/>
    <w:rsid w:val="003E1800"/>
    <w:rsid w:val="003E18C9"/>
    <w:rsid w:val="003E197C"/>
    <w:rsid w:val="003E19C6"/>
    <w:rsid w:val="003E1B01"/>
    <w:rsid w:val="003E1B3D"/>
    <w:rsid w:val="003E1B4F"/>
    <w:rsid w:val="003E1C8B"/>
    <w:rsid w:val="003E1EBF"/>
    <w:rsid w:val="003E1FED"/>
    <w:rsid w:val="003E2026"/>
    <w:rsid w:val="003E20EB"/>
    <w:rsid w:val="003E2145"/>
    <w:rsid w:val="003E22EC"/>
    <w:rsid w:val="003E24DF"/>
    <w:rsid w:val="003E263D"/>
    <w:rsid w:val="003E27C0"/>
    <w:rsid w:val="003E2ACC"/>
    <w:rsid w:val="003E305B"/>
    <w:rsid w:val="003E3170"/>
    <w:rsid w:val="003E321B"/>
    <w:rsid w:val="003E3327"/>
    <w:rsid w:val="003E35E5"/>
    <w:rsid w:val="003E37F3"/>
    <w:rsid w:val="003E3936"/>
    <w:rsid w:val="003E3A8B"/>
    <w:rsid w:val="003E3AAC"/>
    <w:rsid w:val="003E3B1A"/>
    <w:rsid w:val="003E3B21"/>
    <w:rsid w:val="003E3B5E"/>
    <w:rsid w:val="003E3E25"/>
    <w:rsid w:val="003E3EFD"/>
    <w:rsid w:val="003E3FA3"/>
    <w:rsid w:val="003E4014"/>
    <w:rsid w:val="003E40D6"/>
    <w:rsid w:val="003E4125"/>
    <w:rsid w:val="003E423B"/>
    <w:rsid w:val="003E44E1"/>
    <w:rsid w:val="003E4511"/>
    <w:rsid w:val="003E462D"/>
    <w:rsid w:val="003E46CC"/>
    <w:rsid w:val="003E46ED"/>
    <w:rsid w:val="003E49DA"/>
    <w:rsid w:val="003E4A42"/>
    <w:rsid w:val="003E4B07"/>
    <w:rsid w:val="003E4E1D"/>
    <w:rsid w:val="003E4E77"/>
    <w:rsid w:val="003E52B0"/>
    <w:rsid w:val="003E52D0"/>
    <w:rsid w:val="003E52F0"/>
    <w:rsid w:val="003E5312"/>
    <w:rsid w:val="003E5428"/>
    <w:rsid w:val="003E555C"/>
    <w:rsid w:val="003E5610"/>
    <w:rsid w:val="003E57A7"/>
    <w:rsid w:val="003E5831"/>
    <w:rsid w:val="003E597E"/>
    <w:rsid w:val="003E5B5C"/>
    <w:rsid w:val="003E5BD0"/>
    <w:rsid w:val="003E5CBB"/>
    <w:rsid w:val="003E5E12"/>
    <w:rsid w:val="003E5E76"/>
    <w:rsid w:val="003E5EE3"/>
    <w:rsid w:val="003E60CB"/>
    <w:rsid w:val="003E60F7"/>
    <w:rsid w:val="003E6110"/>
    <w:rsid w:val="003E61AC"/>
    <w:rsid w:val="003E63B9"/>
    <w:rsid w:val="003E63D1"/>
    <w:rsid w:val="003E63E5"/>
    <w:rsid w:val="003E6460"/>
    <w:rsid w:val="003E652A"/>
    <w:rsid w:val="003E65D8"/>
    <w:rsid w:val="003E660B"/>
    <w:rsid w:val="003E6667"/>
    <w:rsid w:val="003E673A"/>
    <w:rsid w:val="003E6B19"/>
    <w:rsid w:val="003E713C"/>
    <w:rsid w:val="003E727B"/>
    <w:rsid w:val="003E74AE"/>
    <w:rsid w:val="003E761A"/>
    <w:rsid w:val="003E76FB"/>
    <w:rsid w:val="003E7749"/>
    <w:rsid w:val="003E7A05"/>
    <w:rsid w:val="003E7B7E"/>
    <w:rsid w:val="003E7C66"/>
    <w:rsid w:val="003E7C74"/>
    <w:rsid w:val="003E7E82"/>
    <w:rsid w:val="003E7EE5"/>
    <w:rsid w:val="003E7F5F"/>
    <w:rsid w:val="003E7FF7"/>
    <w:rsid w:val="003F009A"/>
    <w:rsid w:val="003F00B3"/>
    <w:rsid w:val="003F0277"/>
    <w:rsid w:val="003F02E9"/>
    <w:rsid w:val="003F0448"/>
    <w:rsid w:val="003F05C1"/>
    <w:rsid w:val="003F0718"/>
    <w:rsid w:val="003F0889"/>
    <w:rsid w:val="003F0A75"/>
    <w:rsid w:val="003F0BAF"/>
    <w:rsid w:val="003F0D21"/>
    <w:rsid w:val="003F0D99"/>
    <w:rsid w:val="003F0F32"/>
    <w:rsid w:val="003F11A2"/>
    <w:rsid w:val="003F11BD"/>
    <w:rsid w:val="003F1244"/>
    <w:rsid w:val="003F1254"/>
    <w:rsid w:val="003F12DB"/>
    <w:rsid w:val="003F1366"/>
    <w:rsid w:val="003F14ED"/>
    <w:rsid w:val="003F15A7"/>
    <w:rsid w:val="003F1770"/>
    <w:rsid w:val="003F1780"/>
    <w:rsid w:val="003F17A6"/>
    <w:rsid w:val="003F19FA"/>
    <w:rsid w:val="003F1E25"/>
    <w:rsid w:val="003F1F10"/>
    <w:rsid w:val="003F1F42"/>
    <w:rsid w:val="003F210A"/>
    <w:rsid w:val="003F21B1"/>
    <w:rsid w:val="003F21B8"/>
    <w:rsid w:val="003F22F5"/>
    <w:rsid w:val="003F2575"/>
    <w:rsid w:val="003F25ED"/>
    <w:rsid w:val="003F2605"/>
    <w:rsid w:val="003F27AF"/>
    <w:rsid w:val="003F27C4"/>
    <w:rsid w:val="003F2899"/>
    <w:rsid w:val="003F2948"/>
    <w:rsid w:val="003F29D0"/>
    <w:rsid w:val="003F2E54"/>
    <w:rsid w:val="003F30CE"/>
    <w:rsid w:val="003F30E9"/>
    <w:rsid w:val="003F3197"/>
    <w:rsid w:val="003F33E6"/>
    <w:rsid w:val="003F3405"/>
    <w:rsid w:val="003F35A2"/>
    <w:rsid w:val="003F3687"/>
    <w:rsid w:val="003F36E7"/>
    <w:rsid w:val="003F3888"/>
    <w:rsid w:val="003F3E74"/>
    <w:rsid w:val="003F3E7A"/>
    <w:rsid w:val="003F3EE5"/>
    <w:rsid w:val="003F3F05"/>
    <w:rsid w:val="003F3F37"/>
    <w:rsid w:val="003F3F40"/>
    <w:rsid w:val="003F4057"/>
    <w:rsid w:val="003F4140"/>
    <w:rsid w:val="003F4192"/>
    <w:rsid w:val="003F4490"/>
    <w:rsid w:val="003F44FF"/>
    <w:rsid w:val="003F45D4"/>
    <w:rsid w:val="003F4698"/>
    <w:rsid w:val="003F48E4"/>
    <w:rsid w:val="003F4C4A"/>
    <w:rsid w:val="003F4E03"/>
    <w:rsid w:val="003F4E0A"/>
    <w:rsid w:val="003F4FD7"/>
    <w:rsid w:val="003F51DE"/>
    <w:rsid w:val="003F56D4"/>
    <w:rsid w:val="003F574F"/>
    <w:rsid w:val="003F5970"/>
    <w:rsid w:val="003F5A2A"/>
    <w:rsid w:val="003F5A61"/>
    <w:rsid w:val="003F5C05"/>
    <w:rsid w:val="003F5E0F"/>
    <w:rsid w:val="003F5E3A"/>
    <w:rsid w:val="003F5F26"/>
    <w:rsid w:val="003F61B7"/>
    <w:rsid w:val="003F651C"/>
    <w:rsid w:val="003F6598"/>
    <w:rsid w:val="003F674F"/>
    <w:rsid w:val="003F67C8"/>
    <w:rsid w:val="003F6886"/>
    <w:rsid w:val="003F68AB"/>
    <w:rsid w:val="003F68E7"/>
    <w:rsid w:val="003F6927"/>
    <w:rsid w:val="003F69E6"/>
    <w:rsid w:val="003F6C38"/>
    <w:rsid w:val="003F6C9A"/>
    <w:rsid w:val="003F6CE2"/>
    <w:rsid w:val="003F6D63"/>
    <w:rsid w:val="003F7058"/>
    <w:rsid w:val="003F75DF"/>
    <w:rsid w:val="003F7733"/>
    <w:rsid w:val="003F7A15"/>
    <w:rsid w:val="003F7AFE"/>
    <w:rsid w:val="003F7B2B"/>
    <w:rsid w:val="003F7C28"/>
    <w:rsid w:val="003F7CBF"/>
    <w:rsid w:val="003F7F82"/>
    <w:rsid w:val="00400066"/>
    <w:rsid w:val="00400171"/>
    <w:rsid w:val="004001A9"/>
    <w:rsid w:val="004001AF"/>
    <w:rsid w:val="00400378"/>
    <w:rsid w:val="004005D1"/>
    <w:rsid w:val="004005DA"/>
    <w:rsid w:val="00400644"/>
    <w:rsid w:val="00400684"/>
    <w:rsid w:val="00400695"/>
    <w:rsid w:val="00400764"/>
    <w:rsid w:val="00400C95"/>
    <w:rsid w:val="00400CED"/>
    <w:rsid w:val="00400D4B"/>
    <w:rsid w:val="00400DE2"/>
    <w:rsid w:val="004010B4"/>
    <w:rsid w:val="00401147"/>
    <w:rsid w:val="00401164"/>
    <w:rsid w:val="0040150F"/>
    <w:rsid w:val="00401675"/>
    <w:rsid w:val="004017C4"/>
    <w:rsid w:val="0040185A"/>
    <w:rsid w:val="00401864"/>
    <w:rsid w:val="004018F6"/>
    <w:rsid w:val="00401AFD"/>
    <w:rsid w:val="00401B0E"/>
    <w:rsid w:val="00401E2A"/>
    <w:rsid w:val="00401E60"/>
    <w:rsid w:val="0040209E"/>
    <w:rsid w:val="0040252A"/>
    <w:rsid w:val="004026AB"/>
    <w:rsid w:val="00402717"/>
    <w:rsid w:val="00402939"/>
    <w:rsid w:val="00402AC9"/>
    <w:rsid w:val="00402B12"/>
    <w:rsid w:val="00402C71"/>
    <w:rsid w:val="00402D7A"/>
    <w:rsid w:val="00402DB6"/>
    <w:rsid w:val="00403347"/>
    <w:rsid w:val="0040356A"/>
    <w:rsid w:val="0040361B"/>
    <w:rsid w:val="00403760"/>
    <w:rsid w:val="004037EA"/>
    <w:rsid w:val="004037FA"/>
    <w:rsid w:val="00403884"/>
    <w:rsid w:val="00403895"/>
    <w:rsid w:val="00403BE4"/>
    <w:rsid w:val="00403D42"/>
    <w:rsid w:val="00403EE6"/>
    <w:rsid w:val="00403FD5"/>
    <w:rsid w:val="004041B8"/>
    <w:rsid w:val="004043B9"/>
    <w:rsid w:val="004043DF"/>
    <w:rsid w:val="0040454F"/>
    <w:rsid w:val="004045D3"/>
    <w:rsid w:val="004046D1"/>
    <w:rsid w:val="004047DA"/>
    <w:rsid w:val="0040480B"/>
    <w:rsid w:val="00404913"/>
    <w:rsid w:val="00404B81"/>
    <w:rsid w:val="00404FEF"/>
    <w:rsid w:val="00404FF0"/>
    <w:rsid w:val="004051B1"/>
    <w:rsid w:val="00405233"/>
    <w:rsid w:val="00405CFB"/>
    <w:rsid w:val="0040618F"/>
    <w:rsid w:val="00406278"/>
    <w:rsid w:val="00406375"/>
    <w:rsid w:val="00406486"/>
    <w:rsid w:val="0040669E"/>
    <w:rsid w:val="00406724"/>
    <w:rsid w:val="00406A8E"/>
    <w:rsid w:val="00406F41"/>
    <w:rsid w:val="00407271"/>
    <w:rsid w:val="004075F7"/>
    <w:rsid w:val="00407710"/>
    <w:rsid w:val="0040778A"/>
    <w:rsid w:val="004077A2"/>
    <w:rsid w:val="00407E7D"/>
    <w:rsid w:val="00407E85"/>
    <w:rsid w:val="00407FE3"/>
    <w:rsid w:val="0041002B"/>
    <w:rsid w:val="00410143"/>
    <w:rsid w:val="00410246"/>
    <w:rsid w:val="004102F0"/>
    <w:rsid w:val="0041032E"/>
    <w:rsid w:val="00410627"/>
    <w:rsid w:val="0041071B"/>
    <w:rsid w:val="004107BD"/>
    <w:rsid w:val="004107E2"/>
    <w:rsid w:val="00410815"/>
    <w:rsid w:val="004108A8"/>
    <w:rsid w:val="00410B02"/>
    <w:rsid w:val="00410CE9"/>
    <w:rsid w:val="00410D6F"/>
    <w:rsid w:val="00410E62"/>
    <w:rsid w:val="00410F1A"/>
    <w:rsid w:val="00410FA8"/>
    <w:rsid w:val="004111A0"/>
    <w:rsid w:val="0041133A"/>
    <w:rsid w:val="004118C8"/>
    <w:rsid w:val="0041191B"/>
    <w:rsid w:val="00411D5D"/>
    <w:rsid w:val="00411F49"/>
    <w:rsid w:val="004120FE"/>
    <w:rsid w:val="004121A2"/>
    <w:rsid w:val="004121EE"/>
    <w:rsid w:val="0041229A"/>
    <w:rsid w:val="0041260A"/>
    <w:rsid w:val="00412723"/>
    <w:rsid w:val="004127A0"/>
    <w:rsid w:val="004127B8"/>
    <w:rsid w:val="00412A78"/>
    <w:rsid w:val="00412A86"/>
    <w:rsid w:val="00412C1F"/>
    <w:rsid w:val="00413159"/>
    <w:rsid w:val="00413667"/>
    <w:rsid w:val="00413790"/>
    <w:rsid w:val="004137CF"/>
    <w:rsid w:val="00413909"/>
    <w:rsid w:val="0041394E"/>
    <w:rsid w:val="0041398E"/>
    <w:rsid w:val="00413A4E"/>
    <w:rsid w:val="00413CCE"/>
    <w:rsid w:val="00413D1A"/>
    <w:rsid w:val="00413D9C"/>
    <w:rsid w:val="00413ECA"/>
    <w:rsid w:val="00413ED8"/>
    <w:rsid w:val="0041421B"/>
    <w:rsid w:val="004142EB"/>
    <w:rsid w:val="00414370"/>
    <w:rsid w:val="00414597"/>
    <w:rsid w:val="00414700"/>
    <w:rsid w:val="00414903"/>
    <w:rsid w:val="00414ACC"/>
    <w:rsid w:val="00414C15"/>
    <w:rsid w:val="00414CD2"/>
    <w:rsid w:val="00414D39"/>
    <w:rsid w:val="00414E16"/>
    <w:rsid w:val="00415071"/>
    <w:rsid w:val="00415278"/>
    <w:rsid w:val="0041551B"/>
    <w:rsid w:val="00415701"/>
    <w:rsid w:val="00415A81"/>
    <w:rsid w:val="00415D0F"/>
    <w:rsid w:val="00415EB4"/>
    <w:rsid w:val="00415FF1"/>
    <w:rsid w:val="004161FE"/>
    <w:rsid w:val="00416327"/>
    <w:rsid w:val="0041632B"/>
    <w:rsid w:val="0041638C"/>
    <w:rsid w:val="004163FB"/>
    <w:rsid w:val="00416558"/>
    <w:rsid w:val="004165E9"/>
    <w:rsid w:val="00416717"/>
    <w:rsid w:val="004167DA"/>
    <w:rsid w:val="004169EE"/>
    <w:rsid w:val="00416A6A"/>
    <w:rsid w:val="00416AF6"/>
    <w:rsid w:val="00416B10"/>
    <w:rsid w:val="00416BB2"/>
    <w:rsid w:val="00416D3A"/>
    <w:rsid w:val="004176CF"/>
    <w:rsid w:val="004176E5"/>
    <w:rsid w:val="0041773D"/>
    <w:rsid w:val="004178EB"/>
    <w:rsid w:val="00417997"/>
    <w:rsid w:val="00417B5B"/>
    <w:rsid w:val="00417B81"/>
    <w:rsid w:val="00417C4F"/>
    <w:rsid w:val="00417DC8"/>
    <w:rsid w:val="00417F22"/>
    <w:rsid w:val="0042004E"/>
    <w:rsid w:val="004200AF"/>
    <w:rsid w:val="0042029B"/>
    <w:rsid w:val="00420649"/>
    <w:rsid w:val="00420739"/>
    <w:rsid w:val="004207EE"/>
    <w:rsid w:val="0042087A"/>
    <w:rsid w:val="00420934"/>
    <w:rsid w:val="004209B8"/>
    <w:rsid w:val="00420AF8"/>
    <w:rsid w:val="00420B13"/>
    <w:rsid w:val="00420E42"/>
    <w:rsid w:val="00420EC6"/>
    <w:rsid w:val="00420FBE"/>
    <w:rsid w:val="0042106C"/>
    <w:rsid w:val="00421093"/>
    <w:rsid w:val="004210AA"/>
    <w:rsid w:val="004210E9"/>
    <w:rsid w:val="00421299"/>
    <w:rsid w:val="004212DF"/>
    <w:rsid w:val="0042131E"/>
    <w:rsid w:val="0042138E"/>
    <w:rsid w:val="00421488"/>
    <w:rsid w:val="004214ED"/>
    <w:rsid w:val="00421565"/>
    <w:rsid w:val="0042180B"/>
    <w:rsid w:val="00421811"/>
    <w:rsid w:val="0042189C"/>
    <w:rsid w:val="004219C2"/>
    <w:rsid w:val="00421AC7"/>
    <w:rsid w:val="00421DA5"/>
    <w:rsid w:val="00421E9D"/>
    <w:rsid w:val="00421EB7"/>
    <w:rsid w:val="00421F65"/>
    <w:rsid w:val="00421FF6"/>
    <w:rsid w:val="00422036"/>
    <w:rsid w:val="004220EB"/>
    <w:rsid w:val="004220F2"/>
    <w:rsid w:val="0042211B"/>
    <w:rsid w:val="00422292"/>
    <w:rsid w:val="004222ED"/>
    <w:rsid w:val="004226E9"/>
    <w:rsid w:val="00422738"/>
    <w:rsid w:val="004229DF"/>
    <w:rsid w:val="00422C76"/>
    <w:rsid w:val="00422CF8"/>
    <w:rsid w:val="00422E5A"/>
    <w:rsid w:val="00422E68"/>
    <w:rsid w:val="00422ED4"/>
    <w:rsid w:val="0042322D"/>
    <w:rsid w:val="00423294"/>
    <w:rsid w:val="004232B3"/>
    <w:rsid w:val="004236AC"/>
    <w:rsid w:val="004237AA"/>
    <w:rsid w:val="00423A86"/>
    <w:rsid w:val="00423B0C"/>
    <w:rsid w:val="00423D9B"/>
    <w:rsid w:val="00423DD2"/>
    <w:rsid w:val="00423DFF"/>
    <w:rsid w:val="00423F52"/>
    <w:rsid w:val="00423FFA"/>
    <w:rsid w:val="00424050"/>
    <w:rsid w:val="00424133"/>
    <w:rsid w:val="00424176"/>
    <w:rsid w:val="00424209"/>
    <w:rsid w:val="00424244"/>
    <w:rsid w:val="004243A5"/>
    <w:rsid w:val="00424487"/>
    <w:rsid w:val="00424528"/>
    <w:rsid w:val="00424542"/>
    <w:rsid w:val="00424925"/>
    <w:rsid w:val="00424A85"/>
    <w:rsid w:val="00424AC4"/>
    <w:rsid w:val="00424AD7"/>
    <w:rsid w:val="00424B36"/>
    <w:rsid w:val="00424C12"/>
    <w:rsid w:val="00424C5A"/>
    <w:rsid w:val="00424ED3"/>
    <w:rsid w:val="00424F26"/>
    <w:rsid w:val="00425010"/>
    <w:rsid w:val="004250A7"/>
    <w:rsid w:val="00425156"/>
    <w:rsid w:val="0042523A"/>
    <w:rsid w:val="004254B2"/>
    <w:rsid w:val="00425782"/>
    <w:rsid w:val="004257C1"/>
    <w:rsid w:val="004257ED"/>
    <w:rsid w:val="004259DF"/>
    <w:rsid w:val="00425A33"/>
    <w:rsid w:val="00425A41"/>
    <w:rsid w:val="00425AE7"/>
    <w:rsid w:val="00425B6D"/>
    <w:rsid w:val="00425BD6"/>
    <w:rsid w:val="00425D02"/>
    <w:rsid w:val="00425E5B"/>
    <w:rsid w:val="00425EBF"/>
    <w:rsid w:val="00425F73"/>
    <w:rsid w:val="00425F97"/>
    <w:rsid w:val="00425FF6"/>
    <w:rsid w:val="00426135"/>
    <w:rsid w:val="0042613A"/>
    <w:rsid w:val="0042628A"/>
    <w:rsid w:val="00426335"/>
    <w:rsid w:val="004265FC"/>
    <w:rsid w:val="00426B58"/>
    <w:rsid w:val="00426C35"/>
    <w:rsid w:val="00426D0F"/>
    <w:rsid w:val="00427141"/>
    <w:rsid w:val="00427393"/>
    <w:rsid w:val="004273EA"/>
    <w:rsid w:val="00427402"/>
    <w:rsid w:val="00427413"/>
    <w:rsid w:val="0042760D"/>
    <w:rsid w:val="00427721"/>
    <w:rsid w:val="00427753"/>
    <w:rsid w:val="004277DC"/>
    <w:rsid w:val="00427997"/>
    <w:rsid w:val="00427AAC"/>
    <w:rsid w:val="00427B9B"/>
    <w:rsid w:val="00427C49"/>
    <w:rsid w:val="00427CA4"/>
    <w:rsid w:val="00427DA6"/>
    <w:rsid w:val="00427E02"/>
    <w:rsid w:val="00430171"/>
    <w:rsid w:val="004302AF"/>
    <w:rsid w:val="004302CD"/>
    <w:rsid w:val="004304D2"/>
    <w:rsid w:val="004305F7"/>
    <w:rsid w:val="00430870"/>
    <w:rsid w:val="00430A28"/>
    <w:rsid w:val="00430A7C"/>
    <w:rsid w:val="00430B92"/>
    <w:rsid w:val="00430C0F"/>
    <w:rsid w:val="00430E48"/>
    <w:rsid w:val="00430EE6"/>
    <w:rsid w:val="00430F32"/>
    <w:rsid w:val="004310D8"/>
    <w:rsid w:val="00431147"/>
    <w:rsid w:val="00431189"/>
    <w:rsid w:val="004311FC"/>
    <w:rsid w:val="00431254"/>
    <w:rsid w:val="004312D7"/>
    <w:rsid w:val="004313D4"/>
    <w:rsid w:val="0043159F"/>
    <w:rsid w:val="004315EB"/>
    <w:rsid w:val="004316AA"/>
    <w:rsid w:val="004316CD"/>
    <w:rsid w:val="00431783"/>
    <w:rsid w:val="00431792"/>
    <w:rsid w:val="00431BCB"/>
    <w:rsid w:val="00431C1F"/>
    <w:rsid w:val="00431D33"/>
    <w:rsid w:val="0043212D"/>
    <w:rsid w:val="0043215C"/>
    <w:rsid w:val="00432181"/>
    <w:rsid w:val="004324FF"/>
    <w:rsid w:val="004325DB"/>
    <w:rsid w:val="004326BA"/>
    <w:rsid w:val="0043270F"/>
    <w:rsid w:val="004329B6"/>
    <w:rsid w:val="00432C22"/>
    <w:rsid w:val="00432D91"/>
    <w:rsid w:val="00432DB8"/>
    <w:rsid w:val="00432E31"/>
    <w:rsid w:val="00432F74"/>
    <w:rsid w:val="00432FF6"/>
    <w:rsid w:val="00433078"/>
    <w:rsid w:val="004330A0"/>
    <w:rsid w:val="00433129"/>
    <w:rsid w:val="00433215"/>
    <w:rsid w:val="004333ED"/>
    <w:rsid w:val="00433699"/>
    <w:rsid w:val="0043385D"/>
    <w:rsid w:val="0043386D"/>
    <w:rsid w:val="00433963"/>
    <w:rsid w:val="00433A06"/>
    <w:rsid w:val="00433D7B"/>
    <w:rsid w:val="00433E07"/>
    <w:rsid w:val="00434189"/>
    <w:rsid w:val="004342A1"/>
    <w:rsid w:val="00434301"/>
    <w:rsid w:val="00434667"/>
    <w:rsid w:val="00434700"/>
    <w:rsid w:val="0043472B"/>
    <w:rsid w:val="004348CB"/>
    <w:rsid w:val="00434993"/>
    <w:rsid w:val="00434B2C"/>
    <w:rsid w:val="00434CF1"/>
    <w:rsid w:val="00434D3F"/>
    <w:rsid w:val="00434D98"/>
    <w:rsid w:val="00434E27"/>
    <w:rsid w:val="00434EC5"/>
    <w:rsid w:val="0043506D"/>
    <w:rsid w:val="0043510A"/>
    <w:rsid w:val="00435193"/>
    <w:rsid w:val="00435234"/>
    <w:rsid w:val="004352A6"/>
    <w:rsid w:val="004352D1"/>
    <w:rsid w:val="00435371"/>
    <w:rsid w:val="0043551B"/>
    <w:rsid w:val="00435547"/>
    <w:rsid w:val="004357D8"/>
    <w:rsid w:val="004358EB"/>
    <w:rsid w:val="00435976"/>
    <w:rsid w:val="00435B35"/>
    <w:rsid w:val="00435DA4"/>
    <w:rsid w:val="00435FA4"/>
    <w:rsid w:val="0043600E"/>
    <w:rsid w:val="0043604B"/>
    <w:rsid w:val="00436144"/>
    <w:rsid w:val="004361AA"/>
    <w:rsid w:val="004361AF"/>
    <w:rsid w:val="004362F3"/>
    <w:rsid w:val="0043630C"/>
    <w:rsid w:val="00436317"/>
    <w:rsid w:val="0043651B"/>
    <w:rsid w:val="0043673D"/>
    <w:rsid w:val="004367A0"/>
    <w:rsid w:val="00436802"/>
    <w:rsid w:val="00436A41"/>
    <w:rsid w:val="00436B5B"/>
    <w:rsid w:val="00436D79"/>
    <w:rsid w:val="00436EE4"/>
    <w:rsid w:val="00436FFA"/>
    <w:rsid w:val="0043704B"/>
    <w:rsid w:val="004370F8"/>
    <w:rsid w:val="00437146"/>
    <w:rsid w:val="0043725F"/>
    <w:rsid w:val="00437276"/>
    <w:rsid w:val="00437630"/>
    <w:rsid w:val="004376FA"/>
    <w:rsid w:val="004377E8"/>
    <w:rsid w:val="00437823"/>
    <w:rsid w:val="004378ED"/>
    <w:rsid w:val="00437EE0"/>
    <w:rsid w:val="00437EF5"/>
    <w:rsid w:val="00437F58"/>
    <w:rsid w:val="00440037"/>
    <w:rsid w:val="0044009C"/>
    <w:rsid w:val="00440366"/>
    <w:rsid w:val="004403AE"/>
    <w:rsid w:val="004405F5"/>
    <w:rsid w:val="004406BE"/>
    <w:rsid w:val="004408C2"/>
    <w:rsid w:val="004408C7"/>
    <w:rsid w:val="0044091A"/>
    <w:rsid w:val="004409E2"/>
    <w:rsid w:val="00440A8D"/>
    <w:rsid w:val="00440AD6"/>
    <w:rsid w:val="00440CE7"/>
    <w:rsid w:val="00440DEF"/>
    <w:rsid w:val="00440F09"/>
    <w:rsid w:val="00440F18"/>
    <w:rsid w:val="00440FE1"/>
    <w:rsid w:val="004410E5"/>
    <w:rsid w:val="004410FD"/>
    <w:rsid w:val="00441432"/>
    <w:rsid w:val="0044143E"/>
    <w:rsid w:val="004415AA"/>
    <w:rsid w:val="004417BC"/>
    <w:rsid w:val="0044188E"/>
    <w:rsid w:val="00441999"/>
    <w:rsid w:val="00441AAC"/>
    <w:rsid w:val="00441AEE"/>
    <w:rsid w:val="00441C47"/>
    <w:rsid w:val="00441DCE"/>
    <w:rsid w:val="00441F1E"/>
    <w:rsid w:val="0044200C"/>
    <w:rsid w:val="00442125"/>
    <w:rsid w:val="00442127"/>
    <w:rsid w:val="004421AB"/>
    <w:rsid w:val="004422AE"/>
    <w:rsid w:val="0044236D"/>
    <w:rsid w:val="004423FC"/>
    <w:rsid w:val="004424B1"/>
    <w:rsid w:val="00442526"/>
    <w:rsid w:val="00442643"/>
    <w:rsid w:val="00442750"/>
    <w:rsid w:val="004428A2"/>
    <w:rsid w:val="00442A02"/>
    <w:rsid w:val="00442AA2"/>
    <w:rsid w:val="00442CE5"/>
    <w:rsid w:val="00442EB7"/>
    <w:rsid w:val="00442F9B"/>
    <w:rsid w:val="004431A4"/>
    <w:rsid w:val="00443227"/>
    <w:rsid w:val="00443276"/>
    <w:rsid w:val="004434F0"/>
    <w:rsid w:val="004436C5"/>
    <w:rsid w:val="0044384D"/>
    <w:rsid w:val="00443937"/>
    <w:rsid w:val="004439C3"/>
    <w:rsid w:val="00443B16"/>
    <w:rsid w:val="00443E4E"/>
    <w:rsid w:val="00444071"/>
    <w:rsid w:val="00444299"/>
    <w:rsid w:val="00444461"/>
    <w:rsid w:val="004444B1"/>
    <w:rsid w:val="004445AD"/>
    <w:rsid w:val="00444627"/>
    <w:rsid w:val="00444872"/>
    <w:rsid w:val="00444966"/>
    <w:rsid w:val="00444BBF"/>
    <w:rsid w:val="00444BD4"/>
    <w:rsid w:val="00444E4F"/>
    <w:rsid w:val="0044507E"/>
    <w:rsid w:val="004450EA"/>
    <w:rsid w:val="0044514C"/>
    <w:rsid w:val="004452CC"/>
    <w:rsid w:val="00445347"/>
    <w:rsid w:val="0044536D"/>
    <w:rsid w:val="00445465"/>
    <w:rsid w:val="0044564D"/>
    <w:rsid w:val="00445808"/>
    <w:rsid w:val="00445B52"/>
    <w:rsid w:val="00445D76"/>
    <w:rsid w:val="00445F3A"/>
    <w:rsid w:val="00446016"/>
    <w:rsid w:val="00446039"/>
    <w:rsid w:val="00446189"/>
    <w:rsid w:val="004462BE"/>
    <w:rsid w:val="004463B5"/>
    <w:rsid w:val="004463C9"/>
    <w:rsid w:val="0044661D"/>
    <w:rsid w:val="00446816"/>
    <w:rsid w:val="004469C9"/>
    <w:rsid w:val="00446D28"/>
    <w:rsid w:val="00446D7D"/>
    <w:rsid w:val="00446DB0"/>
    <w:rsid w:val="004470B4"/>
    <w:rsid w:val="004472AF"/>
    <w:rsid w:val="00447538"/>
    <w:rsid w:val="004475CF"/>
    <w:rsid w:val="00447655"/>
    <w:rsid w:val="00447947"/>
    <w:rsid w:val="00447A66"/>
    <w:rsid w:val="00447D3A"/>
    <w:rsid w:val="00447D4B"/>
    <w:rsid w:val="00447EC7"/>
    <w:rsid w:val="00447ED0"/>
    <w:rsid w:val="00450064"/>
    <w:rsid w:val="004502AB"/>
    <w:rsid w:val="00450463"/>
    <w:rsid w:val="00450765"/>
    <w:rsid w:val="00450845"/>
    <w:rsid w:val="00450911"/>
    <w:rsid w:val="00450BF2"/>
    <w:rsid w:val="00450C44"/>
    <w:rsid w:val="00450D54"/>
    <w:rsid w:val="00450D56"/>
    <w:rsid w:val="00450E0A"/>
    <w:rsid w:val="00450F79"/>
    <w:rsid w:val="004511D2"/>
    <w:rsid w:val="0045120F"/>
    <w:rsid w:val="004512A4"/>
    <w:rsid w:val="0045157D"/>
    <w:rsid w:val="00451600"/>
    <w:rsid w:val="004517BA"/>
    <w:rsid w:val="0045184A"/>
    <w:rsid w:val="004518DB"/>
    <w:rsid w:val="004519EC"/>
    <w:rsid w:val="00451AEF"/>
    <w:rsid w:val="00451B41"/>
    <w:rsid w:val="00451C07"/>
    <w:rsid w:val="00451CE6"/>
    <w:rsid w:val="00451EB7"/>
    <w:rsid w:val="00451F0A"/>
    <w:rsid w:val="00451F76"/>
    <w:rsid w:val="00451FB8"/>
    <w:rsid w:val="004521C4"/>
    <w:rsid w:val="00452215"/>
    <w:rsid w:val="0045223D"/>
    <w:rsid w:val="00452397"/>
    <w:rsid w:val="00452398"/>
    <w:rsid w:val="004525AD"/>
    <w:rsid w:val="004529C5"/>
    <w:rsid w:val="00452AAC"/>
    <w:rsid w:val="00452E62"/>
    <w:rsid w:val="00452EE4"/>
    <w:rsid w:val="00452F36"/>
    <w:rsid w:val="0045307B"/>
    <w:rsid w:val="0045321A"/>
    <w:rsid w:val="0045325D"/>
    <w:rsid w:val="004537DB"/>
    <w:rsid w:val="004537F7"/>
    <w:rsid w:val="00453AD7"/>
    <w:rsid w:val="00453B45"/>
    <w:rsid w:val="00453CB9"/>
    <w:rsid w:val="00453D50"/>
    <w:rsid w:val="00453E0A"/>
    <w:rsid w:val="004540E3"/>
    <w:rsid w:val="004541EB"/>
    <w:rsid w:val="004542CC"/>
    <w:rsid w:val="00454575"/>
    <w:rsid w:val="004545C5"/>
    <w:rsid w:val="00454843"/>
    <w:rsid w:val="00454919"/>
    <w:rsid w:val="004549CA"/>
    <w:rsid w:val="004549FD"/>
    <w:rsid w:val="00454C5B"/>
    <w:rsid w:val="00454CFC"/>
    <w:rsid w:val="00454E01"/>
    <w:rsid w:val="0045524E"/>
    <w:rsid w:val="00455318"/>
    <w:rsid w:val="0045532E"/>
    <w:rsid w:val="00455437"/>
    <w:rsid w:val="00455930"/>
    <w:rsid w:val="00455981"/>
    <w:rsid w:val="00455A99"/>
    <w:rsid w:val="00455AC3"/>
    <w:rsid w:val="00455B27"/>
    <w:rsid w:val="00455B4C"/>
    <w:rsid w:val="00455E0B"/>
    <w:rsid w:val="00455E33"/>
    <w:rsid w:val="0045600C"/>
    <w:rsid w:val="00456079"/>
    <w:rsid w:val="00456449"/>
    <w:rsid w:val="00456698"/>
    <w:rsid w:val="004566A3"/>
    <w:rsid w:val="004567AB"/>
    <w:rsid w:val="0045695E"/>
    <w:rsid w:val="00456A13"/>
    <w:rsid w:val="00456C7B"/>
    <w:rsid w:val="00456D5B"/>
    <w:rsid w:val="00456DDE"/>
    <w:rsid w:val="00456F65"/>
    <w:rsid w:val="00456FEB"/>
    <w:rsid w:val="0045700E"/>
    <w:rsid w:val="004570B0"/>
    <w:rsid w:val="00457109"/>
    <w:rsid w:val="00457230"/>
    <w:rsid w:val="0045725D"/>
    <w:rsid w:val="00457318"/>
    <w:rsid w:val="00457584"/>
    <w:rsid w:val="004575F9"/>
    <w:rsid w:val="00457779"/>
    <w:rsid w:val="0045779B"/>
    <w:rsid w:val="00457910"/>
    <w:rsid w:val="0045798D"/>
    <w:rsid w:val="004579C1"/>
    <w:rsid w:val="00457A28"/>
    <w:rsid w:val="00457CB9"/>
    <w:rsid w:val="00457D05"/>
    <w:rsid w:val="00457EC6"/>
    <w:rsid w:val="004601AA"/>
    <w:rsid w:val="004602DC"/>
    <w:rsid w:val="004602FD"/>
    <w:rsid w:val="0046043B"/>
    <w:rsid w:val="004604F7"/>
    <w:rsid w:val="00460901"/>
    <w:rsid w:val="0046095F"/>
    <w:rsid w:val="00460AA9"/>
    <w:rsid w:val="00460B7C"/>
    <w:rsid w:val="00460CFD"/>
    <w:rsid w:val="00460E69"/>
    <w:rsid w:val="00460E78"/>
    <w:rsid w:val="00460F9A"/>
    <w:rsid w:val="00461165"/>
    <w:rsid w:val="00461610"/>
    <w:rsid w:val="00461741"/>
    <w:rsid w:val="00461817"/>
    <w:rsid w:val="00461862"/>
    <w:rsid w:val="004618A0"/>
    <w:rsid w:val="00461A73"/>
    <w:rsid w:val="00461B88"/>
    <w:rsid w:val="00461F09"/>
    <w:rsid w:val="00461FB6"/>
    <w:rsid w:val="0046201B"/>
    <w:rsid w:val="004621AE"/>
    <w:rsid w:val="00462290"/>
    <w:rsid w:val="004623C9"/>
    <w:rsid w:val="00462449"/>
    <w:rsid w:val="00462C14"/>
    <w:rsid w:val="00462D11"/>
    <w:rsid w:val="00462E0F"/>
    <w:rsid w:val="004631E1"/>
    <w:rsid w:val="004633BA"/>
    <w:rsid w:val="004636B1"/>
    <w:rsid w:val="00463809"/>
    <w:rsid w:val="0046397B"/>
    <w:rsid w:val="00463B0D"/>
    <w:rsid w:val="00463BA6"/>
    <w:rsid w:val="00463C1F"/>
    <w:rsid w:val="00463D99"/>
    <w:rsid w:val="00463DAE"/>
    <w:rsid w:val="00463FA3"/>
    <w:rsid w:val="00463FFE"/>
    <w:rsid w:val="004640A8"/>
    <w:rsid w:val="00464209"/>
    <w:rsid w:val="0046425E"/>
    <w:rsid w:val="004642DE"/>
    <w:rsid w:val="00464957"/>
    <w:rsid w:val="00464961"/>
    <w:rsid w:val="00464ADB"/>
    <w:rsid w:val="00464B44"/>
    <w:rsid w:val="00464BC3"/>
    <w:rsid w:val="00464C13"/>
    <w:rsid w:val="00464D94"/>
    <w:rsid w:val="00464DD9"/>
    <w:rsid w:val="00464EF4"/>
    <w:rsid w:val="00465047"/>
    <w:rsid w:val="004654DC"/>
    <w:rsid w:val="004656B4"/>
    <w:rsid w:val="004657E9"/>
    <w:rsid w:val="00465947"/>
    <w:rsid w:val="00465979"/>
    <w:rsid w:val="00465AA1"/>
    <w:rsid w:val="00465B9F"/>
    <w:rsid w:val="00465BE6"/>
    <w:rsid w:val="00465C1B"/>
    <w:rsid w:val="00465FEB"/>
    <w:rsid w:val="00465FF4"/>
    <w:rsid w:val="0046623A"/>
    <w:rsid w:val="004662F4"/>
    <w:rsid w:val="004665CB"/>
    <w:rsid w:val="00466620"/>
    <w:rsid w:val="004667B1"/>
    <w:rsid w:val="004667E5"/>
    <w:rsid w:val="00466888"/>
    <w:rsid w:val="00466A0C"/>
    <w:rsid w:val="00466E18"/>
    <w:rsid w:val="00466E53"/>
    <w:rsid w:val="00466F9B"/>
    <w:rsid w:val="00467117"/>
    <w:rsid w:val="00467251"/>
    <w:rsid w:val="004672AF"/>
    <w:rsid w:val="0046732C"/>
    <w:rsid w:val="004674DE"/>
    <w:rsid w:val="00467604"/>
    <w:rsid w:val="004676DB"/>
    <w:rsid w:val="004676F6"/>
    <w:rsid w:val="00467704"/>
    <w:rsid w:val="00467786"/>
    <w:rsid w:val="004677F0"/>
    <w:rsid w:val="0046792B"/>
    <w:rsid w:val="00467B6B"/>
    <w:rsid w:val="00467B7B"/>
    <w:rsid w:val="00467BCD"/>
    <w:rsid w:val="00467E04"/>
    <w:rsid w:val="00467E13"/>
    <w:rsid w:val="00467E4D"/>
    <w:rsid w:val="00467EEA"/>
    <w:rsid w:val="00467F1B"/>
    <w:rsid w:val="0047007F"/>
    <w:rsid w:val="00470146"/>
    <w:rsid w:val="0047038F"/>
    <w:rsid w:val="00470428"/>
    <w:rsid w:val="0047060B"/>
    <w:rsid w:val="00470669"/>
    <w:rsid w:val="004706B8"/>
    <w:rsid w:val="00470819"/>
    <w:rsid w:val="0047081D"/>
    <w:rsid w:val="004708C7"/>
    <w:rsid w:val="00470994"/>
    <w:rsid w:val="004709E7"/>
    <w:rsid w:val="00470AF1"/>
    <w:rsid w:val="00470B8E"/>
    <w:rsid w:val="00470B9B"/>
    <w:rsid w:val="00470C3F"/>
    <w:rsid w:val="00470E17"/>
    <w:rsid w:val="00470E96"/>
    <w:rsid w:val="00470F15"/>
    <w:rsid w:val="00471075"/>
    <w:rsid w:val="00471110"/>
    <w:rsid w:val="00471163"/>
    <w:rsid w:val="00471174"/>
    <w:rsid w:val="004712CC"/>
    <w:rsid w:val="00471737"/>
    <w:rsid w:val="0047198D"/>
    <w:rsid w:val="00471995"/>
    <w:rsid w:val="004719BB"/>
    <w:rsid w:val="00471B28"/>
    <w:rsid w:val="00471D48"/>
    <w:rsid w:val="00471D64"/>
    <w:rsid w:val="00471E42"/>
    <w:rsid w:val="0047202F"/>
    <w:rsid w:val="004722CD"/>
    <w:rsid w:val="00472371"/>
    <w:rsid w:val="004723D2"/>
    <w:rsid w:val="004724CD"/>
    <w:rsid w:val="0047250E"/>
    <w:rsid w:val="00472695"/>
    <w:rsid w:val="00472B23"/>
    <w:rsid w:val="00472BA0"/>
    <w:rsid w:val="00472BB6"/>
    <w:rsid w:val="00472BF9"/>
    <w:rsid w:val="00472CBF"/>
    <w:rsid w:val="00472E66"/>
    <w:rsid w:val="004732DB"/>
    <w:rsid w:val="00473369"/>
    <w:rsid w:val="004736C9"/>
    <w:rsid w:val="004736E2"/>
    <w:rsid w:val="00473721"/>
    <w:rsid w:val="0047375C"/>
    <w:rsid w:val="0047377A"/>
    <w:rsid w:val="0047395C"/>
    <w:rsid w:val="004739DA"/>
    <w:rsid w:val="00473AF3"/>
    <w:rsid w:val="00473C35"/>
    <w:rsid w:val="00473FE6"/>
    <w:rsid w:val="00474137"/>
    <w:rsid w:val="004741E8"/>
    <w:rsid w:val="00474257"/>
    <w:rsid w:val="0047426B"/>
    <w:rsid w:val="004744AB"/>
    <w:rsid w:val="004745C5"/>
    <w:rsid w:val="00474661"/>
    <w:rsid w:val="0047476A"/>
    <w:rsid w:val="00474918"/>
    <w:rsid w:val="00474935"/>
    <w:rsid w:val="00474B7B"/>
    <w:rsid w:val="00474BDD"/>
    <w:rsid w:val="00474D21"/>
    <w:rsid w:val="00474ECC"/>
    <w:rsid w:val="00475145"/>
    <w:rsid w:val="004751EA"/>
    <w:rsid w:val="004752B6"/>
    <w:rsid w:val="00475318"/>
    <w:rsid w:val="004754A2"/>
    <w:rsid w:val="004755C2"/>
    <w:rsid w:val="004756A8"/>
    <w:rsid w:val="00475DE5"/>
    <w:rsid w:val="00476205"/>
    <w:rsid w:val="00476334"/>
    <w:rsid w:val="0047657A"/>
    <w:rsid w:val="00476641"/>
    <w:rsid w:val="00476E71"/>
    <w:rsid w:val="00476E77"/>
    <w:rsid w:val="00477110"/>
    <w:rsid w:val="004771A3"/>
    <w:rsid w:val="004773FE"/>
    <w:rsid w:val="00477542"/>
    <w:rsid w:val="00477598"/>
    <w:rsid w:val="004775D0"/>
    <w:rsid w:val="0047771C"/>
    <w:rsid w:val="004778F9"/>
    <w:rsid w:val="0047799D"/>
    <w:rsid w:val="004779CE"/>
    <w:rsid w:val="00477F8B"/>
    <w:rsid w:val="00480002"/>
    <w:rsid w:val="00480012"/>
    <w:rsid w:val="00480027"/>
    <w:rsid w:val="00480141"/>
    <w:rsid w:val="0048018D"/>
    <w:rsid w:val="004802B3"/>
    <w:rsid w:val="004804E3"/>
    <w:rsid w:val="004805EA"/>
    <w:rsid w:val="00480692"/>
    <w:rsid w:val="00480932"/>
    <w:rsid w:val="00480AF8"/>
    <w:rsid w:val="00480B94"/>
    <w:rsid w:val="00480D18"/>
    <w:rsid w:val="00480E54"/>
    <w:rsid w:val="0048110B"/>
    <w:rsid w:val="00481201"/>
    <w:rsid w:val="0048120B"/>
    <w:rsid w:val="004812CA"/>
    <w:rsid w:val="0048131C"/>
    <w:rsid w:val="00481422"/>
    <w:rsid w:val="00481525"/>
    <w:rsid w:val="0048160D"/>
    <w:rsid w:val="00481672"/>
    <w:rsid w:val="004816F8"/>
    <w:rsid w:val="00481711"/>
    <w:rsid w:val="0048176B"/>
    <w:rsid w:val="004817D1"/>
    <w:rsid w:val="004817E5"/>
    <w:rsid w:val="00481AE4"/>
    <w:rsid w:val="00481CD7"/>
    <w:rsid w:val="00481D16"/>
    <w:rsid w:val="00481D2F"/>
    <w:rsid w:val="00481DBA"/>
    <w:rsid w:val="00481EEF"/>
    <w:rsid w:val="00482009"/>
    <w:rsid w:val="0048224C"/>
    <w:rsid w:val="004823BD"/>
    <w:rsid w:val="004823CC"/>
    <w:rsid w:val="0048258D"/>
    <w:rsid w:val="004825C9"/>
    <w:rsid w:val="004825D5"/>
    <w:rsid w:val="00482646"/>
    <w:rsid w:val="00482701"/>
    <w:rsid w:val="00482DCC"/>
    <w:rsid w:val="00482E3F"/>
    <w:rsid w:val="00482E7B"/>
    <w:rsid w:val="00483038"/>
    <w:rsid w:val="004833F2"/>
    <w:rsid w:val="004834C5"/>
    <w:rsid w:val="00483542"/>
    <w:rsid w:val="00483581"/>
    <w:rsid w:val="00483645"/>
    <w:rsid w:val="004836BF"/>
    <w:rsid w:val="004836ED"/>
    <w:rsid w:val="0048391B"/>
    <w:rsid w:val="004839E9"/>
    <w:rsid w:val="00483DE1"/>
    <w:rsid w:val="004840BC"/>
    <w:rsid w:val="004841D5"/>
    <w:rsid w:val="00484211"/>
    <w:rsid w:val="0048426D"/>
    <w:rsid w:val="00484298"/>
    <w:rsid w:val="004842AC"/>
    <w:rsid w:val="0048439A"/>
    <w:rsid w:val="00484406"/>
    <w:rsid w:val="004847D0"/>
    <w:rsid w:val="004848AD"/>
    <w:rsid w:val="00484AEB"/>
    <w:rsid w:val="00484B17"/>
    <w:rsid w:val="00484D22"/>
    <w:rsid w:val="00484D91"/>
    <w:rsid w:val="00484EB9"/>
    <w:rsid w:val="00484EBE"/>
    <w:rsid w:val="00484F3B"/>
    <w:rsid w:val="004850D4"/>
    <w:rsid w:val="00485142"/>
    <w:rsid w:val="004851DA"/>
    <w:rsid w:val="004851E9"/>
    <w:rsid w:val="004857CE"/>
    <w:rsid w:val="0048584F"/>
    <w:rsid w:val="004858AA"/>
    <w:rsid w:val="00485907"/>
    <w:rsid w:val="004859FD"/>
    <w:rsid w:val="00485BDE"/>
    <w:rsid w:val="00485C09"/>
    <w:rsid w:val="00485D8D"/>
    <w:rsid w:val="00485D9F"/>
    <w:rsid w:val="00485DAD"/>
    <w:rsid w:val="00485E54"/>
    <w:rsid w:val="00485EE4"/>
    <w:rsid w:val="00485FDA"/>
    <w:rsid w:val="0048601B"/>
    <w:rsid w:val="00486050"/>
    <w:rsid w:val="0048615F"/>
    <w:rsid w:val="004861A5"/>
    <w:rsid w:val="004863C1"/>
    <w:rsid w:val="00486432"/>
    <w:rsid w:val="00486547"/>
    <w:rsid w:val="00486651"/>
    <w:rsid w:val="004866D7"/>
    <w:rsid w:val="00486700"/>
    <w:rsid w:val="004867CB"/>
    <w:rsid w:val="00486AD7"/>
    <w:rsid w:val="00486CF6"/>
    <w:rsid w:val="00486E3E"/>
    <w:rsid w:val="0048727A"/>
    <w:rsid w:val="004872DE"/>
    <w:rsid w:val="004872DF"/>
    <w:rsid w:val="00487380"/>
    <w:rsid w:val="004873CC"/>
    <w:rsid w:val="00487443"/>
    <w:rsid w:val="004875CD"/>
    <w:rsid w:val="004875FF"/>
    <w:rsid w:val="004876AA"/>
    <w:rsid w:val="00487B8B"/>
    <w:rsid w:val="00487C90"/>
    <w:rsid w:val="00487FE9"/>
    <w:rsid w:val="00490014"/>
    <w:rsid w:val="0049015F"/>
    <w:rsid w:val="004901AA"/>
    <w:rsid w:val="0049024F"/>
    <w:rsid w:val="00490461"/>
    <w:rsid w:val="00490701"/>
    <w:rsid w:val="004907F3"/>
    <w:rsid w:val="0049080A"/>
    <w:rsid w:val="0049080D"/>
    <w:rsid w:val="00490948"/>
    <w:rsid w:val="00490B87"/>
    <w:rsid w:val="00490C8B"/>
    <w:rsid w:val="00490D0F"/>
    <w:rsid w:val="00490DF1"/>
    <w:rsid w:val="00490EBC"/>
    <w:rsid w:val="00490EE2"/>
    <w:rsid w:val="00491066"/>
    <w:rsid w:val="00491284"/>
    <w:rsid w:val="004913EB"/>
    <w:rsid w:val="0049168A"/>
    <w:rsid w:val="00491726"/>
    <w:rsid w:val="00491738"/>
    <w:rsid w:val="004917DE"/>
    <w:rsid w:val="004918D4"/>
    <w:rsid w:val="00491B32"/>
    <w:rsid w:val="00491C0A"/>
    <w:rsid w:val="00492085"/>
    <w:rsid w:val="00492176"/>
    <w:rsid w:val="00492403"/>
    <w:rsid w:val="0049242A"/>
    <w:rsid w:val="0049244D"/>
    <w:rsid w:val="004925D7"/>
    <w:rsid w:val="004926E2"/>
    <w:rsid w:val="004928A1"/>
    <w:rsid w:val="00492989"/>
    <w:rsid w:val="00492AAA"/>
    <w:rsid w:val="00492AAC"/>
    <w:rsid w:val="00492B88"/>
    <w:rsid w:val="00492FEF"/>
    <w:rsid w:val="00493077"/>
    <w:rsid w:val="0049313F"/>
    <w:rsid w:val="00493639"/>
    <w:rsid w:val="0049372E"/>
    <w:rsid w:val="0049378C"/>
    <w:rsid w:val="0049383B"/>
    <w:rsid w:val="0049384F"/>
    <w:rsid w:val="00493941"/>
    <w:rsid w:val="00493B2E"/>
    <w:rsid w:val="00493DC1"/>
    <w:rsid w:val="0049414D"/>
    <w:rsid w:val="00494173"/>
    <w:rsid w:val="004944A9"/>
    <w:rsid w:val="00494538"/>
    <w:rsid w:val="00494592"/>
    <w:rsid w:val="00494843"/>
    <w:rsid w:val="004949D3"/>
    <w:rsid w:val="00494B1D"/>
    <w:rsid w:val="00494DBD"/>
    <w:rsid w:val="00494DC3"/>
    <w:rsid w:val="00494DC5"/>
    <w:rsid w:val="00494E17"/>
    <w:rsid w:val="00494ECD"/>
    <w:rsid w:val="00494F1F"/>
    <w:rsid w:val="004950F3"/>
    <w:rsid w:val="00495177"/>
    <w:rsid w:val="0049523A"/>
    <w:rsid w:val="00495250"/>
    <w:rsid w:val="0049535A"/>
    <w:rsid w:val="004953FA"/>
    <w:rsid w:val="004954F7"/>
    <w:rsid w:val="00495696"/>
    <w:rsid w:val="004956F7"/>
    <w:rsid w:val="004957C2"/>
    <w:rsid w:val="0049598E"/>
    <w:rsid w:val="004959D7"/>
    <w:rsid w:val="004959F5"/>
    <w:rsid w:val="00495A87"/>
    <w:rsid w:val="00495B37"/>
    <w:rsid w:val="00495C33"/>
    <w:rsid w:val="00495DF1"/>
    <w:rsid w:val="00495E01"/>
    <w:rsid w:val="00495E85"/>
    <w:rsid w:val="00495EEE"/>
    <w:rsid w:val="00495F05"/>
    <w:rsid w:val="00495FB1"/>
    <w:rsid w:val="00496142"/>
    <w:rsid w:val="004966DB"/>
    <w:rsid w:val="004966FD"/>
    <w:rsid w:val="00496743"/>
    <w:rsid w:val="00496875"/>
    <w:rsid w:val="00496A49"/>
    <w:rsid w:val="00496CB2"/>
    <w:rsid w:val="00496CD3"/>
    <w:rsid w:val="00496D0F"/>
    <w:rsid w:val="00496E92"/>
    <w:rsid w:val="004970EF"/>
    <w:rsid w:val="0049712F"/>
    <w:rsid w:val="004971B8"/>
    <w:rsid w:val="0049729B"/>
    <w:rsid w:val="00497526"/>
    <w:rsid w:val="00497651"/>
    <w:rsid w:val="0049771A"/>
    <w:rsid w:val="0049785D"/>
    <w:rsid w:val="00497B98"/>
    <w:rsid w:val="00497BC9"/>
    <w:rsid w:val="004A005A"/>
    <w:rsid w:val="004A00F0"/>
    <w:rsid w:val="004A01BB"/>
    <w:rsid w:val="004A03B7"/>
    <w:rsid w:val="004A0460"/>
    <w:rsid w:val="004A07C8"/>
    <w:rsid w:val="004A08A9"/>
    <w:rsid w:val="004A0AA3"/>
    <w:rsid w:val="004A0DB9"/>
    <w:rsid w:val="004A0EBE"/>
    <w:rsid w:val="004A0F09"/>
    <w:rsid w:val="004A1001"/>
    <w:rsid w:val="004A1007"/>
    <w:rsid w:val="004A1030"/>
    <w:rsid w:val="004A11F0"/>
    <w:rsid w:val="004A123F"/>
    <w:rsid w:val="004A13B6"/>
    <w:rsid w:val="004A1626"/>
    <w:rsid w:val="004A164D"/>
    <w:rsid w:val="004A1881"/>
    <w:rsid w:val="004A1898"/>
    <w:rsid w:val="004A195C"/>
    <w:rsid w:val="004A1A39"/>
    <w:rsid w:val="004A1A62"/>
    <w:rsid w:val="004A1AD9"/>
    <w:rsid w:val="004A1ADB"/>
    <w:rsid w:val="004A1C61"/>
    <w:rsid w:val="004A1E23"/>
    <w:rsid w:val="004A1E6C"/>
    <w:rsid w:val="004A1E96"/>
    <w:rsid w:val="004A1EC5"/>
    <w:rsid w:val="004A1EF9"/>
    <w:rsid w:val="004A1F8E"/>
    <w:rsid w:val="004A209F"/>
    <w:rsid w:val="004A20C5"/>
    <w:rsid w:val="004A20D8"/>
    <w:rsid w:val="004A20E2"/>
    <w:rsid w:val="004A223A"/>
    <w:rsid w:val="004A228C"/>
    <w:rsid w:val="004A22C5"/>
    <w:rsid w:val="004A2394"/>
    <w:rsid w:val="004A2443"/>
    <w:rsid w:val="004A25B2"/>
    <w:rsid w:val="004A283B"/>
    <w:rsid w:val="004A285D"/>
    <w:rsid w:val="004A2CD5"/>
    <w:rsid w:val="004A2DA3"/>
    <w:rsid w:val="004A2DDD"/>
    <w:rsid w:val="004A3170"/>
    <w:rsid w:val="004A31B6"/>
    <w:rsid w:val="004A3409"/>
    <w:rsid w:val="004A3459"/>
    <w:rsid w:val="004A34EA"/>
    <w:rsid w:val="004A3527"/>
    <w:rsid w:val="004A39A2"/>
    <w:rsid w:val="004A39CE"/>
    <w:rsid w:val="004A3ABB"/>
    <w:rsid w:val="004A3B58"/>
    <w:rsid w:val="004A3E42"/>
    <w:rsid w:val="004A3F8E"/>
    <w:rsid w:val="004A4198"/>
    <w:rsid w:val="004A431D"/>
    <w:rsid w:val="004A4359"/>
    <w:rsid w:val="004A43EE"/>
    <w:rsid w:val="004A448E"/>
    <w:rsid w:val="004A44C4"/>
    <w:rsid w:val="004A45F0"/>
    <w:rsid w:val="004A4604"/>
    <w:rsid w:val="004A4705"/>
    <w:rsid w:val="004A474D"/>
    <w:rsid w:val="004A47FD"/>
    <w:rsid w:val="004A4B10"/>
    <w:rsid w:val="004A4BB4"/>
    <w:rsid w:val="004A4C33"/>
    <w:rsid w:val="004A4E12"/>
    <w:rsid w:val="004A4E3A"/>
    <w:rsid w:val="004A51F0"/>
    <w:rsid w:val="004A53B7"/>
    <w:rsid w:val="004A54CD"/>
    <w:rsid w:val="004A54D8"/>
    <w:rsid w:val="004A556F"/>
    <w:rsid w:val="004A55A5"/>
    <w:rsid w:val="004A5719"/>
    <w:rsid w:val="004A57E9"/>
    <w:rsid w:val="004A58F1"/>
    <w:rsid w:val="004A5970"/>
    <w:rsid w:val="004A5984"/>
    <w:rsid w:val="004A5999"/>
    <w:rsid w:val="004A5C56"/>
    <w:rsid w:val="004A5CDE"/>
    <w:rsid w:val="004A5FE3"/>
    <w:rsid w:val="004A5FE8"/>
    <w:rsid w:val="004A61D4"/>
    <w:rsid w:val="004A6271"/>
    <w:rsid w:val="004A6431"/>
    <w:rsid w:val="004A655D"/>
    <w:rsid w:val="004A66E2"/>
    <w:rsid w:val="004A67BE"/>
    <w:rsid w:val="004A6877"/>
    <w:rsid w:val="004A6903"/>
    <w:rsid w:val="004A699F"/>
    <w:rsid w:val="004A6BDB"/>
    <w:rsid w:val="004A6E26"/>
    <w:rsid w:val="004A6E4F"/>
    <w:rsid w:val="004A6F39"/>
    <w:rsid w:val="004A6FFD"/>
    <w:rsid w:val="004A7044"/>
    <w:rsid w:val="004A709F"/>
    <w:rsid w:val="004A70FA"/>
    <w:rsid w:val="004A719E"/>
    <w:rsid w:val="004A726C"/>
    <w:rsid w:val="004A76A9"/>
    <w:rsid w:val="004A76FD"/>
    <w:rsid w:val="004A7C57"/>
    <w:rsid w:val="004A7D6C"/>
    <w:rsid w:val="004A7E3A"/>
    <w:rsid w:val="004A7E43"/>
    <w:rsid w:val="004B014D"/>
    <w:rsid w:val="004B0235"/>
    <w:rsid w:val="004B035D"/>
    <w:rsid w:val="004B041C"/>
    <w:rsid w:val="004B0607"/>
    <w:rsid w:val="004B08E9"/>
    <w:rsid w:val="004B08FD"/>
    <w:rsid w:val="004B0C2F"/>
    <w:rsid w:val="004B0E7D"/>
    <w:rsid w:val="004B0E9D"/>
    <w:rsid w:val="004B0F2F"/>
    <w:rsid w:val="004B0F43"/>
    <w:rsid w:val="004B1015"/>
    <w:rsid w:val="004B104B"/>
    <w:rsid w:val="004B10CD"/>
    <w:rsid w:val="004B11D5"/>
    <w:rsid w:val="004B1315"/>
    <w:rsid w:val="004B1408"/>
    <w:rsid w:val="004B1468"/>
    <w:rsid w:val="004B14F2"/>
    <w:rsid w:val="004B15A5"/>
    <w:rsid w:val="004B15B3"/>
    <w:rsid w:val="004B17D4"/>
    <w:rsid w:val="004B1AF2"/>
    <w:rsid w:val="004B1BB1"/>
    <w:rsid w:val="004B1CA0"/>
    <w:rsid w:val="004B1DC5"/>
    <w:rsid w:val="004B1E2F"/>
    <w:rsid w:val="004B1F06"/>
    <w:rsid w:val="004B1F19"/>
    <w:rsid w:val="004B2110"/>
    <w:rsid w:val="004B243A"/>
    <w:rsid w:val="004B2451"/>
    <w:rsid w:val="004B2530"/>
    <w:rsid w:val="004B261F"/>
    <w:rsid w:val="004B29F9"/>
    <w:rsid w:val="004B2B54"/>
    <w:rsid w:val="004B2BA9"/>
    <w:rsid w:val="004B2CA4"/>
    <w:rsid w:val="004B2D57"/>
    <w:rsid w:val="004B2DCD"/>
    <w:rsid w:val="004B384F"/>
    <w:rsid w:val="004B3989"/>
    <w:rsid w:val="004B3A09"/>
    <w:rsid w:val="004B3A5D"/>
    <w:rsid w:val="004B3A7C"/>
    <w:rsid w:val="004B3A86"/>
    <w:rsid w:val="004B3C58"/>
    <w:rsid w:val="004B3CDE"/>
    <w:rsid w:val="004B3CF3"/>
    <w:rsid w:val="004B3E31"/>
    <w:rsid w:val="004B3EF3"/>
    <w:rsid w:val="004B3F1E"/>
    <w:rsid w:val="004B3F91"/>
    <w:rsid w:val="004B40B6"/>
    <w:rsid w:val="004B4113"/>
    <w:rsid w:val="004B428E"/>
    <w:rsid w:val="004B45BF"/>
    <w:rsid w:val="004B4641"/>
    <w:rsid w:val="004B4734"/>
    <w:rsid w:val="004B47FC"/>
    <w:rsid w:val="004B4808"/>
    <w:rsid w:val="004B4B06"/>
    <w:rsid w:val="004B4B99"/>
    <w:rsid w:val="004B4DDD"/>
    <w:rsid w:val="004B4F9A"/>
    <w:rsid w:val="004B4FA1"/>
    <w:rsid w:val="004B50E4"/>
    <w:rsid w:val="004B5366"/>
    <w:rsid w:val="004B53A5"/>
    <w:rsid w:val="004B5489"/>
    <w:rsid w:val="004B5500"/>
    <w:rsid w:val="004B5635"/>
    <w:rsid w:val="004B57D0"/>
    <w:rsid w:val="004B57EA"/>
    <w:rsid w:val="004B5AC1"/>
    <w:rsid w:val="004B5ACA"/>
    <w:rsid w:val="004B5AED"/>
    <w:rsid w:val="004B5B2E"/>
    <w:rsid w:val="004B5B78"/>
    <w:rsid w:val="004B5C53"/>
    <w:rsid w:val="004B60EE"/>
    <w:rsid w:val="004B6352"/>
    <w:rsid w:val="004B64A4"/>
    <w:rsid w:val="004B65C3"/>
    <w:rsid w:val="004B6752"/>
    <w:rsid w:val="004B6784"/>
    <w:rsid w:val="004B67FB"/>
    <w:rsid w:val="004B683A"/>
    <w:rsid w:val="004B6980"/>
    <w:rsid w:val="004B6ADD"/>
    <w:rsid w:val="004B6BC3"/>
    <w:rsid w:val="004B6CC7"/>
    <w:rsid w:val="004B6E74"/>
    <w:rsid w:val="004B6FF3"/>
    <w:rsid w:val="004B7008"/>
    <w:rsid w:val="004B701B"/>
    <w:rsid w:val="004B707B"/>
    <w:rsid w:val="004B719F"/>
    <w:rsid w:val="004B7518"/>
    <w:rsid w:val="004B75AA"/>
    <w:rsid w:val="004B75E9"/>
    <w:rsid w:val="004B75F5"/>
    <w:rsid w:val="004B7616"/>
    <w:rsid w:val="004B761A"/>
    <w:rsid w:val="004B7655"/>
    <w:rsid w:val="004B76A2"/>
    <w:rsid w:val="004B76D9"/>
    <w:rsid w:val="004B7763"/>
    <w:rsid w:val="004B7846"/>
    <w:rsid w:val="004B792F"/>
    <w:rsid w:val="004B7AC7"/>
    <w:rsid w:val="004B7B13"/>
    <w:rsid w:val="004B7F6C"/>
    <w:rsid w:val="004C002D"/>
    <w:rsid w:val="004C014C"/>
    <w:rsid w:val="004C0204"/>
    <w:rsid w:val="004C029B"/>
    <w:rsid w:val="004C0325"/>
    <w:rsid w:val="004C038B"/>
    <w:rsid w:val="004C0498"/>
    <w:rsid w:val="004C054C"/>
    <w:rsid w:val="004C0566"/>
    <w:rsid w:val="004C05F2"/>
    <w:rsid w:val="004C06FF"/>
    <w:rsid w:val="004C0711"/>
    <w:rsid w:val="004C07FB"/>
    <w:rsid w:val="004C091E"/>
    <w:rsid w:val="004C0966"/>
    <w:rsid w:val="004C09E6"/>
    <w:rsid w:val="004C0A0B"/>
    <w:rsid w:val="004C0A27"/>
    <w:rsid w:val="004C0B3E"/>
    <w:rsid w:val="004C0C4D"/>
    <w:rsid w:val="004C0CCD"/>
    <w:rsid w:val="004C10AE"/>
    <w:rsid w:val="004C1363"/>
    <w:rsid w:val="004C1479"/>
    <w:rsid w:val="004C154F"/>
    <w:rsid w:val="004C16CF"/>
    <w:rsid w:val="004C1990"/>
    <w:rsid w:val="004C1E36"/>
    <w:rsid w:val="004C2013"/>
    <w:rsid w:val="004C21C5"/>
    <w:rsid w:val="004C22FB"/>
    <w:rsid w:val="004C23F4"/>
    <w:rsid w:val="004C272A"/>
    <w:rsid w:val="004C2C43"/>
    <w:rsid w:val="004C2C90"/>
    <w:rsid w:val="004C2D4E"/>
    <w:rsid w:val="004C2D7E"/>
    <w:rsid w:val="004C2E45"/>
    <w:rsid w:val="004C2F3F"/>
    <w:rsid w:val="004C31EB"/>
    <w:rsid w:val="004C37BD"/>
    <w:rsid w:val="004C3936"/>
    <w:rsid w:val="004C3BA9"/>
    <w:rsid w:val="004C3C43"/>
    <w:rsid w:val="004C3CCE"/>
    <w:rsid w:val="004C3CDB"/>
    <w:rsid w:val="004C3D54"/>
    <w:rsid w:val="004C3DFE"/>
    <w:rsid w:val="004C3E9E"/>
    <w:rsid w:val="004C3F7C"/>
    <w:rsid w:val="004C42A2"/>
    <w:rsid w:val="004C4445"/>
    <w:rsid w:val="004C4502"/>
    <w:rsid w:val="004C452A"/>
    <w:rsid w:val="004C4565"/>
    <w:rsid w:val="004C463B"/>
    <w:rsid w:val="004C46AD"/>
    <w:rsid w:val="004C46B7"/>
    <w:rsid w:val="004C46F4"/>
    <w:rsid w:val="004C476D"/>
    <w:rsid w:val="004C486D"/>
    <w:rsid w:val="004C4885"/>
    <w:rsid w:val="004C54DD"/>
    <w:rsid w:val="004C54F9"/>
    <w:rsid w:val="004C564C"/>
    <w:rsid w:val="004C56F0"/>
    <w:rsid w:val="004C590D"/>
    <w:rsid w:val="004C591F"/>
    <w:rsid w:val="004C5AF5"/>
    <w:rsid w:val="004C5B61"/>
    <w:rsid w:val="004C5C14"/>
    <w:rsid w:val="004C5CB4"/>
    <w:rsid w:val="004C5CB9"/>
    <w:rsid w:val="004C5CE2"/>
    <w:rsid w:val="004C5D2F"/>
    <w:rsid w:val="004C5D58"/>
    <w:rsid w:val="004C6031"/>
    <w:rsid w:val="004C6461"/>
    <w:rsid w:val="004C652A"/>
    <w:rsid w:val="004C66B5"/>
    <w:rsid w:val="004C69D7"/>
    <w:rsid w:val="004C6B77"/>
    <w:rsid w:val="004C6DBD"/>
    <w:rsid w:val="004C6E7C"/>
    <w:rsid w:val="004C708D"/>
    <w:rsid w:val="004C71FC"/>
    <w:rsid w:val="004C7309"/>
    <w:rsid w:val="004C7599"/>
    <w:rsid w:val="004C7629"/>
    <w:rsid w:val="004C7674"/>
    <w:rsid w:val="004C775C"/>
    <w:rsid w:val="004C77D0"/>
    <w:rsid w:val="004C7962"/>
    <w:rsid w:val="004C797C"/>
    <w:rsid w:val="004C7A07"/>
    <w:rsid w:val="004C7BC5"/>
    <w:rsid w:val="004C7D8C"/>
    <w:rsid w:val="004C7F30"/>
    <w:rsid w:val="004D0152"/>
    <w:rsid w:val="004D0384"/>
    <w:rsid w:val="004D078D"/>
    <w:rsid w:val="004D08A5"/>
    <w:rsid w:val="004D0C52"/>
    <w:rsid w:val="004D0F02"/>
    <w:rsid w:val="004D106A"/>
    <w:rsid w:val="004D108A"/>
    <w:rsid w:val="004D112F"/>
    <w:rsid w:val="004D117B"/>
    <w:rsid w:val="004D1235"/>
    <w:rsid w:val="004D12B2"/>
    <w:rsid w:val="004D1385"/>
    <w:rsid w:val="004D1486"/>
    <w:rsid w:val="004D14D4"/>
    <w:rsid w:val="004D14F3"/>
    <w:rsid w:val="004D166E"/>
    <w:rsid w:val="004D17AB"/>
    <w:rsid w:val="004D17FC"/>
    <w:rsid w:val="004D1862"/>
    <w:rsid w:val="004D1B7B"/>
    <w:rsid w:val="004D1CFD"/>
    <w:rsid w:val="004D1DDE"/>
    <w:rsid w:val="004D1F0A"/>
    <w:rsid w:val="004D1F5F"/>
    <w:rsid w:val="004D2184"/>
    <w:rsid w:val="004D21FA"/>
    <w:rsid w:val="004D265C"/>
    <w:rsid w:val="004D26F0"/>
    <w:rsid w:val="004D285E"/>
    <w:rsid w:val="004D2B0F"/>
    <w:rsid w:val="004D3176"/>
    <w:rsid w:val="004D32A1"/>
    <w:rsid w:val="004D3419"/>
    <w:rsid w:val="004D37BD"/>
    <w:rsid w:val="004D38BB"/>
    <w:rsid w:val="004D390D"/>
    <w:rsid w:val="004D3952"/>
    <w:rsid w:val="004D3A6F"/>
    <w:rsid w:val="004D3A91"/>
    <w:rsid w:val="004D3AE4"/>
    <w:rsid w:val="004D3B20"/>
    <w:rsid w:val="004D3BB5"/>
    <w:rsid w:val="004D3DCA"/>
    <w:rsid w:val="004D4013"/>
    <w:rsid w:val="004D435F"/>
    <w:rsid w:val="004D45C7"/>
    <w:rsid w:val="004D463F"/>
    <w:rsid w:val="004D464F"/>
    <w:rsid w:val="004D4694"/>
    <w:rsid w:val="004D4786"/>
    <w:rsid w:val="004D4941"/>
    <w:rsid w:val="004D49DB"/>
    <w:rsid w:val="004D4ABC"/>
    <w:rsid w:val="004D4B73"/>
    <w:rsid w:val="004D4C8D"/>
    <w:rsid w:val="004D4EE6"/>
    <w:rsid w:val="004D512B"/>
    <w:rsid w:val="004D51EF"/>
    <w:rsid w:val="004D522C"/>
    <w:rsid w:val="004D54A1"/>
    <w:rsid w:val="004D54EE"/>
    <w:rsid w:val="004D554D"/>
    <w:rsid w:val="004D560F"/>
    <w:rsid w:val="004D5721"/>
    <w:rsid w:val="004D589A"/>
    <w:rsid w:val="004D5C17"/>
    <w:rsid w:val="004D5CA2"/>
    <w:rsid w:val="004D5CDA"/>
    <w:rsid w:val="004D5DA3"/>
    <w:rsid w:val="004D5DFE"/>
    <w:rsid w:val="004D5E21"/>
    <w:rsid w:val="004D6068"/>
    <w:rsid w:val="004D616B"/>
    <w:rsid w:val="004D62F1"/>
    <w:rsid w:val="004D6408"/>
    <w:rsid w:val="004D6817"/>
    <w:rsid w:val="004D694D"/>
    <w:rsid w:val="004D69DD"/>
    <w:rsid w:val="004D6A40"/>
    <w:rsid w:val="004D6AC9"/>
    <w:rsid w:val="004D6E47"/>
    <w:rsid w:val="004D6E90"/>
    <w:rsid w:val="004D6F9C"/>
    <w:rsid w:val="004D7073"/>
    <w:rsid w:val="004D7357"/>
    <w:rsid w:val="004D73ED"/>
    <w:rsid w:val="004D74CF"/>
    <w:rsid w:val="004D7633"/>
    <w:rsid w:val="004D769C"/>
    <w:rsid w:val="004D76AA"/>
    <w:rsid w:val="004D7742"/>
    <w:rsid w:val="004D784F"/>
    <w:rsid w:val="004D7874"/>
    <w:rsid w:val="004D7887"/>
    <w:rsid w:val="004D790A"/>
    <w:rsid w:val="004D7932"/>
    <w:rsid w:val="004D7B21"/>
    <w:rsid w:val="004D7BBC"/>
    <w:rsid w:val="004D7CB0"/>
    <w:rsid w:val="004D7E45"/>
    <w:rsid w:val="004E0010"/>
    <w:rsid w:val="004E014F"/>
    <w:rsid w:val="004E024F"/>
    <w:rsid w:val="004E0A03"/>
    <w:rsid w:val="004E0A24"/>
    <w:rsid w:val="004E0DF7"/>
    <w:rsid w:val="004E0E7C"/>
    <w:rsid w:val="004E11FB"/>
    <w:rsid w:val="004E12D6"/>
    <w:rsid w:val="004E1426"/>
    <w:rsid w:val="004E1571"/>
    <w:rsid w:val="004E15AB"/>
    <w:rsid w:val="004E169B"/>
    <w:rsid w:val="004E16B6"/>
    <w:rsid w:val="004E189B"/>
    <w:rsid w:val="004E1907"/>
    <w:rsid w:val="004E19A1"/>
    <w:rsid w:val="004E19A8"/>
    <w:rsid w:val="004E1A3B"/>
    <w:rsid w:val="004E1A70"/>
    <w:rsid w:val="004E1B97"/>
    <w:rsid w:val="004E1C1F"/>
    <w:rsid w:val="004E1E78"/>
    <w:rsid w:val="004E20A8"/>
    <w:rsid w:val="004E252E"/>
    <w:rsid w:val="004E26BC"/>
    <w:rsid w:val="004E26DD"/>
    <w:rsid w:val="004E2802"/>
    <w:rsid w:val="004E2813"/>
    <w:rsid w:val="004E2854"/>
    <w:rsid w:val="004E285E"/>
    <w:rsid w:val="004E29DF"/>
    <w:rsid w:val="004E2A8F"/>
    <w:rsid w:val="004E2AD9"/>
    <w:rsid w:val="004E2BBD"/>
    <w:rsid w:val="004E2C42"/>
    <w:rsid w:val="004E2D2B"/>
    <w:rsid w:val="004E2E6B"/>
    <w:rsid w:val="004E2F2C"/>
    <w:rsid w:val="004E2F42"/>
    <w:rsid w:val="004E3223"/>
    <w:rsid w:val="004E345D"/>
    <w:rsid w:val="004E34F4"/>
    <w:rsid w:val="004E3649"/>
    <w:rsid w:val="004E3846"/>
    <w:rsid w:val="004E390B"/>
    <w:rsid w:val="004E3AA6"/>
    <w:rsid w:val="004E3BF6"/>
    <w:rsid w:val="004E3CB0"/>
    <w:rsid w:val="004E4194"/>
    <w:rsid w:val="004E4287"/>
    <w:rsid w:val="004E42A9"/>
    <w:rsid w:val="004E43B0"/>
    <w:rsid w:val="004E43E0"/>
    <w:rsid w:val="004E47D4"/>
    <w:rsid w:val="004E47D8"/>
    <w:rsid w:val="004E48F5"/>
    <w:rsid w:val="004E4C0C"/>
    <w:rsid w:val="004E4C24"/>
    <w:rsid w:val="004E4DFE"/>
    <w:rsid w:val="004E4F22"/>
    <w:rsid w:val="004E51DD"/>
    <w:rsid w:val="004E52AF"/>
    <w:rsid w:val="004E53A1"/>
    <w:rsid w:val="004E562E"/>
    <w:rsid w:val="004E5735"/>
    <w:rsid w:val="004E58FE"/>
    <w:rsid w:val="004E59CF"/>
    <w:rsid w:val="004E5A20"/>
    <w:rsid w:val="004E5A95"/>
    <w:rsid w:val="004E5AB7"/>
    <w:rsid w:val="004E5C07"/>
    <w:rsid w:val="004E5DC3"/>
    <w:rsid w:val="004E5EDA"/>
    <w:rsid w:val="004E6106"/>
    <w:rsid w:val="004E62A9"/>
    <w:rsid w:val="004E62BA"/>
    <w:rsid w:val="004E6349"/>
    <w:rsid w:val="004E63CB"/>
    <w:rsid w:val="004E63D7"/>
    <w:rsid w:val="004E6520"/>
    <w:rsid w:val="004E65BA"/>
    <w:rsid w:val="004E6616"/>
    <w:rsid w:val="004E6774"/>
    <w:rsid w:val="004E6899"/>
    <w:rsid w:val="004E6A8C"/>
    <w:rsid w:val="004E6ACB"/>
    <w:rsid w:val="004E6B49"/>
    <w:rsid w:val="004E6BF4"/>
    <w:rsid w:val="004E6C55"/>
    <w:rsid w:val="004E6F22"/>
    <w:rsid w:val="004E6FE1"/>
    <w:rsid w:val="004E7062"/>
    <w:rsid w:val="004E7183"/>
    <w:rsid w:val="004E72FD"/>
    <w:rsid w:val="004E73EF"/>
    <w:rsid w:val="004E755B"/>
    <w:rsid w:val="004E771B"/>
    <w:rsid w:val="004E77B3"/>
    <w:rsid w:val="004E783D"/>
    <w:rsid w:val="004E7CD9"/>
    <w:rsid w:val="004E7D22"/>
    <w:rsid w:val="004E7DB9"/>
    <w:rsid w:val="004E7E36"/>
    <w:rsid w:val="004E7FC0"/>
    <w:rsid w:val="004F00B6"/>
    <w:rsid w:val="004F016C"/>
    <w:rsid w:val="004F03AA"/>
    <w:rsid w:val="004F061F"/>
    <w:rsid w:val="004F0D87"/>
    <w:rsid w:val="004F0E3F"/>
    <w:rsid w:val="004F0F18"/>
    <w:rsid w:val="004F12E3"/>
    <w:rsid w:val="004F13D4"/>
    <w:rsid w:val="004F1473"/>
    <w:rsid w:val="004F14A6"/>
    <w:rsid w:val="004F150C"/>
    <w:rsid w:val="004F151D"/>
    <w:rsid w:val="004F15B5"/>
    <w:rsid w:val="004F178A"/>
    <w:rsid w:val="004F18B9"/>
    <w:rsid w:val="004F18FE"/>
    <w:rsid w:val="004F1B25"/>
    <w:rsid w:val="004F1DF7"/>
    <w:rsid w:val="004F1E56"/>
    <w:rsid w:val="004F2160"/>
    <w:rsid w:val="004F2305"/>
    <w:rsid w:val="004F24F7"/>
    <w:rsid w:val="004F2625"/>
    <w:rsid w:val="004F2861"/>
    <w:rsid w:val="004F286D"/>
    <w:rsid w:val="004F299B"/>
    <w:rsid w:val="004F29A9"/>
    <w:rsid w:val="004F2B64"/>
    <w:rsid w:val="004F2DB1"/>
    <w:rsid w:val="004F2DC1"/>
    <w:rsid w:val="004F2E0C"/>
    <w:rsid w:val="004F2F39"/>
    <w:rsid w:val="004F2F4E"/>
    <w:rsid w:val="004F2F51"/>
    <w:rsid w:val="004F2FC8"/>
    <w:rsid w:val="004F30FF"/>
    <w:rsid w:val="004F312F"/>
    <w:rsid w:val="004F313D"/>
    <w:rsid w:val="004F32C7"/>
    <w:rsid w:val="004F32CE"/>
    <w:rsid w:val="004F3319"/>
    <w:rsid w:val="004F35C6"/>
    <w:rsid w:val="004F35EB"/>
    <w:rsid w:val="004F3884"/>
    <w:rsid w:val="004F38D8"/>
    <w:rsid w:val="004F39B1"/>
    <w:rsid w:val="004F3BCA"/>
    <w:rsid w:val="004F3BE4"/>
    <w:rsid w:val="004F3CC2"/>
    <w:rsid w:val="004F3E09"/>
    <w:rsid w:val="004F3E6F"/>
    <w:rsid w:val="004F3EAF"/>
    <w:rsid w:val="004F3EE4"/>
    <w:rsid w:val="004F41F0"/>
    <w:rsid w:val="004F446D"/>
    <w:rsid w:val="004F447D"/>
    <w:rsid w:val="004F44EE"/>
    <w:rsid w:val="004F45A7"/>
    <w:rsid w:val="004F47EE"/>
    <w:rsid w:val="004F48B9"/>
    <w:rsid w:val="004F48D0"/>
    <w:rsid w:val="004F4AA2"/>
    <w:rsid w:val="004F4AAB"/>
    <w:rsid w:val="004F4AB1"/>
    <w:rsid w:val="004F4DE8"/>
    <w:rsid w:val="004F4E80"/>
    <w:rsid w:val="004F51D3"/>
    <w:rsid w:val="004F54F4"/>
    <w:rsid w:val="004F589D"/>
    <w:rsid w:val="004F59FC"/>
    <w:rsid w:val="004F5A14"/>
    <w:rsid w:val="004F5B65"/>
    <w:rsid w:val="004F5D05"/>
    <w:rsid w:val="004F5D9C"/>
    <w:rsid w:val="004F5F8F"/>
    <w:rsid w:val="004F6005"/>
    <w:rsid w:val="004F6379"/>
    <w:rsid w:val="004F6404"/>
    <w:rsid w:val="004F64C7"/>
    <w:rsid w:val="004F6542"/>
    <w:rsid w:val="004F658A"/>
    <w:rsid w:val="004F6639"/>
    <w:rsid w:val="004F69C3"/>
    <w:rsid w:val="004F6B39"/>
    <w:rsid w:val="004F6B4F"/>
    <w:rsid w:val="004F6CCB"/>
    <w:rsid w:val="004F6E6E"/>
    <w:rsid w:val="004F6EA0"/>
    <w:rsid w:val="004F7058"/>
    <w:rsid w:val="004F766E"/>
    <w:rsid w:val="004F77F2"/>
    <w:rsid w:val="004F781A"/>
    <w:rsid w:val="004F7837"/>
    <w:rsid w:val="004F789B"/>
    <w:rsid w:val="004F7973"/>
    <w:rsid w:val="004F7A47"/>
    <w:rsid w:val="004F7AB0"/>
    <w:rsid w:val="004F7AC3"/>
    <w:rsid w:val="004F7C3A"/>
    <w:rsid w:val="004F7CAE"/>
    <w:rsid w:val="004F7F8A"/>
    <w:rsid w:val="005001D3"/>
    <w:rsid w:val="0050045C"/>
    <w:rsid w:val="00500760"/>
    <w:rsid w:val="00500E9A"/>
    <w:rsid w:val="00500F03"/>
    <w:rsid w:val="00500F73"/>
    <w:rsid w:val="00501100"/>
    <w:rsid w:val="00501140"/>
    <w:rsid w:val="0050142D"/>
    <w:rsid w:val="00501489"/>
    <w:rsid w:val="005014FA"/>
    <w:rsid w:val="00501544"/>
    <w:rsid w:val="0050156B"/>
    <w:rsid w:val="0050160D"/>
    <w:rsid w:val="00501628"/>
    <w:rsid w:val="005016FC"/>
    <w:rsid w:val="0050177F"/>
    <w:rsid w:val="005017C8"/>
    <w:rsid w:val="005019E1"/>
    <w:rsid w:val="00501A5E"/>
    <w:rsid w:val="00501A78"/>
    <w:rsid w:val="00501B67"/>
    <w:rsid w:val="00501D5A"/>
    <w:rsid w:val="00501FF2"/>
    <w:rsid w:val="005020D9"/>
    <w:rsid w:val="00502456"/>
    <w:rsid w:val="00502526"/>
    <w:rsid w:val="005025A2"/>
    <w:rsid w:val="00502904"/>
    <w:rsid w:val="005029AF"/>
    <w:rsid w:val="005029FC"/>
    <w:rsid w:val="00502AB4"/>
    <w:rsid w:val="00502B00"/>
    <w:rsid w:val="00502D80"/>
    <w:rsid w:val="00502F3C"/>
    <w:rsid w:val="00502F44"/>
    <w:rsid w:val="00502F60"/>
    <w:rsid w:val="00502FFF"/>
    <w:rsid w:val="005030D3"/>
    <w:rsid w:val="00503210"/>
    <w:rsid w:val="00503239"/>
    <w:rsid w:val="0050333D"/>
    <w:rsid w:val="005034A7"/>
    <w:rsid w:val="0050371C"/>
    <w:rsid w:val="005037DE"/>
    <w:rsid w:val="00503863"/>
    <w:rsid w:val="0050399C"/>
    <w:rsid w:val="00503A05"/>
    <w:rsid w:val="00503B55"/>
    <w:rsid w:val="00503DEA"/>
    <w:rsid w:val="00503DEF"/>
    <w:rsid w:val="00503DF2"/>
    <w:rsid w:val="00503EA2"/>
    <w:rsid w:val="00503F88"/>
    <w:rsid w:val="00504266"/>
    <w:rsid w:val="00504469"/>
    <w:rsid w:val="005044B1"/>
    <w:rsid w:val="005044E3"/>
    <w:rsid w:val="0050450E"/>
    <w:rsid w:val="00504538"/>
    <w:rsid w:val="0050462E"/>
    <w:rsid w:val="00504648"/>
    <w:rsid w:val="00504687"/>
    <w:rsid w:val="0050472E"/>
    <w:rsid w:val="005047C7"/>
    <w:rsid w:val="005048EB"/>
    <w:rsid w:val="00504AA5"/>
    <w:rsid w:val="00504B29"/>
    <w:rsid w:val="00504C8C"/>
    <w:rsid w:val="00504DBD"/>
    <w:rsid w:val="00504E5E"/>
    <w:rsid w:val="00504F41"/>
    <w:rsid w:val="00504FF4"/>
    <w:rsid w:val="00505201"/>
    <w:rsid w:val="00505518"/>
    <w:rsid w:val="0050553B"/>
    <w:rsid w:val="00505553"/>
    <w:rsid w:val="00505608"/>
    <w:rsid w:val="0050564E"/>
    <w:rsid w:val="0050578E"/>
    <w:rsid w:val="0050579A"/>
    <w:rsid w:val="005059EF"/>
    <w:rsid w:val="00505BB4"/>
    <w:rsid w:val="00505D7B"/>
    <w:rsid w:val="00505F5F"/>
    <w:rsid w:val="00506289"/>
    <w:rsid w:val="005064B8"/>
    <w:rsid w:val="005064C7"/>
    <w:rsid w:val="005066E8"/>
    <w:rsid w:val="005068FF"/>
    <w:rsid w:val="00506905"/>
    <w:rsid w:val="005069F3"/>
    <w:rsid w:val="00506A21"/>
    <w:rsid w:val="00506AC2"/>
    <w:rsid w:val="00506BA4"/>
    <w:rsid w:val="00506BAC"/>
    <w:rsid w:val="00506F72"/>
    <w:rsid w:val="00507193"/>
    <w:rsid w:val="00507346"/>
    <w:rsid w:val="0050744D"/>
    <w:rsid w:val="00507583"/>
    <w:rsid w:val="005078E7"/>
    <w:rsid w:val="00507965"/>
    <w:rsid w:val="005079AD"/>
    <w:rsid w:val="00507B88"/>
    <w:rsid w:val="00507C43"/>
    <w:rsid w:val="00507CD5"/>
    <w:rsid w:val="00507D29"/>
    <w:rsid w:val="00507DBE"/>
    <w:rsid w:val="00507DE9"/>
    <w:rsid w:val="00507E5B"/>
    <w:rsid w:val="00507F35"/>
    <w:rsid w:val="00507F41"/>
    <w:rsid w:val="00507FC6"/>
    <w:rsid w:val="00510139"/>
    <w:rsid w:val="0051020A"/>
    <w:rsid w:val="00510238"/>
    <w:rsid w:val="0051030B"/>
    <w:rsid w:val="0051033D"/>
    <w:rsid w:val="00510371"/>
    <w:rsid w:val="0051037D"/>
    <w:rsid w:val="0051039F"/>
    <w:rsid w:val="005103CD"/>
    <w:rsid w:val="005104A4"/>
    <w:rsid w:val="005105D7"/>
    <w:rsid w:val="005109A1"/>
    <w:rsid w:val="00510B8E"/>
    <w:rsid w:val="00510BED"/>
    <w:rsid w:val="00510C4D"/>
    <w:rsid w:val="00510CC9"/>
    <w:rsid w:val="00510D15"/>
    <w:rsid w:val="00510D41"/>
    <w:rsid w:val="00510E63"/>
    <w:rsid w:val="00510EB1"/>
    <w:rsid w:val="0051115E"/>
    <w:rsid w:val="00511184"/>
    <w:rsid w:val="00511226"/>
    <w:rsid w:val="00511359"/>
    <w:rsid w:val="005113AC"/>
    <w:rsid w:val="00511622"/>
    <w:rsid w:val="0051163D"/>
    <w:rsid w:val="00511A1C"/>
    <w:rsid w:val="00511C6C"/>
    <w:rsid w:val="00511CB8"/>
    <w:rsid w:val="00511D1E"/>
    <w:rsid w:val="005120CE"/>
    <w:rsid w:val="005122F7"/>
    <w:rsid w:val="00512375"/>
    <w:rsid w:val="005123B8"/>
    <w:rsid w:val="005124AE"/>
    <w:rsid w:val="005125D4"/>
    <w:rsid w:val="0051283C"/>
    <w:rsid w:val="00512DF2"/>
    <w:rsid w:val="00512ECA"/>
    <w:rsid w:val="00513253"/>
    <w:rsid w:val="00513318"/>
    <w:rsid w:val="00513373"/>
    <w:rsid w:val="0051338D"/>
    <w:rsid w:val="005134A8"/>
    <w:rsid w:val="00513762"/>
    <w:rsid w:val="00513D78"/>
    <w:rsid w:val="00513DD4"/>
    <w:rsid w:val="00513E30"/>
    <w:rsid w:val="00514316"/>
    <w:rsid w:val="00514388"/>
    <w:rsid w:val="00514520"/>
    <w:rsid w:val="0051452C"/>
    <w:rsid w:val="005147CE"/>
    <w:rsid w:val="005147EA"/>
    <w:rsid w:val="0051491D"/>
    <w:rsid w:val="00514B37"/>
    <w:rsid w:val="00514BEC"/>
    <w:rsid w:val="00514BFE"/>
    <w:rsid w:val="00514C5E"/>
    <w:rsid w:val="00514E5C"/>
    <w:rsid w:val="00514E8B"/>
    <w:rsid w:val="00514E9D"/>
    <w:rsid w:val="005153E1"/>
    <w:rsid w:val="00515491"/>
    <w:rsid w:val="005155A9"/>
    <w:rsid w:val="00515676"/>
    <w:rsid w:val="00515711"/>
    <w:rsid w:val="0051580C"/>
    <w:rsid w:val="00515A6E"/>
    <w:rsid w:val="00515B42"/>
    <w:rsid w:val="00515BA1"/>
    <w:rsid w:val="00515BFA"/>
    <w:rsid w:val="00515D4F"/>
    <w:rsid w:val="00515D83"/>
    <w:rsid w:val="00516033"/>
    <w:rsid w:val="0051632A"/>
    <w:rsid w:val="005165B3"/>
    <w:rsid w:val="0051675F"/>
    <w:rsid w:val="00516780"/>
    <w:rsid w:val="00516951"/>
    <w:rsid w:val="00516B24"/>
    <w:rsid w:val="00516B66"/>
    <w:rsid w:val="00516B8F"/>
    <w:rsid w:val="00516BB9"/>
    <w:rsid w:val="00516DCC"/>
    <w:rsid w:val="00516DEA"/>
    <w:rsid w:val="00516E82"/>
    <w:rsid w:val="00516F26"/>
    <w:rsid w:val="00516FD9"/>
    <w:rsid w:val="0051729D"/>
    <w:rsid w:val="005172A0"/>
    <w:rsid w:val="00517383"/>
    <w:rsid w:val="0051740A"/>
    <w:rsid w:val="005175BC"/>
    <w:rsid w:val="00517681"/>
    <w:rsid w:val="0051774A"/>
    <w:rsid w:val="0051792A"/>
    <w:rsid w:val="00517A1F"/>
    <w:rsid w:val="00517B37"/>
    <w:rsid w:val="00517C8C"/>
    <w:rsid w:val="00517CB3"/>
    <w:rsid w:val="00517D41"/>
    <w:rsid w:val="00517EDE"/>
    <w:rsid w:val="00517EF4"/>
    <w:rsid w:val="00517F24"/>
    <w:rsid w:val="00517F7F"/>
    <w:rsid w:val="005200C0"/>
    <w:rsid w:val="0052021E"/>
    <w:rsid w:val="0052032B"/>
    <w:rsid w:val="00520360"/>
    <w:rsid w:val="005204F3"/>
    <w:rsid w:val="00520519"/>
    <w:rsid w:val="0052052C"/>
    <w:rsid w:val="005205D7"/>
    <w:rsid w:val="00520718"/>
    <w:rsid w:val="005207F6"/>
    <w:rsid w:val="0052080F"/>
    <w:rsid w:val="00520861"/>
    <w:rsid w:val="005208A6"/>
    <w:rsid w:val="00520DAB"/>
    <w:rsid w:val="00520E48"/>
    <w:rsid w:val="00520EB5"/>
    <w:rsid w:val="0052101C"/>
    <w:rsid w:val="00521136"/>
    <w:rsid w:val="00521181"/>
    <w:rsid w:val="005211BB"/>
    <w:rsid w:val="005211BF"/>
    <w:rsid w:val="0052128A"/>
    <w:rsid w:val="00521375"/>
    <w:rsid w:val="00521664"/>
    <w:rsid w:val="005218F5"/>
    <w:rsid w:val="00521C2C"/>
    <w:rsid w:val="00521C2D"/>
    <w:rsid w:val="00521C9C"/>
    <w:rsid w:val="00521D60"/>
    <w:rsid w:val="00521ED1"/>
    <w:rsid w:val="005222E3"/>
    <w:rsid w:val="0052234B"/>
    <w:rsid w:val="00522375"/>
    <w:rsid w:val="005224B3"/>
    <w:rsid w:val="005226F2"/>
    <w:rsid w:val="005226F9"/>
    <w:rsid w:val="00522756"/>
    <w:rsid w:val="00522A31"/>
    <w:rsid w:val="00522B3B"/>
    <w:rsid w:val="00522BA9"/>
    <w:rsid w:val="00522BB3"/>
    <w:rsid w:val="00522E72"/>
    <w:rsid w:val="00522E9B"/>
    <w:rsid w:val="00522FB8"/>
    <w:rsid w:val="00522FDB"/>
    <w:rsid w:val="00523134"/>
    <w:rsid w:val="00523157"/>
    <w:rsid w:val="00523314"/>
    <w:rsid w:val="0052332B"/>
    <w:rsid w:val="005236C4"/>
    <w:rsid w:val="00523816"/>
    <w:rsid w:val="00523C95"/>
    <w:rsid w:val="00523CE0"/>
    <w:rsid w:val="00523D2B"/>
    <w:rsid w:val="00523E23"/>
    <w:rsid w:val="005240A3"/>
    <w:rsid w:val="00524374"/>
    <w:rsid w:val="00524412"/>
    <w:rsid w:val="00524456"/>
    <w:rsid w:val="00524602"/>
    <w:rsid w:val="0052461B"/>
    <w:rsid w:val="005248CD"/>
    <w:rsid w:val="00524A89"/>
    <w:rsid w:val="00524AAB"/>
    <w:rsid w:val="00524D28"/>
    <w:rsid w:val="00524D6D"/>
    <w:rsid w:val="00524E42"/>
    <w:rsid w:val="00524EC5"/>
    <w:rsid w:val="00524FAD"/>
    <w:rsid w:val="00525038"/>
    <w:rsid w:val="0052516B"/>
    <w:rsid w:val="00525265"/>
    <w:rsid w:val="00525422"/>
    <w:rsid w:val="00525763"/>
    <w:rsid w:val="005258E3"/>
    <w:rsid w:val="00525A70"/>
    <w:rsid w:val="00525ABF"/>
    <w:rsid w:val="00525BDE"/>
    <w:rsid w:val="00525D94"/>
    <w:rsid w:val="00525E1D"/>
    <w:rsid w:val="00525EA2"/>
    <w:rsid w:val="00525EE9"/>
    <w:rsid w:val="00525F4D"/>
    <w:rsid w:val="0052600F"/>
    <w:rsid w:val="0052608A"/>
    <w:rsid w:val="005260DF"/>
    <w:rsid w:val="005261C3"/>
    <w:rsid w:val="00526528"/>
    <w:rsid w:val="005265CE"/>
    <w:rsid w:val="0052670D"/>
    <w:rsid w:val="00526946"/>
    <w:rsid w:val="0052694C"/>
    <w:rsid w:val="00526C86"/>
    <w:rsid w:val="00526E74"/>
    <w:rsid w:val="00526FE6"/>
    <w:rsid w:val="00527003"/>
    <w:rsid w:val="00527051"/>
    <w:rsid w:val="0052707D"/>
    <w:rsid w:val="005271BB"/>
    <w:rsid w:val="00527207"/>
    <w:rsid w:val="0052740A"/>
    <w:rsid w:val="0052756A"/>
    <w:rsid w:val="005277EB"/>
    <w:rsid w:val="005279D7"/>
    <w:rsid w:val="00527AE1"/>
    <w:rsid w:val="00527C9B"/>
    <w:rsid w:val="00527C9E"/>
    <w:rsid w:val="00527CBC"/>
    <w:rsid w:val="00527CED"/>
    <w:rsid w:val="00527D79"/>
    <w:rsid w:val="00527F6B"/>
    <w:rsid w:val="00530479"/>
    <w:rsid w:val="00530551"/>
    <w:rsid w:val="00530584"/>
    <w:rsid w:val="00530726"/>
    <w:rsid w:val="005307B5"/>
    <w:rsid w:val="00530878"/>
    <w:rsid w:val="00530C8F"/>
    <w:rsid w:val="00530CD2"/>
    <w:rsid w:val="00530CFB"/>
    <w:rsid w:val="00530D50"/>
    <w:rsid w:val="005310B5"/>
    <w:rsid w:val="005310D1"/>
    <w:rsid w:val="0053118C"/>
    <w:rsid w:val="005311AA"/>
    <w:rsid w:val="0053150E"/>
    <w:rsid w:val="005315C7"/>
    <w:rsid w:val="0053185C"/>
    <w:rsid w:val="005318CD"/>
    <w:rsid w:val="00531934"/>
    <w:rsid w:val="00531A81"/>
    <w:rsid w:val="00531D27"/>
    <w:rsid w:val="00531D55"/>
    <w:rsid w:val="00531EB6"/>
    <w:rsid w:val="0053220D"/>
    <w:rsid w:val="00532669"/>
    <w:rsid w:val="005327EB"/>
    <w:rsid w:val="00532803"/>
    <w:rsid w:val="005328E2"/>
    <w:rsid w:val="00532918"/>
    <w:rsid w:val="00532928"/>
    <w:rsid w:val="00532946"/>
    <w:rsid w:val="00532A01"/>
    <w:rsid w:val="00532A3D"/>
    <w:rsid w:val="00532BD6"/>
    <w:rsid w:val="00532C3F"/>
    <w:rsid w:val="00532D5D"/>
    <w:rsid w:val="00532DA9"/>
    <w:rsid w:val="00532E76"/>
    <w:rsid w:val="00532F7A"/>
    <w:rsid w:val="005331AC"/>
    <w:rsid w:val="005332FD"/>
    <w:rsid w:val="00533304"/>
    <w:rsid w:val="0053340C"/>
    <w:rsid w:val="005334B6"/>
    <w:rsid w:val="005334E2"/>
    <w:rsid w:val="005335CD"/>
    <w:rsid w:val="00533647"/>
    <w:rsid w:val="0053380B"/>
    <w:rsid w:val="00533816"/>
    <w:rsid w:val="0053390F"/>
    <w:rsid w:val="00533C31"/>
    <w:rsid w:val="00533ECD"/>
    <w:rsid w:val="00534090"/>
    <w:rsid w:val="00534190"/>
    <w:rsid w:val="005341F9"/>
    <w:rsid w:val="0053440D"/>
    <w:rsid w:val="0053443B"/>
    <w:rsid w:val="00534627"/>
    <w:rsid w:val="005347E9"/>
    <w:rsid w:val="00534B19"/>
    <w:rsid w:val="00534B40"/>
    <w:rsid w:val="00534BAC"/>
    <w:rsid w:val="00534E3B"/>
    <w:rsid w:val="00534E61"/>
    <w:rsid w:val="00534E87"/>
    <w:rsid w:val="00535086"/>
    <w:rsid w:val="005350E2"/>
    <w:rsid w:val="00535130"/>
    <w:rsid w:val="00535131"/>
    <w:rsid w:val="005352A4"/>
    <w:rsid w:val="00535415"/>
    <w:rsid w:val="00535923"/>
    <w:rsid w:val="00535A0F"/>
    <w:rsid w:val="00535A36"/>
    <w:rsid w:val="00535A63"/>
    <w:rsid w:val="00535ADF"/>
    <w:rsid w:val="00535C53"/>
    <w:rsid w:val="00535C78"/>
    <w:rsid w:val="00535E40"/>
    <w:rsid w:val="0053600B"/>
    <w:rsid w:val="00536529"/>
    <w:rsid w:val="0053667C"/>
    <w:rsid w:val="005366B0"/>
    <w:rsid w:val="00536908"/>
    <w:rsid w:val="00536947"/>
    <w:rsid w:val="00536991"/>
    <w:rsid w:val="00536A66"/>
    <w:rsid w:val="00536B75"/>
    <w:rsid w:val="00536BD1"/>
    <w:rsid w:val="00536BDC"/>
    <w:rsid w:val="00536C3C"/>
    <w:rsid w:val="00536C82"/>
    <w:rsid w:val="00536F73"/>
    <w:rsid w:val="00537150"/>
    <w:rsid w:val="00537260"/>
    <w:rsid w:val="005372F6"/>
    <w:rsid w:val="0053741E"/>
    <w:rsid w:val="00537497"/>
    <w:rsid w:val="00537587"/>
    <w:rsid w:val="00537665"/>
    <w:rsid w:val="0053777C"/>
    <w:rsid w:val="00537787"/>
    <w:rsid w:val="005377A7"/>
    <w:rsid w:val="005379A7"/>
    <w:rsid w:val="00537D0C"/>
    <w:rsid w:val="00540586"/>
    <w:rsid w:val="00540592"/>
    <w:rsid w:val="00540844"/>
    <w:rsid w:val="0054098C"/>
    <w:rsid w:val="00540BAA"/>
    <w:rsid w:val="00540E9E"/>
    <w:rsid w:val="00540FC4"/>
    <w:rsid w:val="00541073"/>
    <w:rsid w:val="0054108C"/>
    <w:rsid w:val="00541313"/>
    <w:rsid w:val="0054134B"/>
    <w:rsid w:val="005414F5"/>
    <w:rsid w:val="005416DB"/>
    <w:rsid w:val="00541770"/>
    <w:rsid w:val="00541820"/>
    <w:rsid w:val="005419B1"/>
    <w:rsid w:val="00541A5F"/>
    <w:rsid w:val="00541B38"/>
    <w:rsid w:val="0054219C"/>
    <w:rsid w:val="005421A0"/>
    <w:rsid w:val="0054220D"/>
    <w:rsid w:val="005422B5"/>
    <w:rsid w:val="0054233F"/>
    <w:rsid w:val="0054242F"/>
    <w:rsid w:val="005425A3"/>
    <w:rsid w:val="0054269A"/>
    <w:rsid w:val="005427AD"/>
    <w:rsid w:val="005427F5"/>
    <w:rsid w:val="00542849"/>
    <w:rsid w:val="00542997"/>
    <w:rsid w:val="00542BE7"/>
    <w:rsid w:val="00542C27"/>
    <w:rsid w:val="00542EC7"/>
    <w:rsid w:val="00542EF7"/>
    <w:rsid w:val="00542F72"/>
    <w:rsid w:val="00542F8E"/>
    <w:rsid w:val="00543249"/>
    <w:rsid w:val="00543568"/>
    <w:rsid w:val="0054360A"/>
    <w:rsid w:val="00543AAA"/>
    <w:rsid w:val="00543CFF"/>
    <w:rsid w:val="00543D09"/>
    <w:rsid w:val="00543DC5"/>
    <w:rsid w:val="00543DDD"/>
    <w:rsid w:val="005443AD"/>
    <w:rsid w:val="00544481"/>
    <w:rsid w:val="00544924"/>
    <w:rsid w:val="00544F5C"/>
    <w:rsid w:val="00544FF6"/>
    <w:rsid w:val="005450A8"/>
    <w:rsid w:val="00545208"/>
    <w:rsid w:val="005453A3"/>
    <w:rsid w:val="00545473"/>
    <w:rsid w:val="00545574"/>
    <w:rsid w:val="00545666"/>
    <w:rsid w:val="00545698"/>
    <w:rsid w:val="00545940"/>
    <w:rsid w:val="00545B12"/>
    <w:rsid w:val="00545B31"/>
    <w:rsid w:val="00545B94"/>
    <w:rsid w:val="00545BA8"/>
    <w:rsid w:val="00545D14"/>
    <w:rsid w:val="00545D84"/>
    <w:rsid w:val="00545F02"/>
    <w:rsid w:val="00546087"/>
    <w:rsid w:val="005461BE"/>
    <w:rsid w:val="005462A9"/>
    <w:rsid w:val="005462B7"/>
    <w:rsid w:val="005464BA"/>
    <w:rsid w:val="005465C3"/>
    <w:rsid w:val="005467D8"/>
    <w:rsid w:val="00546A14"/>
    <w:rsid w:val="00546A49"/>
    <w:rsid w:val="00546B4F"/>
    <w:rsid w:val="00546B6C"/>
    <w:rsid w:val="00546CB2"/>
    <w:rsid w:val="00546FC2"/>
    <w:rsid w:val="00547259"/>
    <w:rsid w:val="00547370"/>
    <w:rsid w:val="005473BB"/>
    <w:rsid w:val="005475CF"/>
    <w:rsid w:val="005476DB"/>
    <w:rsid w:val="005477B7"/>
    <w:rsid w:val="0054782E"/>
    <w:rsid w:val="0054792C"/>
    <w:rsid w:val="00547B1F"/>
    <w:rsid w:val="00547C8E"/>
    <w:rsid w:val="00547D09"/>
    <w:rsid w:val="00547EAB"/>
    <w:rsid w:val="00547F95"/>
    <w:rsid w:val="00547FD0"/>
    <w:rsid w:val="0055000C"/>
    <w:rsid w:val="0055022F"/>
    <w:rsid w:val="0055034D"/>
    <w:rsid w:val="005503FE"/>
    <w:rsid w:val="0055056F"/>
    <w:rsid w:val="005506DA"/>
    <w:rsid w:val="00550766"/>
    <w:rsid w:val="0055098B"/>
    <w:rsid w:val="00550B59"/>
    <w:rsid w:val="00550E2D"/>
    <w:rsid w:val="00550F59"/>
    <w:rsid w:val="00551006"/>
    <w:rsid w:val="00551127"/>
    <w:rsid w:val="00551203"/>
    <w:rsid w:val="00551505"/>
    <w:rsid w:val="0055153D"/>
    <w:rsid w:val="005515BD"/>
    <w:rsid w:val="005515C1"/>
    <w:rsid w:val="005517B9"/>
    <w:rsid w:val="00551B4D"/>
    <w:rsid w:val="00551B78"/>
    <w:rsid w:val="00551D14"/>
    <w:rsid w:val="00551DD9"/>
    <w:rsid w:val="00551DF9"/>
    <w:rsid w:val="00551F75"/>
    <w:rsid w:val="00551FDE"/>
    <w:rsid w:val="00552014"/>
    <w:rsid w:val="00552060"/>
    <w:rsid w:val="005520D9"/>
    <w:rsid w:val="0055214B"/>
    <w:rsid w:val="005524C7"/>
    <w:rsid w:val="00552A31"/>
    <w:rsid w:val="00552A78"/>
    <w:rsid w:val="00552C03"/>
    <w:rsid w:val="00552E66"/>
    <w:rsid w:val="00552E86"/>
    <w:rsid w:val="00552F84"/>
    <w:rsid w:val="0055313E"/>
    <w:rsid w:val="0055336F"/>
    <w:rsid w:val="005533AE"/>
    <w:rsid w:val="00553534"/>
    <w:rsid w:val="00553573"/>
    <w:rsid w:val="00553661"/>
    <w:rsid w:val="005536D2"/>
    <w:rsid w:val="005536FB"/>
    <w:rsid w:val="00553822"/>
    <w:rsid w:val="005538CC"/>
    <w:rsid w:val="00553921"/>
    <w:rsid w:val="005539A5"/>
    <w:rsid w:val="00553A8F"/>
    <w:rsid w:val="00553A91"/>
    <w:rsid w:val="00553BF2"/>
    <w:rsid w:val="00553CDC"/>
    <w:rsid w:val="005543D0"/>
    <w:rsid w:val="005544A5"/>
    <w:rsid w:val="00554688"/>
    <w:rsid w:val="005546D8"/>
    <w:rsid w:val="00554854"/>
    <w:rsid w:val="00554AF8"/>
    <w:rsid w:val="00554D6C"/>
    <w:rsid w:val="00554D83"/>
    <w:rsid w:val="00554D99"/>
    <w:rsid w:val="00554E6E"/>
    <w:rsid w:val="00554F5C"/>
    <w:rsid w:val="00554F6C"/>
    <w:rsid w:val="00555111"/>
    <w:rsid w:val="005552EA"/>
    <w:rsid w:val="005554F6"/>
    <w:rsid w:val="005555E1"/>
    <w:rsid w:val="00555731"/>
    <w:rsid w:val="00555B3D"/>
    <w:rsid w:val="00555B52"/>
    <w:rsid w:val="00555BE2"/>
    <w:rsid w:val="00555D4F"/>
    <w:rsid w:val="00555F1A"/>
    <w:rsid w:val="00555F20"/>
    <w:rsid w:val="005561AF"/>
    <w:rsid w:val="005562E2"/>
    <w:rsid w:val="00556379"/>
    <w:rsid w:val="005563CB"/>
    <w:rsid w:val="0055645B"/>
    <w:rsid w:val="00556483"/>
    <w:rsid w:val="0055661A"/>
    <w:rsid w:val="005566BA"/>
    <w:rsid w:val="005566E1"/>
    <w:rsid w:val="00556BFB"/>
    <w:rsid w:val="00556DCA"/>
    <w:rsid w:val="00556F29"/>
    <w:rsid w:val="00556FD1"/>
    <w:rsid w:val="00557013"/>
    <w:rsid w:val="005570B2"/>
    <w:rsid w:val="00557194"/>
    <w:rsid w:val="00557222"/>
    <w:rsid w:val="00557328"/>
    <w:rsid w:val="00557431"/>
    <w:rsid w:val="0055744E"/>
    <w:rsid w:val="005574C2"/>
    <w:rsid w:val="00557535"/>
    <w:rsid w:val="00557537"/>
    <w:rsid w:val="005576BE"/>
    <w:rsid w:val="005576C5"/>
    <w:rsid w:val="0055775F"/>
    <w:rsid w:val="00557790"/>
    <w:rsid w:val="00557A9E"/>
    <w:rsid w:val="00557C9C"/>
    <w:rsid w:val="00557CB4"/>
    <w:rsid w:val="00557D19"/>
    <w:rsid w:val="0056031F"/>
    <w:rsid w:val="005604E9"/>
    <w:rsid w:val="0056063E"/>
    <w:rsid w:val="0056065B"/>
    <w:rsid w:val="00560728"/>
    <w:rsid w:val="00560B68"/>
    <w:rsid w:val="00560C06"/>
    <w:rsid w:val="00560D3C"/>
    <w:rsid w:val="00560D87"/>
    <w:rsid w:val="00560FEB"/>
    <w:rsid w:val="005611E8"/>
    <w:rsid w:val="00561243"/>
    <w:rsid w:val="00561381"/>
    <w:rsid w:val="005614C5"/>
    <w:rsid w:val="00561592"/>
    <w:rsid w:val="00561651"/>
    <w:rsid w:val="005619B9"/>
    <w:rsid w:val="00562020"/>
    <w:rsid w:val="00562318"/>
    <w:rsid w:val="00562403"/>
    <w:rsid w:val="00562461"/>
    <w:rsid w:val="0056248B"/>
    <w:rsid w:val="00562547"/>
    <w:rsid w:val="005625C4"/>
    <w:rsid w:val="00562681"/>
    <w:rsid w:val="00562A03"/>
    <w:rsid w:val="00562A09"/>
    <w:rsid w:val="00562A99"/>
    <w:rsid w:val="00562BF7"/>
    <w:rsid w:val="00563225"/>
    <w:rsid w:val="005632CE"/>
    <w:rsid w:val="005632F5"/>
    <w:rsid w:val="00563311"/>
    <w:rsid w:val="00563435"/>
    <w:rsid w:val="005635DA"/>
    <w:rsid w:val="005636BB"/>
    <w:rsid w:val="0056389D"/>
    <w:rsid w:val="00563974"/>
    <w:rsid w:val="005639DB"/>
    <w:rsid w:val="00563A05"/>
    <w:rsid w:val="00563AD3"/>
    <w:rsid w:val="00563ADD"/>
    <w:rsid w:val="00563CE6"/>
    <w:rsid w:val="00563D13"/>
    <w:rsid w:val="00563F61"/>
    <w:rsid w:val="00563FEE"/>
    <w:rsid w:val="0056405F"/>
    <w:rsid w:val="0056407D"/>
    <w:rsid w:val="005640FE"/>
    <w:rsid w:val="00564261"/>
    <w:rsid w:val="00564389"/>
    <w:rsid w:val="005644A6"/>
    <w:rsid w:val="005644C2"/>
    <w:rsid w:val="005644DB"/>
    <w:rsid w:val="005645CE"/>
    <w:rsid w:val="005645FB"/>
    <w:rsid w:val="00564654"/>
    <w:rsid w:val="005646C1"/>
    <w:rsid w:val="00564712"/>
    <w:rsid w:val="00564848"/>
    <w:rsid w:val="0056491C"/>
    <w:rsid w:val="00564995"/>
    <w:rsid w:val="005649A2"/>
    <w:rsid w:val="00564C96"/>
    <w:rsid w:val="00564CEA"/>
    <w:rsid w:val="00564D16"/>
    <w:rsid w:val="00564E92"/>
    <w:rsid w:val="00564F34"/>
    <w:rsid w:val="00564F6D"/>
    <w:rsid w:val="00565037"/>
    <w:rsid w:val="005652BC"/>
    <w:rsid w:val="00565350"/>
    <w:rsid w:val="00565472"/>
    <w:rsid w:val="005654EA"/>
    <w:rsid w:val="00565646"/>
    <w:rsid w:val="00565787"/>
    <w:rsid w:val="00565963"/>
    <w:rsid w:val="00565971"/>
    <w:rsid w:val="00565AF1"/>
    <w:rsid w:val="00565B5D"/>
    <w:rsid w:val="00565CFE"/>
    <w:rsid w:val="0056607F"/>
    <w:rsid w:val="005661A5"/>
    <w:rsid w:val="005661CF"/>
    <w:rsid w:val="005662AB"/>
    <w:rsid w:val="00566356"/>
    <w:rsid w:val="00566424"/>
    <w:rsid w:val="005667FE"/>
    <w:rsid w:val="005668DE"/>
    <w:rsid w:val="0056692E"/>
    <w:rsid w:val="00566A61"/>
    <w:rsid w:val="00566DB7"/>
    <w:rsid w:val="00566F54"/>
    <w:rsid w:val="00566F85"/>
    <w:rsid w:val="00566FD8"/>
    <w:rsid w:val="00567094"/>
    <w:rsid w:val="00567499"/>
    <w:rsid w:val="005679C9"/>
    <w:rsid w:val="005679E6"/>
    <w:rsid w:val="00567DD0"/>
    <w:rsid w:val="00567F87"/>
    <w:rsid w:val="00567FB0"/>
    <w:rsid w:val="0057016E"/>
    <w:rsid w:val="00570277"/>
    <w:rsid w:val="005702BB"/>
    <w:rsid w:val="00570342"/>
    <w:rsid w:val="0057036E"/>
    <w:rsid w:val="005706FC"/>
    <w:rsid w:val="0057070F"/>
    <w:rsid w:val="0057080E"/>
    <w:rsid w:val="00570879"/>
    <w:rsid w:val="005708A5"/>
    <w:rsid w:val="005708AC"/>
    <w:rsid w:val="00570913"/>
    <w:rsid w:val="0057098F"/>
    <w:rsid w:val="005709FE"/>
    <w:rsid w:val="00570BBF"/>
    <w:rsid w:val="00570BFB"/>
    <w:rsid w:val="00570E59"/>
    <w:rsid w:val="00570F55"/>
    <w:rsid w:val="00570F7C"/>
    <w:rsid w:val="005711E3"/>
    <w:rsid w:val="005711E9"/>
    <w:rsid w:val="005715F0"/>
    <w:rsid w:val="00571767"/>
    <w:rsid w:val="005718D9"/>
    <w:rsid w:val="00571942"/>
    <w:rsid w:val="00571A9D"/>
    <w:rsid w:val="00571B94"/>
    <w:rsid w:val="00571EE8"/>
    <w:rsid w:val="005720FE"/>
    <w:rsid w:val="0057219A"/>
    <w:rsid w:val="005721F0"/>
    <w:rsid w:val="00572207"/>
    <w:rsid w:val="0057222F"/>
    <w:rsid w:val="00572610"/>
    <w:rsid w:val="005729A5"/>
    <w:rsid w:val="00572BC2"/>
    <w:rsid w:val="00572BFD"/>
    <w:rsid w:val="00572DEE"/>
    <w:rsid w:val="00572DF0"/>
    <w:rsid w:val="00572E39"/>
    <w:rsid w:val="005730CC"/>
    <w:rsid w:val="00573150"/>
    <w:rsid w:val="00573478"/>
    <w:rsid w:val="00573532"/>
    <w:rsid w:val="0057353E"/>
    <w:rsid w:val="00573586"/>
    <w:rsid w:val="005735E5"/>
    <w:rsid w:val="00573D04"/>
    <w:rsid w:val="00573F9E"/>
    <w:rsid w:val="005742B5"/>
    <w:rsid w:val="005743B6"/>
    <w:rsid w:val="00574623"/>
    <w:rsid w:val="00574722"/>
    <w:rsid w:val="0057478B"/>
    <w:rsid w:val="0057479C"/>
    <w:rsid w:val="005747F7"/>
    <w:rsid w:val="0057483E"/>
    <w:rsid w:val="00574889"/>
    <w:rsid w:val="00574907"/>
    <w:rsid w:val="00574937"/>
    <w:rsid w:val="00574A5E"/>
    <w:rsid w:val="00574A72"/>
    <w:rsid w:val="00574B2F"/>
    <w:rsid w:val="00574BAB"/>
    <w:rsid w:val="00574C43"/>
    <w:rsid w:val="00574D95"/>
    <w:rsid w:val="00574DDE"/>
    <w:rsid w:val="00575694"/>
    <w:rsid w:val="0057576A"/>
    <w:rsid w:val="00575941"/>
    <w:rsid w:val="00575B11"/>
    <w:rsid w:val="00575D8F"/>
    <w:rsid w:val="00575E5B"/>
    <w:rsid w:val="00575FC7"/>
    <w:rsid w:val="00576082"/>
    <w:rsid w:val="0057608F"/>
    <w:rsid w:val="005760A9"/>
    <w:rsid w:val="00576209"/>
    <w:rsid w:val="005762C3"/>
    <w:rsid w:val="00576300"/>
    <w:rsid w:val="005763F2"/>
    <w:rsid w:val="00576585"/>
    <w:rsid w:val="005765CC"/>
    <w:rsid w:val="005766C8"/>
    <w:rsid w:val="0057688D"/>
    <w:rsid w:val="00576A27"/>
    <w:rsid w:val="00576A35"/>
    <w:rsid w:val="00576BD3"/>
    <w:rsid w:val="00576C9F"/>
    <w:rsid w:val="00576CE7"/>
    <w:rsid w:val="00576CED"/>
    <w:rsid w:val="00576E32"/>
    <w:rsid w:val="00577059"/>
    <w:rsid w:val="00577102"/>
    <w:rsid w:val="005771AF"/>
    <w:rsid w:val="00577212"/>
    <w:rsid w:val="0057756D"/>
    <w:rsid w:val="005775D7"/>
    <w:rsid w:val="0057794A"/>
    <w:rsid w:val="005779FA"/>
    <w:rsid w:val="00577A99"/>
    <w:rsid w:val="00577B67"/>
    <w:rsid w:val="00577CEE"/>
    <w:rsid w:val="00577E18"/>
    <w:rsid w:val="00577E61"/>
    <w:rsid w:val="005800BB"/>
    <w:rsid w:val="005800D5"/>
    <w:rsid w:val="005801C2"/>
    <w:rsid w:val="00580D9E"/>
    <w:rsid w:val="00580E65"/>
    <w:rsid w:val="00580F83"/>
    <w:rsid w:val="00581249"/>
    <w:rsid w:val="00581252"/>
    <w:rsid w:val="005812C6"/>
    <w:rsid w:val="0058144D"/>
    <w:rsid w:val="005814B4"/>
    <w:rsid w:val="005814ED"/>
    <w:rsid w:val="00581628"/>
    <w:rsid w:val="005816F2"/>
    <w:rsid w:val="00581755"/>
    <w:rsid w:val="00581776"/>
    <w:rsid w:val="0058178D"/>
    <w:rsid w:val="005817EC"/>
    <w:rsid w:val="00581877"/>
    <w:rsid w:val="005818C9"/>
    <w:rsid w:val="005819C8"/>
    <w:rsid w:val="005819DE"/>
    <w:rsid w:val="00581A5B"/>
    <w:rsid w:val="00581CA4"/>
    <w:rsid w:val="00581CC4"/>
    <w:rsid w:val="005820E3"/>
    <w:rsid w:val="00582357"/>
    <w:rsid w:val="005824BB"/>
    <w:rsid w:val="00582681"/>
    <w:rsid w:val="0058282D"/>
    <w:rsid w:val="00582895"/>
    <w:rsid w:val="0058289C"/>
    <w:rsid w:val="005828FB"/>
    <w:rsid w:val="00582AA7"/>
    <w:rsid w:val="00582C4D"/>
    <w:rsid w:val="00582DC0"/>
    <w:rsid w:val="00582F3C"/>
    <w:rsid w:val="00582F87"/>
    <w:rsid w:val="005831BC"/>
    <w:rsid w:val="0058320A"/>
    <w:rsid w:val="005833DB"/>
    <w:rsid w:val="005833EC"/>
    <w:rsid w:val="00583500"/>
    <w:rsid w:val="0058350C"/>
    <w:rsid w:val="00583529"/>
    <w:rsid w:val="00583A03"/>
    <w:rsid w:val="00583A25"/>
    <w:rsid w:val="00583A4E"/>
    <w:rsid w:val="00583ACE"/>
    <w:rsid w:val="00583C81"/>
    <w:rsid w:val="00583E28"/>
    <w:rsid w:val="00583ECE"/>
    <w:rsid w:val="00583F81"/>
    <w:rsid w:val="00584154"/>
    <w:rsid w:val="0058415B"/>
    <w:rsid w:val="005842C6"/>
    <w:rsid w:val="005844D4"/>
    <w:rsid w:val="00584518"/>
    <w:rsid w:val="0058461C"/>
    <w:rsid w:val="005846C9"/>
    <w:rsid w:val="005849CE"/>
    <w:rsid w:val="005849D9"/>
    <w:rsid w:val="00584D8F"/>
    <w:rsid w:val="00584FA7"/>
    <w:rsid w:val="00585174"/>
    <w:rsid w:val="0058525A"/>
    <w:rsid w:val="0058543B"/>
    <w:rsid w:val="0058547A"/>
    <w:rsid w:val="00585738"/>
    <w:rsid w:val="00585864"/>
    <w:rsid w:val="005859F1"/>
    <w:rsid w:val="00585BE0"/>
    <w:rsid w:val="00585D3F"/>
    <w:rsid w:val="00585D7C"/>
    <w:rsid w:val="00585E66"/>
    <w:rsid w:val="00585ECA"/>
    <w:rsid w:val="00585F4D"/>
    <w:rsid w:val="00586089"/>
    <w:rsid w:val="00586114"/>
    <w:rsid w:val="00586167"/>
    <w:rsid w:val="005861E8"/>
    <w:rsid w:val="0058638C"/>
    <w:rsid w:val="005863B7"/>
    <w:rsid w:val="00586523"/>
    <w:rsid w:val="005866C0"/>
    <w:rsid w:val="005866EF"/>
    <w:rsid w:val="0058679D"/>
    <w:rsid w:val="005868AD"/>
    <w:rsid w:val="0058690F"/>
    <w:rsid w:val="00586AFC"/>
    <w:rsid w:val="00586C04"/>
    <w:rsid w:val="00586C1A"/>
    <w:rsid w:val="00586D28"/>
    <w:rsid w:val="00586E84"/>
    <w:rsid w:val="0058713F"/>
    <w:rsid w:val="005873B6"/>
    <w:rsid w:val="005873EC"/>
    <w:rsid w:val="005878E1"/>
    <w:rsid w:val="00587A28"/>
    <w:rsid w:val="00587AD0"/>
    <w:rsid w:val="00587AEB"/>
    <w:rsid w:val="00587AED"/>
    <w:rsid w:val="00587BB0"/>
    <w:rsid w:val="00587BF3"/>
    <w:rsid w:val="00587C99"/>
    <w:rsid w:val="00587E73"/>
    <w:rsid w:val="00587EA8"/>
    <w:rsid w:val="00590177"/>
    <w:rsid w:val="00590320"/>
    <w:rsid w:val="00590542"/>
    <w:rsid w:val="005905CD"/>
    <w:rsid w:val="0059092E"/>
    <w:rsid w:val="00590945"/>
    <w:rsid w:val="005909CA"/>
    <w:rsid w:val="00590BB3"/>
    <w:rsid w:val="00590DA2"/>
    <w:rsid w:val="00590DD0"/>
    <w:rsid w:val="0059111E"/>
    <w:rsid w:val="005911FF"/>
    <w:rsid w:val="005913D6"/>
    <w:rsid w:val="005915DF"/>
    <w:rsid w:val="00591676"/>
    <w:rsid w:val="00591728"/>
    <w:rsid w:val="00591752"/>
    <w:rsid w:val="00591779"/>
    <w:rsid w:val="005917F8"/>
    <w:rsid w:val="00591832"/>
    <w:rsid w:val="00591AF3"/>
    <w:rsid w:val="00591C46"/>
    <w:rsid w:val="00591EED"/>
    <w:rsid w:val="00591F00"/>
    <w:rsid w:val="00591F20"/>
    <w:rsid w:val="00591FAE"/>
    <w:rsid w:val="00592049"/>
    <w:rsid w:val="005921AC"/>
    <w:rsid w:val="005921AD"/>
    <w:rsid w:val="00592298"/>
    <w:rsid w:val="0059249A"/>
    <w:rsid w:val="0059278B"/>
    <w:rsid w:val="00592840"/>
    <w:rsid w:val="00592908"/>
    <w:rsid w:val="00592995"/>
    <w:rsid w:val="005929A7"/>
    <w:rsid w:val="00592A44"/>
    <w:rsid w:val="00592A49"/>
    <w:rsid w:val="00592D1A"/>
    <w:rsid w:val="00592D31"/>
    <w:rsid w:val="00592DC9"/>
    <w:rsid w:val="00592E0F"/>
    <w:rsid w:val="00592E38"/>
    <w:rsid w:val="00592E76"/>
    <w:rsid w:val="00592E8E"/>
    <w:rsid w:val="00592EFA"/>
    <w:rsid w:val="00593090"/>
    <w:rsid w:val="005930B1"/>
    <w:rsid w:val="00593114"/>
    <w:rsid w:val="00593243"/>
    <w:rsid w:val="00593392"/>
    <w:rsid w:val="005933FE"/>
    <w:rsid w:val="005935BD"/>
    <w:rsid w:val="005935E5"/>
    <w:rsid w:val="0059363A"/>
    <w:rsid w:val="00593645"/>
    <w:rsid w:val="00593757"/>
    <w:rsid w:val="005939EB"/>
    <w:rsid w:val="00593A1B"/>
    <w:rsid w:val="00593BBD"/>
    <w:rsid w:val="00593BCE"/>
    <w:rsid w:val="00593C73"/>
    <w:rsid w:val="00593F90"/>
    <w:rsid w:val="005940CF"/>
    <w:rsid w:val="005942AA"/>
    <w:rsid w:val="00594414"/>
    <w:rsid w:val="00594423"/>
    <w:rsid w:val="00594635"/>
    <w:rsid w:val="005947FB"/>
    <w:rsid w:val="0059483E"/>
    <w:rsid w:val="00594845"/>
    <w:rsid w:val="005948FC"/>
    <w:rsid w:val="00594A9C"/>
    <w:rsid w:val="00594B80"/>
    <w:rsid w:val="00594C51"/>
    <w:rsid w:val="00594C5C"/>
    <w:rsid w:val="00594DE2"/>
    <w:rsid w:val="00594E5A"/>
    <w:rsid w:val="00594E67"/>
    <w:rsid w:val="00594E6A"/>
    <w:rsid w:val="00595031"/>
    <w:rsid w:val="00595391"/>
    <w:rsid w:val="00595593"/>
    <w:rsid w:val="0059561D"/>
    <w:rsid w:val="005956FD"/>
    <w:rsid w:val="00595779"/>
    <w:rsid w:val="005958E4"/>
    <w:rsid w:val="005959B4"/>
    <w:rsid w:val="00595B1F"/>
    <w:rsid w:val="00595D9C"/>
    <w:rsid w:val="0059603C"/>
    <w:rsid w:val="0059618D"/>
    <w:rsid w:val="0059621B"/>
    <w:rsid w:val="005963C2"/>
    <w:rsid w:val="005966D4"/>
    <w:rsid w:val="0059689C"/>
    <w:rsid w:val="00596983"/>
    <w:rsid w:val="00596C71"/>
    <w:rsid w:val="005970F3"/>
    <w:rsid w:val="005970F5"/>
    <w:rsid w:val="0059728A"/>
    <w:rsid w:val="005972EA"/>
    <w:rsid w:val="00597535"/>
    <w:rsid w:val="00597643"/>
    <w:rsid w:val="00597728"/>
    <w:rsid w:val="00597787"/>
    <w:rsid w:val="00597894"/>
    <w:rsid w:val="00597D43"/>
    <w:rsid w:val="00597DB0"/>
    <w:rsid w:val="00597DB2"/>
    <w:rsid w:val="00597E16"/>
    <w:rsid w:val="00597F6D"/>
    <w:rsid w:val="00597FC5"/>
    <w:rsid w:val="005A0004"/>
    <w:rsid w:val="005A0063"/>
    <w:rsid w:val="005A012D"/>
    <w:rsid w:val="005A038B"/>
    <w:rsid w:val="005A0614"/>
    <w:rsid w:val="005A06C2"/>
    <w:rsid w:val="005A0878"/>
    <w:rsid w:val="005A08F5"/>
    <w:rsid w:val="005A0934"/>
    <w:rsid w:val="005A0C4C"/>
    <w:rsid w:val="005A0DDF"/>
    <w:rsid w:val="005A0E7D"/>
    <w:rsid w:val="005A138E"/>
    <w:rsid w:val="005A13DF"/>
    <w:rsid w:val="005A1435"/>
    <w:rsid w:val="005A16AC"/>
    <w:rsid w:val="005A17CE"/>
    <w:rsid w:val="005A1815"/>
    <w:rsid w:val="005A197D"/>
    <w:rsid w:val="005A1C68"/>
    <w:rsid w:val="005A1E44"/>
    <w:rsid w:val="005A213E"/>
    <w:rsid w:val="005A2448"/>
    <w:rsid w:val="005A2485"/>
    <w:rsid w:val="005A27E0"/>
    <w:rsid w:val="005A280D"/>
    <w:rsid w:val="005A2909"/>
    <w:rsid w:val="005A29DC"/>
    <w:rsid w:val="005A2A3D"/>
    <w:rsid w:val="005A2A8E"/>
    <w:rsid w:val="005A2B9E"/>
    <w:rsid w:val="005A2D41"/>
    <w:rsid w:val="005A2EAB"/>
    <w:rsid w:val="005A2EEA"/>
    <w:rsid w:val="005A334A"/>
    <w:rsid w:val="005A352F"/>
    <w:rsid w:val="005A35ED"/>
    <w:rsid w:val="005A36EA"/>
    <w:rsid w:val="005A37AC"/>
    <w:rsid w:val="005A3868"/>
    <w:rsid w:val="005A39FD"/>
    <w:rsid w:val="005A3C64"/>
    <w:rsid w:val="005A3DBC"/>
    <w:rsid w:val="005A3E4A"/>
    <w:rsid w:val="005A4023"/>
    <w:rsid w:val="005A406B"/>
    <w:rsid w:val="005A4155"/>
    <w:rsid w:val="005A4622"/>
    <w:rsid w:val="005A4763"/>
    <w:rsid w:val="005A48EF"/>
    <w:rsid w:val="005A4A83"/>
    <w:rsid w:val="005A4AF1"/>
    <w:rsid w:val="005A4C67"/>
    <w:rsid w:val="005A4CA6"/>
    <w:rsid w:val="005A4F7B"/>
    <w:rsid w:val="005A5034"/>
    <w:rsid w:val="005A51DB"/>
    <w:rsid w:val="005A54A0"/>
    <w:rsid w:val="005A56A1"/>
    <w:rsid w:val="005A5948"/>
    <w:rsid w:val="005A5A0B"/>
    <w:rsid w:val="005A5C44"/>
    <w:rsid w:val="005A5E1D"/>
    <w:rsid w:val="005A6007"/>
    <w:rsid w:val="005A60AA"/>
    <w:rsid w:val="005A61AE"/>
    <w:rsid w:val="005A62DA"/>
    <w:rsid w:val="005A62E4"/>
    <w:rsid w:val="005A6499"/>
    <w:rsid w:val="005A6572"/>
    <w:rsid w:val="005A66C1"/>
    <w:rsid w:val="005A6757"/>
    <w:rsid w:val="005A67F2"/>
    <w:rsid w:val="005A68E9"/>
    <w:rsid w:val="005A6AE2"/>
    <w:rsid w:val="005A6F2E"/>
    <w:rsid w:val="005A706E"/>
    <w:rsid w:val="005A713A"/>
    <w:rsid w:val="005A71FB"/>
    <w:rsid w:val="005A720E"/>
    <w:rsid w:val="005A73D7"/>
    <w:rsid w:val="005A7455"/>
    <w:rsid w:val="005A7579"/>
    <w:rsid w:val="005A77C0"/>
    <w:rsid w:val="005A77E1"/>
    <w:rsid w:val="005A7832"/>
    <w:rsid w:val="005A783C"/>
    <w:rsid w:val="005A790E"/>
    <w:rsid w:val="005A7A0D"/>
    <w:rsid w:val="005A7A77"/>
    <w:rsid w:val="005A7BDC"/>
    <w:rsid w:val="005A7F28"/>
    <w:rsid w:val="005B0078"/>
    <w:rsid w:val="005B010B"/>
    <w:rsid w:val="005B01AC"/>
    <w:rsid w:val="005B01D1"/>
    <w:rsid w:val="005B0326"/>
    <w:rsid w:val="005B065B"/>
    <w:rsid w:val="005B085D"/>
    <w:rsid w:val="005B09B6"/>
    <w:rsid w:val="005B0A91"/>
    <w:rsid w:val="005B0BA2"/>
    <w:rsid w:val="005B1077"/>
    <w:rsid w:val="005B1264"/>
    <w:rsid w:val="005B14CD"/>
    <w:rsid w:val="005B1A6D"/>
    <w:rsid w:val="005B1C65"/>
    <w:rsid w:val="005B1CBD"/>
    <w:rsid w:val="005B1EFA"/>
    <w:rsid w:val="005B1F3D"/>
    <w:rsid w:val="005B223E"/>
    <w:rsid w:val="005B26E9"/>
    <w:rsid w:val="005B2722"/>
    <w:rsid w:val="005B284A"/>
    <w:rsid w:val="005B28D2"/>
    <w:rsid w:val="005B29C4"/>
    <w:rsid w:val="005B2A8E"/>
    <w:rsid w:val="005B2B21"/>
    <w:rsid w:val="005B2BAA"/>
    <w:rsid w:val="005B2BBE"/>
    <w:rsid w:val="005B2CA0"/>
    <w:rsid w:val="005B2FED"/>
    <w:rsid w:val="005B3095"/>
    <w:rsid w:val="005B31EC"/>
    <w:rsid w:val="005B3350"/>
    <w:rsid w:val="005B338F"/>
    <w:rsid w:val="005B347A"/>
    <w:rsid w:val="005B3544"/>
    <w:rsid w:val="005B3662"/>
    <w:rsid w:val="005B370D"/>
    <w:rsid w:val="005B3A37"/>
    <w:rsid w:val="005B3BF7"/>
    <w:rsid w:val="005B3C57"/>
    <w:rsid w:val="005B3D8D"/>
    <w:rsid w:val="005B3E9D"/>
    <w:rsid w:val="005B4130"/>
    <w:rsid w:val="005B4452"/>
    <w:rsid w:val="005B448D"/>
    <w:rsid w:val="005B44FF"/>
    <w:rsid w:val="005B48D1"/>
    <w:rsid w:val="005B4A10"/>
    <w:rsid w:val="005B4AD2"/>
    <w:rsid w:val="005B4BA7"/>
    <w:rsid w:val="005B4D51"/>
    <w:rsid w:val="005B4EB5"/>
    <w:rsid w:val="005B4EE5"/>
    <w:rsid w:val="005B5159"/>
    <w:rsid w:val="005B530B"/>
    <w:rsid w:val="005B5355"/>
    <w:rsid w:val="005B53BF"/>
    <w:rsid w:val="005B53E1"/>
    <w:rsid w:val="005B53F1"/>
    <w:rsid w:val="005B54EF"/>
    <w:rsid w:val="005B550C"/>
    <w:rsid w:val="005B5510"/>
    <w:rsid w:val="005B5604"/>
    <w:rsid w:val="005B56A4"/>
    <w:rsid w:val="005B56EF"/>
    <w:rsid w:val="005B587E"/>
    <w:rsid w:val="005B5928"/>
    <w:rsid w:val="005B59DE"/>
    <w:rsid w:val="005B5A3A"/>
    <w:rsid w:val="005B5AAC"/>
    <w:rsid w:val="005B5B5E"/>
    <w:rsid w:val="005B5CBE"/>
    <w:rsid w:val="005B5CE2"/>
    <w:rsid w:val="005B5D51"/>
    <w:rsid w:val="005B5D7C"/>
    <w:rsid w:val="005B6152"/>
    <w:rsid w:val="005B6158"/>
    <w:rsid w:val="005B61E1"/>
    <w:rsid w:val="005B62C0"/>
    <w:rsid w:val="005B64FB"/>
    <w:rsid w:val="005B6618"/>
    <w:rsid w:val="005B687E"/>
    <w:rsid w:val="005B6901"/>
    <w:rsid w:val="005B6947"/>
    <w:rsid w:val="005B69B5"/>
    <w:rsid w:val="005B6A78"/>
    <w:rsid w:val="005B6BF2"/>
    <w:rsid w:val="005B6C74"/>
    <w:rsid w:val="005B6F69"/>
    <w:rsid w:val="005B6FCE"/>
    <w:rsid w:val="005B73D3"/>
    <w:rsid w:val="005B7411"/>
    <w:rsid w:val="005B7465"/>
    <w:rsid w:val="005B76FF"/>
    <w:rsid w:val="005B7BA4"/>
    <w:rsid w:val="005B7C3E"/>
    <w:rsid w:val="005B7C5B"/>
    <w:rsid w:val="005B7CBF"/>
    <w:rsid w:val="005B7EA0"/>
    <w:rsid w:val="005B7F02"/>
    <w:rsid w:val="005C0045"/>
    <w:rsid w:val="005C0070"/>
    <w:rsid w:val="005C0143"/>
    <w:rsid w:val="005C01AA"/>
    <w:rsid w:val="005C0245"/>
    <w:rsid w:val="005C0260"/>
    <w:rsid w:val="005C037D"/>
    <w:rsid w:val="005C03C6"/>
    <w:rsid w:val="005C0452"/>
    <w:rsid w:val="005C0519"/>
    <w:rsid w:val="005C053F"/>
    <w:rsid w:val="005C0587"/>
    <w:rsid w:val="005C0691"/>
    <w:rsid w:val="005C0749"/>
    <w:rsid w:val="005C087D"/>
    <w:rsid w:val="005C092A"/>
    <w:rsid w:val="005C0988"/>
    <w:rsid w:val="005C0A06"/>
    <w:rsid w:val="005C0ACA"/>
    <w:rsid w:val="005C0EB8"/>
    <w:rsid w:val="005C0EE7"/>
    <w:rsid w:val="005C1049"/>
    <w:rsid w:val="005C108C"/>
    <w:rsid w:val="005C1094"/>
    <w:rsid w:val="005C10D9"/>
    <w:rsid w:val="005C11F4"/>
    <w:rsid w:val="005C1244"/>
    <w:rsid w:val="005C1272"/>
    <w:rsid w:val="005C158A"/>
    <w:rsid w:val="005C1674"/>
    <w:rsid w:val="005C16CC"/>
    <w:rsid w:val="005C16F9"/>
    <w:rsid w:val="005C17EF"/>
    <w:rsid w:val="005C191C"/>
    <w:rsid w:val="005C1980"/>
    <w:rsid w:val="005C1A94"/>
    <w:rsid w:val="005C1ACE"/>
    <w:rsid w:val="005C1B48"/>
    <w:rsid w:val="005C1B97"/>
    <w:rsid w:val="005C1BD3"/>
    <w:rsid w:val="005C1CAC"/>
    <w:rsid w:val="005C1D10"/>
    <w:rsid w:val="005C1D61"/>
    <w:rsid w:val="005C1E87"/>
    <w:rsid w:val="005C2303"/>
    <w:rsid w:val="005C250F"/>
    <w:rsid w:val="005C2573"/>
    <w:rsid w:val="005C259E"/>
    <w:rsid w:val="005C26FE"/>
    <w:rsid w:val="005C2AE1"/>
    <w:rsid w:val="005C2B83"/>
    <w:rsid w:val="005C2B97"/>
    <w:rsid w:val="005C2C3A"/>
    <w:rsid w:val="005C2D14"/>
    <w:rsid w:val="005C2DBD"/>
    <w:rsid w:val="005C2DE9"/>
    <w:rsid w:val="005C2F15"/>
    <w:rsid w:val="005C3013"/>
    <w:rsid w:val="005C30E7"/>
    <w:rsid w:val="005C3194"/>
    <w:rsid w:val="005C3296"/>
    <w:rsid w:val="005C3323"/>
    <w:rsid w:val="005C3436"/>
    <w:rsid w:val="005C3437"/>
    <w:rsid w:val="005C343D"/>
    <w:rsid w:val="005C3531"/>
    <w:rsid w:val="005C3670"/>
    <w:rsid w:val="005C373E"/>
    <w:rsid w:val="005C39EF"/>
    <w:rsid w:val="005C3D1A"/>
    <w:rsid w:val="005C3D83"/>
    <w:rsid w:val="005C3F1B"/>
    <w:rsid w:val="005C409E"/>
    <w:rsid w:val="005C417A"/>
    <w:rsid w:val="005C43B1"/>
    <w:rsid w:val="005C45A6"/>
    <w:rsid w:val="005C4646"/>
    <w:rsid w:val="005C4735"/>
    <w:rsid w:val="005C47F4"/>
    <w:rsid w:val="005C48A8"/>
    <w:rsid w:val="005C4932"/>
    <w:rsid w:val="005C49A9"/>
    <w:rsid w:val="005C49FD"/>
    <w:rsid w:val="005C4B3A"/>
    <w:rsid w:val="005C4C65"/>
    <w:rsid w:val="005C4D9F"/>
    <w:rsid w:val="005C4E10"/>
    <w:rsid w:val="005C543B"/>
    <w:rsid w:val="005C557F"/>
    <w:rsid w:val="005C5670"/>
    <w:rsid w:val="005C56B1"/>
    <w:rsid w:val="005C5898"/>
    <w:rsid w:val="005C58DC"/>
    <w:rsid w:val="005C5A2D"/>
    <w:rsid w:val="005C5BD2"/>
    <w:rsid w:val="005C5CDB"/>
    <w:rsid w:val="005C5D20"/>
    <w:rsid w:val="005C5DFE"/>
    <w:rsid w:val="005C5EB8"/>
    <w:rsid w:val="005C5EBF"/>
    <w:rsid w:val="005C5F60"/>
    <w:rsid w:val="005C5FF6"/>
    <w:rsid w:val="005C6166"/>
    <w:rsid w:val="005C6291"/>
    <w:rsid w:val="005C62B8"/>
    <w:rsid w:val="005C6571"/>
    <w:rsid w:val="005C6976"/>
    <w:rsid w:val="005C6A09"/>
    <w:rsid w:val="005C6B12"/>
    <w:rsid w:val="005C6D78"/>
    <w:rsid w:val="005C6DFB"/>
    <w:rsid w:val="005C6EBD"/>
    <w:rsid w:val="005C70C7"/>
    <w:rsid w:val="005C70D4"/>
    <w:rsid w:val="005C715C"/>
    <w:rsid w:val="005C7186"/>
    <w:rsid w:val="005C7219"/>
    <w:rsid w:val="005C747A"/>
    <w:rsid w:val="005C7627"/>
    <w:rsid w:val="005C76A7"/>
    <w:rsid w:val="005C77F6"/>
    <w:rsid w:val="005C792B"/>
    <w:rsid w:val="005C7AC0"/>
    <w:rsid w:val="005C7ACF"/>
    <w:rsid w:val="005C7CA9"/>
    <w:rsid w:val="005C7D1A"/>
    <w:rsid w:val="005C7D34"/>
    <w:rsid w:val="005C7F0B"/>
    <w:rsid w:val="005C7F13"/>
    <w:rsid w:val="005D00A4"/>
    <w:rsid w:val="005D01EC"/>
    <w:rsid w:val="005D0250"/>
    <w:rsid w:val="005D02C1"/>
    <w:rsid w:val="005D039F"/>
    <w:rsid w:val="005D03D3"/>
    <w:rsid w:val="005D0466"/>
    <w:rsid w:val="005D0574"/>
    <w:rsid w:val="005D0578"/>
    <w:rsid w:val="005D05DA"/>
    <w:rsid w:val="005D07A5"/>
    <w:rsid w:val="005D07DA"/>
    <w:rsid w:val="005D0818"/>
    <w:rsid w:val="005D0AA1"/>
    <w:rsid w:val="005D0B25"/>
    <w:rsid w:val="005D0B88"/>
    <w:rsid w:val="005D0CDE"/>
    <w:rsid w:val="005D0D4E"/>
    <w:rsid w:val="005D0D77"/>
    <w:rsid w:val="005D0DEF"/>
    <w:rsid w:val="005D0DF7"/>
    <w:rsid w:val="005D10B3"/>
    <w:rsid w:val="005D1378"/>
    <w:rsid w:val="005D13AA"/>
    <w:rsid w:val="005D1B46"/>
    <w:rsid w:val="005D1BC3"/>
    <w:rsid w:val="005D1C76"/>
    <w:rsid w:val="005D1CE4"/>
    <w:rsid w:val="005D1D7E"/>
    <w:rsid w:val="005D1E8B"/>
    <w:rsid w:val="005D1EAF"/>
    <w:rsid w:val="005D20AC"/>
    <w:rsid w:val="005D20D0"/>
    <w:rsid w:val="005D215C"/>
    <w:rsid w:val="005D2324"/>
    <w:rsid w:val="005D25F7"/>
    <w:rsid w:val="005D26EF"/>
    <w:rsid w:val="005D2A8E"/>
    <w:rsid w:val="005D2B9A"/>
    <w:rsid w:val="005D2CDB"/>
    <w:rsid w:val="005D31F2"/>
    <w:rsid w:val="005D3230"/>
    <w:rsid w:val="005D352E"/>
    <w:rsid w:val="005D358F"/>
    <w:rsid w:val="005D374D"/>
    <w:rsid w:val="005D3832"/>
    <w:rsid w:val="005D3836"/>
    <w:rsid w:val="005D3918"/>
    <w:rsid w:val="005D3937"/>
    <w:rsid w:val="005D3C26"/>
    <w:rsid w:val="005D3DC6"/>
    <w:rsid w:val="005D3E88"/>
    <w:rsid w:val="005D3F0C"/>
    <w:rsid w:val="005D3F6E"/>
    <w:rsid w:val="005D40CB"/>
    <w:rsid w:val="005D4170"/>
    <w:rsid w:val="005D4241"/>
    <w:rsid w:val="005D42B5"/>
    <w:rsid w:val="005D4876"/>
    <w:rsid w:val="005D4927"/>
    <w:rsid w:val="005D499D"/>
    <w:rsid w:val="005D4B0A"/>
    <w:rsid w:val="005D4C2D"/>
    <w:rsid w:val="005D4D62"/>
    <w:rsid w:val="005D4DC6"/>
    <w:rsid w:val="005D4FCA"/>
    <w:rsid w:val="005D5092"/>
    <w:rsid w:val="005D50D4"/>
    <w:rsid w:val="005D50E4"/>
    <w:rsid w:val="005D5156"/>
    <w:rsid w:val="005D51C8"/>
    <w:rsid w:val="005D5435"/>
    <w:rsid w:val="005D54AB"/>
    <w:rsid w:val="005D54FA"/>
    <w:rsid w:val="005D554F"/>
    <w:rsid w:val="005D55F3"/>
    <w:rsid w:val="005D57AF"/>
    <w:rsid w:val="005D5904"/>
    <w:rsid w:val="005D597E"/>
    <w:rsid w:val="005D5A7C"/>
    <w:rsid w:val="005D5A81"/>
    <w:rsid w:val="005D5F3E"/>
    <w:rsid w:val="005D6180"/>
    <w:rsid w:val="005D61DA"/>
    <w:rsid w:val="005D63B6"/>
    <w:rsid w:val="005D64A1"/>
    <w:rsid w:val="005D6667"/>
    <w:rsid w:val="005D6A32"/>
    <w:rsid w:val="005D6AB8"/>
    <w:rsid w:val="005D6C18"/>
    <w:rsid w:val="005D6E33"/>
    <w:rsid w:val="005D6FAF"/>
    <w:rsid w:val="005D703B"/>
    <w:rsid w:val="005D704D"/>
    <w:rsid w:val="005D737A"/>
    <w:rsid w:val="005D760E"/>
    <w:rsid w:val="005D79FE"/>
    <w:rsid w:val="005D7A0A"/>
    <w:rsid w:val="005D7B8F"/>
    <w:rsid w:val="005D7C4C"/>
    <w:rsid w:val="005D7D81"/>
    <w:rsid w:val="005D7D9B"/>
    <w:rsid w:val="005D7DAC"/>
    <w:rsid w:val="005E0034"/>
    <w:rsid w:val="005E01D8"/>
    <w:rsid w:val="005E0264"/>
    <w:rsid w:val="005E04BA"/>
    <w:rsid w:val="005E05C8"/>
    <w:rsid w:val="005E0B73"/>
    <w:rsid w:val="005E0D81"/>
    <w:rsid w:val="005E0DE7"/>
    <w:rsid w:val="005E0F2C"/>
    <w:rsid w:val="005E10F9"/>
    <w:rsid w:val="005E1106"/>
    <w:rsid w:val="005E1446"/>
    <w:rsid w:val="005E1535"/>
    <w:rsid w:val="005E1672"/>
    <w:rsid w:val="005E19C1"/>
    <w:rsid w:val="005E1A35"/>
    <w:rsid w:val="005E1AE8"/>
    <w:rsid w:val="005E1B7F"/>
    <w:rsid w:val="005E1BFD"/>
    <w:rsid w:val="005E1C10"/>
    <w:rsid w:val="005E1C6C"/>
    <w:rsid w:val="005E1CF9"/>
    <w:rsid w:val="005E1D33"/>
    <w:rsid w:val="005E1F11"/>
    <w:rsid w:val="005E1F61"/>
    <w:rsid w:val="005E205E"/>
    <w:rsid w:val="005E20E6"/>
    <w:rsid w:val="005E2100"/>
    <w:rsid w:val="005E2146"/>
    <w:rsid w:val="005E2171"/>
    <w:rsid w:val="005E221A"/>
    <w:rsid w:val="005E2413"/>
    <w:rsid w:val="005E24DB"/>
    <w:rsid w:val="005E2603"/>
    <w:rsid w:val="005E2A25"/>
    <w:rsid w:val="005E2A7F"/>
    <w:rsid w:val="005E2B06"/>
    <w:rsid w:val="005E2B72"/>
    <w:rsid w:val="005E2BA7"/>
    <w:rsid w:val="005E2CDC"/>
    <w:rsid w:val="005E2D99"/>
    <w:rsid w:val="005E2E10"/>
    <w:rsid w:val="005E305D"/>
    <w:rsid w:val="005E3281"/>
    <w:rsid w:val="005E33B5"/>
    <w:rsid w:val="005E353C"/>
    <w:rsid w:val="005E35BB"/>
    <w:rsid w:val="005E3646"/>
    <w:rsid w:val="005E3740"/>
    <w:rsid w:val="005E37C7"/>
    <w:rsid w:val="005E37CF"/>
    <w:rsid w:val="005E382E"/>
    <w:rsid w:val="005E395B"/>
    <w:rsid w:val="005E3A3C"/>
    <w:rsid w:val="005E3A99"/>
    <w:rsid w:val="005E3AA7"/>
    <w:rsid w:val="005E3C8D"/>
    <w:rsid w:val="005E3CA8"/>
    <w:rsid w:val="005E4011"/>
    <w:rsid w:val="005E43A1"/>
    <w:rsid w:val="005E43BA"/>
    <w:rsid w:val="005E46B4"/>
    <w:rsid w:val="005E4744"/>
    <w:rsid w:val="005E482F"/>
    <w:rsid w:val="005E49D7"/>
    <w:rsid w:val="005E4D3F"/>
    <w:rsid w:val="005E4F19"/>
    <w:rsid w:val="005E4FB2"/>
    <w:rsid w:val="005E519E"/>
    <w:rsid w:val="005E51AB"/>
    <w:rsid w:val="005E51BB"/>
    <w:rsid w:val="005E52CB"/>
    <w:rsid w:val="005E56CB"/>
    <w:rsid w:val="005E5740"/>
    <w:rsid w:val="005E5822"/>
    <w:rsid w:val="005E59D7"/>
    <w:rsid w:val="005E5D8F"/>
    <w:rsid w:val="005E5DFC"/>
    <w:rsid w:val="005E6050"/>
    <w:rsid w:val="005E6059"/>
    <w:rsid w:val="005E60E1"/>
    <w:rsid w:val="005E60FC"/>
    <w:rsid w:val="005E6231"/>
    <w:rsid w:val="005E6249"/>
    <w:rsid w:val="005E6267"/>
    <w:rsid w:val="005E6279"/>
    <w:rsid w:val="005E6328"/>
    <w:rsid w:val="005E63B1"/>
    <w:rsid w:val="005E645C"/>
    <w:rsid w:val="005E6471"/>
    <w:rsid w:val="005E6520"/>
    <w:rsid w:val="005E6658"/>
    <w:rsid w:val="005E676F"/>
    <w:rsid w:val="005E688A"/>
    <w:rsid w:val="005E6894"/>
    <w:rsid w:val="005E68BF"/>
    <w:rsid w:val="005E6AB5"/>
    <w:rsid w:val="005E6AE6"/>
    <w:rsid w:val="005E6B8C"/>
    <w:rsid w:val="005E6D49"/>
    <w:rsid w:val="005E6E20"/>
    <w:rsid w:val="005E6EAB"/>
    <w:rsid w:val="005E71C0"/>
    <w:rsid w:val="005E726A"/>
    <w:rsid w:val="005E7338"/>
    <w:rsid w:val="005E75C9"/>
    <w:rsid w:val="005E76C6"/>
    <w:rsid w:val="005E7860"/>
    <w:rsid w:val="005E79D0"/>
    <w:rsid w:val="005E7C7F"/>
    <w:rsid w:val="005E7CC7"/>
    <w:rsid w:val="005E7D11"/>
    <w:rsid w:val="005E7DF6"/>
    <w:rsid w:val="005F0031"/>
    <w:rsid w:val="005F0062"/>
    <w:rsid w:val="005F00A2"/>
    <w:rsid w:val="005F02D8"/>
    <w:rsid w:val="005F03EC"/>
    <w:rsid w:val="005F051A"/>
    <w:rsid w:val="005F05BD"/>
    <w:rsid w:val="005F0710"/>
    <w:rsid w:val="005F07B6"/>
    <w:rsid w:val="005F07C7"/>
    <w:rsid w:val="005F09AA"/>
    <w:rsid w:val="005F0A3A"/>
    <w:rsid w:val="005F0A79"/>
    <w:rsid w:val="005F0B4F"/>
    <w:rsid w:val="005F0BE4"/>
    <w:rsid w:val="005F0C72"/>
    <w:rsid w:val="005F0CFF"/>
    <w:rsid w:val="005F0E58"/>
    <w:rsid w:val="005F0EEF"/>
    <w:rsid w:val="005F1008"/>
    <w:rsid w:val="005F10E7"/>
    <w:rsid w:val="005F110F"/>
    <w:rsid w:val="005F114B"/>
    <w:rsid w:val="005F1184"/>
    <w:rsid w:val="005F11CB"/>
    <w:rsid w:val="005F1222"/>
    <w:rsid w:val="005F12FC"/>
    <w:rsid w:val="005F130A"/>
    <w:rsid w:val="005F1312"/>
    <w:rsid w:val="005F159E"/>
    <w:rsid w:val="005F15AF"/>
    <w:rsid w:val="005F1601"/>
    <w:rsid w:val="005F173D"/>
    <w:rsid w:val="005F1849"/>
    <w:rsid w:val="005F1852"/>
    <w:rsid w:val="005F18B6"/>
    <w:rsid w:val="005F18DC"/>
    <w:rsid w:val="005F195F"/>
    <w:rsid w:val="005F19B8"/>
    <w:rsid w:val="005F19EA"/>
    <w:rsid w:val="005F1A4F"/>
    <w:rsid w:val="005F1A78"/>
    <w:rsid w:val="005F1BD5"/>
    <w:rsid w:val="005F1C9A"/>
    <w:rsid w:val="005F1D44"/>
    <w:rsid w:val="005F1D6A"/>
    <w:rsid w:val="005F1DE1"/>
    <w:rsid w:val="005F1E08"/>
    <w:rsid w:val="005F1EE6"/>
    <w:rsid w:val="005F1EF8"/>
    <w:rsid w:val="005F207E"/>
    <w:rsid w:val="005F2222"/>
    <w:rsid w:val="005F231A"/>
    <w:rsid w:val="005F23B2"/>
    <w:rsid w:val="005F24FA"/>
    <w:rsid w:val="005F2671"/>
    <w:rsid w:val="005F2764"/>
    <w:rsid w:val="005F2AA4"/>
    <w:rsid w:val="005F2B5B"/>
    <w:rsid w:val="005F2C5E"/>
    <w:rsid w:val="005F2DD9"/>
    <w:rsid w:val="005F2E75"/>
    <w:rsid w:val="005F2EB2"/>
    <w:rsid w:val="005F2F31"/>
    <w:rsid w:val="005F2F92"/>
    <w:rsid w:val="005F3053"/>
    <w:rsid w:val="005F30A1"/>
    <w:rsid w:val="005F3164"/>
    <w:rsid w:val="005F33A4"/>
    <w:rsid w:val="005F347B"/>
    <w:rsid w:val="005F35A1"/>
    <w:rsid w:val="005F393B"/>
    <w:rsid w:val="005F3A0D"/>
    <w:rsid w:val="005F3AF1"/>
    <w:rsid w:val="005F3B86"/>
    <w:rsid w:val="005F3BA1"/>
    <w:rsid w:val="005F3D64"/>
    <w:rsid w:val="005F3F3F"/>
    <w:rsid w:val="005F414D"/>
    <w:rsid w:val="005F4767"/>
    <w:rsid w:val="005F49AD"/>
    <w:rsid w:val="005F4DE0"/>
    <w:rsid w:val="005F4E21"/>
    <w:rsid w:val="005F4E4E"/>
    <w:rsid w:val="005F4EA3"/>
    <w:rsid w:val="005F5196"/>
    <w:rsid w:val="005F5232"/>
    <w:rsid w:val="005F5330"/>
    <w:rsid w:val="005F5384"/>
    <w:rsid w:val="005F53B0"/>
    <w:rsid w:val="005F5417"/>
    <w:rsid w:val="005F54C3"/>
    <w:rsid w:val="005F55B5"/>
    <w:rsid w:val="005F567E"/>
    <w:rsid w:val="005F5711"/>
    <w:rsid w:val="005F57BE"/>
    <w:rsid w:val="005F590A"/>
    <w:rsid w:val="005F594E"/>
    <w:rsid w:val="005F598B"/>
    <w:rsid w:val="005F5CE5"/>
    <w:rsid w:val="005F5D96"/>
    <w:rsid w:val="005F5DD2"/>
    <w:rsid w:val="005F5F6F"/>
    <w:rsid w:val="005F621D"/>
    <w:rsid w:val="005F6326"/>
    <w:rsid w:val="005F6467"/>
    <w:rsid w:val="005F6598"/>
    <w:rsid w:val="005F65A8"/>
    <w:rsid w:val="005F6A63"/>
    <w:rsid w:val="005F6B0B"/>
    <w:rsid w:val="005F6B12"/>
    <w:rsid w:val="005F6B75"/>
    <w:rsid w:val="005F7097"/>
    <w:rsid w:val="005F748A"/>
    <w:rsid w:val="005F748F"/>
    <w:rsid w:val="005F768B"/>
    <w:rsid w:val="005F7787"/>
    <w:rsid w:val="005F7871"/>
    <w:rsid w:val="005F7A4E"/>
    <w:rsid w:val="005F7A6D"/>
    <w:rsid w:val="005F7B1D"/>
    <w:rsid w:val="005F7E3C"/>
    <w:rsid w:val="005F7EC6"/>
    <w:rsid w:val="005F7F6E"/>
    <w:rsid w:val="00600191"/>
    <w:rsid w:val="00600199"/>
    <w:rsid w:val="006006E2"/>
    <w:rsid w:val="006007E3"/>
    <w:rsid w:val="006008F1"/>
    <w:rsid w:val="00600F43"/>
    <w:rsid w:val="00600F9D"/>
    <w:rsid w:val="00600FDB"/>
    <w:rsid w:val="00601008"/>
    <w:rsid w:val="00601079"/>
    <w:rsid w:val="006010FA"/>
    <w:rsid w:val="00601295"/>
    <w:rsid w:val="00601380"/>
    <w:rsid w:val="0060138A"/>
    <w:rsid w:val="00601426"/>
    <w:rsid w:val="006014C0"/>
    <w:rsid w:val="00601620"/>
    <w:rsid w:val="0060162C"/>
    <w:rsid w:val="006018BA"/>
    <w:rsid w:val="006018C8"/>
    <w:rsid w:val="00601DAF"/>
    <w:rsid w:val="00601EDE"/>
    <w:rsid w:val="0060241F"/>
    <w:rsid w:val="006026BC"/>
    <w:rsid w:val="00602BB5"/>
    <w:rsid w:val="00602BD4"/>
    <w:rsid w:val="00602D28"/>
    <w:rsid w:val="00602D5A"/>
    <w:rsid w:val="00602D7C"/>
    <w:rsid w:val="00602DF7"/>
    <w:rsid w:val="00602FA8"/>
    <w:rsid w:val="00602FCB"/>
    <w:rsid w:val="00603072"/>
    <w:rsid w:val="00603237"/>
    <w:rsid w:val="00603495"/>
    <w:rsid w:val="006034CA"/>
    <w:rsid w:val="00603568"/>
    <w:rsid w:val="006035B1"/>
    <w:rsid w:val="0060362F"/>
    <w:rsid w:val="0060374A"/>
    <w:rsid w:val="006037F3"/>
    <w:rsid w:val="00603828"/>
    <w:rsid w:val="006038F7"/>
    <w:rsid w:val="00603A42"/>
    <w:rsid w:val="00603AD3"/>
    <w:rsid w:val="00603B5B"/>
    <w:rsid w:val="00603D76"/>
    <w:rsid w:val="00603E32"/>
    <w:rsid w:val="00604113"/>
    <w:rsid w:val="00604133"/>
    <w:rsid w:val="0060416F"/>
    <w:rsid w:val="00604247"/>
    <w:rsid w:val="006042A4"/>
    <w:rsid w:val="006042FB"/>
    <w:rsid w:val="00604533"/>
    <w:rsid w:val="006047A6"/>
    <w:rsid w:val="006048C7"/>
    <w:rsid w:val="00604912"/>
    <w:rsid w:val="00604A53"/>
    <w:rsid w:val="00604B6B"/>
    <w:rsid w:val="00604BD6"/>
    <w:rsid w:val="00604C06"/>
    <w:rsid w:val="00604C1C"/>
    <w:rsid w:val="00604D04"/>
    <w:rsid w:val="00604DEF"/>
    <w:rsid w:val="00604EA9"/>
    <w:rsid w:val="006050C3"/>
    <w:rsid w:val="006050CC"/>
    <w:rsid w:val="0060523A"/>
    <w:rsid w:val="0060526C"/>
    <w:rsid w:val="00605270"/>
    <w:rsid w:val="006054F3"/>
    <w:rsid w:val="0060561B"/>
    <w:rsid w:val="0060590D"/>
    <w:rsid w:val="0060595D"/>
    <w:rsid w:val="00605974"/>
    <w:rsid w:val="006059A7"/>
    <w:rsid w:val="00605B49"/>
    <w:rsid w:val="00605BFD"/>
    <w:rsid w:val="00605C6B"/>
    <w:rsid w:val="00605D60"/>
    <w:rsid w:val="00605F50"/>
    <w:rsid w:val="00606052"/>
    <w:rsid w:val="00606073"/>
    <w:rsid w:val="00606132"/>
    <w:rsid w:val="006061DA"/>
    <w:rsid w:val="006062B1"/>
    <w:rsid w:val="00606350"/>
    <w:rsid w:val="006067A2"/>
    <w:rsid w:val="0060683C"/>
    <w:rsid w:val="00606939"/>
    <w:rsid w:val="00606A97"/>
    <w:rsid w:val="00606B3F"/>
    <w:rsid w:val="00606C83"/>
    <w:rsid w:val="00606E51"/>
    <w:rsid w:val="00606E61"/>
    <w:rsid w:val="00606EDB"/>
    <w:rsid w:val="00606EED"/>
    <w:rsid w:val="00606F2D"/>
    <w:rsid w:val="00606FF0"/>
    <w:rsid w:val="006070F1"/>
    <w:rsid w:val="0060725A"/>
    <w:rsid w:val="00607339"/>
    <w:rsid w:val="00607352"/>
    <w:rsid w:val="006074AD"/>
    <w:rsid w:val="006077C2"/>
    <w:rsid w:val="006077F7"/>
    <w:rsid w:val="0060784F"/>
    <w:rsid w:val="00607937"/>
    <w:rsid w:val="00607939"/>
    <w:rsid w:val="00607B5B"/>
    <w:rsid w:val="00607BF1"/>
    <w:rsid w:val="00607C29"/>
    <w:rsid w:val="00607DB9"/>
    <w:rsid w:val="00607DF0"/>
    <w:rsid w:val="00607EB6"/>
    <w:rsid w:val="00610057"/>
    <w:rsid w:val="00610239"/>
    <w:rsid w:val="0061024B"/>
    <w:rsid w:val="006104A1"/>
    <w:rsid w:val="0061069D"/>
    <w:rsid w:val="00610754"/>
    <w:rsid w:val="006107C3"/>
    <w:rsid w:val="00610836"/>
    <w:rsid w:val="0061089B"/>
    <w:rsid w:val="00610BFA"/>
    <w:rsid w:val="00610CDA"/>
    <w:rsid w:val="00610D8C"/>
    <w:rsid w:val="00610E00"/>
    <w:rsid w:val="00610E4F"/>
    <w:rsid w:val="00610F5E"/>
    <w:rsid w:val="00611034"/>
    <w:rsid w:val="006110DC"/>
    <w:rsid w:val="006111DB"/>
    <w:rsid w:val="00611340"/>
    <w:rsid w:val="00611352"/>
    <w:rsid w:val="006113BD"/>
    <w:rsid w:val="006115A6"/>
    <w:rsid w:val="00611705"/>
    <w:rsid w:val="00611978"/>
    <w:rsid w:val="00611A36"/>
    <w:rsid w:val="00611A7E"/>
    <w:rsid w:val="00611B9E"/>
    <w:rsid w:val="00611BC5"/>
    <w:rsid w:val="00611E69"/>
    <w:rsid w:val="00612053"/>
    <w:rsid w:val="006120EB"/>
    <w:rsid w:val="00612104"/>
    <w:rsid w:val="00612514"/>
    <w:rsid w:val="00612759"/>
    <w:rsid w:val="00612987"/>
    <w:rsid w:val="00612DD4"/>
    <w:rsid w:val="00613003"/>
    <w:rsid w:val="006130ED"/>
    <w:rsid w:val="006131B5"/>
    <w:rsid w:val="0061321E"/>
    <w:rsid w:val="00613279"/>
    <w:rsid w:val="006133D9"/>
    <w:rsid w:val="00613485"/>
    <w:rsid w:val="006135D9"/>
    <w:rsid w:val="00613863"/>
    <w:rsid w:val="006138C4"/>
    <w:rsid w:val="00613AF1"/>
    <w:rsid w:val="00613BE4"/>
    <w:rsid w:val="00613D73"/>
    <w:rsid w:val="00613DF5"/>
    <w:rsid w:val="00613E61"/>
    <w:rsid w:val="00613F85"/>
    <w:rsid w:val="0061438B"/>
    <w:rsid w:val="006143D1"/>
    <w:rsid w:val="00614569"/>
    <w:rsid w:val="00614641"/>
    <w:rsid w:val="006146BA"/>
    <w:rsid w:val="00614795"/>
    <w:rsid w:val="00614898"/>
    <w:rsid w:val="00614922"/>
    <w:rsid w:val="00614943"/>
    <w:rsid w:val="006149BD"/>
    <w:rsid w:val="00614A74"/>
    <w:rsid w:val="00614AE7"/>
    <w:rsid w:val="00614C5F"/>
    <w:rsid w:val="00614D15"/>
    <w:rsid w:val="00614D38"/>
    <w:rsid w:val="00614ED8"/>
    <w:rsid w:val="006155B8"/>
    <w:rsid w:val="006155D2"/>
    <w:rsid w:val="006155F4"/>
    <w:rsid w:val="00615706"/>
    <w:rsid w:val="006157CB"/>
    <w:rsid w:val="006157E2"/>
    <w:rsid w:val="0061583D"/>
    <w:rsid w:val="00615883"/>
    <w:rsid w:val="0061597F"/>
    <w:rsid w:val="00615BB1"/>
    <w:rsid w:val="00615DF3"/>
    <w:rsid w:val="00615E76"/>
    <w:rsid w:val="00615E97"/>
    <w:rsid w:val="00615F0B"/>
    <w:rsid w:val="00615F30"/>
    <w:rsid w:val="00615FE4"/>
    <w:rsid w:val="006160D9"/>
    <w:rsid w:val="006161A9"/>
    <w:rsid w:val="006165E9"/>
    <w:rsid w:val="006165F6"/>
    <w:rsid w:val="006166FB"/>
    <w:rsid w:val="00616981"/>
    <w:rsid w:val="006169CD"/>
    <w:rsid w:val="00616A3E"/>
    <w:rsid w:val="00616ADC"/>
    <w:rsid w:val="00616D35"/>
    <w:rsid w:val="00616DA0"/>
    <w:rsid w:val="00616E7F"/>
    <w:rsid w:val="00616E81"/>
    <w:rsid w:val="00616F3D"/>
    <w:rsid w:val="00617204"/>
    <w:rsid w:val="006174BD"/>
    <w:rsid w:val="00617566"/>
    <w:rsid w:val="006176FD"/>
    <w:rsid w:val="00617855"/>
    <w:rsid w:val="00617906"/>
    <w:rsid w:val="0061790D"/>
    <w:rsid w:val="0061797D"/>
    <w:rsid w:val="00617B29"/>
    <w:rsid w:val="00617C85"/>
    <w:rsid w:val="00617DBD"/>
    <w:rsid w:val="00617E07"/>
    <w:rsid w:val="00617F5F"/>
    <w:rsid w:val="00620071"/>
    <w:rsid w:val="006200C8"/>
    <w:rsid w:val="0062016C"/>
    <w:rsid w:val="00620264"/>
    <w:rsid w:val="00620268"/>
    <w:rsid w:val="0062028C"/>
    <w:rsid w:val="00620373"/>
    <w:rsid w:val="00620393"/>
    <w:rsid w:val="006208B4"/>
    <w:rsid w:val="0062092F"/>
    <w:rsid w:val="00620A8A"/>
    <w:rsid w:val="00620B38"/>
    <w:rsid w:val="00620DFE"/>
    <w:rsid w:val="00620E2E"/>
    <w:rsid w:val="00621011"/>
    <w:rsid w:val="006211A0"/>
    <w:rsid w:val="006211A9"/>
    <w:rsid w:val="00621336"/>
    <w:rsid w:val="0062139E"/>
    <w:rsid w:val="0062140C"/>
    <w:rsid w:val="00621411"/>
    <w:rsid w:val="006215E9"/>
    <w:rsid w:val="006218B9"/>
    <w:rsid w:val="00621A40"/>
    <w:rsid w:val="00621BC2"/>
    <w:rsid w:val="00621E1F"/>
    <w:rsid w:val="006220ED"/>
    <w:rsid w:val="00622117"/>
    <w:rsid w:val="00622198"/>
    <w:rsid w:val="006222C4"/>
    <w:rsid w:val="00622514"/>
    <w:rsid w:val="0062252F"/>
    <w:rsid w:val="00622744"/>
    <w:rsid w:val="006229AE"/>
    <w:rsid w:val="00622A52"/>
    <w:rsid w:val="00622A7C"/>
    <w:rsid w:val="00622AFC"/>
    <w:rsid w:val="00622BF0"/>
    <w:rsid w:val="00622D6D"/>
    <w:rsid w:val="00622E84"/>
    <w:rsid w:val="006230FC"/>
    <w:rsid w:val="006235B1"/>
    <w:rsid w:val="006235F7"/>
    <w:rsid w:val="00623604"/>
    <w:rsid w:val="0062371B"/>
    <w:rsid w:val="00623969"/>
    <w:rsid w:val="00623A67"/>
    <w:rsid w:val="00623AD3"/>
    <w:rsid w:val="00623C55"/>
    <w:rsid w:val="00623C99"/>
    <w:rsid w:val="00623D3F"/>
    <w:rsid w:val="00623E7F"/>
    <w:rsid w:val="0062410F"/>
    <w:rsid w:val="006241E4"/>
    <w:rsid w:val="006242EB"/>
    <w:rsid w:val="00624344"/>
    <w:rsid w:val="00624396"/>
    <w:rsid w:val="006243E3"/>
    <w:rsid w:val="00624480"/>
    <w:rsid w:val="00624817"/>
    <w:rsid w:val="00624CD9"/>
    <w:rsid w:val="00624D74"/>
    <w:rsid w:val="00624EAE"/>
    <w:rsid w:val="00624F1C"/>
    <w:rsid w:val="0062505D"/>
    <w:rsid w:val="00625398"/>
    <w:rsid w:val="0062572B"/>
    <w:rsid w:val="00625774"/>
    <w:rsid w:val="00625784"/>
    <w:rsid w:val="0062586C"/>
    <w:rsid w:val="0062593A"/>
    <w:rsid w:val="00625A2D"/>
    <w:rsid w:val="00625A7B"/>
    <w:rsid w:val="00625AE0"/>
    <w:rsid w:val="00625B5A"/>
    <w:rsid w:val="00625BFE"/>
    <w:rsid w:val="00625C31"/>
    <w:rsid w:val="00625D23"/>
    <w:rsid w:val="00625E51"/>
    <w:rsid w:val="00625FA6"/>
    <w:rsid w:val="00626158"/>
    <w:rsid w:val="00626177"/>
    <w:rsid w:val="00626264"/>
    <w:rsid w:val="006263FF"/>
    <w:rsid w:val="006264B1"/>
    <w:rsid w:val="00626652"/>
    <w:rsid w:val="0062674D"/>
    <w:rsid w:val="00626A2D"/>
    <w:rsid w:val="00626B67"/>
    <w:rsid w:val="00626B70"/>
    <w:rsid w:val="00626BB4"/>
    <w:rsid w:val="00626C9A"/>
    <w:rsid w:val="00626CF4"/>
    <w:rsid w:val="00626EF3"/>
    <w:rsid w:val="006270A4"/>
    <w:rsid w:val="00627110"/>
    <w:rsid w:val="0062714A"/>
    <w:rsid w:val="006271BA"/>
    <w:rsid w:val="006271CF"/>
    <w:rsid w:val="00627211"/>
    <w:rsid w:val="0062721E"/>
    <w:rsid w:val="006272A3"/>
    <w:rsid w:val="00627404"/>
    <w:rsid w:val="006274AC"/>
    <w:rsid w:val="00627551"/>
    <w:rsid w:val="00627660"/>
    <w:rsid w:val="006277A2"/>
    <w:rsid w:val="0062795A"/>
    <w:rsid w:val="00627AC2"/>
    <w:rsid w:val="00627F9A"/>
    <w:rsid w:val="00627FFE"/>
    <w:rsid w:val="0063012B"/>
    <w:rsid w:val="00630335"/>
    <w:rsid w:val="006303D6"/>
    <w:rsid w:val="00630421"/>
    <w:rsid w:val="006305E9"/>
    <w:rsid w:val="00630664"/>
    <w:rsid w:val="00630672"/>
    <w:rsid w:val="006307A9"/>
    <w:rsid w:val="00630898"/>
    <w:rsid w:val="006309E7"/>
    <w:rsid w:val="00630AC5"/>
    <w:rsid w:val="00630CA8"/>
    <w:rsid w:val="00630E21"/>
    <w:rsid w:val="00630F2A"/>
    <w:rsid w:val="00630F54"/>
    <w:rsid w:val="006310AA"/>
    <w:rsid w:val="006310F2"/>
    <w:rsid w:val="006311A9"/>
    <w:rsid w:val="0063134F"/>
    <w:rsid w:val="00631724"/>
    <w:rsid w:val="0063181F"/>
    <w:rsid w:val="0063194D"/>
    <w:rsid w:val="00631A65"/>
    <w:rsid w:val="00631AF9"/>
    <w:rsid w:val="00631B82"/>
    <w:rsid w:val="00631D14"/>
    <w:rsid w:val="00631EC5"/>
    <w:rsid w:val="00632095"/>
    <w:rsid w:val="006323B9"/>
    <w:rsid w:val="0063251F"/>
    <w:rsid w:val="006325D4"/>
    <w:rsid w:val="0063270D"/>
    <w:rsid w:val="00632784"/>
    <w:rsid w:val="006328BC"/>
    <w:rsid w:val="00632949"/>
    <w:rsid w:val="00632B1D"/>
    <w:rsid w:val="00632C83"/>
    <w:rsid w:val="00632E1B"/>
    <w:rsid w:val="00632F26"/>
    <w:rsid w:val="00632F61"/>
    <w:rsid w:val="006330E0"/>
    <w:rsid w:val="006332A9"/>
    <w:rsid w:val="006334B5"/>
    <w:rsid w:val="006335A1"/>
    <w:rsid w:val="006335FE"/>
    <w:rsid w:val="006336E9"/>
    <w:rsid w:val="006337BA"/>
    <w:rsid w:val="00633AE2"/>
    <w:rsid w:val="00633DDE"/>
    <w:rsid w:val="006342CE"/>
    <w:rsid w:val="00634711"/>
    <w:rsid w:val="0063483A"/>
    <w:rsid w:val="00634AB4"/>
    <w:rsid w:val="00634C58"/>
    <w:rsid w:val="00634DE8"/>
    <w:rsid w:val="00634E0B"/>
    <w:rsid w:val="00634E2D"/>
    <w:rsid w:val="00634E85"/>
    <w:rsid w:val="00634F67"/>
    <w:rsid w:val="0063523E"/>
    <w:rsid w:val="0063545F"/>
    <w:rsid w:val="00635598"/>
    <w:rsid w:val="00635693"/>
    <w:rsid w:val="00635754"/>
    <w:rsid w:val="00635769"/>
    <w:rsid w:val="006358D4"/>
    <w:rsid w:val="00635C1A"/>
    <w:rsid w:val="00635C84"/>
    <w:rsid w:val="00636129"/>
    <w:rsid w:val="0063618C"/>
    <w:rsid w:val="00636247"/>
    <w:rsid w:val="0063631C"/>
    <w:rsid w:val="0063634E"/>
    <w:rsid w:val="006363B1"/>
    <w:rsid w:val="006365C0"/>
    <w:rsid w:val="00636763"/>
    <w:rsid w:val="00636779"/>
    <w:rsid w:val="006368B5"/>
    <w:rsid w:val="00636977"/>
    <w:rsid w:val="00636998"/>
    <w:rsid w:val="00636B13"/>
    <w:rsid w:val="00636B58"/>
    <w:rsid w:val="00636BB6"/>
    <w:rsid w:val="00636C62"/>
    <w:rsid w:val="00636E24"/>
    <w:rsid w:val="00636E82"/>
    <w:rsid w:val="00636E86"/>
    <w:rsid w:val="00636E94"/>
    <w:rsid w:val="00636FA5"/>
    <w:rsid w:val="00636FE1"/>
    <w:rsid w:val="00637043"/>
    <w:rsid w:val="00637111"/>
    <w:rsid w:val="00637418"/>
    <w:rsid w:val="00637570"/>
    <w:rsid w:val="0063782E"/>
    <w:rsid w:val="00637851"/>
    <w:rsid w:val="006379FA"/>
    <w:rsid w:val="00640184"/>
    <w:rsid w:val="0064039A"/>
    <w:rsid w:val="006404A5"/>
    <w:rsid w:val="006405B7"/>
    <w:rsid w:val="00640706"/>
    <w:rsid w:val="0064078B"/>
    <w:rsid w:val="00640849"/>
    <w:rsid w:val="006409AF"/>
    <w:rsid w:val="006409B2"/>
    <w:rsid w:val="00640A28"/>
    <w:rsid w:val="00640C5A"/>
    <w:rsid w:val="00640CF2"/>
    <w:rsid w:val="00640DAD"/>
    <w:rsid w:val="00640E23"/>
    <w:rsid w:val="0064134A"/>
    <w:rsid w:val="006413E5"/>
    <w:rsid w:val="00641670"/>
    <w:rsid w:val="006416EA"/>
    <w:rsid w:val="00641815"/>
    <w:rsid w:val="00641920"/>
    <w:rsid w:val="0064194F"/>
    <w:rsid w:val="0064199D"/>
    <w:rsid w:val="00641A99"/>
    <w:rsid w:val="00641B98"/>
    <w:rsid w:val="00641C25"/>
    <w:rsid w:val="00641EF8"/>
    <w:rsid w:val="00642172"/>
    <w:rsid w:val="0064218E"/>
    <w:rsid w:val="0064228C"/>
    <w:rsid w:val="00642491"/>
    <w:rsid w:val="006426C5"/>
    <w:rsid w:val="00642710"/>
    <w:rsid w:val="00642731"/>
    <w:rsid w:val="006427C4"/>
    <w:rsid w:val="006427DE"/>
    <w:rsid w:val="00642909"/>
    <w:rsid w:val="00642970"/>
    <w:rsid w:val="00642B46"/>
    <w:rsid w:val="00642C18"/>
    <w:rsid w:val="00642D1F"/>
    <w:rsid w:val="00642F22"/>
    <w:rsid w:val="006430AA"/>
    <w:rsid w:val="0064319C"/>
    <w:rsid w:val="006432F8"/>
    <w:rsid w:val="006433AA"/>
    <w:rsid w:val="006433AF"/>
    <w:rsid w:val="00643437"/>
    <w:rsid w:val="00643488"/>
    <w:rsid w:val="00643879"/>
    <w:rsid w:val="006438CA"/>
    <w:rsid w:val="0064393B"/>
    <w:rsid w:val="00643C3E"/>
    <w:rsid w:val="00643CCA"/>
    <w:rsid w:val="00643DDD"/>
    <w:rsid w:val="00643DFD"/>
    <w:rsid w:val="00643F1A"/>
    <w:rsid w:val="0064401F"/>
    <w:rsid w:val="00644047"/>
    <w:rsid w:val="00644162"/>
    <w:rsid w:val="00644280"/>
    <w:rsid w:val="00644486"/>
    <w:rsid w:val="00644518"/>
    <w:rsid w:val="0064451C"/>
    <w:rsid w:val="00644559"/>
    <w:rsid w:val="006445CF"/>
    <w:rsid w:val="006448A6"/>
    <w:rsid w:val="00644900"/>
    <w:rsid w:val="00644B8E"/>
    <w:rsid w:val="00644C04"/>
    <w:rsid w:val="00644C96"/>
    <w:rsid w:val="00644CCB"/>
    <w:rsid w:val="00644D51"/>
    <w:rsid w:val="00644EFB"/>
    <w:rsid w:val="00644F0F"/>
    <w:rsid w:val="0064501A"/>
    <w:rsid w:val="006453E6"/>
    <w:rsid w:val="00645465"/>
    <w:rsid w:val="006455F1"/>
    <w:rsid w:val="0064562C"/>
    <w:rsid w:val="0064575E"/>
    <w:rsid w:val="006459C8"/>
    <w:rsid w:val="00645B83"/>
    <w:rsid w:val="00645C21"/>
    <w:rsid w:val="00645F86"/>
    <w:rsid w:val="00645FD6"/>
    <w:rsid w:val="00645FE5"/>
    <w:rsid w:val="00646109"/>
    <w:rsid w:val="0064611E"/>
    <w:rsid w:val="00646297"/>
    <w:rsid w:val="006462F0"/>
    <w:rsid w:val="0064634F"/>
    <w:rsid w:val="00646678"/>
    <w:rsid w:val="00646987"/>
    <w:rsid w:val="00646A98"/>
    <w:rsid w:val="00646D96"/>
    <w:rsid w:val="00646F01"/>
    <w:rsid w:val="00646F6F"/>
    <w:rsid w:val="0064710F"/>
    <w:rsid w:val="006471D6"/>
    <w:rsid w:val="00647398"/>
    <w:rsid w:val="00647403"/>
    <w:rsid w:val="00647407"/>
    <w:rsid w:val="0064753B"/>
    <w:rsid w:val="0064756E"/>
    <w:rsid w:val="006476AB"/>
    <w:rsid w:val="00647727"/>
    <w:rsid w:val="006477A0"/>
    <w:rsid w:val="00647AC8"/>
    <w:rsid w:val="00647EB7"/>
    <w:rsid w:val="00647EC3"/>
    <w:rsid w:val="0065000D"/>
    <w:rsid w:val="006501C8"/>
    <w:rsid w:val="006503EE"/>
    <w:rsid w:val="006505D2"/>
    <w:rsid w:val="00650694"/>
    <w:rsid w:val="0065069F"/>
    <w:rsid w:val="006506A9"/>
    <w:rsid w:val="00650736"/>
    <w:rsid w:val="006507CC"/>
    <w:rsid w:val="006508E7"/>
    <w:rsid w:val="00650B32"/>
    <w:rsid w:val="00650E67"/>
    <w:rsid w:val="00651105"/>
    <w:rsid w:val="006512DD"/>
    <w:rsid w:val="00651430"/>
    <w:rsid w:val="006515FB"/>
    <w:rsid w:val="00651906"/>
    <w:rsid w:val="00651981"/>
    <w:rsid w:val="006519CC"/>
    <w:rsid w:val="00651A22"/>
    <w:rsid w:val="00651C93"/>
    <w:rsid w:val="00651D53"/>
    <w:rsid w:val="00651E26"/>
    <w:rsid w:val="00651E8A"/>
    <w:rsid w:val="00652088"/>
    <w:rsid w:val="006520AF"/>
    <w:rsid w:val="006522B3"/>
    <w:rsid w:val="00652442"/>
    <w:rsid w:val="00652A0A"/>
    <w:rsid w:val="00652B5F"/>
    <w:rsid w:val="00652B7A"/>
    <w:rsid w:val="00652BF7"/>
    <w:rsid w:val="00652C85"/>
    <w:rsid w:val="00652E9D"/>
    <w:rsid w:val="006533FC"/>
    <w:rsid w:val="006535AE"/>
    <w:rsid w:val="006536B7"/>
    <w:rsid w:val="00653735"/>
    <w:rsid w:val="00653961"/>
    <w:rsid w:val="006539F2"/>
    <w:rsid w:val="00653A19"/>
    <w:rsid w:val="00653B16"/>
    <w:rsid w:val="00653BCB"/>
    <w:rsid w:val="00653BCF"/>
    <w:rsid w:val="00653DE3"/>
    <w:rsid w:val="00653E34"/>
    <w:rsid w:val="00653EC1"/>
    <w:rsid w:val="00653EF7"/>
    <w:rsid w:val="0065409F"/>
    <w:rsid w:val="006540DC"/>
    <w:rsid w:val="0065416B"/>
    <w:rsid w:val="006542B7"/>
    <w:rsid w:val="006543B5"/>
    <w:rsid w:val="0065464B"/>
    <w:rsid w:val="00654781"/>
    <w:rsid w:val="0065481E"/>
    <w:rsid w:val="00654863"/>
    <w:rsid w:val="00654A77"/>
    <w:rsid w:val="00654C3E"/>
    <w:rsid w:val="00654CA3"/>
    <w:rsid w:val="00654E93"/>
    <w:rsid w:val="0065502E"/>
    <w:rsid w:val="006551E9"/>
    <w:rsid w:val="0065532C"/>
    <w:rsid w:val="00655465"/>
    <w:rsid w:val="006556A9"/>
    <w:rsid w:val="00655808"/>
    <w:rsid w:val="0065588D"/>
    <w:rsid w:val="00655A0C"/>
    <w:rsid w:val="00655F8B"/>
    <w:rsid w:val="00656058"/>
    <w:rsid w:val="00656216"/>
    <w:rsid w:val="00656225"/>
    <w:rsid w:val="006562C0"/>
    <w:rsid w:val="0065633E"/>
    <w:rsid w:val="00656390"/>
    <w:rsid w:val="00656505"/>
    <w:rsid w:val="006566BD"/>
    <w:rsid w:val="0065681A"/>
    <w:rsid w:val="006569A9"/>
    <w:rsid w:val="006569B5"/>
    <w:rsid w:val="00656A1C"/>
    <w:rsid w:val="00656B55"/>
    <w:rsid w:val="00656BF9"/>
    <w:rsid w:val="00656E4C"/>
    <w:rsid w:val="00656F09"/>
    <w:rsid w:val="0065701C"/>
    <w:rsid w:val="00657160"/>
    <w:rsid w:val="006571DF"/>
    <w:rsid w:val="00657263"/>
    <w:rsid w:val="0065736A"/>
    <w:rsid w:val="00657532"/>
    <w:rsid w:val="0065754C"/>
    <w:rsid w:val="00657698"/>
    <w:rsid w:val="006576D9"/>
    <w:rsid w:val="0065775C"/>
    <w:rsid w:val="0065779C"/>
    <w:rsid w:val="006577DD"/>
    <w:rsid w:val="00657A5E"/>
    <w:rsid w:val="00657A9B"/>
    <w:rsid w:val="00657AB5"/>
    <w:rsid w:val="00657B5D"/>
    <w:rsid w:val="00657C8B"/>
    <w:rsid w:val="00660412"/>
    <w:rsid w:val="006607A8"/>
    <w:rsid w:val="00660AA9"/>
    <w:rsid w:val="00660F44"/>
    <w:rsid w:val="0066108F"/>
    <w:rsid w:val="0066118B"/>
    <w:rsid w:val="00661254"/>
    <w:rsid w:val="00661655"/>
    <w:rsid w:val="00661702"/>
    <w:rsid w:val="006619D4"/>
    <w:rsid w:val="00661A69"/>
    <w:rsid w:val="00661F61"/>
    <w:rsid w:val="00661FCB"/>
    <w:rsid w:val="0066214D"/>
    <w:rsid w:val="00662352"/>
    <w:rsid w:val="00662436"/>
    <w:rsid w:val="00662997"/>
    <w:rsid w:val="00662B3A"/>
    <w:rsid w:val="00662BF9"/>
    <w:rsid w:val="00662C7A"/>
    <w:rsid w:val="00662D64"/>
    <w:rsid w:val="00662D9A"/>
    <w:rsid w:val="00662FA3"/>
    <w:rsid w:val="00663027"/>
    <w:rsid w:val="006631F3"/>
    <w:rsid w:val="0066321A"/>
    <w:rsid w:val="0066333D"/>
    <w:rsid w:val="00663763"/>
    <w:rsid w:val="006638B5"/>
    <w:rsid w:val="0066392B"/>
    <w:rsid w:val="0066393F"/>
    <w:rsid w:val="00663ADA"/>
    <w:rsid w:val="00663B22"/>
    <w:rsid w:val="00663B79"/>
    <w:rsid w:val="00663C89"/>
    <w:rsid w:val="00664031"/>
    <w:rsid w:val="00664046"/>
    <w:rsid w:val="0066406B"/>
    <w:rsid w:val="006640A0"/>
    <w:rsid w:val="006640B0"/>
    <w:rsid w:val="006642B1"/>
    <w:rsid w:val="0066442B"/>
    <w:rsid w:val="006644FB"/>
    <w:rsid w:val="006649DF"/>
    <w:rsid w:val="00664B48"/>
    <w:rsid w:val="00664C07"/>
    <w:rsid w:val="00664E1D"/>
    <w:rsid w:val="00664FED"/>
    <w:rsid w:val="006651CE"/>
    <w:rsid w:val="00665238"/>
    <w:rsid w:val="006652F1"/>
    <w:rsid w:val="00665486"/>
    <w:rsid w:val="006654C9"/>
    <w:rsid w:val="00665558"/>
    <w:rsid w:val="0066558B"/>
    <w:rsid w:val="00665627"/>
    <w:rsid w:val="0066584A"/>
    <w:rsid w:val="00665913"/>
    <w:rsid w:val="00665AC2"/>
    <w:rsid w:val="00665C90"/>
    <w:rsid w:val="00665D40"/>
    <w:rsid w:val="00666439"/>
    <w:rsid w:val="00666673"/>
    <w:rsid w:val="00666BEE"/>
    <w:rsid w:val="00666C8C"/>
    <w:rsid w:val="00666ED7"/>
    <w:rsid w:val="00666EEA"/>
    <w:rsid w:val="00666F71"/>
    <w:rsid w:val="00666FEB"/>
    <w:rsid w:val="00667089"/>
    <w:rsid w:val="006670CD"/>
    <w:rsid w:val="00667123"/>
    <w:rsid w:val="00667247"/>
    <w:rsid w:val="006672E3"/>
    <w:rsid w:val="0066739A"/>
    <w:rsid w:val="006675EF"/>
    <w:rsid w:val="006676D4"/>
    <w:rsid w:val="00667743"/>
    <w:rsid w:val="006677EE"/>
    <w:rsid w:val="006677F6"/>
    <w:rsid w:val="00667818"/>
    <w:rsid w:val="0066799C"/>
    <w:rsid w:val="00667C9E"/>
    <w:rsid w:val="00667E4C"/>
    <w:rsid w:val="00667E7E"/>
    <w:rsid w:val="006701D1"/>
    <w:rsid w:val="00670246"/>
    <w:rsid w:val="006703E5"/>
    <w:rsid w:val="00670453"/>
    <w:rsid w:val="006704AF"/>
    <w:rsid w:val="00670503"/>
    <w:rsid w:val="006707EE"/>
    <w:rsid w:val="006708A9"/>
    <w:rsid w:val="00670970"/>
    <w:rsid w:val="00670976"/>
    <w:rsid w:val="006709BE"/>
    <w:rsid w:val="00670A5E"/>
    <w:rsid w:val="00670B41"/>
    <w:rsid w:val="00670E76"/>
    <w:rsid w:val="00671213"/>
    <w:rsid w:val="006713AA"/>
    <w:rsid w:val="0067141D"/>
    <w:rsid w:val="006714DA"/>
    <w:rsid w:val="006716A2"/>
    <w:rsid w:val="0067181E"/>
    <w:rsid w:val="00671836"/>
    <w:rsid w:val="006719BE"/>
    <w:rsid w:val="00671A32"/>
    <w:rsid w:val="00671BBA"/>
    <w:rsid w:val="00671C3F"/>
    <w:rsid w:val="00671CBF"/>
    <w:rsid w:val="00671DFB"/>
    <w:rsid w:val="00671EC7"/>
    <w:rsid w:val="00671FB1"/>
    <w:rsid w:val="00671FE3"/>
    <w:rsid w:val="00672038"/>
    <w:rsid w:val="00672144"/>
    <w:rsid w:val="00672550"/>
    <w:rsid w:val="006726FD"/>
    <w:rsid w:val="0067271B"/>
    <w:rsid w:val="00672910"/>
    <w:rsid w:val="00672A98"/>
    <w:rsid w:val="00672B51"/>
    <w:rsid w:val="00672B66"/>
    <w:rsid w:val="00672CD3"/>
    <w:rsid w:val="00672E10"/>
    <w:rsid w:val="00672E98"/>
    <w:rsid w:val="00673068"/>
    <w:rsid w:val="00673160"/>
    <w:rsid w:val="00673346"/>
    <w:rsid w:val="006734DD"/>
    <w:rsid w:val="00673538"/>
    <w:rsid w:val="0067356E"/>
    <w:rsid w:val="0067357B"/>
    <w:rsid w:val="0067363F"/>
    <w:rsid w:val="00673761"/>
    <w:rsid w:val="0067376C"/>
    <w:rsid w:val="00673916"/>
    <w:rsid w:val="00673A9B"/>
    <w:rsid w:val="00673E5E"/>
    <w:rsid w:val="00673EBF"/>
    <w:rsid w:val="00674025"/>
    <w:rsid w:val="006740C7"/>
    <w:rsid w:val="00674102"/>
    <w:rsid w:val="0067429D"/>
    <w:rsid w:val="006742D0"/>
    <w:rsid w:val="00674401"/>
    <w:rsid w:val="00674414"/>
    <w:rsid w:val="00674478"/>
    <w:rsid w:val="0067463A"/>
    <w:rsid w:val="00674640"/>
    <w:rsid w:val="0067484E"/>
    <w:rsid w:val="0067499B"/>
    <w:rsid w:val="006749B8"/>
    <w:rsid w:val="00674C9E"/>
    <w:rsid w:val="00674F42"/>
    <w:rsid w:val="006750CE"/>
    <w:rsid w:val="006750D5"/>
    <w:rsid w:val="0067518C"/>
    <w:rsid w:val="006751EE"/>
    <w:rsid w:val="00675227"/>
    <w:rsid w:val="00675281"/>
    <w:rsid w:val="0067535A"/>
    <w:rsid w:val="006753D7"/>
    <w:rsid w:val="00675493"/>
    <w:rsid w:val="006754C6"/>
    <w:rsid w:val="006756FB"/>
    <w:rsid w:val="0067578B"/>
    <w:rsid w:val="006757AD"/>
    <w:rsid w:val="00675A8B"/>
    <w:rsid w:val="00675B5D"/>
    <w:rsid w:val="00675C34"/>
    <w:rsid w:val="00675D9A"/>
    <w:rsid w:val="00675EBB"/>
    <w:rsid w:val="00675EEA"/>
    <w:rsid w:val="0067606D"/>
    <w:rsid w:val="00676079"/>
    <w:rsid w:val="0067611B"/>
    <w:rsid w:val="006761B4"/>
    <w:rsid w:val="0067636E"/>
    <w:rsid w:val="006763E8"/>
    <w:rsid w:val="00676401"/>
    <w:rsid w:val="00676415"/>
    <w:rsid w:val="00676767"/>
    <w:rsid w:val="006768F1"/>
    <w:rsid w:val="00676DAE"/>
    <w:rsid w:val="00676DD1"/>
    <w:rsid w:val="00676E77"/>
    <w:rsid w:val="00677188"/>
    <w:rsid w:val="00677449"/>
    <w:rsid w:val="00677716"/>
    <w:rsid w:val="00677788"/>
    <w:rsid w:val="006777BD"/>
    <w:rsid w:val="00677A65"/>
    <w:rsid w:val="00677B30"/>
    <w:rsid w:val="00677BC2"/>
    <w:rsid w:val="00677D09"/>
    <w:rsid w:val="006801AB"/>
    <w:rsid w:val="006801C9"/>
    <w:rsid w:val="00680225"/>
    <w:rsid w:val="0068034E"/>
    <w:rsid w:val="0068054A"/>
    <w:rsid w:val="0068072E"/>
    <w:rsid w:val="00680764"/>
    <w:rsid w:val="0068079B"/>
    <w:rsid w:val="006808CF"/>
    <w:rsid w:val="00680BFD"/>
    <w:rsid w:val="00680C2C"/>
    <w:rsid w:val="00680D61"/>
    <w:rsid w:val="00681142"/>
    <w:rsid w:val="00681492"/>
    <w:rsid w:val="006814B8"/>
    <w:rsid w:val="006814FF"/>
    <w:rsid w:val="0068166F"/>
    <w:rsid w:val="0068172F"/>
    <w:rsid w:val="006818A3"/>
    <w:rsid w:val="006819D0"/>
    <w:rsid w:val="00681C28"/>
    <w:rsid w:val="00681D17"/>
    <w:rsid w:val="00681F23"/>
    <w:rsid w:val="00681F59"/>
    <w:rsid w:val="006821BF"/>
    <w:rsid w:val="006821EC"/>
    <w:rsid w:val="00682943"/>
    <w:rsid w:val="0068294B"/>
    <w:rsid w:val="00682C39"/>
    <w:rsid w:val="00682E8E"/>
    <w:rsid w:val="0068304E"/>
    <w:rsid w:val="00683194"/>
    <w:rsid w:val="006832A5"/>
    <w:rsid w:val="0068334B"/>
    <w:rsid w:val="0068340E"/>
    <w:rsid w:val="00683567"/>
    <w:rsid w:val="0068358F"/>
    <w:rsid w:val="006836FB"/>
    <w:rsid w:val="00683781"/>
    <w:rsid w:val="0068384B"/>
    <w:rsid w:val="0068387D"/>
    <w:rsid w:val="00683985"/>
    <w:rsid w:val="006839BD"/>
    <w:rsid w:val="006839FB"/>
    <w:rsid w:val="00683B1B"/>
    <w:rsid w:val="00683BCE"/>
    <w:rsid w:val="00683DF7"/>
    <w:rsid w:val="00684297"/>
    <w:rsid w:val="006843E0"/>
    <w:rsid w:val="006844EC"/>
    <w:rsid w:val="0068452B"/>
    <w:rsid w:val="006845DB"/>
    <w:rsid w:val="00684877"/>
    <w:rsid w:val="00684B50"/>
    <w:rsid w:val="00684C92"/>
    <w:rsid w:val="00684CE1"/>
    <w:rsid w:val="00684D88"/>
    <w:rsid w:val="00684DE4"/>
    <w:rsid w:val="00684DE5"/>
    <w:rsid w:val="00684EDF"/>
    <w:rsid w:val="00685102"/>
    <w:rsid w:val="006851CA"/>
    <w:rsid w:val="0068522D"/>
    <w:rsid w:val="0068527F"/>
    <w:rsid w:val="00685558"/>
    <w:rsid w:val="0068562E"/>
    <w:rsid w:val="0068595E"/>
    <w:rsid w:val="00685982"/>
    <w:rsid w:val="00685B38"/>
    <w:rsid w:val="00685B76"/>
    <w:rsid w:val="00685D2A"/>
    <w:rsid w:val="00685E32"/>
    <w:rsid w:val="00685E34"/>
    <w:rsid w:val="00685E86"/>
    <w:rsid w:val="00685FF3"/>
    <w:rsid w:val="00686163"/>
    <w:rsid w:val="006863AF"/>
    <w:rsid w:val="00686522"/>
    <w:rsid w:val="00686594"/>
    <w:rsid w:val="006866AB"/>
    <w:rsid w:val="006866C2"/>
    <w:rsid w:val="00686763"/>
    <w:rsid w:val="0068680D"/>
    <w:rsid w:val="006868F3"/>
    <w:rsid w:val="00686A79"/>
    <w:rsid w:val="00686EDF"/>
    <w:rsid w:val="00686EE4"/>
    <w:rsid w:val="00687230"/>
    <w:rsid w:val="00687232"/>
    <w:rsid w:val="0068733B"/>
    <w:rsid w:val="006873B8"/>
    <w:rsid w:val="006873D2"/>
    <w:rsid w:val="00687534"/>
    <w:rsid w:val="00687673"/>
    <w:rsid w:val="00687720"/>
    <w:rsid w:val="00687822"/>
    <w:rsid w:val="00687823"/>
    <w:rsid w:val="006879F3"/>
    <w:rsid w:val="00687A3E"/>
    <w:rsid w:val="00687B5C"/>
    <w:rsid w:val="00687C0C"/>
    <w:rsid w:val="00687E6A"/>
    <w:rsid w:val="00687EF5"/>
    <w:rsid w:val="00687F8A"/>
    <w:rsid w:val="00690118"/>
    <w:rsid w:val="006901E4"/>
    <w:rsid w:val="0069037E"/>
    <w:rsid w:val="00690436"/>
    <w:rsid w:val="00690725"/>
    <w:rsid w:val="006907D2"/>
    <w:rsid w:val="00690975"/>
    <w:rsid w:val="006909EE"/>
    <w:rsid w:val="00690CC0"/>
    <w:rsid w:val="00690CFE"/>
    <w:rsid w:val="00691089"/>
    <w:rsid w:val="0069111B"/>
    <w:rsid w:val="00691244"/>
    <w:rsid w:val="006912F1"/>
    <w:rsid w:val="00691928"/>
    <w:rsid w:val="00691AB7"/>
    <w:rsid w:val="00691C98"/>
    <w:rsid w:val="00691D58"/>
    <w:rsid w:val="00691EF3"/>
    <w:rsid w:val="00691EF6"/>
    <w:rsid w:val="00691F7A"/>
    <w:rsid w:val="006920B4"/>
    <w:rsid w:val="006920CA"/>
    <w:rsid w:val="0069212D"/>
    <w:rsid w:val="00692202"/>
    <w:rsid w:val="0069230D"/>
    <w:rsid w:val="006923E5"/>
    <w:rsid w:val="00692549"/>
    <w:rsid w:val="0069256B"/>
    <w:rsid w:val="00692672"/>
    <w:rsid w:val="00692AD6"/>
    <w:rsid w:val="00692B92"/>
    <w:rsid w:val="00692D31"/>
    <w:rsid w:val="00692E93"/>
    <w:rsid w:val="00692F6F"/>
    <w:rsid w:val="0069308B"/>
    <w:rsid w:val="006930AA"/>
    <w:rsid w:val="006932E2"/>
    <w:rsid w:val="00693316"/>
    <w:rsid w:val="0069334B"/>
    <w:rsid w:val="00693652"/>
    <w:rsid w:val="006936A3"/>
    <w:rsid w:val="006936FA"/>
    <w:rsid w:val="0069379B"/>
    <w:rsid w:val="00693942"/>
    <w:rsid w:val="0069394A"/>
    <w:rsid w:val="00693A02"/>
    <w:rsid w:val="00693AA4"/>
    <w:rsid w:val="00693B18"/>
    <w:rsid w:val="00693BA0"/>
    <w:rsid w:val="00693C40"/>
    <w:rsid w:val="00693D7B"/>
    <w:rsid w:val="006941D9"/>
    <w:rsid w:val="006941DB"/>
    <w:rsid w:val="006944AD"/>
    <w:rsid w:val="00694621"/>
    <w:rsid w:val="0069463C"/>
    <w:rsid w:val="00694786"/>
    <w:rsid w:val="00694A39"/>
    <w:rsid w:val="00694C0F"/>
    <w:rsid w:val="00694C99"/>
    <w:rsid w:val="00694D32"/>
    <w:rsid w:val="0069531B"/>
    <w:rsid w:val="006955A0"/>
    <w:rsid w:val="0069581C"/>
    <w:rsid w:val="006958D6"/>
    <w:rsid w:val="006958EF"/>
    <w:rsid w:val="00695AC6"/>
    <w:rsid w:val="00695B29"/>
    <w:rsid w:val="00695C64"/>
    <w:rsid w:val="00695C73"/>
    <w:rsid w:val="00695FAA"/>
    <w:rsid w:val="00696258"/>
    <w:rsid w:val="006962BE"/>
    <w:rsid w:val="006963E1"/>
    <w:rsid w:val="00696448"/>
    <w:rsid w:val="006964A2"/>
    <w:rsid w:val="00696663"/>
    <w:rsid w:val="006966C1"/>
    <w:rsid w:val="00696759"/>
    <w:rsid w:val="00696B1F"/>
    <w:rsid w:val="00696DC1"/>
    <w:rsid w:val="00696E65"/>
    <w:rsid w:val="006970FE"/>
    <w:rsid w:val="0069715B"/>
    <w:rsid w:val="006973B2"/>
    <w:rsid w:val="006974CA"/>
    <w:rsid w:val="00697520"/>
    <w:rsid w:val="0069762C"/>
    <w:rsid w:val="0069763C"/>
    <w:rsid w:val="006976D4"/>
    <w:rsid w:val="006978CE"/>
    <w:rsid w:val="0069793E"/>
    <w:rsid w:val="00697942"/>
    <w:rsid w:val="006979F5"/>
    <w:rsid w:val="00697B32"/>
    <w:rsid w:val="00697BCB"/>
    <w:rsid w:val="00697D6E"/>
    <w:rsid w:val="00697E02"/>
    <w:rsid w:val="00697FCD"/>
    <w:rsid w:val="006A01E5"/>
    <w:rsid w:val="006A02C7"/>
    <w:rsid w:val="006A0365"/>
    <w:rsid w:val="006A04E2"/>
    <w:rsid w:val="006A06BB"/>
    <w:rsid w:val="006A07EE"/>
    <w:rsid w:val="006A088F"/>
    <w:rsid w:val="006A08CF"/>
    <w:rsid w:val="006A091A"/>
    <w:rsid w:val="006A0A11"/>
    <w:rsid w:val="006A0A18"/>
    <w:rsid w:val="006A0AA1"/>
    <w:rsid w:val="006A0AB8"/>
    <w:rsid w:val="006A105D"/>
    <w:rsid w:val="006A10E4"/>
    <w:rsid w:val="006A121C"/>
    <w:rsid w:val="006A13CC"/>
    <w:rsid w:val="006A142A"/>
    <w:rsid w:val="006A163B"/>
    <w:rsid w:val="006A164D"/>
    <w:rsid w:val="006A16BA"/>
    <w:rsid w:val="006A1709"/>
    <w:rsid w:val="006A17F2"/>
    <w:rsid w:val="006A18F3"/>
    <w:rsid w:val="006A1957"/>
    <w:rsid w:val="006A19FB"/>
    <w:rsid w:val="006A1B68"/>
    <w:rsid w:val="006A1B8A"/>
    <w:rsid w:val="006A1BC1"/>
    <w:rsid w:val="006A1D9E"/>
    <w:rsid w:val="006A1FC8"/>
    <w:rsid w:val="006A2275"/>
    <w:rsid w:val="006A2654"/>
    <w:rsid w:val="006A28F7"/>
    <w:rsid w:val="006A2984"/>
    <w:rsid w:val="006A29C6"/>
    <w:rsid w:val="006A2B98"/>
    <w:rsid w:val="006A2CA4"/>
    <w:rsid w:val="006A30DD"/>
    <w:rsid w:val="006A3278"/>
    <w:rsid w:val="006A32A8"/>
    <w:rsid w:val="006A34D7"/>
    <w:rsid w:val="006A350A"/>
    <w:rsid w:val="006A359B"/>
    <w:rsid w:val="006A38CC"/>
    <w:rsid w:val="006A393B"/>
    <w:rsid w:val="006A3A89"/>
    <w:rsid w:val="006A3A9D"/>
    <w:rsid w:val="006A3D56"/>
    <w:rsid w:val="006A3D98"/>
    <w:rsid w:val="006A3E36"/>
    <w:rsid w:val="006A40D3"/>
    <w:rsid w:val="006A42B6"/>
    <w:rsid w:val="006A42C0"/>
    <w:rsid w:val="006A4436"/>
    <w:rsid w:val="006A4979"/>
    <w:rsid w:val="006A4C0A"/>
    <w:rsid w:val="006A4C0E"/>
    <w:rsid w:val="006A4C62"/>
    <w:rsid w:val="006A4D2D"/>
    <w:rsid w:val="006A4D4F"/>
    <w:rsid w:val="006A4D5F"/>
    <w:rsid w:val="006A4DD1"/>
    <w:rsid w:val="006A4E8B"/>
    <w:rsid w:val="006A4FA4"/>
    <w:rsid w:val="006A4FB0"/>
    <w:rsid w:val="006A500D"/>
    <w:rsid w:val="006A51D6"/>
    <w:rsid w:val="006A52E1"/>
    <w:rsid w:val="006A5342"/>
    <w:rsid w:val="006A53B8"/>
    <w:rsid w:val="006A5409"/>
    <w:rsid w:val="006A54E3"/>
    <w:rsid w:val="006A5558"/>
    <w:rsid w:val="006A56BE"/>
    <w:rsid w:val="006A584E"/>
    <w:rsid w:val="006A591F"/>
    <w:rsid w:val="006A597F"/>
    <w:rsid w:val="006A5A7A"/>
    <w:rsid w:val="006A5B42"/>
    <w:rsid w:val="006A5E31"/>
    <w:rsid w:val="006A6188"/>
    <w:rsid w:val="006A6683"/>
    <w:rsid w:val="006A6704"/>
    <w:rsid w:val="006A67DB"/>
    <w:rsid w:val="006A68D1"/>
    <w:rsid w:val="006A68E8"/>
    <w:rsid w:val="006A6900"/>
    <w:rsid w:val="006A6B1D"/>
    <w:rsid w:val="006A6DD9"/>
    <w:rsid w:val="006A708A"/>
    <w:rsid w:val="006A70D6"/>
    <w:rsid w:val="006A71F0"/>
    <w:rsid w:val="006A72CA"/>
    <w:rsid w:val="006A72D3"/>
    <w:rsid w:val="006A7681"/>
    <w:rsid w:val="006A778C"/>
    <w:rsid w:val="006A77DE"/>
    <w:rsid w:val="006A781F"/>
    <w:rsid w:val="006A7844"/>
    <w:rsid w:val="006A7B45"/>
    <w:rsid w:val="006A7BC7"/>
    <w:rsid w:val="006A7CFA"/>
    <w:rsid w:val="006A7DB5"/>
    <w:rsid w:val="006A7F20"/>
    <w:rsid w:val="006A7F8D"/>
    <w:rsid w:val="006B0035"/>
    <w:rsid w:val="006B0141"/>
    <w:rsid w:val="006B0237"/>
    <w:rsid w:val="006B0339"/>
    <w:rsid w:val="006B0402"/>
    <w:rsid w:val="006B06B5"/>
    <w:rsid w:val="006B07FA"/>
    <w:rsid w:val="006B0868"/>
    <w:rsid w:val="006B090E"/>
    <w:rsid w:val="006B09EA"/>
    <w:rsid w:val="006B0ACC"/>
    <w:rsid w:val="006B0B64"/>
    <w:rsid w:val="006B0CEB"/>
    <w:rsid w:val="006B0DE5"/>
    <w:rsid w:val="006B0EDB"/>
    <w:rsid w:val="006B0F36"/>
    <w:rsid w:val="006B1018"/>
    <w:rsid w:val="006B1279"/>
    <w:rsid w:val="006B13D7"/>
    <w:rsid w:val="006B1486"/>
    <w:rsid w:val="006B180C"/>
    <w:rsid w:val="006B1900"/>
    <w:rsid w:val="006B1D1A"/>
    <w:rsid w:val="006B1DCB"/>
    <w:rsid w:val="006B1E98"/>
    <w:rsid w:val="006B1ED6"/>
    <w:rsid w:val="006B1FE3"/>
    <w:rsid w:val="006B201F"/>
    <w:rsid w:val="006B207B"/>
    <w:rsid w:val="006B21A3"/>
    <w:rsid w:val="006B2390"/>
    <w:rsid w:val="006B249C"/>
    <w:rsid w:val="006B27C1"/>
    <w:rsid w:val="006B2889"/>
    <w:rsid w:val="006B299C"/>
    <w:rsid w:val="006B2CE1"/>
    <w:rsid w:val="006B2E3F"/>
    <w:rsid w:val="006B2E97"/>
    <w:rsid w:val="006B31C2"/>
    <w:rsid w:val="006B335C"/>
    <w:rsid w:val="006B335D"/>
    <w:rsid w:val="006B33A3"/>
    <w:rsid w:val="006B348D"/>
    <w:rsid w:val="006B3567"/>
    <w:rsid w:val="006B3667"/>
    <w:rsid w:val="006B3A4A"/>
    <w:rsid w:val="006B3CEE"/>
    <w:rsid w:val="006B3E94"/>
    <w:rsid w:val="006B3F10"/>
    <w:rsid w:val="006B3F7D"/>
    <w:rsid w:val="006B405A"/>
    <w:rsid w:val="006B4297"/>
    <w:rsid w:val="006B436B"/>
    <w:rsid w:val="006B44B3"/>
    <w:rsid w:val="006B45B8"/>
    <w:rsid w:val="006B4614"/>
    <w:rsid w:val="006B4780"/>
    <w:rsid w:val="006B4AC9"/>
    <w:rsid w:val="006B4B79"/>
    <w:rsid w:val="006B4BD1"/>
    <w:rsid w:val="006B4C30"/>
    <w:rsid w:val="006B4C3C"/>
    <w:rsid w:val="006B4FB5"/>
    <w:rsid w:val="006B4FC1"/>
    <w:rsid w:val="006B5172"/>
    <w:rsid w:val="006B52CF"/>
    <w:rsid w:val="006B56B7"/>
    <w:rsid w:val="006B56FE"/>
    <w:rsid w:val="006B5C67"/>
    <w:rsid w:val="006B60E4"/>
    <w:rsid w:val="006B61B4"/>
    <w:rsid w:val="006B61CD"/>
    <w:rsid w:val="006B6255"/>
    <w:rsid w:val="006B626F"/>
    <w:rsid w:val="006B62A3"/>
    <w:rsid w:val="006B6532"/>
    <w:rsid w:val="006B67AC"/>
    <w:rsid w:val="006B67C9"/>
    <w:rsid w:val="006B67FB"/>
    <w:rsid w:val="006B686A"/>
    <w:rsid w:val="006B694C"/>
    <w:rsid w:val="006B69A1"/>
    <w:rsid w:val="006B6D15"/>
    <w:rsid w:val="006B6FD1"/>
    <w:rsid w:val="006B7076"/>
    <w:rsid w:val="006B7307"/>
    <w:rsid w:val="006B73AA"/>
    <w:rsid w:val="006B746E"/>
    <w:rsid w:val="006B7676"/>
    <w:rsid w:val="006B770F"/>
    <w:rsid w:val="006B7745"/>
    <w:rsid w:val="006B77BF"/>
    <w:rsid w:val="006B799F"/>
    <w:rsid w:val="006B7A41"/>
    <w:rsid w:val="006B7A4A"/>
    <w:rsid w:val="006B7E41"/>
    <w:rsid w:val="006C0075"/>
    <w:rsid w:val="006C0094"/>
    <w:rsid w:val="006C017C"/>
    <w:rsid w:val="006C04DD"/>
    <w:rsid w:val="006C063E"/>
    <w:rsid w:val="006C06FB"/>
    <w:rsid w:val="006C08BB"/>
    <w:rsid w:val="006C08C7"/>
    <w:rsid w:val="006C0964"/>
    <w:rsid w:val="006C0D23"/>
    <w:rsid w:val="006C0D32"/>
    <w:rsid w:val="006C0D41"/>
    <w:rsid w:val="006C0F39"/>
    <w:rsid w:val="006C100D"/>
    <w:rsid w:val="006C1020"/>
    <w:rsid w:val="006C10A8"/>
    <w:rsid w:val="006C1332"/>
    <w:rsid w:val="006C13E9"/>
    <w:rsid w:val="006C1459"/>
    <w:rsid w:val="006C153A"/>
    <w:rsid w:val="006C1549"/>
    <w:rsid w:val="006C1757"/>
    <w:rsid w:val="006C19FE"/>
    <w:rsid w:val="006C1ACA"/>
    <w:rsid w:val="006C1BBB"/>
    <w:rsid w:val="006C1BE8"/>
    <w:rsid w:val="006C1CF1"/>
    <w:rsid w:val="006C1E77"/>
    <w:rsid w:val="006C1E9E"/>
    <w:rsid w:val="006C1EB7"/>
    <w:rsid w:val="006C1EDF"/>
    <w:rsid w:val="006C2008"/>
    <w:rsid w:val="006C20F1"/>
    <w:rsid w:val="006C2151"/>
    <w:rsid w:val="006C2193"/>
    <w:rsid w:val="006C2261"/>
    <w:rsid w:val="006C22B2"/>
    <w:rsid w:val="006C22BC"/>
    <w:rsid w:val="006C243A"/>
    <w:rsid w:val="006C2539"/>
    <w:rsid w:val="006C254C"/>
    <w:rsid w:val="006C2597"/>
    <w:rsid w:val="006C2636"/>
    <w:rsid w:val="006C26DC"/>
    <w:rsid w:val="006C2BA3"/>
    <w:rsid w:val="006C2C15"/>
    <w:rsid w:val="006C2D0B"/>
    <w:rsid w:val="006C2E78"/>
    <w:rsid w:val="006C2ED6"/>
    <w:rsid w:val="006C2F67"/>
    <w:rsid w:val="006C2FF8"/>
    <w:rsid w:val="006C3093"/>
    <w:rsid w:val="006C3196"/>
    <w:rsid w:val="006C31E0"/>
    <w:rsid w:val="006C3248"/>
    <w:rsid w:val="006C3355"/>
    <w:rsid w:val="006C3517"/>
    <w:rsid w:val="006C3681"/>
    <w:rsid w:val="006C3947"/>
    <w:rsid w:val="006C396A"/>
    <w:rsid w:val="006C3983"/>
    <w:rsid w:val="006C3BC8"/>
    <w:rsid w:val="006C3C95"/>
    <w:rsid w:val="006C3D63"/>
    <w:rsid w:val="006C3E39"/>
    <w:rsid w:val="006C3F0C"/>
    <w:rsid w:val="006C3F71"/>
    <w:rsid w:val="006C4332"/>
    <w:rsid w:val="006C434D"/>
    <w:rsid w:val="006C4350"/>
    <w:rsid w:val="006C43B4"/>
    <w:rsid w:val="006C4465"/>
    <w:rsid w:val="006C4532"/>
    <w:rsid w:val="006C46DC"/>
    <w:rsid w:val="006C46F9"/>
    <w:rsid w:val="006C47AB"/>
    <w:rsid w:val="006C48A9"/>
    <w:rsid w:val="006C491E"/>
    <w:rsid w:val="006C49FD"/>
    <w:rsid w:val="006C4A45"/>
    <w:rsid w:val="006C4B69"/>
    <w:rsid w:val="006C4BEF"/>
    <w:rsid w:val="006C4DB0"/>
    <w:rsid w:val="006C4E17"/>
    <w:rsid w:val="006C4E4F"/>
    <w:rsid w:val="006C4E5A"/>
    <w:rsid w:val="006C4E92"/>
    <w:rsid w:val="006C508F"/>
    <w:rsid w:val="006C521F"/>
    <w:rsid w:val="006C531A"/>
    <w:rsid w:val="006C55C4"/>
    <w:rsid w:val="006C581F"/>
    <w:rsid w:val="006C5948"/>
    <w:rsid w:val="006C5962"/>
    <w:rsid w:val="006C5A5E"/>
    <w:rsid w:val="006C5CB0"/>
    <w:rsid w:val="006C5CE7"/>
    <w:rsid w:val="006C5D17"/>
    <w:rsid w:val="006C5F58"/>
    <w:rsid w:val="006C6421"/>
    <w:rsid w:val="006C646E"/>
    <w:rsid w:val="006C647C"/>
    <w:rsid w:val="006C6632"/>
    <w:rsid w:val="006C66A7"/>
    <w:rsid w:val="006C66BF"/>
    <w:rsid w:val="006C68A6"/>
    <w:rsid w:val="006C6AB5"/>
    <w:rsid w:val="006C6E8D"/>
    <w:rsid w:val="006C7035"/>
    <w:rsid w:val="006C7053"/>
    <w:rsid w:val="006C723B"/>
    <w:rsid w:val="006C7444"/>
    <w:rsid w:val="006C76B6"/>
    <w:rsid w:val="006C7B90"/>
    <w:rsid w:val="006C7E5A"/>
    <w:rsid w:val="006D0051"/>
    <w:rsid w:val="006D0053"/>
    <w:rsid w:val="006D0240"/>
    <w:rsid w:val="006D04FD"/>
    <w:rsid w:val="006D074B"/>
    <w:rsid w:val="006D09EA"/>
    <w:rsid w:val="006D0A40"/>
    <w:rsid w:val="006D0C0A"/>
    <w:rsid w:val="006D1163"/>
    <w:rsid w:val="006D1197"/>
    <w:rsid w:val="006D11E7"/>
    <w:rsid w:val="006D11FB"/>
    <w:rsid w:val="006D1362"/>
    <w:rsid w:val="006D14AA"/>
    <w:rsid w:val="006D14CB"/>
    <w:rsid w:val="006D14FB"/>
    <w:rsid w:val="006D1647"/>
    <w:rsid w:val="006D1BB5"/>
    <w:rsid w:val="006D1BFF"/>
    <w:rsid w:val="006D1D58"/>
    <w:rsid w:val="006D1DA0"/>
    <w:rsid w:val="006D1E66"/>
    <w:rsid w:val="006D1F70"/>
    <w:rsid w:val="006D1F97"/>
    <w:rsid w:val="006D2360"/>
    <w:rsid w:val="006D258C"/>
    <w:rsid w:val="006D25FE"/>
    <w:rsid w:val="006D27F7"/>
    <w:rsid w:val="006D2879"/>
    <w:rsid w:val="006D2A43"/>
    <w:rsid w:val="006D2B04"/>
    <w:rsid w:val="006D2B29"/>
    <w:rsid w:val="006D2D51"/>
    <w:rsid w:val="006D2E95"/>
    <w:rsid w:val="006D2F9A"/>
    <w:rsid w:val="006D318F"/>
    <w:rsid w:val="006D3308"/>
    <w:rsid w:val="006D33CA"/>
    <w:rsid w:val="006D344B"/>
    <w:rsid w:val="006D3689"/>
    <w:rsid w:val="006D39DB"/>
    <w:rsid w:val="006D3A13"/>
    <w:rsid w:val="006D3A95"/>
    <w:rsid w:val="006D3DA6"/>
    <w:rsid w:val="006D3E19"/>
    <w:rsid w:val="006D3F69"/>
    <w:rsid w:val="006D42CE"/>
    <w:rsid w:val="006D434F"/>
    <w:rsid w:val="006D43FD"/>
    <w:rsid w:val="006D4554"/>
    <w:rsid w:val="006D4BE5"/>
    <w:rsid w:val="006D4CAF"/>
    <w:rsid w:val="006D4DE3"/>
    <w:rsid w:val="006D4F4C"/>
    <w:rsid w:val="006D4FAA"/>
    <w:rsid w:val="006D5076"/>
    <w:rsid w:val="006D53B5"/>
    <w:rsid w:val="006D5412"/>
    <w:rsid w:val="006D54E4"/>
    <w:rsid w:val="006D5581"/>
    <w:rsid w:val="006D560A"/>
    <w:rsid w:val="006D568F"/>
    <w:rsid w:val="006D5716"/>
    <w:rsid w:val="006D58F2"/>
    <w:rsid w:val="006D5A7C"/>
    <w:rsid w:val="006D5AC8"/>
    <w:rsid w:val="006D5BA8"/>
    <w:rsid w:val="006D5BEC"/>
    <w:rsid w:val="006D5CF7"/>
    <w:rsid w:val="006D5D28"/>
    <w:rsid w:val="006D5D67"/>
    <w:rsid w:val="006D6075"/>
    <w:rsid w:val="006D6093"/>
    <w:rsid w:val="006D63A4"/>
    <w:rsid w:val="006D664E"/>
    <w:rsid w:val="006D66DC"/>
    <w:rsid w:val="006D67A8"/>
    <w:rsid w:val="006D69DB"/>
    <w:rsid w:val="006D6B12"/>
    <w:rsid w:val="006D6C79"/>
    <w:rsid w:val="006D6C9D"/>
    <w:rsid w:val="006D6D0F"/>
    <w:rsid w:val="006D6D20"/>
    <w:rsid w:val="006D6D9A"/>
    <w:rsid w:val="006D6DDD"/>
    <w:rsid w:val="006D6FEB"/>
    <w:rsid w:val="006D7199"/>
    <w:rsid w:val="006D72A2"/>
    <w:rsid w:val="006D72D3"/>
    <w:rsid w:val="006D72E9"/>
    <w:rsid w:val="006D731E"/>
    <w:rsid w:val="006D73E3"/>
    <w:rsid w:val="006D7458"/>
    <w:rsid w:val="006D785A"/>
    <w:rsid w:val="006D7988"/>
    <w:rsid w:val="006D79CF"/>
    <w:rsid w:val="006D7AF0"/>
    <w:rsid w:val="006E0058"/>
    <w:rsid w:val="006E01C7"/>
    <w:rsid w:val="006E045E"/>
    <w:rsid w:val="006E04AB"/>
    <w:rsid w:val="006E04C9"/>
    <w:rsid w:val="006E04DF"/>
    <w:rsid w:val="006E086E"/>
    <w:rsid w:val="006E0A81"/>
    <w:rsid w:val="006E0CCA"/>
    <w:rsid w:val="006E0D36"/>
    <w:rsid w:val="006E0D6A"/>
    <w:rsid w:val="006E0E85"/>
    <w:rsid w:val="006E100A"/>
    <w:rsid w:val="006E1588"/>
    <w:rsid w:val="006E15D1"/>
    <w:rsid w:val="006E196A"/>
    <w:rsid w:val="006E19AE"/>
    <w:rsid w:val="006E1C49"/>
    <w:rsid w:val="006E1C9C"/>
    <w:rsid w:val="006E1D64"/>
    <w:rsid w:val="006E1D87"/>
    <w:rsid w:val="006E1EE6"/>
    <w:rsid w:val="006E2074"/>
    <w:rsid w:val="006E21AF"/>
    <w:rsid w:val="006E2230"/>
    <w:rsid w:val="006E25CC"/>
    <w:rsid w:val="006E2858"/>
    <w:rsid w:val="006E29D0"/>
    <w:rsid w:val="006E2D46"/>
    <w:rsid w:val="006E2F0F"/>
    <w:rsid w:val="006E2F11"/>
    <w:rsid w:val="006E2FA4"/>
    <w:rsid w:val="006E2FEC"/>
    <w:rsid w:val="006E3210"/>
    <w:rsid w:val="006E3361"/>
    <w:rsid w:val="006E343D"/>
    <w:rsid w:val="006E35A2"/>
    <w:rsid w:val="006E35F5"/>
    <w:rsid w:val="006E3A36"/>
    <w:rsid w:val="006E3A94"/>
    <w:rsid w:val="006E3BFE"/>
    <w:rsid w:val="006E3D20"/>
    <w:rsid w:val="006E3D9F"/>
    <w:rsid w:val="006E4016"/>
    <w:rsid w:val="006E40EB"/>
    <w:rsid w:val="006E410C"/>
    <w:rsid w:val="006E411A"/>
    <w:rsid w:val="006E42F5"/>
    <w:rsid w:val="006E48DC"/>
    <w:rsid w:val="006E499A"/>
    <w:rsid w:val="006E4ABC"/>
    <w:rsid w:val="006E4CAF"/>
    <w:rsid w:val="006E4CC3"/>
    <w:rsid w:val="006E4CC8"/>
    <w:rsid w:val="006E4D91"/>
    <w:rsid w:val="006E4EA1"/>
    <w:rsid w:val="006E4F4E"/>
    <w:rsid w:val="006E5171"/>
    <w:rsid w:val="006E525D"/>
    <w:rsid w:val="006E526E"/>
    <w:rsid w:val="006E52A1"/>
    <w:rsid w:val="006E53B0"/>
    <w:rsid w:val="006E53DF"/>
    <w:rsid w:val="006E5575"/>
    <w:rsid w:val="006E577F"/>
    <w:rsid w:val="006E58ED"/>
    <w:rsid w:val="006E595D"/>
    <w:rsid w:val="006E5AFE"/>
    <w:rsid w:val="006E5BDC"/>
    <w:rsid w:val="006E5BEE"/>
    <w:rsid w:val="006E5D47"/>
    <w:rsid w:val="006E5FE5"/>
    <w:rsid w:val="006E6019"/>
    <w:rsid w:val="006E60A1"/>
    <w:rsid w:val="006E61A2"/>
    <w:rsid w:val="006E6237"/>
    <w:rsid w:val="006E62D6"/>
    <w:rsid w:val="006E6308"/>
    <w:rsid w:val="006E634F"/>
    <w:rsid w:val="006E662B"/>
    <w:rsid w:val="006E6693"/>
    <w:rsid w:val="006E676A"/>
    <w:rsid w:val="006E68FC"/>
    <w:rsid w:val="006E69AA"/>
    <w:rsid w:val="006E6C80"/>
    <w:rsid w:val="006E6CA6"/>
    <w:rsid w:val="006E6DB9"/>
    <w:rsid w:val="006E6DED"/>
    <w:rsid w:val="006E6E1A"/>
    <w:rsid w:val="006E6E22"/>
    <w:rsid w:val="006E6FC5"/>
    <w:rsid w:val="006E7058"/>
    <w:rsid w:val="006E714C"/>
    <w:rsid w:val="006E71E3"/>
    <w:rsid w:val="006E725D"/>
    <w:rsid w:val="006E72E7"/>
    <w:rsid w:val="006E7383"/>
    <w:rsid w:val="006E74D8"/>
    <w:rsid w:val="006E74F7"/>
    <w:rsid w:val="006E7549"/>
    <w:rsid w:val="006E767C"/>
    <w:rsid w:val="006E7789"/>
    <w:rsid w:val="006E77C1"/>
    <w:rsid w:val="006E783F"/>
    <w:rsid w:val="006E793A"/>
    <w:rsid w:val="006E7951"/>
    <w:rsid w:val="006E7A13"/>
    <w:rsid w:val="006E7A7F"/>
    <w:rsid w:val="006E7AE4"/>
    <w:rsid w:val="006E7B7E"/>
    <w:rsid w:val="006E7C7E"/>
    <w:rsid w:val="006E7D8F"/>
    <w:rsid w:val="006E7E5D"/>
    <w:rsid w:val="006E7EB2"/>
    <w:rsid w:val="006F00EB"/>
    <w:rsid w:val="006F02CC"/>
    <w:rsid w:val="006F0400"/>
    <w:rsid w:val="006F04E2"/>
    <w:rsid w:val="006F0517"/>
    <w:rsid w:val="006F051B"/>
    <w:rsid w:val="006F06BE"/>
    <w:rsid w:val="006F073A"/>
    <w:rsid w:val="006F075F"/>
    <w:rsid w:val="006F089B"/>
    <w:rsid w:val="006F0ADC"/>
    <w:rsid w:val="006F0BB6"/>
    <w:rsid w:val="006F0CCF"/>
    <w:rsid w:val="006F0D8A"/>
    <w:rsid w:val="006F0DF1"/>
    <w:rsid w:val="006F10AF"/>
    <w:rsid w:val="006F1303"/>
    <w:rsid w:val="006F1380"/>
    <w:rsid w:val="006F14C8"/>
    <w:rsid w:val="006F1623"/>
    <w:rsid w:val="006F1677"/>
    <w:rsid w:val="006F181D"/>
    <w:rsid w:val="006F182F"/>
    <w:rsid w:val="006F18A4"/>
    <w:rsid w:val="006F1C71"/>
    <w:rsid w:val="006F1CB8"/>
    <w:rsid w:val="006F1EDD"/>
    <w:rsid w:val="006F1F13"/>
    <w:rsid w:val="006F21FC"/>
    <w:rsid w:val="006F2271"/>
    <w:rsid w:val="006F23B3"/>
    <w:rsid w:val="006F243F"/>
    <w:rsid w:val="006F249F"/>
    <w:rsid w:val="006F253B"/>
    <w:rsid w:val="006F28D3"/>
    <w:rsid w:val="006F29A7"/>
    <w:rsid w:val="006F2A06"/>
    <w:rsid w:val="006F2B49"/>
    <w:rsid w:val="006F2C2C"/>
    <w:rsid w:val="006F2C67"/>
    <w:rsid w:val="006F301F"/>
    <w:rsid w:val="006F3258"/>
    <w:rsid w:val="006F32AD"/>
    <w:rsid w:val="006F32CA"/>
    <w:rsid w:val="006F32E2"/>
    <w:rsid w:val="006F37B1"/>
    <w:rsid w:val="006F3846"/>
    <w:rsid w:val="006F3A88"/>
    <w:rsid w:val="006F3B9E"/>
    <w:rsid w:val="006F3C3F"/>
    <w:rsid w:val="006F3DEC"/>
    <w:rsid w:val="006F3FA7"/>
    <w:rsid w:val="006F40F0"/>
    <w:rsid w:val="006F410D"/>
    <w:rsid w:val="006F41CE"/>
    <w:rsid w:val="006F4374"/>
    <w:rsid w:val="006F4676"/>
    <w:rsid w:val="006F47C1"/>
    <w:rsid w:val="006F47C5"/>
    <w:rsid w:val="006F4815"/>
    <w:rsid w:val="006F4ACD"/>
    <w:rsid w:val="006F4C2F"/>
    <w:rsid w:val="006F4CEC"/>
    <w:rsid w:val="006F4DE6"/>
    <w:rsid w:val="006F4E0B"/>
    <w:rsid w:val="006F4F66"/>
    <w:rsid w:val="006F51BD"/>
    <w:rsid w:val="006F5241"/>
    <w:rsid w:val="006F5245"/>
    <w:rsid w:val="006F533E"/>
    <w:rsid w:val="006F5610"/>
    <w:rsid w:val="006F58C6"/>
    <w:rsid w:val="006F5A03"/>
    <w:rsid w:val="006F5B63"/>
    <w:rsid w:val="006F5BCE"/>
    <w:rsid w:val="006F5EE7"/>
    <w:rsid w:val="006F6009"/>
    <w:rsid w:val="006F60A0"/>
    <w:rsid w:val="006F60A2"/>
    <w:rsid w:val="006F6359"/>
    <w:rsid w:val="006F6423"/>
    <w:rsid w:val="006F645A"/>
    <w:rsid w:val="006F64BB"/>
    <w:rsid w:val="006F654E"/>
    <w:rsid w:val="006F675D"/>
    <w:rsid w:val="006F685B"/>
    <w:rsid w:val="006F6902"/>
    <w:rsid w:val="006F6B9A"/>
    <w:rsid w:val="006F6DBF"/>
    <w:rsid w:val="006F6E21"/>
    <w:rsid w:val="006F6E60"/>
    <w:rsid w:val="006F71D4"/>
    <w:rsid w:val="006F7420"/>
    <w:rsid w:val="006F745E"/>
    <w:rsid w:val="006F75F7"/>
    <w:rsid w:val="006F765E"/>
    <w:rsid w:val="006F7912"/>
    <w:rsid w:val="006F7AE6"/>
    <w:rsid w:val="006F7B0C"/>
    <w:rsid w:val="006F7B4A"/>
    <w:rsid w:val="006F7BCE"/>
    <w:rsid w:val="006F7C3C"/>
    <w:rsid w:val="006F7C94"/>
    <w:rsid w:val="006F7D13"/>
    <w:rsid w:val="006F7EC1"/>
    <w:rsid w:val="006F7F3D"/>
    <w:rsid w:val="00700225"/>
    <w:rsid w:val="007002C2"/>
    <w:rsid w:val="007004FF"/>
    <w:rsid w:val="0070069E"/>
    <w:rsid w:val="007006ED"/>
    <w:rsid w:val="0070085E"/>
    <w:rsid w:val="007008CB"/>
    <w:rsid w:val="00700AD4"/>
    <w:rsid w:val="00700B5B"/>
    <w:rsid w:val="00700B8F"/>
    <w:rsid w:val="00700C34"/>
    <w:rsid w:val="00700C93"/>
    <w:rsid w:val="00700DC8"/>
    <w:rsid w:val="0070102F"/>
    <w:rsid w:val="0070113F"/>
    <w:rsid w:val="0070114C"/>
    <w:rsid w:val="007011F0"/>
    <w:rsid w:val="00701558"/>
    <w:rsid w:val="007016EB"/>
    <w:rsid w:val="00701A24"/>
    <w:rsid w:val="00701AF7"/>
    <w:rsid w:val="00701B23"/>
    <w:rsid w:val="00701BB9"/>
    <w:rsid w:val="00701C12"/>
    <w:rsid w:val="00701C48"/>
    <w:rsid w:val="00701D98"/>
    <w:rsid w:val="00701F4C"/>
    <w:rsid w:val="00701F7A"/>
    <w:rsid w:val="00701FCB"/>
    <w:rsid w:val="0070202D"/>
    <w:rsid w:val="00702098"/>
    <w:rsid w:val="007020C3"/>
    <w:rsid w:val="00702190"/>
    <w:rsid w:val="0070248E"/>
    <w:rsid w:val="007024A3"/>
    <w:rsid w:val="007024DA"/>
    <w:rsid w:val="007025C2"/>
    <w:rsid w:val="007025E1"/>
    <w:rsid w:val="007027C3"/>
    <w:rsid w:val="0070284F"/>
    <w:rsid w:val="00702A82"/>
    <w:rsid w:val="00702B62"/>
    <w:rsid w:val="00702C6F"/>
    <w:rsid w:val="00703255"/>
    <w:rsid w:val="0070326F"/>
    <w:rsid w:val="0070333D"/>
    <w:rsid w:val="007034B9"/>
    <w:rsid w:val="007034E4"/>
    <w:rsid w:val="007034F9"/>
    <w:rsid w:val="007035D9"/>
    <w:rsid w:val="00703815"/>
    <w:rsid w:val="00703818"/>
    <w:rsid w:val="0070386B"/>
    <w:rsid w:val="00703A65"/>
    <w:rsid w:val="00703ABB"/>
    <w:rsid w:val="00703BCF"/>
    <w:rsid w:val="00703C9B"/>
    <w:rsid w:val="00703E0E"/>
    <w:rsid w:val="00703F5F"/>
    <w:rsid w:val="0070426D"/>
    <w:rsid w:val="00704352"/>
    <w:rsid w:val="0070447B"/>
    <w:rsid w:val="00704503"/>
    <w:rsid w:val="00704542"/>
    <w:rsid w:val="007045E1"/>
    <w:rsid w:val="007049B9"/>
    <w:rsid w:val="00704B85"/>
    <w:rsid w:val="00704BDA"/>
    <w:rsid w:val="00704BF9"/>
    <w:rsid w:val="00704CB8"/>
    <w:rsid w:val="00704D96"/>
    <w:rsid w:val="00704DC0"/>
    <w:rsid w:val="00704EA9"/>
    <w:rsid w:val="0070538F"/>
    <w:rsid w:val="0070548C"/>
    <w:rsid w:val="007056B5"/>
    <w:rsid w:val="007056F8"/>
    <w:rsid w:val="007059BB"/>
    <w:rsid w:val="00705A45"/>
    <w:rsid w:val="00705AD9"/>
    <w:rsid w:val="00705C41"/>
    <w:rsid w:val="00705C53"/>
    <w:rsid w:val="00705D50"/>
    <w:rsid w:val="00705E19"/>
    <w:rsid w:val="00706101"/>
    <w:rsid w:val="00706211"/>
    <w:rsid w:val="00706240"/>
    <w:rsid w:val="00706376"/>
    <w:rsid w:val="0070643E"/>
    <w:rsid w:val="00706580"/>
    <w:rsid w:val="007065CB"/>
    <w:rsid w:val="007065E5"/>
    <w:rsid w:val="00706654"/>
    <w:rsid w:val="0070679C"/>
    <w:rsid w:val="0070698C"/>
    <w:rsid w:val="00706A29"/>
    <w:rsid w:val="00706AA7"/>
    <w:rsid w:val="00706AE3"/>
    <w:rsid w:val="00706D8D"/>
    <w:rsid w:val="00706E61"/>
    <w:rsid w:val="00706F62"/>
    <w:rsid w:val="0070702E"/>
    <w:rsid w:val="0070706B"/>
    <w:rsid w:val="00707228"/>
    <w:rsid w:val="00707376"/>
    <w:rsid w:val="00707607"/>
    <w:rsid w:val="00707680"/>
    <w:rsid w:val="00707886"/>
    <w:rsid w:val="007078F0"/>
    <w:rsid w:val="00707B34"/>
    <w:rsid w:val="00707B4D"/>
    <w:rsid w:val="00707C17"/>
    <w:rsid w:val="00707E7C"/>
    <w:rsid w:val="00707F9E"/>
    <w:rsid w:val="00707FFE"/>
    <w:rsid w:val="007101F6"/>
    <w:rsid w:val="0071027D"/>
    <w:rsid w:val="00710410"/>
    <w:rsid w:val="0071058B"/>
    <w:rsid w:val="00710636"/>
    <w:rsid w:val="00710A7C"/>
    <w:rsid w:val="00710CFC"/>
    <w:rsid w:val="00710DC2"/>
    <w:rsid w:val="00710DE6"/>
    <w:rsid w:val="00710EBB"/>
    <w:rsid w:val="00710EC3"/>
    <w:rsid w:val="00710F38"/>
    <w:rsid w:val="00711085"/>
    <w:rsid w:val="00711271"/>
    <w:rsid w:val="00711272"/>
    <w:rsid w:val="00711399"/>
    <w:rsid w:val="0071169D"/>
    <w:rsid w:val="007117B5"/>
    <w:rsid w:val="00711987"/>
    <w:rsid w:val="00711A58"/>
    <w:rsid w:val="00711AA0"/>
    <w:rsid w:val="00711B6B"/>
    <w:rsid w:val="00711B9D"/>
    <w:rsid w:val="00711BCE"/>
    <w:rsid w:val="0071228F"/>
    <w:rsid w:val="007122DC"/>
    <w:rsid w:val="00712329"/>
    <w:rsid w:val="0071233D"/>
    <w:rsid w:val="007123D0"/>
    <w:rsid w:val="00712590"/>
    <w:rsid w:val="007125E0"/>
    <w:rsid w:val="00712609"/>
    <w:rsid w:val="0071265B"/>
    <w:rsid w:val="00712A21"/>
    <w:rsid w:val="00712A76"/>
    <w:rsid w:val="00712AF4"/>
    <w:rsid w:val="00712F28"/>
    <w:rsid w:val="007132A7"/>
    <w:rsid w:val="007132BA"/>
    <w:rsid w:val="007133B5"/>
    <w:rsid w:val="00713853"/>
    <w:rsid w:val="007138DF"/>
    <w:rsid w:val="0071391F"/>
    <w:rsid w:val="007139C2"/>
    <w:rsid w:val="00713A25"/>
    <w:rsid w:val="00713AC6"/>
    <w:rsid w:val="00713DA0"/>
    <w:rsid w:val="00713E9C"/>
    <w:rsid w:val="0071401B"/>
    <w:rsid w:val="00714031"/>
    <w:rsid w:val="0071404A"/>
    <w:rsid w:val="0071418D"/>
    <w:rsid w:val="007141E8"/>
    <w:rsid w:val="00714373"/>
    <w:rsid w:val="007144BC"/>
    <w:rsid w:val="00714510"/>
    <w:rsid w:val="00714515"/>
    <w:rsid w:val="00714571"/>
    <w:rsid w:val="007145BC"/>
    <w:rsid w:val="0071471B"/>
    <w:rsid w:val="0071482E"/>
    <w:rsid w:val="00714CB7"/>
    <w:rsid w:val="00714E47"/>
    <w:rsid w:val="0071504D"/>
    <w:rsid w:val="007152A3"/>
    <w:rsid w:val="007153D0"/>
    <w:rsid w:val="00715416"/>
    <w:rsid w:val="00715421"/>
    <w:rsid w:val="00715552"/>
    <w:rsid w:val="007155D9"/>
    <w:rsid w:val="00715702"/>
    <w:rsid w:val="00715748"/>
    <w:rsid w:val="00715838"/>
    <w:rsid w:val="007158EB"/>
    <w:rsid w:val="007159B9"/>
    <w:rsid w:val="00715EB6"/>
    <w:rsid w:val="00715FF9"/>
    <w:rsid w:val="00716247"/>
    <w:rsid w:val="007162BB"/>
    <w:rsid w:val="007164BB"/>
    <w:rsid w:val="00716979"/>
    <w:rsid w:val="00716C52"/>
    <w:rsid w:val="00716E19"/>
    <w:rsid w:val="00717108"/>
    <w:rsid w:val="007173D7"/>
    <w:rsid w:val="0071754E"/>
    <w:rsid w:val="007176A0"/>
    <w:rsid w:val="007176CC"/>
    <w:rsid w:val="007176DB"/>
    <w:rsid w:val="007178F3"/>
    <w:rsid w:val="00717A10"/>
    <w:rsid w:val="00717FF9"/>
    <w:rsid w:val="00720013"/>
    <w:rsid w:val="00720069"/>
    <w:rsid w:val="00720102"/>
    <w:rsid w:val="00720598"/>
    <w:rsid w:val="00720784"/>
    <w:rsid w:val="007207CF"/>
    <w:rsid w:val="00720893"/>
    <w:rsid w:val="00720982"/>
    <w:rsid w:val="007209CC"/>
    <w:rsid w:val="007209D9"/>
    <w:rsid w:val="00720ADC"/>
    <w:rsid w:val="00720D77"/>
    <w:rsid w:val="00720E55"/>
    <w:rsid w:val="00721011"/>
    <w:rsid w:val="00721024"/>
    <w:rsid w:val="00721138"/>
    <w:rsid w:val="00721170"/>
    <w:rsid w:val="00721302"/>
    <w:rsid w:val="00721338"/>
    <w:rsid w:val="00721366"/>
    <w:rsid w:val="00721399"/>
    <w:rsid w:val="007214CD"/>
    <w:rsid w:val="00721542"/>
    <w:rsid w:val="0072170B"/>
    <w:rsid w:val="0072186F"/>
    <w:rsid w:val="00721917"/>
    <w:rsid w:val="00721928"/>
    <w:rsid w:val="007219A6"/>
    <w:rsid w:val="00721B83"/>
    <w:rsid w:val="00721D93"/>
    <w:rsid w:val="00721F3B"/>
    <w:rsid w:val="00721F71"/>
    <w:rsid w:val="00722194"/>
    <w:rsid w:val="0072229C"/>
    <w:rsid w:val="007222A5"/>
    <w:rsid w:val="007222B5"/>
    <w:rsid w:val="00722653"/>
    <w:rsid w:val="007226BA"/>
    <w:rsid w:val="00722AC2"/>
    <w:rsid w:val="00722F56"/>
    <w:rsid w:val="00722F84"/>
    <w:rsid w:val="00722FD0"/>
    <w:rsid w:val="00722FE7"/>
    <w:rsid w:val="007231D4"/>
    <w:rsid w:val="007233A2"/>
    <w:rsid w:val="007235B1"/>
    <w:rsid w:val="007235DA"/>
    <w:rsid w:val="007236C6"/>
    <w:rsid w:val="007237ED"/>
    <w:rsid w:val="00723885"/>
    <w:rsid w:val="00723ADA"/>
    <w:rsid w:val="00723CDE"/>
    <w:rsid w:val="00723FE5"/>
    <w:rsid w:val="00724102"/>
    <w:rsid w:val="00724254"/>
    <w:rsid w:val="00724343"/>
    <w:rsid w:val="007243EA"/>
    <w:rsid w:val="00724409"/>
    <w:rsid w:val="00724479"/>
    <w:rsid w:val="0072482E"/>
    <w:rsid w:val="007249DD"/>
    <w:rsid w:val="00724A43"/>
    <w:rsid w:val="00724A67"/>
    <w:rsid w:val="00724A79"/>
    <w:rsid w:val="00724AAF"/>
    <w:rsid w:val="00724AD4"/>
    <w:rsid w:val="00724C0A"/>
    <w:rsid w:val="00724CA5"/>
    <w:rsid w:val="00724DE3"/>
    <w:rsid w:val="00724EE6"/>
    <w:rsid w:val="00724EEE"/>
    <w:rsid w:val="00724EEF"/>
    <w:rsid w:val="0072564D"/>
    <w:rsid w:val="007257E1"/>
    <w:rsid w:val="00725846"/>
    <w:rsid w:val="00725871"/>
    <w:rsid w:val="007258EC"/>
    <w:rsid w:val="00725AED"/>
    <w:rsid w:val="00725B00"/>
    <w:rsid w:val="00725CCA"/>
    <w:rsid w:val="00725DC4"/>
    <w:rsid w:val="00725F42"/>
    <w:rsid w:val="00726105"/>
    <w:rsid w:val="007261A3"/>
    <w:rsid w:val="00726347"/>
    <w:rsid w:val="00726372"/>
    <w:rsid w:val="0072641E"/>
    <w:rsid w:val="007267B5"/>
    <w:rsid w:val="0072684B"/>
    <w:rsid w:val="0072686E"/>
    <w:rsid w:val="007268AB"/>
    <w:rsid w:val="00726B82"/>
    <w:rsid w:val="00726E2E"/>
    <w:rsid w:val="00726E3F"/>
    <w:rsid w:val="00726E67"/>
    <w:rsid w:val="00726E79"/>
    <w:rsid w:val="00727050"/>
    <w:rsid w:val="00727139"/>
    <w:rsid w:val="0072713A"/>
    <w:rsid w:val="0072713B"/>
    <w:rsid w:val="0072734F"/>
    <w:rsid w:val="00727432"/>
    <w:rsid w:val="0072747C"/>
    <w:rsid w:val="00727552"/>
    <w:rsid w:val="007275E3"/>
    <w:rsid w:val="00727896"/>
    <w:rsid w:val="007279CF"/>
    <w:rsid w:val="00727ADE"/>
    <w:rsid w:val="00727D3C"/>
    <w:rsid w:val="00727DB2"/>
    <w:rsid w:val="00727E2E"/>
    <w:rsid w:val="00730118"/>
    <w:rsid w:val="007301EC"/>
    <w:rsid w:val="0073031F"/>
    <w:rsid w:val="0073038F"/>
    <w:rsid w:val="00730410"/>
    <w:rsid w:val="007304FE"/>
    <w:rsid w:val="00730520"/>
    <w:rsid w:val="00730527"/>
    <w:rsid w:val="007306C8"/>
    <w:rsid w:val="00730882"/>
    <w:rsid w:val="0073093F"/>
    <w:rsid w:val="00730C34"/>
    <w:rsid w:val="00730CFC"/>
    <w:rsid w:val="00730D6D"/>
    <w:rsid w:val="00730DAD"/>
    <w:rsid w:val="007313AD"/>
    <w:rsid w:val="007314F7"/>
    <w:rsid w:val="00731BF5"/>
    <w:rsid w:val="00731C4E"/>
    <w:rsid w:val="00731DA5"/>
    <w:rsid w:val="00731E11"/>
    <w:rsid w:val="00731F16"/>
    <w:rsid w:val="007320AB"/>
    <w:rsid w:val="00732106"/>
    <w:rsid w:val="00732412"/>
    <w:rsid w:val="007324CE"/>
    <w:rsid w:val="007325B6"/>
    <w:rsid w:val="00732677"/>
    <w:rsid w:val="007326E8"/>
    <w:rsid w:val="007326F6"/>
    <w:rsid w:val="007327D1"/>
    <w:rsid w:val="007329E6"/>
    <w:rsid w:val="00732A14"/>
    <w:rsid w:val="00732A60"/>
    <w:rsid w:val="00732B7A"/>
    <w:rsid w:val="00732BA7"/>
    <w:rsid w:val="00732E3B"/>
    <w:rsid w:val="00733156"/>
    <w:rsid w:val="0073317D"/>
    <w:rsid w:val="007332EE"/>
    <w:rsid w:val="00733407"/>
    <w:rsid w:val="0073344A"/>
    <w:rsid w:val="00733656"/>
    <w:rsid w:val="00733802"/>
    <w:rsid w:val="00733817"/>
    <w:rsid w:val="00733A48"/>
    <w:rsid w:val="00733F02"/>
    <w:rsid w:val="00733FE1"/>
    <w:rsid w:val="0073428E"/>
    <w:rsid w:val="007342F9"/>
    <w:rsid w:val="007344D3"/>
    <w:rsid w:val="00734566"/>
    <w:rsid w:val="00734583"/>
    <w:rsid w:val="007345EC"/>
    <w:rsid w:val="0073461E"/>
    <w:rsid w:val="00734890"/>
    <w:rsid w:val="007348C7"/>
    <w:rsid w:val="00734921"/>
    <w:rsid w:val="007349BB"/>
    <w:rsid w:val="00734ADF"/>
    <w:rsid w:val="00734C83"/>
    <w:rsid w:val="00734D5C"/>
    <w:rsid w:val="00734F11"/>
    <w:rsid w:val="00734F1E"/>
    <w:rsid w:val="00734FC0"/>
    <w:rsid w:val="00735084"/>
    <w:rsid w:val="007351AE"/>
    <w:rsid w:val="0073528A"/>
    <w:rsid w:val="007353BF"/>
    <w:rsid w:val="0073554B"/>
    <w:rsid w:val="00735610"/>
    <w:rsid w:val="00735723"/>
    <w:rsid w:val="00735770"/>
    <w:rsid w:val="007357FD"/>
    <w:rsid w:val="0073604E"/>
    <w:rsid w:val="00736273"/>
    <w:rsid w:val="0073627C"/>
    <w:rsid w:val="007362F8"/>
    <w:rsid w:val="00736325"/>
    <w:rsid w:val="00736363"/>
    <w:rsid w:val="007363BD"/>
    <w:rsid w:val="00736519"/>
    <w:rsid w:val="0073651C"/>
    <w:rsid w:val="00736785"/>
    <w:rsid w:val="007369EE"/>
    <w:rsid w:val="00736BFB"/>
    <w:rsid w:val="00736D36"/>
    <w:rsid w:val="00736E08"/>
    <w:rsid w:val="00736F02"/>
    <w:rsid w:val="00736F1C"/>
    <w:rsid w:val="00736F80"/>
    <w:rsid w:val="0073727D"/>
    <w:rsid w:val="0073743A"/>
    <w:rsid w:val="00737459"/>
    <w:rsid w:val="0073757D"/>
    <w:rsid w:val="007376A8"/>
    <w:rsid w:val="007377D1"/>
    <w:rsid w:val="00737BE4"/>
    <w:rsid w:val="00737CF2"/>
    <w:rsid w:val="00737D77"/>
    <w:rsid w:val="00737E0E"/>
    <w:rsid w:val="00737EB0"/>
    <w:rsid w:val="00737ED7"/>
    <w:rsid w:val="00740177"/>
    <w:rsid w:val="0074027E"/>
    <w:rsid w:val="007402C3"/>
    <w:rsid w:val="007403AD"/>
    <w:rsid w:val="0074042D"/>
    <w:rsid w:val="007405EB"/>
    <w:rsid w:val="0074064A"/>
    <w:rsid w:val="007406CA"/>
    <w:rsid w:val="007406DF"/>
    <w:rsid w:val="00740950"/>
    <w:rsid w:val="00740AA6"/>
    <w:rsid w:val="00740BC6"/>
    <w:rsid w:val="00740C0D"/>
    <w:rsid w:val="00740DBF"/>
    <w:rsid w:val="00740DE2"/>
    <w:rsid w:val="00740E61"/>
    <w:rsid w:val="00741161"/>
    <w:rsid w:val="007412B5"/>
    <w:rsid w:val="007413B4"/>
    <w:rsid w:val="007413B6"/>
    <w:rsid w:val="0074145A"/>
    <w:rsid w:val="007414D9"/>
    <w:rsid w:val="00741AC2"/>
    <w:rsid w:val="00741B3F"/>
    <w:rsid w:val="00741B59"/>
    <w:rsid w:val="00741C46"/>
    <w:rsid w:val="00741E86"/>
    <w:rsid w:val="00742100"/>
    <w:rsid w:val="00742113"/>
    <w:rsid w:val="007421FA"/>
    <w:rsid w:val="007422D2"/>
    <w:rsid w:val="007422D7"/>
    <w:rsid w:val="00742668"/>
    <w:rsid w:val="0074268D"/>
    <w:rsid w:val="00742699"/>
    <w:rsid w:val="00742706"/>
    <w:rsid w:val="0074298E"/>
    <w:rsid w:val="00742C8E"/>
    <w:rsid w:val="00742CF9"/>
    <w:rsid w:val="00742D5D"/>
    <w:rsid w:val="00742D6D"/>
    <w:rsid w:val="00742DA6"/>
    <w:rsid w:val="00742F8F"/>
    <w:rsid w:val="00743188"/>
    <w:rsid w:val="007431E2"/>
    <w:rsid w:val="00743208"/>
    <w:rsid w:val="00743384"/>
    <w:rsid w:val="00743388"/>
    <w:rsid w:val="00743567"/>
    <w:rsid w:val="007435FA"/>
    <w:rsid w:val="0074374E"/>
    <w:rsid w:val="0074380E"/>
    <w:rsid w:val="0074389C"/>
    <w:rsid w:val="007439D3"/>
    <w:rsid w:val="00743B3F"/>
    <w:rsid w:val="00743B6C"/>
    <w:rsid w:val="00743C1C"/>
    <w:rsid w:val="00743E4D"/>
    <w:rsid w:val="00743EEB"/>
    <w:rsid w:val="00744064"/>
    <w:rsid w:val="007440EA"/>
    <w:rsid w:val="007440EF"/>
    <w:rsid w:val="007443DE"/>
    <w:rsid w:val="007444C7"/>
    <w:rsid w:val="007444D8"/>
    <w:rsid w:val="0074461B"/>
    <w:rsid w:val="0074476A"/>
    <w:rsid w:val="00744994"/>
    <w:rsid w:val="00744AC3"/>
    <w:rsid w:val="00744B59"/>
    <w:rsid w:val="00744D1A"/>
    <w:rsid w:val="00744E4A"/>
    <w:rsid w:val="00744FF9"/>
    <w:rsid w:val="00745016"/>
    <w:rsid w:val="00745171"/>
    <w:rsid w:val="0074524D"/>
    <w:rsid w:val="00745377"/>
    <w:rsid w:val="007453DD"/>
    <w:rsid w:val="00745466"/>
    <w:rsid w:val="007454C9"/>
    <w:rsid w:val="00745627"/>
    <w:rsid w:val="00745673"/>
    <w:rsid w:val="00745676"/>
    <w:rsid w:val="00745776"/>
    <w:rsid w:val="00745905"/>
    <w:rsid w:val="007459E5"/>
    <w:rsid w:val="00745AEE"/>
    <w:rsid w:val="00745C26"/>
    <w:rsid w:val="00745C44"/>
    <w:rsid w:val="00745C77"/>
    <w:rsid w:val="00745CF0"/>
    <w:rsid w:val="00745E65"/>
    <w:rsid w:val="00745E82"/>
    <w:rsid w:val="00745F45"/>
    <w:rsid w:val="00745FF4"/>
    <w:rsid w:val="00746195"/>
    <w:rsid w:val="00746330"/>
    <w:rsid w:val="0074671C"/>
    <w:rsid w:val="0074686D"/>
    <w:rsid w:val="0074698A"/>
    <w:rsid w:val="007469C4"/>
    <w:rsid w:val="00746B6E"/>
    <w:rsid w:val="00746C92"/>
    <w:rsid w:val="00746FD1"/>
    <w:rsid w:val="007470F0"/>
    <w:rsid w:val="0074722C"/>
    <w:rsid w:val="007472AB"/>
    <w:rsid w:val="0074735F"/>
    <w:rsid w:val="007475B7"/>
    <w:rsid w:val="00747705"/>
    <w:rsid w:val="00747846"/>
    <w:rsid w:val="00747925"/>
    <w:rsid w:val="0074793C"/>
    <w:rsid w:val="00747BBD"/>
    <w:rsid w:val="00747D9F"/>
    <w:rsid w:val="00747DB7"/>
    <w:rsid w:val="00747E21"/>
    <w:rsid w:val="00747E75"/>
    <w:rsid w:val="00747E83"/>
    <w:rsid w:val="00747E99"/>
    <w:rsid w:val="00747F38"/>
    <w:rsid w:val="00750135"/>
    <w:rsid w:val="00750222"/>
    <w:rsid w:val="0075025E"/>
    <w:rsid w:val="007502B7"/>
    <w:rsid w:val="007504BA"/>
    <w:rsid w:val="0075060C"/>
    <w:rsid w:val="00750705"/>
    <w:rsid w:val="007508C3"/>
    <w:rsid w:val="007508C8"/>
    <w:rsid w:val="00750A30"/>
    <w:rsid w:val="00750B0F"/>
    <w:rsid w:val="00750D16"/>
    <w:rsid w:val="00750DF0"/>
    <w:rsid w:val="007510A1"/>
    <w:rsid w:val="007510B7"/>
    <w:rsid w:val="007510EC"/>
    <w:rsid w:val="0075122D"/>
    <w:rsid w:val="00751236"/>
    <w:rsid w:val="00751251"/>
    <w:rsid w:val="00751582"/>
    <w:rsid w:val="007516D8"/>
    <w:rsid w:val="0075177D"/>
    <w:rsid w:val="0075178F"/>
    <w:rsid w:val="00751822"/>
    <w:rsid w:val="007518CB"/>
    <w:rsid w:val="00751A31"/>
    <w:rsid w:val="00751BCD"/>
    <w:rsid w:val="00751E22"/>
    <w:rsid w:val="00751F17"/>
    <w:rsid w:val="0075212F"/>
    <w:rsid w:val="00752213"/>
    <w:rsid w:val="007523B2"/>
    <w:rsid w:val="00752452"/>
    <w:rsid w:val="007524D7"/>
    <w:rsid w:val="00752507"/>
    <w:rsid w:val="00752731"/>
    <w:rsid w:val="0075275E"/>
    <w:rsid w:val="00752778"/>
    <w:rsid w:val="00752823"/>
    <w:rsid w:val="00752A82"/>
    <w:rsid w:val="00752B59"/>
    <w:rsid w:val="00752FCB"/>
    <w:rsid w:val="00752FD1"/>
    <w:rsid w:val="00753132"/>
    <w:rsid w:val="007532FB"/>
    <w:rsid w:val="00753413"/>
    <w:rsid w:val="0075367F"/>
    <w:rsid w:val="00753704"/>
    <w:rsid w:val="00753718"/>
    <w:rsid w:val="007537B1"/>
    <w:rsid w:val="00753A1C"/>
    <w:rsid w:val="00753B2A"/>
    <w:rsid w:val="00753D88"/>
    <w:rsid w:val="00753F10"/>
    <w:rsid w:val="00754093"/>
    <w:rsid w:val="00754432"/>
    <w:rsid w:val="0075461A"/>
    <w:rsid w:val="0075466A"/>
    <w:rsid w:val="00754C0D"/>
    <w:rsid w:val="00754D94"/>
    <w:rsid w:val="00754DA5"/>
    <w:rsid w:val="00754E9D"/>
    <w:rsid w:val="00754FDC"/>
    <w:rsid w:val="00754FEA"/>
    <w:rsid w:val="00755282"/>
    <w:rsid w:val="007553C6"/>
    <w:rsid w:val="007554F1"/>
    <w:rsid w:val="0075557B"/>
    <w:rsid w:val="00755757"/>
    <w:rsid w:val="00755772"/>
    <w:rsid w:val="00755891"/>
    <w:rsid w:val="007559A2"/>
    <w:rsid w:val="00755A58"/>
    <w:rsid w:val="00755CD6"/>
    <w:rsid w:val="0075612A"/>
    <w:rsid w:val="00756154"/>
    <w:rsid w:val="0075622E"/>
    <w:rsid w:val="0075626D"/>
    <w:rsid w:val="007562F2"/>
    <w:rsid w:val="00756452"/>
    <w:rsid w:val="0075646A"/>
    <w:rsid w:val="007567EB"/>
    <w:rsid w:val="00756B7A"/>
    <w:rsid w:val="00756B97"/>
    <w:rsid w:val="00756DC2"/>
    <w:rsid w:val="00757034"/>
    <w:rsid w:val="00757079"/>
    <w:rsid w:val="00757147"/>
    <w:rsid w:val="00757402"/>
    <w:rsid w:val="00757494"/>
    <w:rsid w:val="00757667"/>
    <w:rsid w:val="00757797"/>
    <w:rsid w:val="0075780F"/>
    <w:rsid w:val="00757855"/>
    <w:rsid w:val="00757872"/>
    <w:rsid w:val="007579C4"/>
    <w:rsid w:val="00757AD8"/>
    <w:rsid w:val="00760270"/>
    <w:rsid w:val="00760375"/>
    <w:rsid w:val="00760637"/>
    <w:rsid w:val="0076067C"/>
    <w:rsid w:val="007606A0"/>
    <w:rsid w:val="007606C4"/>
    <w:rsid w:val="007606FC"/>
    <w:rsid w:val="007608C7"/>
    <w:rsid w:val="007608EA"/>
    <w:rsid w:val="00760955"/>
    <w:rsid w:val="00760A50"/>
    <w:rsid w:val="00760B5A"/>
    <w:rsid w:val="00760DEE"/>
    <w:rsid w:val="00760FB0"/>
    <w:rsid w:val="0076120F"/>
    <w:rsid w:val="0076142A"/>
    <w:rsid w:val="0076144F"/>
    <w:rsid w:val="00761612"/>
    <w:rsid w:val="00761946"/>
    <w:rsid w:val="00761B27"/>
    <w:rsid w:val="00761C1B"/>
    <w:rsid w:val="00761C9A"/>
    <w:rsid w:val="00761D02"/>
    <w:rsid w:val="00761E41"/>
    <w:rsid w:val="00762041"/>
    <w:rsid w:val="00762370"/>
    <w:rsid w:val="007623A2"/>
    <w:rsid w:val="00762515"/>
    <w:rsid w:val="00762549"/>
    <w:rsid w:val="007625F1"/>
    <w:rsid w:val="007626BE"/>
    <w:rsid w:val="007626D5"/>
    <w:rsid w:val="007629CE"/>
    <w:rsid w:val="00762A22"/>
    <w:rsid w:val="00762AD9"/>
    <w:rsid w:val="00762BCC"/>
    <w:rsid w:val="00762C63"/>
    <w:rsid w:val="00762D27"/>
    <w:rsid w:val="00762DF7"/>
    <w:rsid w:val="00762E9F"/>
    <w:rsid w:val="00763153"/>
    <w:rsid w:val="0076324B"/>
    <w:rsid w:val="007633F0"/>
    <w:rsid w:val="00763451"/>
    <w:rsid w:val="00763B07"/>
    <w:rsid w:val="00763B73"/>
    <w:rsid w:val="00763B7A"/>
    <w:rsid w:val="00763BFC"/>
    <w:rsid w:val="00763DCF"/>
    <w:rsid w:val="00763EBF"/>
    <w:rsid w:val="00763FB0"/>
    <w:rsid w:val="007640C2"/>
    <w:rsid w:val="00764309"/>
    <w:rsid w:val="0076436A"/>
    <w:rsid w:val="00764523"/>
    <w:rsid w:val="00764653"/>
    <w:rsid w:val="00764709"/>
    <w:rsid w:val="007647BF"/>
    <w:rsid w:val="00764A3F"/>
    <w:rsid w:val="00764BFD"/>
    <w:rsid w:val="00764DDC"/>
    <w:rsid w:val="00764FB9"/>
    <w:rsid w:val="0076509F"/>
    <w:rsid w:val="007658DF"/>
    <w:rsid w:val="0076596B"/>
    <w:rsid w:val="00765AAA"/>
    <w:rsid w:val="00765ACE"/>
    <w:rsid w:val="00765D24"/>
    <w:rsid w:val="00765DB4"/>
    <w:rsid w:val="00765ED5"/>
    <w:rsid w:val="0076605A"/>
    <w:rsid w:val="007660CD"/>
    <w:rsid w:val="00766169"/>
    <w:rsid w:val="0076619C"/>
    <w:rsid w:val="00766534"/>
    <w:rsid w:val="0076666B"/>
    <w:rsid w:val="007668D5"/>
    <w:rsid w:val="00766F5A"/>
    <w:rsid w:val="00767025"/>
    <w:rsid w:val="00767070"/>
    <w:rsid w:val="007670DC"/>
    <w:rsid w:val="00767169"/>
    <w:rsid w:val="007671AA"/>
    <w:rsid w:val="007672B5"/>
    <w:rsid w:val="0076749E"/>
    <w:rsid w:val="00767523"/>
    <w:rsid w:val="007676AC"/>
    <w:rsid w:val="00767741"/>
    <w:rsid w:val="007679F6"/>
    <w:rsid w:val="00767AA8"/>
    <w:rsid w:val="00767AF4"/>
    <w:rsid w:val="00767D60"/>
    <w:rsid w:val="00767D8F"/>
    <w:rsid w:val="00770120"/>
    <w:rsid w:val="007703D1"/>
    <w:rsid w:val="00770686"/>
    <w:rsid w:val="007708D6"/>
    <w:rsid w:val="007709C4"/>
    <w:rsid w:val="007709EE"/>
    <w:rsid w:val="00770B36"/>
    <w:rsid w:val="00770B4E"/>
    <w:rsid w:val="00770BE3"/>
    <w:rsid w:val="00770C5F"/>
    <w:rsid w:val="00770D01"/>
    <w:rsid w:val="00770F46"/>
    <w:rsid w:val="00770FEE"/>
    <w:rsid w:val="00770FF5"/>
    <w:rsid w:val="007710AD"/>
    <w:rsid w:val="007710CC"/>
    <w:rsid w:val="00771332"/>
    <w:rsid w:val="00771725"/>
    <w:rsid w:val="00771731"/>
    <w:rsid w:val="0077191C"/>
    <w:rsid w:val="00771ABF"/>
    <w:rsid w:val="00771B54"/>
    <w:rsid w:val="00771C0C"/>
    <w:rsid w:val="00771D6A"/>
    <w:rsid w:val="00771ED4"/>
    <w:rsid w:val="00771F6B"/>
    <w:rsid w:val="007723F8"/>
    <w:rsid w:val="007724E2"/>
    <w:rsid w:val="0077286C"/>
    <w:rsid w:val="00772965"/>
    <w:rsid w:val="00772CD9"/>
    <w:rsid w:val="00772D50"/>
    <w:rsid w:val="00772DC0"/>
    <w:rsid w:val="00772FC6"/>
    <w:rsid w:val="007730A4"/>
    <w:rsid w:val="007730B1"/>
    <w:rsid w:val="007730EE"/>
    <w:rsid w:val="00773204"/>
    <w:rsid w:val="00773259"/>
    <w:rsid w:val="00773406"/>
    <w:rsid w:val="007734AA"/>
    <w:rsid w:val="007735C4"/>
    <w:rsid w:val="00773650"/>
    <w:rsid w:val="00773698"/>
    <w:rsid w:val="007737AF"/>
    <w:rsid w:val="007737CE"/>
    <w:rsid w:val="007739C6"/>
    <w:rsid w:val="00773ABB"/>
    <w:rsid w:val="00773ABC"/>
    <w:rsid w:val="00773ACE"/>
    <w:rsid w:val="00774004"/>
    <w:rsid w:val="0077427D"/>
    <w:rsid w:val="007742BC"/>
    <w:rsid w:val="00774531"/>
    <w:rsid w:val="007746FA"/>
    <w:rsid w:val="007749AD"/>
    <w:rsid w:val="00774A35"/>
    <w:rsid w:val="00774A5C"/>
    <w:rsid w:val="00774AE5"/>
    <w:rsid w:val="00774AF1"/>
    <w:rsid w:val="00774AF2"/>
    <w:rsid w:val="00774B32"/>
    <w:rsid w:val="00774B40"/>
    <w:rsid w:val="00774FD7"/>
    <w:rsid w:val="00775047"/>
    <w:rsid w:val="007754C1"/>
    <w:rsid w:val="00775576"/>
    <w:rsid w:val="0077564C"/>
    <w:rsid w:val="007756E0"/>
    <w:rsid w:val="0077571C"/>
    <w:rsid w:val="00775795"/>
    <w:rsid w:val="00775797"/>
    <w:rsid w:val="00775935"/>
    <w:rsid w:val="00775AD9"/>
    <w:rsid w:val="00775B65"/>
    <w:rsid w:val="00775EC4"/>
    <w:rsid w:val="00775F00"/>
    <w:rsid w:val="00775FD3"/>
    <w:rsid w:val="0077611C"/>
    <w:rsid w:val="00776321"/>
    <w:rsid w:val="00776559"/>
    <w:rsid w:val="0077685F"/>
    <w:rsid w:val="0077686E"/>
    <w:rsid w:val="007768A4"/>
    <w:rsid w:val="007768FB"/>
    <w:rsid w:val="00776AB7"/>
    <w:rsid w:val="00776CB9"/>
    <w:rsid w:val="00776DCD"/>
    <w:rsid w:val="00776E01"/>
    <w:rsid w:val="007771F9"/>
    <w:rsid w:val="007771FD"/>
    <w:rsid w:val="007773A3"/>
    <w:rsid w:val="00777482"/>
    <w:rsid w:val="007774FC"/>
    <w:rsid w:val="007776A6"/>
    <w:rsid w:val="007777A1"/>
    <w:rsid w:val="00777841"/>
    <w:rsid w:val="00777B1B"/>
    <w:rsid w:val="00777B2D"/>
    <w:rsid w:val="00777B90"/>
    <w:rsid w:val="00777D6E"/>
    <w:rsid w:val="00777E94"/>
    <w:rsid w:val="00780145"/>
    <w:rsid w:val="0078058B"/>
    <w:rsid w:val="007805C4"/>
    <w:rsid w:val="007806A3"/>
    <w:rsid w:val="007806E4"/>
    <w:rsid w:val="007807B0"/>
    <w:rsid w:val="00780912"/>
    <w:rsid w:val="00780BC0"/>
    <w:rsid w:val="00780CBA"/>
    <w:rsid w:val="00780D9C"/>
    <w:rsid w:val="00780FD1"/>
    <w:rsid w:val="0078162E"/>
    <w:rsid w:val="007819F1"/>
    <w:rsid w:val="00781A0F"/>
    <w:rsid w:val="00781B55"/>
    <w:rsid w:val="00781BA9"/>
    <w:rsid w:val="00781C17"/>
    <w:rsid w:val="00781CAC"/>
    <w:rsid w:val="00781D6F"/>
    <w:rsid w:val="00781D95"/>
    <w:rsid w:val="00782024"/>
    <w:rsid w:val="007820D3"/>
    <w:rsid w:val="00782128"/>
    <w:rsid w:val="00782192"/>
    <w:rsid w:val="007821CF"/>
    <w:rsid w:val="0078220B"/>
    <w:rsid w:val="007824BB"/>
    <w:rsid w:val="00782521"/>
    <w:rsid w:val="0078255E"/>
    <w:rsid w:val="00782606"/>
    <w:rsid w:val="00782669"/>
    <w:rsid w:val="007826DC"/>
    <w:rsid w:val="007828D0"/>
    <w:rsid w:val="00782A3C"/>
    <w:rsid w:val="00782ADE"/>
    <w:rsid w:val="00782BAC"/>
    <w:rsid w:val="00782C22"/>
    <w:rsid w:val="00782CCB"/>
    <w:rsid w:val="00782CE9"/>
    <w:rsid w:val="00782F74"/>
    <w:rsid w:val="007831EA"/>
    <w:rsid w:val="00783229"/>
    <w:rsid w:val="007836F0"/>
    <w:rsid w:val="007838DD"/>
    <w:rsid w:val="0078397D"/>
    <w:rsid w:val="00783A4F"/>
    <w:rsid w:val="00783BB1"/>
    <w:rsid w:val="007841E4"/>
    <w:rsid w:val="00784376"/>
    <w:rsid w:val="0078465B"/>
    <w:rsid w:val="007846A3"/>
    <w:rsid w:val="007846D3"/>
    <w:rsid w:val="007846F2"/>
    <w:rsid w:val="007848DC"/>
    <w:rsid w:val="00784929"/>
    <w:rsid w:val="00784A5B"/>
    <w:rsid w:val="00784BC3"/>
    <w:rsid w:val="00784DE3"/>
    <w:rsid w:val="00784F74"/>
    <w:rsid w:val="00784FFA"/>
    <w:rsid w:val="007850EB"/>
    <w:rsid w:val="0078536A"/>
    <w:rsid w:val="00785474"/>
    <w:rsid w:val="007854C7"/>
    <w:rsid w:val="0078551D"/>
    <w:rsid w:val="007856BE"/>
    <w:rsid w:val="007856D9"/>
    <w:rsid w:val="007856F1"/>
    <w:rsid w:val="0078570D"/>
    <w:rsid w:val="007858B6"/>
    <w:rsid w:val="00785A0F"/>
    <w:rsid w:val="00785A2B"/>
    <w:rsid w:val="00785BA8"/>
    <w:rsid w:val="00785C52"/>
    <w:rsid w:val="00785D28"/>
    <w:rsid w:val="00785D85"/>
    <w:rsid w:val="00785E1D"/>
    <w:rsid w:val="00785FD2"/>
    <w:rsid w:val="00786457"/>
    <w:rsid w:val="007864E3"/>
    <w:rsid w:val="007865E6"/>
    <w:rsid w:val="0078677B"/>
    <w:rsid w:val="00786B5D"/>
    <w:rsid w:val="00786C82"/>
    <w:rsid w:val="00786E7A"/>
    <w:rsid w:val="00786F5B"/>
    <w:rsid w:val="00786F78"/>
    <w:rsid w:val="00786FD8"/>
    <w:rsid w:val="007870E9"/>
    <w:rsid w:val="007871F3"/>
    <w:rsid w:val="0078722F"/>
    <w:rsid w:val="0078727E"/>
    <w:rsid w:val="0078733F"/>
    <w:rsid w:val="007873E5"/>
    <w:rsid w:val="007874D6"/>
    <w:rsid w:val="007875DC"/>
    <w:rsid w:val="0078787F"/>
    <w:rsid w:val="0078795D"/>
    <w:rsid w:val="00787B4A"/>
    <w:rsid w:val="00787B6B"/>
    <w:rsid w:val="00787D5D"/>
    <w:rsid w:val="00787DF8"/>
    <w:rsid w:val="00787E2D"/>
    <w:rsid w:val="00787FB9"/>
    <w:rsid w:val="007900BE"/>
    <w:rsid w:val="007901B0"/>
    <w:rsid w:val="007902B0"/>
    <w:rsid w:val="0079032C"/>
    <w:rsid w:val="007903CA"/>
    <w:rsid w:val="0079047F"/>
    <w:rsid w:val="007905D3"/>
    <w:rsid w:val="0079074B"/>
    <w:rsid w:val="007908BE"/>
    <w:rsid w:val="007908D4"/>
    <w:rsid w:val="00790A51"/>
    <w:rsid w:val="00790AF0"/>
    <w:rsid w:val="00790D12"/>
    <w:rsid w:val="00790DFE"/>
    <w:rsid w:val="00790F62"/>
    <w:rsid w:val="00791388"/>
    <w:rsid w:val="007916B0"/>
    <w:rsid w:val="00791785"/>
    <w:rsid w:val="00791A14"/>
    <w:rsid w:val="00791ACA"/>
    <w:rsid w:val="00791B49"/>
    <w:rsid w:val="00791BA2"/>
    <w:rsid w:val="00791C2E"/>
    <w:rsid w:val="00791CC5"/>
    <w:rsid w:val="00791DC1"/>
    <w:rsid w:val="00791FE8"/>
    <w:rsid w:val="0079211A"/>
    <w:rsid w:val="00792139"/>
    <w:rsid w:val="007924B5"/>
    <w:rsid w:val="00792604"/>
    <w:rsid w:val="007926BA"/>
    <w:rsid w:val="007928D4"/>
    <w:rsid w:val="00792966"/>
    <w:rsid w:val="00792B6E"/>
    <w:rsid w:val="00792C24"/>
    <w:rsid w:val="00792CC2"/>
    <w:rsid w:val="00792D1D"/>
    <w:rsid w:val="00792E50"/>
    <w:rsid w:val="0079320B"/>
    <w:rsid w:val="00793279"/>
    <w:rsid w:val="00793289"/>
    <w:rsid w:val="00793296"/>
    <w:rsid w:val="0079340E"/>
    <w:rsid w:val="00793422"/>
    <w:rsid w:val="00793625"/>
    <w:rsid w:val="00793645"/>
    <w:rsid w:val="007937AD"/>
    <w:rsid w:val="007938A5"/>
    <w:rsid w:val="007938B2"/>
    <w:rsid w:val="00793942"/>
    <w:rsid w:val="00793A14"/>
    <w:rsid w:val="00793B32"/>
    <w:rsid w:val="00793DD4"/>
    <w:rsid w:val="00793EDC"/>
    <w:rsid w:val="00793FCC"/>
    <w:rsid w:val="00793FD6"/>
    <w:rsid w:val="007942E6"/>
    <w:rsid w:val="0079435E"/>
    <w:rsid w:val="00794366"/>
    <w:rsid w:val="00794379"/>
    <w:rsid w:val="00794388"/>
    <w:rsid w:val="0079446F"/>
    <w:rsid w:val="007945A1"/>
    <w:rsid w:val="007946C4"/>
    <w:rsid w:val="007947A9"/>
    <w:rsid w:val="007949DC"/>
    <w:rsid w:val="00794A3C"/>
    <w:rsid w:val="00794A53"/>
    <w:rsid w:val="00794D3D"/>
    <w:rsid w:val="00794EC1"/>
    <w:rsid w:val="00794ED9"/>
    <w:rsid w:val="00794EE5"/>
    <w:rsid w:val="00795023"/>
    <w:rsid w:val="007954D6"/>
    <w:rsid w:val="00795503"/>
    <w:rsid w:val="0079553A"/>
    <w:rsid w:val="0079576D"/>
    <w:rsid w:val="00795B8F"/>
    <w:rsid w:val="00795C35"/>
    <w:rsid w:val="00795C8D"/>
    <w:rsid w:val="00796004"/>
    <w:rsid w:val="0079606E"/>
    <w:rsid w:val="00796285"/>
    <w:rsid w:val="007963AF"/>
    <w:rsid w:val="0079672B"/>
    <w:rsid w:val="00796819"/>
    <w:rsid w:val="00796887"/>
    <w:rsid w:val="00796B22"/>
    <w:rsid w:val="00796B83"/>
    <w:rsid w:val="00796E6E"/>
    <w:rsid w:val="00796E94"/>
    <w:rsid w:val="00796EB1"/>
    <w:rsid w:val="00796F6E"/>
    <w:rsid w:val="00797075"/>
    <w:rsid w:val="007970A1"/>
    <w:rsid w:val="007970A2"/>
    <w:rsid w:val="0079723A"/>
    <w:rsid w:val="00797333"/>
    <w:rsid w:val="0079744D"/>
    <w:rsid w:val="00797601"/>
    <w:rsid w:val="007976E2"/>
    <w:rsid w:val="0079791C"/>
    <w:rsid w:val="0079794C"/>
    <w:rsid w:val="00797966"/>
    <w:rsid w:val="00797C2E"/>
    <w:rsid w:val="007A0008"/>
    <w:rsid w:val="007A0012"/>
    <w:rsid w:val="007A008F"/>
    <w:rsid w:val="007A0159"/>
    <w:rsid w:val="007A0237"/>
    <w:rsid w:val="007A0270"/>
    <w:rsid w:val="007A0421"/>
    <w:rsid w:val="007A09DF"/>
    <w:rsid w:val="007A0A37"/>
    <w:rsid w:val="007A0E0B"/>
    <w:rsid w:val="007A0EBA"/>
    <w:rsid w:val="007A0F4E"/>
    <w:rsid w:val="007A1337"/>
    <w:rsid w:val="007A1463"/>
    <w:rsid w:val="007A1528"/>
    <w:rsid w:val="007A163A"/>
    <w:rsid w:val="007A17B2"/>
    <w:rsid w:val="007A19E8"/>
    <w:rsid w:val="007A1AFD"/>
    <w:rsid w:val="007A1E02"/>
    <w:rsid w:val="007A1EA6"/>
    <w:rsid w:val="007A1F71"/>
    <w:rsid w:val="007A1FA7"/>
    <w:rsid w:val="007A237E"/>
    <w:rsid w:val="007A2456"/>
    <w:rsid w:val="007A258A"/>
    <w:rsid w:val="007A259D"/>
    <w:rsid w:val="007A267E"/>
    <w:rsid w:val="007A279D"/>
    <w:rsid w:val="007A2973"/>
    <w:rsid w:val="007A29BC"/>
    <w:rsid w:val="007A2A5D"/>
    <w:rsid w:val="007A2A8F"/>
    <w:rsid w:val="007A2B2A"/>
    <w:rsid w:val="007A2C5F"/>
    <w:rsid w:val="007A2C67"/>
    <w:rsid w:val="007A3024"/>
    <w:rsid w:val="007A304C"/>
    <w:rsid w:val="007A30B1"/>
    <w:rsid w:val="007A3248"/>
    <w:rsid w:val="007A3344"/>
    <w:rsid w:val="007A337B"/>
    <w:rsid w:val="007A3386"/>
    <w:rsid w:val="007A349B"/>
    <w:rsid w:val="007A37BA"/>
    <w:rsid w:val="007A3861"/>
    <w:rsid w:val="007A3A51"/>
    <w:rsid w:val="007A3CE6"/>
    <w:rsid w:val="007A3E4D"/>
    <w:rsid w:val="007A4023"/>
    <w:rsid w:val="007A406D"/>
    <w:rsid w:val="007A40AC"/>
    <w:rsid w:val="007A41AD"/>
    <w:rsid w:val="007A433C"/>
    <w:rsid w:val="007A4377"/>
    <w:rsid w:val="007A48A1"/>
    <w:rsid w:val="007A4A8A"/>
    <w:rsid w:val="007A4C3C"/>
    <w:rsid w:val="007A4CA1"/>
    <w:rsid w:val="007A501B"/>
    <w:rsid w:val="007A5173"/>
    <w:rsid w:val="007A5219"/>
    <w:rsid w:val="007A5370"/>
    <w:rsid w:val="007A547D"/>
    <w:rsid w:val="007A5657"/>
    <w:rsid w:val="007A5712"/>
    <w:rsid w:val="007A57B1"/>
    <w:rsid w:val="007A57DD"/>
    <w:rsid w:val="007A57EA"/>
    <w:rsid w:val="007A58C2"/>
    <w:rsid w:val="007A5907"/>
    <w:rsid w:val="007A5A04"/>
    <w:rsid w:val="007A5A6E"/>
    <w:rsid w:val="007A5CF2"/>
    <w:rsid w:val="007A5D32"/>
    <w:rsid w:val="007A5DB5"/>
    <w:rsid w:val="007A5E24"/>
    <w:rsid w:val="007A5E28"/>
    <w:rsid w:val="007A5EB8"/>
    <w:rsid w:val="007A5F46"/>
    <w:rsid w:val="007A610D"/>
    <w:rsid w:val="007A6137"/>
    <w:rsid w:val="007A6209"/>
    <w:rsid w:val="007A627F"/>
    <w:rsid w:val="007A62A4"/>
    <w:rsid w:val="007A6318"/>
    <w:rsid w:val="007A639B"/>
    <w:rsid w:val="007A63FD"/>
    <w:rsid w:val="007A643F"/>
    <w:rsid w:val="007A6526"/>
    <w:rsid w:val="007A667B"/>
    <w:rsid w:val="007A671F"/>
    <w:rsid w:val="007A672C"/>
    <w:rsid w:val="007A68D7"/>
    <w:rsid w:val="007A6BB1"/>
    <w:rsid w:val="007A6D18"/>
    <w:rsid w:val="007A6D3C"/>
    <w:rsid w:val="007A6FF9"/>
    <w:rsid w:val="007A70E6"/>
    <w:rsid w:val="007A70FB"/>
    <w:rsid w:val="007A71C4"/>
    <w:rsid w:val="007A7211"/>
    <w:rsid w:val="007A724D"/>
    <w:rsid w:val="007A74B7"/>
    <w:rsid w:val="007A7555"/>
    <w:rsid w:val="007A7914"/>
    <w:rsid w:val="007A79B8"/>
    <w:rsid w:val="007A7B6D"/>
    <w:rsid w:val="007A7D64"/>
    <w:rsid w:val="007A7DF1"/>
    <w:rsid w:val="007A7ECC"/>
    <w:rsid w:val="007B0083"/>
    <w:rsid w:val="007B0338"/>
    <w:rsid w:val="007B045A"/>
    <w:rsid w:val="007B049E"/>
    <w:rsid w:val="007B05A9"/>
    <w:rsid w:val="007B05E0"/>
    <w:rsid w:val="007B05FC"/>
    <w:rsid w:val="007B0686"/>
    <w:rsid w:val="007B0739"/>
    <w:rsid w:val="007B0766"/>
    <w:rsid w:val="007B0821"/>
    <w:rsid w:val="007B09D8"/>
    <w:rsid w:val="007B0B0D"/>
    <w:rsid w:val="007B0D24"/>
    <w:rsid w:val="007B0D49"/>
    <w:rsid w:val="007B0E16"/>
    <w:rsid w:val="007B0F04"/>
    <w:rsid w:val="007B0F27"/>
    <w:rsid w:val="007B0F4E"/>
    <w:rsid w:val="007B0F8D"/>
    <w:rsid w:val="007B0FE7"/>
    <w:rsid w:val="007B11BF"/>
    <w:rsid w:val="007B12A8"/>
    <w:rsid w:val="007B1325"/>
    <w:rsid w:val="007B1391"/>
    <w:rsid w:val="007B1397"/>
    <w:rsid w:val="007B13AA"/>
    <w:rsid w:val="007B15B9"/>
    <w:rsid w:val="007B1787"/>
    <w:rsid w:val="007B1A20"/>
    <w:rsid w:val="007B1BC1"/>
    <w:rsid w:val="007B1D14"/>
    <w:rsid w:val="007B20F1"/>
    <w:rsid w:val="007B22D4"/>
    <w:rsid w:val="007B23FC"/>
    <w:rsid w:val="007B247D"/>
    <w:rsid w:val="007B2530"/>
    <w:rsid w:val="007B2588"/>
    <w:rsid w:val="007B2606"/>
    <w:rsid w:val="007B2721"/>
    <w:rsid w:val="007B27E4"/>
    <w:rsid w:val="007B2879"/>
    <w:rsid w:val="007B28B7"/>
    <w:rsid w:val="007B29F7"/>
    <w:rsid w:val="007B2A0D"/>
    <w:rsid w:val="007B2AF9"/>
    <w:rsid w:val="007B2C2F"/>
    <w:rsid w:val="007B2CB0"/>
    <w:rsid w:val="007B2DE9"/>
    <w:rsid w:val="007B2E72"/>
    <w:rsid w:val="007B2EF8"/>
    <w:rsid w:val="007B3020"/>
    <w:rsid w:val="007B3250"/>
    <w:rsid w:val="007B32EC"/>
    <w:rsid w:val="007B337E"/>
    <w:rsid w:val="007B35E5"/>
    <w:rsid w:val="007B36F7"/>
    <w:rsid w:val="007B3AB0"/>
    <w:rsid w:val="007B3C1D"/>
    <w:rsid w:val="007B3C3E"/>
    <w:rsid w:val="007B3CD2"/>
    <w:rsid w:val="007B3D62"/>
    <w:rsid w:val="007B3F72"/>
    <w:rsid w:val="007B3FE8"/>
    <w:rsid w:val="007B40C0"/>
    <w:rsid w:val="007B4363"/>
    <w:rsid w:val="007B4603"/>
    <w:rsid w:val="007B4807"/>
    <w:rsid w:val="007B4842"/>
    <w:rsid w:val="007B4A15"/>
    <w:rsid w:val="007B4A77"/>
    <w:rsid w:val="007B4A85"/>
    <w:rsid w:val="007B4B0E"/>
    <w:rsid w:val="007B4D9E"/>
    <w:rsid w:val="007B4DD7"/>
    <w:rsid w:val="007B4EDA"/>
    <w:rsid w:val="007B4F47"/>
    <w:rsid w:val="007B50CB"/>
    <w:rsid w:val="007B5465"/>
    <w:rsid w:val="007B5489"/>
    <w:rsid w:val="007B57AC"/>
    <w:rsid w:val="007B57B7"/>
    <w:rsid w:val="007B591C"/>
    <w:rsid w:val="007B5A6D"/>
    <w:rsid w:val="007B5C58"/>
    <w:rsid w:val="007B5E08"/>
    <w:rsid w:val="007B5EC1"/>
    <w:rsid w:val="007B5EDC"/>
    <w:rsid w:val="007B6449"/>
    <w:rsid w:val="007B6492"/>
    <w:rsid w:val="007B64F7"/>
    <w:rsid w:val="007B65C5"/>
    <w:rsid w:val="007B667A"/>
    <w:rsid w:val="007B66D6"/>
    <w:rsid w:val="007B67AF"/>
    <w:rsid w:val="007B6839"/>
    <w:rsid w:val="007B6A91"/>
    <w:rsid w:val="007B6AE0"/>
    <w:rsid w:val="007B6B22"/>
    <w:rsid w:val="007B6BFC"/>
    <w:rsid w:val="007B6C21"/>
    <w:rsid w:val="007B6C7A"/>
    <w:rsid w:val="007B6CD1"/>
    <w:rsid w:val="007B6CE4"/>
    <w:rsid w:val="007B6DF3"/>
    <w:rsid w:val="007B6EBF"/>
    <w:rsid w:val="007B735A"/>
    <w:rsid w:val="007B7386"/>
    <w:rsid w:val="007B73AB"/>
    <w:rsid w:val="007B7561"/>
    <w:rsid w:val="007B7608"/>
    <w:rsid w:val="007B790F"/>
    <w:rsid w:val="007B7960"/>
    <w:rsid w:val="007B799A"/>
    <w:rsid w:val="007B79A9"/>
    <w:rsid w:val="007B7A20"/>
    <w:rsid w:val="007B7A8A"/>
    <w:rsid w:val="007B7AE5"/>
    <w:rsid w:val="007B7B83"/>
    <w:rsid w:val="007B7E46"/>
    <w:rsid w:val="007B7F78"/>
    <w:rsid w:val="007C0103"/>
    <w:rsid w:val="007C01E8"/>
    <w:rsid w:val="007C02B5"/>
    <w:rsid w:val="007C0343"/>
    <w:rsid w:val="007C0371"/>
    <w:rsid w:val="007C0400"/>
    <w:rsid w:val="007C0466"/>
    <w:rsid w:val="007C0552"/>
    <w:rsid w:val="007C0BE7"/>
    <w:rsid w:val="007C0C67"/>
    <w:rsid w:val="007C1119"/>
    <w:rsid w:val="007C122E"/>
    <w:rsid w:val="007C12F8"/>
    <w:rsid w:val="007C13BA"/>
    <w:rsid w:val="007C13F2"/>
    <w:rsid w:val="007C1552"/>
    <w:rsid w:val="007C1589"/>
    <w:rsid w:val="007C19B2"/>
    <w:rsid w:val="007C1A24"/>
    <w:rsid w:val="007C1A51"/>
    <w:rsid w:val="007C1A90"/>
    <w:rsid w:val="007C1AC1"/>
    <w:rsid w:val="007C1BE8"/>
    <w:rsid w:val="007C1C11"/>
    <w:rsid w:val="007C1CCB"/>
    <w:rsid w:val="007C1D55"/>
    <w:rsid w:val="007C1D61"/>
    <w:rsid w:val="007C215C"/>
    <w:rsid w:val="007C21C5"/>
    <w:rsid w:val="007C2425"/>
    <w:rsid w:val="007C25D1"/>
    <w:rsid w:val="007C2791"/>
    <w:rsid w:val="007C279B"/>
    <w:rsid w:val="007C2943"/>
    <w:rsid w:val="007C2A5A"/>
    <w:rsid w:val="007C2AD5"/>
    <w:rsid w:val="007C2D3F"/>
    <w:rsid w:val="007C2DC9"/>
    <w:rsid w:val="007C2DF5"/>
    <w:rsid w:val="007C2DFB"/>
    <w:rsid w:val="007C2E63"/>
    <w:rsid w:val="007C309C"/>
    <w:rsid w:val="007C32E6"/>
    <w:rsid w:val="007C3379"/>
    <w:rsid w:val="007C33A4"/>
    <w:rsid w:val="007C347A"/>
    <w:rsid w:val="007C3511"/>
    <w:rsid w:val="007C370B"/>
    <w:rsid w:val="007C3825"/>
    <w:rsid w:val="007C39F2"/>
    <w:rsid w:val="007C3AE8"/>
    <w:rsid w:val="007C3F88"/>
    <w:rsid w:val="007C4102"/>
    <w:rsid w:val="007C41BB"/>
    <w:rsid w:val="007C41FB"/>
    <w:rsid w:val="007C4253"/>
    <w:rsid w:val="007C43CD"/>
    <w:rsid w:val="007C449B"/>
    <w:rsid w:val="007C45C0"/>
    <w:rsid w:val="007C460B"/>
    <w:rsid w:val="007C4649"/>
    <w:rsid w:val="007C47CF"/>
    <w:rsid w:val="007C47D6"/>
    <w:rsid w:val="007C4896"/>
    <w:rsid w:val="007C48AA"/>
    <w:rsid w:val="007C4A5B"/>
    <w:rsid w:val="007C4BA3"/>
    <w:rsid w:val="007C4E60"/>
    <w:rsid w:val="007C4EBE"/>
    <w:rsid w:val="007C53B0"/>
    <w:rsid w:val="007C5405"/>
    <w:rsid w:val="007C5484"/>
    <w:rsid w:val="007C5512"/>
    <w:rsid w:val="007C55DA"/>
    <w:rsid w:val="007C5697"/>
    <w:rsid w:val="007C5729"/>
    <w:rsid w:val="007C574D"/>
    <w:rsid w:val="007C581E"/>
    <w:rsid w:val="007C5892"/>
    <w:rsid w:val="007C58BD"/>
    <w:rsid w:val="007C5AC0"/>
    <w:rsid w:val="007C5B44"/>
    <w:rsid w:val="007C5BF9"/>
    <w:rsid w:val="007C6056"/>
    <w:rsid w:val="007C6142"/>
    <w:rsid w:val="007C6195"/>
    <w:rsid w:val="007C62E1"/>
    <w:rsid w:val="007C636A"/>
    <w:rsid w:val="007C639E"/>
    <w:rsid w:val="007C6462"/>
    <w:rsid w:val="007C6496"/>
    <w:rsid w:val="007C64D5"/>
    <w:rsid w:val="007C662B"/>
    <w:rsid w:val="007C6707"/>
    <w:rsid w:val="007C6869"/>
    <w:rsid w:val="007C6886"/>
    <w:rsid w:val="007C6B6C"/>
    <w:rsid w:val="007C6D44"/>
    <w:rsid w:val="007C6DD2"/>
    <w:rsid w:val="007C6E68"/>
    <w:rsid w:val="007C6ED3"/>
    <w:rsid w:val="007C6F15"/>
    <w:rsid w:val="007C6FFE"/>
    <w:rsid w:val="007C714B"/>
    <w:rsid w:val="007C7153"/>
    <w:rsid w:val="007C7166"/>
    <w:rsid w:val="007C7193"/>
    <w:rsid w:val="007C72E4"/>
    <w:rsid w:val="007C74E1"/>
    <w:rsid w:val="007C77EB"/>
    <w:rsid w:val="007C786C"/>
    <w:rsid w:val="007C78A0"/>
    <w:rsid w:val="007C79A8"/>
    <w:rsid w:val="007C7D87"/>
    <w:rsid w:val="007C7EE4"/>
    <w:rsid w:val="007D00D6"/>
    <w:rsid w:val="007D0226"/>
    <w:rsid w:val="007D0545"/>
    <w:rsid w:val="007D07BC"/>
    <w:rsid w:val="007D0848"/>
    <w:rsid w:val="007D085A"/>
    <w:rsid w:val="007D08DA"/>
    <w:rsid w:val="007D0B37"/>
    <w:rsid w:val="007D0BA6"/>
    <w:rsid w:val="007D0D6E"/>
    <w:rsid w:val="007D0DF3"/>
    <w:rsid w:val="007D0E0C"/>
    <w:rsid w:val="007D0F93"/>
    <w:rsid w:val="007D10CA"/>
    <w:rsid w:val="007D1353"/>
    <w:rsid w:val="007D136F"/>
    <w:rsid w:val="007D13F4"/>
    <w:rsid w:val="007D1561"/>
    <w:rsid w:val="007D186A"/>
    <w:rsid w:val="007D189C"/>
    <w:rsid w:val="007D1A62"/>
    <w:rsid w:val="007D1AFE"/>
    <w:rsid w:val="007D1C09"/>
    <w:rsid w:val="007D1C49"/>
    <w:rsid w:val="007D1CAD"/>
    <w:rsid w:val="007D1E84"/>
    <w:rsid w:val="007D1EA6"/>
    <w:rsid w:val="007D1EBA"/>
    <w:rsid w:val="007D1FC8"/>
    <w:rsid w:val="007D2028"/>
    <w:rsid w:val="007D21F3"/>
    <w:rsid w:val="007D2401"/>
    <w:rsid w:val="007D24F6"/>
    <w:rsid w:val="007D2576"/>
    <w:rsid w:val="007D2607"/>
    <w:rsid w:val="007D2896"/>
    <w:rsid w:val="007D28CB"/>
    <w:rsid w:val="007D297C"/>
    <w:rsid w:val="007D29AA"/>
    <w:rsid w:val="007D29C9"/>
    <w:rsid w:val="007D2A78"/>
    <w:rsid w:val="007D2D78"/>
    <w:rsid w:val="007D3089"/>
    <w:rsid w:val="007D30A8"/>
    <w:rsid w:val="007D314F"/>
    <w:rsid w:val="007D3221"/>
    <w:rsid w:val="007D343F"/>
    <w:rsid w:val="007D3521"/>
    <w:rsid w:val="007D35FF"/>
    <w:rsid w:val="007D361F"/>
    <w:rsid w:val="007D3760"/>
    <w:rsid w:val="007D3833"/>
    <w:rsid w:val="007D39AE"/>
    <w:rsid w:val="007D39D5"/>
    <w:rsid w:val="007D3A19"/>
    <w:rsid w:val="007D3AE3"/>
    <w:rsid w:val="007D3DF2"/>
    <w:rsid w:val="007D3E14"/>
    <w:rsid w:val="007D43D2"/>
    <w:rsid w:val="007D43FA"/>
    <w:rsid w:val="007D4436"/>
    <w:rsid w:val="007D46AC"/>
    <w:rsid w:val="007D4818"/>
    <w:rsid w:val="007D4B09"/>
    <w:rsid w:val="007D4C6C"/>
    <w:rsid w:val="007D4D47"/>
    <w:rsid w:val="007D4DE6"/>
    <w:rsid w:val="007D4F29"/>
    <w:rsid w:val="007D5060"/>
    <w:rsid w:val="007D507B"/>
    <w:rsid w:val="007D50FC"/>
    <w:rsid w:val="007D53F8"/>
    <w:rsid w:val="007D551C"/>
    <w:rsid w:val="007D5536"/>
    <w:rsid w:val="007D5599"/>
    <w:rsid w:val="007D55DF"/>
    <w:rsid w:val="007D571E"/>
    <w:rsid w:val="007D5769"/>
    <w:rsid w:val="007D5814"/>
    <w:rsid w:val="007D58A4"/>
    <w:rsid w:val="007D5936"/>
    <w:rsid w:val="007D5A20"/>
    <w:rsid w:val="007D5A23"/>
    <w:rsid w:val="007D5CB1"/>
    <w:rsid w:val="007D5F27"/>
    <w:rsid w:val="007D5F42"/>
    <w:rsid w:val="007D6069"/>
    <w:rsid w:val="007D6140"/>
    <w:rsid w:val="007D6220"/>
    <w:rsid w:val="007D635C"/>
    <w:rsid w:val="007D635E"/>
    <w:rsid w:val="007D6471"/>
    <w:rsid w:val="007D6626"/>
    <w:rsid w:val="007D67A9"/>
    <w:rsid w:val="007D67EA"/>
    <w:rsid w:val="007D690F"/>
    <w:rsid w:val="007D6927"/>
    <w:rsid w:val="007D6992"/>
    <w:rsid w:val="007D6A03"/>
    <w:rsid w:val="007D6A05"/>
    <w:rsid w:val="007D6BCC"/>
    <w:rsid w:val="007D6C81"/>
    <w:rsid w:val="007D6CA6"/>
    <w:rsid w:val="007D6D32"/>
    <w:rsid w:val="007D6DB7"/>
    <w:rsid w:val="007D7115"/>
    <w:rsid w:val="007D71D5"/>
    <w:rsid w:val="007D72DC"/>
    <w:rsid w:val="007D77A3"/>
    <w:rsid w:val="007D7A1B"/>
    <w:rsid w:val="007D7A28"/>
    <w:rsid w:val="007D7C20"/>
    <w:rsid w:val="007D7D17"/>
    <w:rsid w:val="007D7D18"/>
    <w:rsid w:val="007D7D45"/>
    <w:rsid w:val="007D7ED0"/>
    <w:rsid w:val="007E0040"/>
    <w:rsid w:val="007E017D"/>
    <w:rsid w:val="007E02E3"/>
    <w:rsid w:val="007E0391"/>
    <w:rsid w:val="007E042E"/>
    <w:rsid w:val="007E04A5"/>
    <w:rsid w:val="007E04CC"/>
    <w:rsid w:val="007E05E6"/>
    <w:rsid w:val="007E06AF"/>
    <w:rsid w:val="007E07E3"/>
    <w:rsid w:val="007E0EB7"/>
    <w:rsid w:val="007E0F2A"/>
    <w:rsid w:val="007E118C"/>
    <w:rsid w:val="007E12CA"/>
    <w:rsid w:val="007E1311"/>
    <w:rsid w:val="007E145E"/>
    <w:rsid w:val="007E1521"/>
    <w:rsid w:val="007E1551"/>
    <w:rsid w:val="007E172E"/>
    <w:rsid w:val="007E1932"/>
    <w:rsid w:val="007E19A3"/>
    <w:rsid w:val="007E19B6"/>
    <w:rsid w:val="007E1A99"/>
    <w:rsid w:val="007E1B41"/>
    <w:rsid w:val="007E20E5"/>
    <w:rsid w:val="007E2107"/>
    <w:rsid w:val="007E218A"/>
    <w:rsid w:val="007E230D"/>
    <w:rsid w:val="007E2316"/>
    <w:rsid w:val="007E234C"/>
    <w:rsid w:val="007E2445"/>
    <w:rsid w:val="007E2454"/>
    <w:rsid w:val="007E2463"/>
    <w:rsid w:val="007E2743"/>
    <w:rsid w:val="007E278B"/>
    <w:rsid w:val="007E29DE"/>
    <w:rsid w:val="007E2A77"/>
    <w:rsid w:val="007E2F7F"/>
    <w:rsid w:val="007E3059"/>
    <w:rsid w:val="007E31E1"/>
    <w:rsid w:val="007E32A6"/>
    <w:rsid w:val="007E351A"/>
    <w:rsid w:val="007E3549"/>
    <w:rsid w:val="007E3571"/>
    <w:rsid w:val="007E3608"/>
    <w:rsid w:val="007E39EA"/>
    <w:rsid w:val="007E3AC4"/>
    <w:rsid w:val="007E3B85"/>
    <w:rsid w:val="007E3C3F"/>
    <w:rsid w:val="007E3D09"/>
    <w:rsid w:val="007E3D58"/>
    <w:rsid w:val="007E3EA0"/>
    <w:rsid w:val="007E3F3D"/>
    <w:rsid w:val="007E3FF4"/>
    <w:rsid w:val="007E405F"/>
    <w:rsid w:val="007E40D8"/>
    <w:rsid w:val="007E4119"/>
    <w:rsid w:val="007E4243"/>
    <w:rsid w:val="007E4587"/>
    <w:rsid w:val="007E4648"/>
    <w:rsid w:val="007E4990"/>
    <w:rsid w:val="007E4A0C"/>
    <w:rsid w:val="007E4A75"/>
    <w:rsid w:val="007E4C79"/>
    <w:rsid w:val="007E4DAB"/>
    <w:rsid w:val="007E4E21"/>
    <w:rsid w:val="007E4E53"/>
    <w:rsid w:val="007E4F65"/>
    <w:rsid w:val="007E507E"/>
    <w:rsid w:val="007E51B4"/>
    <w:rsid w:val="007E51E1"/>
    <w:rsid w:val="007E5265"/>
    <w:rsid w:val="007E53A3"/>
    <w:rsid w:val="007E5405"/>
    <w:rsid w:val="007E5567"/>
    <w:rsid w:val="007E5987"/>
    <w:rsid w:val="007E59FB"/>
    <w:rsid w:val="007E5B96"/>
    <w:rsid w:val="007E5C5B"/>
    <w:rsid w:val="007E5D7F"/>
    <w:rsid w:val="007E600A"/>
    <w:rsid w:val="007E607D"/>
    <w:rsid w:val="007E608B"/>
    <w:rsid w:val="007E61D8"/>
    <w:rsid w:val="007E6273"/>
    <w:rsid w:val="007E635D"/>
    <w:rsid w:val="007E64EA"/>
    <w:rsid w:val="007E6600"/>
    <w:rsid w:val="007E66B1"/>
    <w:rsid w:val="007E69AF"/>
    <w:rsid w:val="007E6A09"/>
    <w:rsid w:val="007E6B6C"/>
    <w:rsid w:val="007E6F34"/>
    <w:rsid w:val="007E737A"/>
    <w:rsid w:val="007E73F0"/>
    <w:rsid w:val="007E73FA"/>
    <w:rsid w:val="007E742E"/>
    <w:rsid w:val="007E7519"/>
    <w:rsid w:val="007E75AC"/>
    <w:rsid w:val="007E75FF"/>
    <w:rsid w:val="007E768E"/>
    <w:rsid w:val="007E7841"/>
    <w:rsid w:val="007E7930"/>
    <w:rsid w:val="007E7966"/>
    <w:rsid w:val="007E7ACE"/>
    <w:rsid w:val="007E7AFA"/>
    <w:rsid w:val="007E7C83"/>
    <w:rsid w:val="007E7C9C"/>
    <w:rsid w:val="007E7DCB"/>
    <w:rsid w:val="007E7ECE"/>
    <w:rsid w:val="007F016E"/>
    <w:rsid w:val="007F026C"/>
    <w:rsid w:val="007F054E"/>
    <w:rsid w:val="007F0557"/>
    <w:rsid w:val="007F05A1"/>
    <w:rsid w:val="007F05AC"/>
    <w:rsid w:val="007F05DB"/>
    <w:rsid w:val="007F0886"/>
    <w:rsid w:val="007F096A"/>
    <w:rsid w:val="007F09B0"/>
    <w:rsid w:val="007F0A60"/>
    <w:rsid w:val="007F0A87"/>
    <w:rsid w:val="007F0B49"/>
    <w:rsid w:val="007F0C16"/>
    <w:rsid w:val="007F0C59"/>
    <w:rsid w:val="007F0CD2"/>
    <w:rsid w:val="007F0F58"/>
    <w:rsid w:val="007F1051"/>
    <w:rsid w:val="007F11D2"/>
    <w:rsid w:val="007F123C"/>
    <w:rsid w:val="007F140E"/>
    <w:rsid w:val="007F14BB"/>
    <w:rsid w:val="007F1533"/>
    <w:rsid w:val="007F1712"/>
    <w:rsid w:val="007F1748"/>
    <w:rsid w:val="007F17DF"/>
    <w:rsid w:val="007F17EC"/>
    <w:rsid w:val="007F180E"/>
    <w:rsid w:val="007F1865"/>
    <w:rsid w:val="007F1989"/>
    <w:rsid w:val="007F19FD"/>
    <w:rsid w:val="007F1A52"/>
    <w:rsid w:val="007F1A80"/>
    <w:rsid w:val="007F1B0F"/>
    <w:rsid w:val="007F1BE4"/>
    <w:rsid w:val="007F1CF6"/>
    <w:rsid w:val="007F22AB"/>
    <w:rsid w:val="007F2458"/>
    <w:rsid w:val="007F25B2"/>
    <w:rsid w:val="007F25D3"/>
    <w:rsid w:val="007F2660"/>
    <w:rsid w:val="007F279A"/>
    <w:rsid w:val="007F2968"/>
    <w:rsid w:val="007F2C4A"/>
    <w:rsid w:val="007F2C8B"/>
    <w:rsid w:val="007F2D8D"/>
    <w:rsid w:val="007F2DC8"/>
    <w:rsid w:val="007F2E98"/>
    <w:rsid w:val="007F30D2"/>
    <w:rsid w:val="007F30EC"/>
    <w:rsid w:val="007F32E0"/>
    <w:rsid w:val="007F330C"/>
    <w:rsid w:val="007F33E3"/>
    <w:rsid w:val="007F3868"/>
    <w:rsid w:val="007F386B"/>
    <w:rsid w:val="007F390F"/>
    <w:rsid w:val="007F3A61"/>
    <w:rsid w:val="007F3A66"/>
    <w:rsid w:val="007F3AF1"/>
    <w:rsid w:val="007F3C83"/>
    <w:rsid w:val="007F3D53"/>
    <w:rsid w:val="007F3D69"/>
    <w:rsid w:val="007F413B"/>
    <w:rsid w:val="007F4173"/>
    <w:rsid w:val="007F42AB"/>
    <w:rsid w:val="007F42F1"/>
    <w:rsid w:val="007F4312"/>
    <w:rsid w:val="007F443A"/>
    <w:rsid w:val="007F45C8"/>
    <w:rsid w:val="007F4955"/>
    <w:rsid w:val="007F4A6C"/>
    <w:rsid w:val="007F4B0F"/>
    <w:rsid w:val="007F4DE4"/>
    <w:rsid w:val="007F4DF5"/>
    <w:rsid w:val="007F4E33"/>
    <w:rsid w:val="007F4E5A"/>
    <w:rsid w:val="007F5166"/>
    <w:rsid w:val="007F5281"/>
    <w:rsid w:val="007F5348"/>
    <w:rsid w:val="007F5354"/>
    <w:rsid w:val="007F5360"/>
    <w:rsid w:val="007F5566"/>
    <w:rsid w:val="007F55F7"/>
    <w:rsid w:val="007F56C7"/>
    <w:rsid w:val="007F5799"/>
    <w:rsid w:val="007F5803"/>
    <w:rsid w:val="007F581D"/>
    <w:rsid w:val="007F5C79"/>
    <w:rsid w:val="007F5D14"/>
    <w:rsid w:val="007F5D5C"/>
    <w:rsid w:val="007F5D7A"/>
    <w:rsid w:val="007F5E26"/>
    <w:rsid w:val="007F6030"/>
    <w:rsid w:val="007F62F5"/>
    <w:rsid w:val="007F6411"/>
    <w:rsid w:val="007F667E"/>
    <w:rsid w:val="007F6833"/>
    <w:rsid w:val="007F6896"/>
    <w:rsid w:val="007F69AA"/>
    <w:rsid w:val="007F69F5"/>
    <w:rsid w:val="007F6AA9"/>
    <w:rsid w:val="007F6AAD"/>
    <w:rsid w:val="007F6C67"/>
    <w:rsid w:val="007F6CD9"/>
    <w:rsid w:val="007F6D62"/>
    <w:rsid w:val="007F6E9D"/>
    <w:rsid w:val="007F6ED9"/>
    <w:rsid w:val="007F6F5C"/>
    <w:rsid w:val="007F709A"/>
    <w:rsid w:val="007F71E5"/>
    <w:rsid w:val="007F72B5"/>
    <w:rsid w:val="007F737C"/>
    <w:rsid w:val="007F737E"/>
    <w:rsid w:val="007F73FF"/>
    <w:rsid w:val="007F7442"/>
    <w:rsid w:val="007F74DB"/>
    <w:rsid w:val="007F763F"/>
    <w:rsid w:val="007F7687"/>
    <w:rsid w:val="007F77CD"/>
    <w:rsid w:val="007F77D6"/>
    <w:rsid w:val="007F7989"/>
    <w:rsid w:val="007F79F6"/>
    <w:rsid w:val="007F7ACF"/>
    <w:rsid w:val="007F7C26"/>
    <w:rsid w:val="007F7CB1"/>
    <w:rsid w:val="007F7D1E"/>
    <w:rsid w:val="007F7E66"/>
    <w:rsid w:val="008001C5"/>
    <w:rsid w:val="0080020C"/>
    <w:rsid w:val="0080041A"/>
    <w:rsid w:val="00800432"/>
    <w:rsid w:val="00800579"/>
    <w:rsid w:val="00800994"/>
    <w:rsid w:val="00800AFD"/>
    <w:rsid w:val="00800C2C"/>
    <w:rsid w:val="00800C7D"/>
    <w:rsid w:val="0080108C"/>
    <w:rsid w:val="0080110B"/>
    <w:rsid w:val="008013E7"/>
    <w:rsid w:val="00801476"/>
    <w:rsid w:val="00801547"/>
    <w:rsid w:val="00801731"/>
    <w:rsid w:val="00801BE4"/>
    <w:rsid w:val="00801C26"/>
    <w:rsid w:val="00801E99"/>
    <w:rsid w:val="00801EAD"/>
    <w:rsid w:val="00802088"/>
    <w:rsid w:val="0080221B"/>
    <w:rsid w:val="008022A0"/>
    <w:rsid w:val="008022B0"/>
    <w:rsid w:val="008022B4"/>
    <w:rsid w:val="0080240F"/>
    <w:rsid w:val="008025AC"/>
    <w:rsid w:val="0080278F"/>
    <w:rsid w:val="0080280C"/>
    <w:rsid w:val="00802896"/>
    <w:rsid w:val="00802BC7"/>
    <w:rsid w:val="00802C47"/>
    <w:rsid w:val="0080312C"/>
    <w:rsid w:val="008033F3"/>
    <w:rsid w:val="00803488"/>
    <w:rsid w:val="008034CB"/>
    <w:rsid w:val="0080375A"/>
    <w:rsid w:val="00803B9C"/>
    <w:rsid w:val="00803CC6"/>
    <w:rsid w:val="008040DC"/>
    <w:rsid w:val="0080437B"/>
    <w:rsid w:val="008044C5"/>
    <w:rsid w:val="008044D4"/>
    <w:rsid w:val="0080453B"/>
    <w:rsid w:val="008048EC"/>
    <w:rsid w:val="00804938"/>
    <w:rsid w:val="00804B96"/>
    <w:rsid w:val="00804D0B"/>
    <w:rsid w:val="00804E92"/>
    <w:rsid w:val="00805000"/>
    <w:rsid w:val="00805085"/>
    <w:rsid w:val="008050EE"/>
    <w:rsid w:val="0080519B"/>
    <w:rsid w:val="00805349"/>
    <w:rsid w:val="0080535C"/>
    <w:rsid w:val="00805472"/>
    <w:rsid w:val="008054C0"/>
    <w:rsid w:val="008054E0"/>
    <w:rsid w:val="0080553E"/>
    <w:rsid w:val="00805979"/>
    <w:rsid w:val="00805B06"/>
    <w:rsid w:val="00805F04"/>
    <w:rsid w:val="0080608D"/>
    <w:rsid w:val="008060C7"/>
    <w:rsid w:val="0080612A"/>
    <w:rsid w:val="00806229"/>
    <w:rsid w:val="008062E0"/>
    <w:rsid w:val="00806419"/>
    <w:rsid w:val="00806432"/>
    <w:rsid w:val="008064A9"/>
    <w:rsid w:val="008064B2"/>
    <w:rsid w:val="00806690"/>
    <w:rsid w:val="008066DC"/>
    <w:rsid w:val="00806791"/>
    <w:rsid w:val="008067D9"/>
    <w:rsid w:val="00806963"/>
    <w:rsid w:val="00806B21"/>
    <w:rsid w:val="00806F13"/>
    <w:rsid w:val="00806F20"/>
    <w:rsid w:val="008071B5"/>
    <w:rsid w:val="0080729C"/>
    <w:rsid w:val="008072BE"/>
    <w:rsid w:val="00807464"/>
    <w:rsid w:val="008074C0"/>
    <w:rsid w:val="0080751E"/>
    <w:rsid w:val="0080753B"/>
    <w:rsid w:val="008077C1"/>
    <w:rsid w:val="008078BC"/>
    <w:rsid w:val="00807A27"/>
    <w:rsid w:val="00807C36"/>
    <w:rsid w:val="00807C8D"/>
    <w:rsid w:val="00807EAD"/>
    <w:rsid w:val="00807EBB"/>
    <w:rsid w:val="008100BA"/>
    <w:rsid w:val="00810166"/>
    <w:rsid w:val="00810381"/>
    <w:rsid w:val="0081047C"/>
    <w:rsid w:val="00810572"/>
    <w:rsid w:val="00810891"/>
    <w:rsid w:val="008108BB"/>
    <w:rsid w:val="00810A0C"/>
    <w:rsid w:val="00810BB7"/>
    <w:rsid w:val="00810C03"/>
    <w:rsid w:val="0081124D"/>
    <w:rsid w:val="00811570"/>
    <w:rsid w:val="00811707"/>
    <w:rsid w:val="0081174C"/>
    <w:rsid w:val="00811778"/>
    <w:rsid w:val="00811BCC"/>
    <w:rsid w:val="00811C7C"/>
    <w:rsid w:val="00811D00"/>
    <w:rsid w:val="00811E1B"/>
    <w:rsid w:val="00811EA2"/>
    <w:rsid w:val="00811EBA"/>
    <w:rsid w:val="00811F7C"/>
    <w:rsid w:val="008121FC"/>
    <w:rsid w:val="00812478"/>
    <w:rsid w:val="0081247D"/>
    <w:rsid w:val="00812496"/>
    <w:rsid w:val="00812576"/>
    <w:rsid w:val="0081259B"/>
    <w:rsid w:val="00812691"/>
    <w:rsid w:val="00812875"/>
    <w:rsid w:val="0081299E"/>
    <w:rsid w:val="00812A59"/>
    <w:rsid w:val="00812AEB"/>
    <w:rsid w:val="00812B39"/>
    <w:rsid w:val="00812BA4"/>
    <w:rsid w:val="00812BB4"/>
    <w:rsid w:val="00812BD0"/>
    <w:rsid w:val="00812C25"/>
    <w:rsid w:val="00812D81"/>
    <w:rsid w:val="00812E33"/>
    <w:rsid w:val="008132F8"/>
    <w:rsid w:val="00813458"/>
    <w:rsid w:val="00813490"/>
    <w:rsid w:val="00813551"/>
    <w:rsid w:val="008135E4"/>
    <w:rsid w:val="00813968"/>
    <w:rsid w:val="00813A92"/>
    <w:rsid w:val="00813C1D"/>
    <w:rsid w:val="00813CC2"/>
    <w:rsid w:val="00813DCD"/>
    <w:rsid w:val="00813DD5"/>
    <w:rsid w:val="0081401F"/>
    <w:rsid w:val="008140A3"/>
    <w:rsid w:val="00814296"/>
    <w:rsid w:val="008142F5"/>
    <w:rsid w:val="00814336"/>
    <w:rsid w:val="00814363"/>
    <w:rsid w:val="008144F0"/>
    <w:rsid w:val="008147C6"/>
    <w:rsid w:val="008148E6"/>
    <w:rsid w:val="00814952"/>
    <w:rsid w:val="008149AB"/>
    <w:rsid w:val="008149BB"/>
    <w:rsid w:val="008149E2"/>
    <w:rsid w:val="00814ABE"/>
    <w:rsid w:val="00814E74"/>
    <w:rsid w:val="00814F2D"/>
    <w:rsid w:val="00815083"/>
    <w:rsid w:val="0081513A"/>
    <w:rsid w:val="0081533F"/>
    <w:rsid w:val="008153F5"/>
    <w:rsid w:val="0081554B"/>
    <w:rsid w:val="00815696"/>
    <w:rsid w:val="0081578B"/>
    <w:rsid w:val="00815BB8"/>
    <w:rsid w:val="00815C2E"/>
    <w:rsid w:val="00815D73"/>
    <w:rsid w:val="00815E32"/>
    <w:rsid w:val="00815F01"/>
    <w:rsid w:val="008160B9"/>
    <w:rsid w:val="00816300"/>
    <w:rsid w:val="00816343"/>
    <w:rsid w:val="0081641A"/>
    <w:rsid w:val="0081658E"/>
    <w:rsid w:val="0081669E"/>
    <w:rsid w:val="0081681A"/>
    <w:rsid w:val="00816968"/>
    <w:rsid w:val="00816A06"/>
    <w:rsid w:val="00816A84"/>
    <w:rsid w:val="00816BC4"/>
    <w:rsid w:val="00816C34"/>
    <w:rsid w:val="00816C85"/>
    <w:rsid w:val="00816DB7"/>
    <w:rsid w:val="0081704F"/>
    <w:rsid w:val="00817300"/>
    <w:rsid w:val="00817427"/>
    <w:rsid w:val="008174D7"/>
    <w:rsid w:val="0081755E"/>
    <w:rsid w:val="008176F3"/>
    <w:rsid w:val="00817713"/>
    <w:rsid w:val="0081784A"/>
    <w:rsid w:val="00817943"/>
    <w:rsid w:val="00817D61"/>
    <w:rsid w:val="00817F7E"/>
    <w:rsid w:val="00820185"/>
    <w:rsid w:val="00820258"/>
    <w:rsid w:val="008204F4"/>
    <w:rsid w:val="00820584"/>
    <w:rsid w:val="00820608"/>
    <w:rsid w:val="00820794"/>
    <w:rsid w:val="008207AA"/>
    <w:rsid w:val="00820A49"/>
    <w:rsid w:val="00820B29"/>
    <w:rsid w:val="00820B2D"/>
    <w:rsid w:val="00820F48"/>
    <w:rsid w:val="00820F51"/>
    <w:rsid w:val="00820FAE"/>
    <w:rsid w:val="0082104F"/>
    <w:rsid w:val="008210EA"/>
    <w:rsid w:val="0082116D"/>
    <w:rsid w:val="0082117C"/>
    <w:rsid w:val="00821350"/>
    <w:rsid w:val="0082138C"/>
    <w:rsid w:val="00821663"/>
    <w:rsid w:val="008216B6"/>
    <w:rsid w:val="00821841"/>
    <w:rsid w:val="008218E6"/>
    <w:rsid w:val="008219EF"/>
    <w:rsid w:val="00821D20"/>
    <w:rsid w:val="00821D68"/>
    <w:rsid w:val="00821EA3"/>
    <w:rsid w:val="00821F29"/>
    <w:rsid w:val="00821F37"/>
    <w:rsid w:val="00822051"/>
    <w:rsid w:val="00822073"/>
    <w:rsid w:val="00822105"/>
    <w:rsid w:val="008221E2"/>
    <w:rsid w:val="00822228"/>
    <w:rsid w:val="00822295"/>
    <w:rsid w:val="008222AA"/>
    <w:rsid w:val="008222BD"/>
    <w:rsid w:val="00822614"/>
    <w:rsid w:val="008226D1"/>
    <w:rsid w:val="00822756"/>
    <w:rsid w:val="008229A0"/>
    <w:rsid w:val="00822C69"/>
    <w:rsid w:val="00822CEA"/>
    <w:rsid w:val="00822D57"/>
    <w:rsid w:val="00822DCE"/>
    <w:rsid w:val="00822F09"/>
    <w:rsid w:val="00822F23"/>
    <w:rsid w:val="008230A7"/>
    <w:rsid w:val="00823288"/>
    <w:rsid w:val="00823320"/>
    <w:rsid w:val="008236E8"/>
    <w:rsid w:val="008238DA"/>
    <w:rsid w:val="00823AD3"/>
    <w:rsid w:val="00823B2F"/>
    <w:rsid w:val="00823B36"/>
    <w:rsid w:val="00823C08"/>
    <w:rsid w:val="00823DE4"/>
    <w:rsid w:val="00823E73"/>
    <w:rsid w:val="00824038"/>
    <w:rsid w:val="0082415B"/>
    <w:rsid w:val="00824351"/>
    <w:rsid w:val="008243D4"/>
    <w:rsid w:val="008243FF"/>
    <w:rsid w:val="0082456F"/>
    <w:rsid w:val="00824678"/>
    <w:rsid w:val="0082467F"/>
    <w:rsid w:val="0082476A"/>
    <w:rsid w:val="008247AE"/>
    <w:rsid w:val="00824BA3"/>
    <w:rsid w:val="00824BE3"/>
    <w:rsid w:val="00824D6C"/>
    <w:rsid w:val="00824E56"/>
    <w:rsid w:val="00824F8B"/>
    <w:rsid w:val="00824FAA"/>
    <w:rsid w:val="008252E5"/>
    <w:rsid w:val="008253A1"/>
    <w:rsid w:val="008255C8"/>
    <w:rsid w:val="0082566E"/>
    <w:rsid w:val="00825812"/>
    <w:rsid w:val="00825815"/>
    <w:rsid w:val="0082583C"/>
    <w:rsid w:val="00825873"/>
    <w:rsid w:val="0082598A"/>
    <w:rsid w:val="00825B39"/>
    <w:rsid w:val="00825B85"/>
    <w:rsid w:val="00825D38"/>
    <w:rsid w:val="00825EA5"/>
    <w:rsid w:val="00826018"/>
    <w:rsid w:val="008260DC"/>
    <w:rsid w:val="00826741"/>
    <w:rsid w:val="0082676D"/>
    <w:rsid w:val="00826AA7"/>
    <w:rsid w:val="00826D03"/>
    <w:rsid w:val="00826F2A"/>
    <w:rsid w:val="00826F86"/>
    <w:rsid w:val="00826FC8"/>
    <w:rsid w:val="008273D7"/>
    <w:rsid w:val="0082755E"/>
    <w:rsid w:val="008276AF"/>
    <w:rsid w:val="00827994"/>
    <w:rsid w:val="008279B5"/>
    <w:rsid w:val="008279ED"/>
    <w:rsid w:val="00827B36"/>
    <w:rsid w:val="00827D33"/>
    <w:rsid w:val="00827D35"/>
    <w:rsid w:val="00830329"/>
    <w:rsid w:val="00830370"/>
    <w:rsid w:val="008303FE"/>
    <w:rsid w:val="00830402"/>
    <w:rsid w:val="00830561"/>
    <w:rsid w:val="008305AE"/>
    <w:rsid w:val="00830690"/>
    <w:rsid w:val="00830A9F"/>
    <w:rsid w:val="00830C10"/>
    <w:rsid w:val="00830D1E"/>
    <w:rsid w:val="0083138D"/>
    <w:rsid w:val="008313A7"/>
    <w:rsid w:val="0083168B"/>
    <w:rsid w:val="008318C7"/>
    <w:rsid w:val="00831A7B"/>
    <w:rsid w:val="00831AC0"/>
    <w:rsid w:val="00831D8D"/>
    <w:rsid w:val="00831DD3"/>
    <w:rsid w:val="0083205F"/>
    <w:rsid w:val="00832194"/>
    <w:rsid w:val="00832295"/>
    <w:rsid w:val="008322E9"/>
    <w:rsid w:val="0083235B"/>
    <w:rsid w:val="0083236E"/>
    <w:rsid w:val="00832453"/>
    <w:rsid w:val="00832558"/>
    <w:rsid w:val="0083266E"/>
    <w:rsid w:val="0083272B"/>
    <w:rsid w:val="00832842"/>
    <w:rsid w:val="0083290A"/>
    <w:rsid w:val="00832975"/>
    <w:rsid w:val="00832EBD"/>
    <w:rsid w:val="00832F01"/>
    <w:rsid w:val="00832F83"/>
    <w:rsid w:val="0083308D"/>
    <w:rsid w:val="0083316A"/>
    <w:rsid w:val="00833280"/>
    <w:rsid w:val="0083342C"/>
    <w:rsid w:val="00833587"/>
    <w:rsid w:val="00833660"/>
    <w:rsid w:val="00833665"/>
    <w:rsid w:val="008336AF"/>
    <w:rsid w:val="00833807"/>
    <w:rsid w:val="0083382B"/>
    <w:rsid w:val="00833847"/>
    <w:rsid w:val="0083397D"/>
    <w:rsid w:val="00833B66"/>
    <w:rsid w:val="0083402B"/>
    <w:rsid w:val="00834060"/>
    <w:rsid w:val="00834312"/>
    <w:rsid w:val="00834321"/>
    <w:rsid w:val="0083444F"/>
    <w:rsid w:val="008346E0"/>
    <w:rsid w:val="00834713"/>
    <w:rsid w:val="00834925"/>
    <w:rsid w:val="008349E2"/>
    <w:rsid w:val="00834C4D"/>
    <w:rsid w:val="00834D15"/>
    <w:rsid w:val="00834DEC"/>
    <w:rsid w:val="00834E97"/>
    <w:rsid w:val="00834F4A"/>
    <w:rsid w:val="0083547A"/>
    <w:rsid w:val="0083556E"/>
    <w:rsid w:val="00835586"/>
    <w:rsid w:val="008356CC"/>
    <w:rsid w:val="00835811"/>
    <w:rsid w:val="00835854"/>
    <w:rsid w:val="00835BD6"/>
    <w:rsid w:val="00835E5C"/>
    <w:rsid w:val="00835EF8"/>
    <w:rsid w:val="00836073"/>
    <w:rsid w:val="0083608D"/>
    <w:rsid w:val="00836281"/>
    <w:rsid w:val="00836344"/>
    <w:rsid w:val="00836390"/>
    <w:rsid w:val="008363D8"/>
    <w:rsid w:val="0083648F"/>
    <w:rsid w:val="008364F8"/>
    <w:rsid w:val="00836510"/>
    <w:rsid w:val="0083652A"/>
    <w:rsid w:val="00836DC3"/>
    <w:rsid w:val="00836E6C"/>
    <w:rsid w:val="00837066"/>
    <w:rsid w:val="008370DE"/>
    <w:rsid w:val="00837143"/>
    <w:rsid w:val="008372CB"/>
    <w:rsid w:val="00837392"/>
    <w:rsid w:val="008373E7"/>
    <w:rsid w:val="0083745A"/>
    <w:rsid w:val="0083756B"/>
    <w:rsid w:val="0083769C"/>
    <w:rsid w:val="008376C6"/>
    <w:rsid w:val="008377C4"/>
    <w:rsid w:val="00837805"/>
    <w:rsid w:val="0083786C"/>
    <w:rsid w:val="0083799C"/>
    <w:rsid w:val="00837BE9"/>
    <w:rsid w:val="00837EBC"/>
    <w:rsid w:val="00837F44"/>
    <w:rsid w:val="00837FB1"/>
    <w:rsid w:val="0084008C"/>
    <w:rsid w:val="0084033F"/>
    <w:rsid w:val="00840486"/>
    <w:rsid w:val="00840694"/>
    <w:rsid w:val="008407C2"/>
    <w:rsid w:val="008409B6"/>
    <w:rsid w:val="00840ECE"/>
    <w:rsid w:val="00840F2E"/>
    <w:rsid w:val="00841032"/>
    <w:rsid w:val="008410D7"/>
    <w:rsid w:val="00841208"/>
    <w:rsid w:val="0084120B"/>
    <w:rsid w:val="00841371"/>
    <w:rsid w:val="00841382"/>
    <w:rsid w:val="0084139F"/>
    <w:rsid w:val="00841542"/>
    <w:rsid w:val="008415C0"/>
    <w:rsid w:val="008418F6"/>
    <w:rsid w:val="00841930"/>
    <w:rsid w:val="0084197D"/>
    <w:rsid w:val="008419AA"/>
    <w:rsid w:val="00841CC8"/>
    <w:rsid w:val="008421EE"/>
    <w:rsid w:val="008421F7"/>
    <w:rsid w:val="0084228D"/>
    <w:rsid w:val="00842298"/>
    <w:rsid w:val="008422EE"/>
    <w:rsid w:val="00842334"/>
    <w:rsid w:val="008425FF"/>
    <w:rsid w:val="0084272E"/>
    <w:rsid w:val="00842794"/>
    <w:rsid w:val="00842801"/>
    <w:rsid w:val="00842921"/>
    <w:rsid w:val="00842936"/>
    <w:rsid w:val="00842BA6"/>
    <w:rsid w:val="00842C1E"/>
    <w:rsid w:val="00842C4F"/>
    <w:rsid w:val="00842C7C"/>
    <w:rsid w:val="00842EEC"/>
    <w:rsid w:val="008431DD"/>
    <w:rsid w:val="00843294"/>
    <w:rsid w:val="00843372"/>
    <w:rsid w:val="008433E7"/>
    <w:rsid w:val="0084359D"/>
    <w:rsid w:val="0084360E"/>
    <w:rsid w:val="0084365B"/>
    <w:rsid w:val="00843686"/>
    <w:rsid w:val="0084377F"/>
    <w:rsid w:val="00843801"/>
    <w:rsid w:val="008439C7"/>
    <w:rsid w:val="00843CB6"/>
    <w:rsid w:val="00843DDD"/>
    <w:rsid w:val="00843E3F"/>
    <w:rsid w:val="00843E9C"/>
    <w:rsid w:val="00843F24"/>
    <w:rsid w:val="00843F8F"/>
    <w:rsid w:val="008440E0"/>
    <w:rsid w:val="008441BD"/>
    <w:rsid w:val="00844354"/>
    <w:rsid w:val="008446AB"/>
    <w:rsid w:val="008446F2"/>
    <w:rsid w:val="00844B7F"/>
    <w:rsid w:val="00844BC8"/>
    <w:rsid w:val="00845025"/>
    <w:rsid w:val="00845067"/>
    <w:rsid w:val="008450C6"/>
    <w:rsid w:val="00845220"/>
    <w:rsid w:val="008452E5"/>
    <w:rsid w:val="00845365"/>
    <w:rsid w:val="0084555E"/>
    <w:rsid w:val="00845604"/>
    <w:rsid w:val="0084574C"/>
    <w:rsid w:val="00845770"/>
    <w:rsid w:val="008459A3"/>
    <w:rsid w:val="00845B12"/>
    <w:rsid w:val="00845B2D"/>
    <w:rsid w:val="00845D5C"/>
    <w:rsid w:val="00845D88"/>
    <w:rsid w:val="00845DBF"/>
    <w:rsid w:val="00845FE6"/>
    <w:rsid w:val="00846010"/>
    <w:rsid w:val="008461FA"/>
    <w:rsid w:val="00846359"/>
    <w:rsid w:val="0084642D"/>
    <w:rsid w:val="0084645B"/>
    <w:rsid w:val="00846484"/>
    <w:rsid w:val="0084650D"/>
    <w:rsid w:val="00846514"/>
    <w:rsid w:val="008467E6"/>
    <w:rsid w:val="0084681F"/>
    <w:rsid w:val="00846844"/>
    <w:rsid w:val="00846950"/>
    <w:rsid w:val="00846A15"/>
    <w:rsid w:val="00846A25"/>
    <w:rsid w:val="00846AD6"/>
    <w:rsid w:val="00846C5F"/>
    <w:rsid w:val="00846E02"/>
    <w:rsid w:val="00846FBA"/>
    <w:rsid w:val="00847019"/>
    <w:rsid w:val="0084729D"/>
    <w:rsid w:val="00847531"/>
    <w:rsid w:val="0084777B"/>
    <w:rsid w:val="00847798"/>
    <w:rsid w:val="00847C12"/>
    <w:rsid w:val="00847C3F"/>
    <w:rsid w:val="00847CFB"/>
    <w:rsid w:val="00847D47"/>
    <w:rsid w:val="0085006B"/>
    <w:rsid w:val="00850140"/>
    <w:rsid w:val="0085017A"/>
    <w:rsid w:val="008502FC"/>
    <w:rsid w:val="00850375"/>
    <w:rsid w:val="0085040B"/>
    <w:rsid w:val="00850412"/>
    <w:rsid w:val="0085042C"/>
    <w:rsid w:val="00850566"/>
    <w:rsid w:val="00850713"/>
    <w:rsid w:val="008507C3"/>
    <w:rsid w:val="0085088C"/>
    <w:rsid w:val="00850C7B"/>
    <w:rsid w:val="00850CFE"/>
    <w:rsid w:val="00850D66"/>
    <w:rsid w:val="00850DD2"/>
    <w:rsid w:val="00850E84"/>
    <w:rsid w:val="00851112"/>
    <w:rsid w:val="00851230"/>
    <w:rsid w:val="008514A3"/>
    <w:rsid w:val="0085165B"/>
    <w:rsid w:val="008516BE"/>
    <w:rsid w:val="00851790"/>
    <w:rsid w:val="00851875"/>
    <w:rsid w:val="00851A3A"/>
    <w:rsid w:val="00851AA9"/>
    <w:rsid w:val="00851B8D"/>
    <w:rsid w:val="00851BA9"/>
    <w:rsid w:val="00851C1A"/>
    <w:rsid w:val="00851D83"/>
    <w:rsid w:val="00851DC7"/>
    <w:rsid w:val="00851E41"/>
    <w:rsid w:val="0085230E"/>
    <w:rsid w:val="0085247E"/>
    <w:rsid w:val="008524DE"/>
    <w:rsid w:val="00852525"/>
    <w:rsid w:val="00852539"/>
    <w:rsid w:val="00852589"/>
    <w:rsid w:val="008525C1"/>
    <w:rsid w:val="0085280B"/>
    <w:rsid w:val="00852908"/>
    <w:rsid w:val="008529A7"/>
    <w:rsid w:val="00852AE1"/>
    <w:rsid w:val="00852D68"/>
    <w:rsid w:val="00852F50"/>
    <w:rsid w:val="00852FC7"/>
    <w:rsid w:val="00853045"/>
    <w:rsid w:val="008530CF"/>
    <w:rsid w:val="0085326B"/>
    <w:rsid w:val="008532D3"/>
    <w:rsid w:val="00853471"/>
    <w:rsid w:val="00853686"/>
    <w:rsid w:val="00853728"/>
    <w:rsid w:val="008538CD"/>
    <w:rsid w:val="00853F2D"/>
    <w:rsid w:val="008540C3"/>
    <w:rsid w:val="00854155"/>
    <w:rsid w:val="00854217"/>
    <w:rsid w:val="0085437C"/>
    <w:rsid w:val="00854728"/>
    <w:rsid w:val="0085481E"/>
    <w:rsid w:val="00854A6B"/>
    <w:rsid w:val="00854C47"/>
    <w:rsid w:val="00854C53"/>
    <w:rsid w:val="00854C98"/>
    <w:rsid w:val="00854D35"/>
    <w:rsid w:val="00854DA8"/>
    <w:rsid w:val="00854DC4"/>
    <w:rsid w:val="00854DC6"/>
    <w:rsid w:val="00854FBD"/>
    <w:rsid w:val="00855018"/>
    <w:rsid w:val="008551A7"/>
    <w:rsid w:val="0085524E"/>
    <w:rsid w:val="0085526D"/>
    <w:rsid w:val="00855454"/>
    <w:rsid w:val="008554AD"/>
    <w:rsid w:val="008554FB"/>
    <w:rsid w:val="00855680"/>
    <w:rsid w:val="008556FC"/>
    <w:rsid w:val="008558B4"/>
    <w:rsid w:val="008559A0"/>
    <w:rsid w:val="00855B27"/>
    <w:rsid w:val="00855EE2"/>
    <w:rsid w:val="00855FBF"/>
    <w:rsid w:val="00856056"/>
    <w:rsid w:val="00856070"/>
    <w:rsid w:val="008560A9"/>
    <w:rsid w:val="00856787"/>
    <w:rsid w:val="0085685C"/>
    <w:rsid w:val="00856881"/>
    <w:rsid w:val="0085696E"/>
    <w:rsid w:val="00856A19"/>
    <w:rsid w:val="00856B2E"/>
    <w:rsid w:val="00856BF6"/>
    <w:rsid w:val="00856C07"/>
    <w:rsid w:val="00856D32"/>
    <w:rsid w:val="00857027"/>
    <w:rsid w:val="00857087"/>
    <w:rsid w:val="00857093"/>
    <w:rsid w:val="008571B1"/>
    <w:rsid w:val="008575FE"/>
    <w:rsid w:val="008576CA"/>
    <w:rsid w:val="008577DE"/>
    <w:rsid w:val="00857C22"/>
    <w:rsid w:val="00857C3E"/>
    <w:rsid w:val="00857CD5"/>
    <w:rsid w:val="00857DDE"/>
    <w:rsid w:val="00857E09"/>
    <w:rsid w:val="00857EBA"/>
    <w:rsid w:val="00857F24"/>
    <w:rsid w:val="00860070"/>
    <w:rsid w:val="0086017C"/>
    <w:rsid w:val="008603EB"/>
    <w:rsid w:val="008605F9"/>
    <w:rsid w:val="008607E6"/>
    <w:rsid w:val="008608CF"/>
    <w:rsid w:val="0086091B"/>
    <w:rsid w:val="00860A66"/>
    <w:rsid w:val="00860AE9"/>
    <w:rsid w:val="00860BA8"/>
    <w:rsid w:val="00860C49"/>
    <w:rsid w:val="00860FB8"/>
    <w:rsid w:val="008610D2"/>
    <w:rsid w:val="008611DC"/>
    <w:rsid w:val="008613A1"/>
    <w:rsid w:val="00861564"/>
    <w:rsid w:val="008615BE"/>
    <w:rsid w:val="00861990"/>
    <w:rsid w:val="008619BB"/>
    <w:rsid w:val="00861A84"/>
    <w:rsid w:val="00861BD4"/>
    <w:rsid w:val="00861CF4"/>
    <w:rsid w:val="0086213C"/>
    <w:rsid w:val="00862224"/>
    <w:rsid w:val="00862313"/>
    <w:rsid w:val="008625E1"/>
    <w:rsid w:val="00862923"/>
    <w:rsid w:val="00862A0F"/>
    <w:rsid w:val="00862B80"/>
    <w:rsid w:val="00862C13"/>
    <w:rsid w:val="00862C92"/>
    <w:rsid w:val="00862D1C"/>
    <w:rsid w:val="00862D96"/>
    <w:rsid w:val="00862F3E"/>
    <w:rsid w:val="00862F98"/>
    <w:rsid w:val="00863123"/>
    <w:rsid w:val="0086313F"/>
    <w:rsid w:val="00863219"/>
    <w:rsid w:val="00863364"/>
    <w:rsid w:val="008634C9"/>
    <w:rsid w:val="008634CA"/>
    <w:rsid w:val="0086380A"/>
    <w:rsid w:val="00863A11"/>
    <w:rsid w:val="00863A48"/>
    <w:rsid w:val="00863E26"/>
    <w:rsid w:val="00863F1D"/>
    <w:rsid w:val="008640C2"/>
    <w:rsid w:val="00864351"/>
    <w:rsid w:val="008644D9"/>
    <w:rsid w:val="00864503"/>
    <w:rsid w:val="008645C0"/>
    <w:rsid w:val="0086460A"/>
    <w:rsid w:val="00864653"/>
    <w:rsid w:val="008647B7"/>
    <w:rsid w:val="00864942"/>
    <w:rsid w:val="00864A37"/>
    <w:rsid w:val="00864AC6"/>
    <w:rsid w:val="00864AE5"/>
    <w:rsid w:val="00864B26"/>
    <w:rsid w:val="00864BFC"/>
    <w:rsid w:val="00864C38"/>
    <w:rsid w:val="00864C5F"/>
    <w:rsid w:val="00864F4E"/>
    <w:rsid w:val="008650AA"/>
    <w:rsid w:val="00865235"/>
    <w:rsid w:val="008653D2"/>
    <w:rsid w:val="00865533"/>
    <w:rsid w:val="008655CB"/>
    <w:rsid w:val="008656F7"/>
    <w:rsid w:val="0086584B"/>
    <w:rsid w:val="00865970"/>
    <w:rsid w:val="00865A70"/>
    <w:rsid w:val="00865ECF"/>
    <w:rsid w:val="00866000"/>
    <w:rsid w:val="00866081"/>
    <w:rsid w:val="00866575"/>
    <w:rsid w:val="008665AB"/>
    <w:rsid w:val="00866706"/>
    <w:rsid w:val="00866769"/>
    <w:rsid w:val="008667AD"/>
    <w:rsid w:val="00866882"/>
    <w:rsid w:val="00866979"/>
    <w:rsid w:val="00866A9A"/>
    <w:rsid w:val="00866E58"/>
    <w:rsid w:val="00866EB2"/>
    <w:rsid w:val="00866F74"/>
    <w:rsid w:val="00867081"/>
    <w:rsid w:val="00867168"/>
    <w:rsid w:val="0086731D"/>
    <w:rsid w:val="008673C1"/>
    <w:rsid w:val="00867456"/>
    <w:rsid w:val="008675E5"/>
    <w:rsid w:val="008675F0"/>
    <w:rsid w:val="008676E3"/>
    <w:rsid w:val="00867757"/>
    <w:rsid w:val="00867989"/>
    <w:rsid w:val="00867A63"/>
    <w:rsid w:val="00867B31"/>
    <w:rsid w:val="00867BB9"/>
    <w:rsid w:val="00867C00"/>
    <w:rsid w:val="00867D36"/>
    <w:rsid w:val="00867E31"/>
    <w:rsid w:val="00867FEE"/>
    <w:rsid w:val="008700B1"/>
    <w:rsid w:val="00870251"/>
    <w:rsid w:val="008702F5"/>
    <w:rsid w:val="00870747"/>
    <w:rsid w:val="0087077B"/>
    <w:rsid w:val="0087081C"/>
    <w:rsid w:val="0087084A"/>
    <w:rsid w:val="0087087C"/>
    <w:rsid w:val="00870941"/>
    <w:rsid w:val="00870A23"/>
    <w:rsid w:val="00870ABD"/>
    <w:rsid w:val="00870AC4"/>
    <w:rsid w:val="00870AE1"/>
    <w:rsid w:val="00870BB9"/>
    <w:rsid w:val="00870C71"/>
    <w:rsid w:val="00870CF7"/>
    <w:rsid w:val="0087105B"/>
    <w:rsid w:val="0087110E"/>
    <w:rsid w:val="008711A0"/>
    <w:rsid w:val="008711D5"/>
    <w:rsid w:val="00871264"/>
    <w:rsid w:val="00871405"/>
    <w:rsid w:val="0087177E"/>
    <w:rsid w:val="008718FD"/>
    <w:rsid w:val="00871C96"/>
    <w:rsid w:val="00871D05"/>
    <w:rsid w:val="00871D48"/>
    <w:rsid w:val="00871D89"/>
    <w:rsid w:val="00871EF8"/>
    <w:rsid w:val="00871FD0"/>
    <w:rsid w:val="00871FE9"/>
    <w:rsid w:val="0087235D"/>
    <w:rsid w:val="0087246F"/>
    <w:rsid w:val="0087248D"/>
    <w:rsid w:val="00872651"/>
    <w:rsid w:val="008726C6"/>
    <w:rsid w:val="0087276B"/>
    <w:rsid w:val="00872816"/>
    <w:rsid w:val="00872D7F"/>
    <w:rsid w:val="00872DC6"/>
    <w:rsid w:val="00872F38"/>
    <w:rsid w:val="00872F8C"/>
    <w:rsid w:val="00873167"/>
    <w:rsid w:val="0087316B"/>
    <w:rsid w:val="00873295"/>
    <w:rsid w:val="00873340"/>
    <w:rsid w:val="008733CA"/>
    <w:rsid w:val="008733D7"/>
    <w:rsid w:val="008736BB"/>
    <w:rsid w:val="00873805"/>
    <w:rsid w:val="008739B2"/>
    <w:rsid w:val="008739EB"/>
    <w:rsid w:val="00873AB2"/>
    <w:rsid w:val="00873B0B"/>
    <w:rsid w:val="00873E9C"/>
    <w:rsid w:val="00873F75"/>
    <w:rsid w:val="00873FB2"/>
    <w:rsid w:val="00873FB9"/>
    <w:rsid w:val="00874054"/>
    <w:rsid w:val="00874278"/>
    <w:rsid w:val="0087471F"/>
    <w:rsid w:val="00874740"/>
    <w:rsid w:val="0087497E"/>
    <w:rsid w:val="00874BF7"/>
    <w:rsid w:val="00874CC2"/>
    <w:rsid w:val="008750AB"/>
    <w:rsid w:val="00875112"/>
    <w:rsid w:val="00875381"/>
    <w:rsid w:val="00875505"/>
    <w:rsid w:val="008756FA"/>
    <w:rsid w:val="00875749"/>
    <w:rsid w:val="0087589E"/>
    <w:rsid w:val="00875C07"/>
    <w:rsid w:val="00875EAE"/>
    <w:rsid w:val="0087635A"/>
    <w:rsid w:val="00876598"/>
    <w:rsid w:val="00876643"/>
    <w:rsid w:val="00876799"/>
    <w:rsid w:val="008767D1"/>
    <w:rsid w:val="0087683A"/>
    <w:rsid w:val="008769B8"/>
    <w:rsid w:val="00876A79"/>
    <w:rsid w:val="00876B89"/>
    <w:rsid w:val="00876C85"/>
    <w:rsid w:val="00876D87"/>
    <w:rsid w:val="00876DE3"/>
    <w:rsid w:val="00876E5A"/>
    <w:rsid w:val="0087707F"/>
    <w:rsid w:val="008773C8"/>
    <w:rsid w:val="00877760"/>
    <w:rsid w:val="00877A38"/>
    <w:rsid w:val="00877A62"/>
    <w:rsid w:val="00877B55"/>
    <w:rsid w:val="00877CD9"/>
    <w:rsid w:val="00877D92"/>
    <w:rsid w:val="00877EE9"/>
    <w:rsid w:val="008800EC"/>
    <w:rsid w:val="008801A4"/>
    <w:rsid w:val="00880221"/>
    <w:rsid w:val="0088035F"/>
    <w:rsid w:val="0088043B"/>
    <w:rsid w:val="0088046C"/>
    <w:rsid w:val="00880896"/>
    <w:rsid w:val="008808C2"/>
    <w:rsid w:val="00880936"/>
    <w:rsid w:val="008809D5"/>
    <w:rsid w:val="00880C2E"/>
    <w:rsid w:val="00880CC1"/>
    <w:rsid w:val="00880DB0"/>
    <w:rsid w:val="008811A3"/>
    <w:rsid w:val="00881248"/>
    <w:rsid w:val="0088137A"/>
    <w:rsid w:val="008815D0"/>
    <w:rsid w:val="008816CA"/>
    <w:rsid w:val="008816F0"/>
    <w:rsid w:val="008817D0"/>
    <w:rsid w:val="00881882"/>
    <w:rsid w:val="00881951"/>
    <w:rsid w:val="0088199B"/>
    <w:rsid w:val="008819BE"/>
    <w:rsid w:val="00881D07"/>
    <w:rsid w:val="00881DE1"/>
    <w:rsid w:val="00881E34"/>
    <w:rsid w:val="00882147"/>
    <w:rsid w:val="0088221B"/>
    <w:rsid w:val="0088225C"/>
    <w:rsid w:val="008823B6"/>
    <w:rsid w:val="00882545"/>
    <w:rsid w:val="008825A2"/>
    <w:rsid w:val="0088277E"/>
    <w:rsid w:val="00882A13"/>
    <w:rsid w:val="00882A73"/>
    <w:rsid w:val="00882C17"/>
    <w:rsid w:val="00882DF4"/>
    <w:rsid w:val="00882F68"/>
    <w:rsid w:val="008830EA"/>
    <w:rsid w:val="0088321E"/>
    <w:rsid w:val="0088335D"/>
    <w:rsid w:val="0088341F"/>
    <w:rsid w:val="008834B6"/>
    <w:rsid w:val="008835E8"/>
    <w:rsid w:val="0088363D"/>
    <w:rsid w:val="00883723"/>
    <w:rsid w:val="00883927"/>
    <w:rsid w:val="00883947"/>
    <w:rsid w:val="00883A02"/>
    <w:rsid w:val="00883A93"/>
    <w:rsid w:val="00883BA9"/>
    <w:rsid w:val="00883C56"/>
    <w:rsid w:val="00883C77"/>
    <w:rsid w:val="00883E39"/>
    <w:rsid w:val="008841D5"/>
    <w:rsid w:val="00884215"/>
    <w:rsid w:val="0088424B"/>
    <w:rsid w:val="008845CE"/>
    <w:rsid w:val="00884694"/>
    <w:rsid w:val="00884733"/>
    <w:rsid w:val="00884739"/>
    <w:rsid w:val="00884858"/>
    <w:rsid w:val="00884A2E"/>
    <w:rsid w:val="00884A32"/>
    <w:rsid w:val="00884A35"/>
    <w:rsid w:val="00884E3E"/>
    <w:rsid w:val="00884E9E"/>
    <w:rsid w:val="00884EDE"/>
    <w:rsid w:val="00885013"/>
    <w:rsid w:val="0088513A"/>
    <w:rsid w:val="008851D8"/>
    <w:rsid w:val="008851F0"/>
    <w:rsid w:val="0088522D"/>
    <w:rsid w:val="00885381"/>
    <w:rsid w:val="00885534"/>
    <w:rsid w:val="00885AD0"/>
    <w:rsid w:val="00885E28"/>
    <w:rsid w:val="00886287"/>
    <w:rsid w:val="008863C8"/>
    <w:rsid w:val="008864EE"/>
    <w:rsid w:val="008865AC"/>
    <w:rsid w:val="008866CE"/>
    <w:rsid w:val="0088685F"/>
    <w:rsid w:val="00886938"/>
    <w:rsid w:val="00886CBE"/>
    <w:rsid w:val="00886D19"/>
    <w:rsid w:val="00886D95"/>
    <w:rsid w:val="00886E19"/>
    <w:rsid w:val="008870A6"/>
    <w:rsid w:val="008872B4"/>
    <w:rsid w:val="008873BE"/>
    <w:rsid w:val="00887470"/>
    <w:rsid w:val="00887598"/>
    <w:rsid w:val="008875B7"/>
    <w:rsid w:val="008877F0"/>
    <w:rsid w:val="0088786A"/>
    <w:rsid w:val="00887AAD"/>
    <w:rsid w:val="00887BDA"/>
    <w:rsid w:val="00887DFD"/>
    <w:rsid w:val="00887EB5"/>
    <w:rsid w:val="00890043"/>
    <w:rsid w:val="008900E8"/>
    <w:rsid w:val="0089010B"/>
    <w:rsid w:val="00890345"/>
    <w:rsid w:val="0089038D"/>
    <w:rsid w:val="0089054D"/>
    <w:rsid w:val="00890700"/>
    <w:rsid w:val="008908F4"/>
    <w:rsid w:val="0089090D"/>
    <w:rsid w:val="00890A16"/>
    <w:rsid w:val="00890CAD"/>
    <w:rsid w:val="00890D76"/>
    <w:rsid w:val="00890EDF"/>
    <w:rsid w:val="00890F26"/>
    <w:rsid w:val="00891133"/>
    <w:rsid w:val="00891204"/>
    <w:rsid w:val="008912BA"/>
    <w:rsid w:val="0089138F"/>
    <w:rsid w:val="008915F3"/>
    <w:rsid w:val="00891744"/>
    <w:rsid w:val="00891B4E"/>
    <w:rsid w:val="00891CEE"/>
    <w:rsid w:val="00891F80"/>
    <w:rsid w:val="00892054"/>
    <w:rsid w:val="00892119"/>
    <w:rsid w:val="0089215F"/>
    <w:rsid w:val="00892267"/>
    <w:rsid w:val="008922E6"/>
    <w:rsid w:val="008923BD"/>
    <w:rsid w:val="00892430"/>
    <w:rsid w:val="0089265B"/>
    <w:rsid w:val="0089282A"/>
    <w:rsid w:val="008928EA"/>
    <w:rsid w:val="00892C02"/>
    <w:rsid w:val="00892C3E"/>
    <w:rsid w:val="00892CC6"/>
    <w:rsid w:val="00892EB9"/>
    <w:rsid w:val="00892F52"/>
    <w:rsid w:val="00892FF8"/>
    <w:rsid w:val="008932A3"/>
    <w:rsid w:val="008934CB"/>
    <w:rsid w:val="008936AB"/>
    <w:rsid w:val="008937A1"/>
    <w:rsid w:val="008937FC"/>
    <w:rsid w:val="0089387B"/>
    <w:rsid w:val="008938C5"/>
    <w:rsid w:val="008939AE"/>
    <w:rsid w:val="008939FC"/>
    <w:rsid w:val="00893D00"/>
    <w:rsid w:val="00893D21"/>
    <w:rsid w:val="00893E81"/>
    <w:rsid w:val="00894027"/>
    <w:rsid w:val="0089431E"/>
    <w:rsid w:val="008947CA"/>
    <w:rsid w:val="00894897"/>
    <w:rsid w:val="0089497D"/>
    <w:rsid w:val="00894A96"/>
    <w:rsid w:val="00894B08"/>
    <w:rsid w:val="00894D0D"/>
    <w:rsid w:val="00894D80"/>
    <w:rsid w:val="00894DDF"/>
    <w:rsid w:val="00894E41"/>
    <w:rsid w:val="00894F7C"/>
    <w:rsid w:val="008952E3"/>
    <w:rsid w:val="0089538A"/>
    <w:rsid w:val="0089540E"/>
    <w:rsid w:val="00895516"/>
    <w:rsid w:val="008955EA"/>
    <w:rsid w:val="008955F6"/>
    <w:rsid w:val="0089560E"/>
    <w:rsid w:val="00895719"/>
    <w:rsid w:val="0089579A"/>
    <w:rsid w:val="00895A5B"/>
    <w:rsid w:val="00895ADC"/>
    <w:rsid w:val="00895AF0"/>
    <w:rsid w:val="00895B88"/>
    <w:rsid w:val="00895B8D"/>
    <w:rsid w:val="00895C07"/>
    <w:rsid w:val="00895C7E"/>
    <w:rsid w:val="00895D03"/>
    <w:rsid w:val="00895DD8"/>
    <w:rsid w:val="00895F5A"/>
    <w:rsid w:val="00895F92"/>
    <w:rsid w:val="0089645D"/>
    <w:rsid w:val="0089653E"/>
    <w:rsid w:val="0089673E"/>
    <w:rsid w:val="008969D0"/>
    <w:rsid w:val="00896C89"/>
    <w:rsid w:val="00896F56"/>
    <w:rsid w:val="0089708E"/>
    <w:rsid w:val="008971CA"/>
    <w:rsid w:val="00897631"/>
    <w:rsid w:val="00897641"/>
    <w:rsid w:val="0089778C"/>
    <w:rsid w:val="0089789F"/>
    <w:rsid w:val="0089791A"/>
    <w:rsid w:val="00897946"/>
    <w:rsid w:val="00897A85"/>
    <w:rsid w:val="00897AA2"/>
    <w:rsid w:val="00897DF8"/>
    <w:rsid w:val="00897E3B"/>
    <w:rsid w:val="008A0057"/>
    <w:rsid w:val="008A00D7"/>
    <w:rsid w:val="008A00F8"/>
    <w:rsid w:val="008A01B6"/>
    <w:rsid w:val="008A023D"/>
    <w:rsid w:val="008A04BC"/>
    <w:rsid w:val="008A0550"/>
    <w:rsid w:val="008A05CE"/>
    <w:rsid w:val="008A0691"/>
    <w:rsid w:val="008A07C1"/>
    <w:rsid w:val="008A08F0"/>
    <w:rsid w:val="008A0901"/>
    <w:rsid w:val="008A0937"/>
    <w:rsid w:val="008A09F2"/>
    <w:rsid w:val="008A0DEC"/>
    <w:rsid w:val="008A0E1E"/>
    <w:rsid w:val="008A0EA4"/>
    <w:rsid w:val="008A1710"/>
    <w:rsid w:val="008A1719"/>
    <w:rsid w:val="008A1879"/>
    <w:rsid w:val="008A18A5"/>
    <w:rsid w:val="008A1AC8"/>
    <w:rsid w:val="008A1BA8"/>
    <w:rsid w:val="008A1C91"/>
    <w:rsid w:val="008A1CDB"/>
    <w:rsid w:val="008A1CF5"/>
    <w:rsid w:val="008A1EFA"/>
    <w:rsid w:val="008A1F94"/>
    <w:rsid w:val="008A1FB6"/>
    <w:rsid w:val="008A21EF"/>
    <w:rsid w:val="008A2279"/>
    <w:rsid w:val="008A230D"/>
    <w:rsid w:val="008A23E8"/>
    <w:rsid w:val="008A2649"/>
    <w:rsid w:val="008A2735"/>
    <w:rsid w:val="008A27F8"/>
    <w:rsid w:val="008A2893"/>
    <w:rsid w:val="008A28B8"/>
    <w:rsid w:val="008A2BEE"/>
    <w:rsid w:val="008A2D5F"/>
    <w:rsid w:val="008A2D68"/>
    <w:rsid w:val="008A3214"/>
    <w:rsid w:val="008A329E"/>
    <w:rsid w:val="008A3435"/>
    <w:rsid w:val="008A363C"/>
    <w:rsid w:val="008A3755"/>
    <w:rsid w:val="008A389E"/>
    <w:rsid w:val="008A3948"/>
    <w:rsid w:val="008A3982"/>
    <w:rsid w:val="008A39B7"/>
    <w:rsid w:val="008A39FC"/>
    <w:rsid w:val="008A3A57"/>
    <w:rsid w:val="008A3B4B"/>
    <w:rsid w:val="008A3C37"/>
    <w:rsid w:val="008A3D29"/>
    <w:rsid w:val="008A3DCE"/>
    <w:rsid w:val="008A3E37"/>
    <w:rsid w:val="008A4040"/>
    <w:rsid w:val="008A40E7"/>
    <w:rsid w:val="008A42B9"/>
    <w:rsid w:val="008A42D1"/>
    <w:rsid w:val="008A4412"/>
    <w:rsid w:val="008A44C8"/>
    <w:rsid w:val="008A4AD5"/>
    <w:rsid w:val="008A4BA6"/>
    <w:rsid w:val="008A4CB7"/>
    <w:rsid w:val="008A4DB6"/>
    <w:rsid w:val="008A4DF4"/>
    <w:rsid w:val="008A4E73"/>
    <w:rsid w:val="008A4E7E"/>
    <w:rsid w:val="008A515E"/>
    <w:rsid w:val="008A55A8"/>
    <w:rsid w:val="008A566C"/>
    <w:rsid w:val="008A5A63"/>
    <w:rsid w:val="008A5ABF"/>
    <w:rsid w:val="008A5C54"/>
    <w:rsid w:val="008A5C95"/>
    <w:rsid w:val="008A5D84"/>
    <w:rsid w:val="008A5EC4"/>
    <w:rsid w:val="008A60B4"/>
    <w:rsid w:val="008A61BC"/>
    <w:rsid w:val="008A61C3"/>
    <w:rsid w:val="008A6245"/>
    <w:rsid w:val="008A62FF"/>
    <w:rsid w:val="008A631B"/>
    <w:rsid w:val="008A63EE"/>
    <w:rsid w:val="008A6477"/>
    <w:rsid w:val="008A6490"/>
    <w:rsid w:val="008A671A"/>
    <w:rsid w:val="008A6777"/>
    <w:rsid w:val="008A6974"/>
    <w:rsid w:val="008A69E6"/>
    <w:rsid w:val="008A6CA2"/>
    <w:rsid w:val="008A6FF4"/>
    <w:rsid w:val="008A708C"/>
    <w:rsid w:val="008A71E7"/>
    <w:rsid w:val="008A72B9"/>
    <w:rsid w:val="008A738E"/>
    <w:rsid w:val="008A7396"/>
    <w:rsid w:val="008A73A1"/>
    <w:rsid w:val="008A7626"/>
    <w:rsid w:val="008A764B"/>
    <w:rsid w:val="008A7697"/>
    <w:rsid w:val="008A7870"/>
    <w:rsid w:val="008A78F5"/>
    <w:rsid w:val="008A7A93"/>
    <w:rsid w:val="008A7E05"/>
    <w:rsid w:val="008A7F26"/>
    <w:rsid w:val="008A7F27"/>
    <w:rsid w:val="008A7FC3"/>
    <w:rsid w:val="008B03AC"/>
    <w:rsid w:val="008B044D"/>
    <w:rsid w:val="008B0451"/>
    <w:rsid w:val="008B06C6"/>
    <w:rsid w:val="008B0863"/>
    <w:rsid w:val="008B08DD"/>
    <w:rsid w:val="008B097F"/>
    <w:rsid w:val="008B0B5E"/>
    <w:rsid w:val="008B0C86"/>
    <w:rsid w:val="008B0D1E"/>
    <w:rsid w:val="008B0E14"/>
    <w:rsid w:val="008B1004"/>
    <w:rsid w:val="008B1164"/>
    <w:rsid w:val="008B1504"/>
    <w:rsid w:val="008B153E"/>
    <w:rsid w:val="008B15EB"/>
    <w:rsid w:val="008B1631"/>
    <w:rsid w:val="008B1783"/>
    <w:rsid w:val="008B17A9"/>
    <w:rsid w:val="008B1800"/>
    <w:rsid w:val="008B18DA"/>
    <w:rsid w:val="008B1C63"/>
    <w:rsid w:val="008B1C86"/>
    <w:rsid w:val="008B1DFC"/>
    <w:rsid w:val="008B1F92"/>
    <w:rsid w:val="008B219D"/>
    <w:rsid w:val="008B2235"/>
    <w:rsid w:val="008B22A3"/>
    <w:rsid w:val="008B275E"/>
    <w:rsid w:val="008B2785"/>
    <w:rsid w:val="008B2911"/>
    <w:rsid w:val="008B29F9"/>
    <w:rsid w:val="008B2A2F"/>
    <w:rsid w:val="008B2A49"/>
    <w:rsid w:val="008B2A4E"/>
    <w:rsid w:val="008B2AAC"/>
    <w:rsid w:val="008B2BB7"/>
    <w:rsid w:val="008B2C69"/>
    <w:rsid w:val="008B2C90"/>
    <w:rsid w:val="008B3035"/>
    <w:rsid w:val="008B3090"/>
    <w:rsid w:val="008B31F2"/>
    <w:rsid w:val="008B3278"/>
    <w:rsid w:val="008B3304"/>
    <w:rsid w:val="008B36A5"/>
    <w:rsid w:val="008B36C3"/>
    <w:rsid w:val="008B3929"/>
    <w:rsid w:val="008B3B6A"/>
    <w:rsid w:val="008B3C19"/>
    <w:rsid w:val="008B3F26"/>
    <w:rsid w:val="008B4008"/>
    <w:rsid w:val="008B4153"/>
    <w:rsid w:val="008B42D1"/>
    <w:rsid w:val="008B4490"/>
    <w:rsid w:val="008B455D"/>
    <w:rsid w:val="008B47E1"/>
    <w:rsid w:val="008B49DC"/>
    <w:rsid w:val="008B49F0"/>
    <w:rsid w:val="008B4A73"/>
    <w:rsid w:val="008B4B14"/>
    <w:rsid w:val="008B4BFF"/>
    <w:rsid w:val="008B4DDD"/>
    <w:rsid w:val="008B4EC5"/>
    <w:rsid w:val="008B4EDB"/>
    <w:rsid w:val="008B4F50"/>
    <w:rsid w:val="008B4F53"/>
    <w:rsid w:val="008B4F84"/>
    <w:rsid w:val="008B525D"/>
    <w:rsid w:val="008B5437"/>
    <w:rsid w:val="008B557E"/>
    <w:rsid w:val="008B58D3"/>
    <w:rsid w:val="008B59E6"/>
    <w:rsid w:val="008B5A9D"/>
    <w:rsid w:val="008B5B09"/>
    <w:rsid w:val="008B5F8E"/>
    <w:rsid w:val="008B62A6"/>
    <w:rsid w:val="008B62ED"/>
    <w:rsid w:val="008B66BE"/>
    <w:rsid w:val="008B66EE"/>
    <w:rsid w:val="008B6707"/>
    <w:rsid w:val="008B673B"/>
    <w:rsid w:val="008B6790"/>
    <w:rsid w:val="008B67D1"/>
    <w:rsid w:val="008B687E"/>
    <w:rsid w:val="008B6C2F"/>
    <w:rsid w:val="008B6D27"/>
    <w:rsid w:val="008B71E7"/>
    <w:rsid w:val="008B7230"/>
    <w:rsid w:val="008B7311"/>
    <w:rsid w:val="008B7508"/>
    <w:rsid w:val="008B75FE"/>
    <w:rsid w:val="008B78DF"/>
    <w:rsid w:val="008B7A03"/>
    <w:rsid w:val="008B7A3E"/>
    <w:rsid w:val="008B7AC3"/>
    <w:rsid w:val="008B7B97"/>
    <w:rsid w:val="008B7BD3"/>
    <w:rsid w:val="008C0062"/>
    <w:rsid w:val="008C00EB"/>
    <w:rsid w:val="008C0280"/>
    <w:rsid w:val="008C02B9"/>
    <w:rsid w:val="008C0430"/>
    <w:rsid w:val="008C0720"/>
    <w:rsid w:val="008C0808"/>
    <w:rsid w:val="008C089A"/>
    <w:rsid w:val="008C08BE"/>
    <w:rsid w:val="008C0970"/>
    <w:rsid w:val="008C0984"/>
    <w:rsid w:val="008C09B6"/>
    <w:rsid w:val="008C0AF4"/>
    <w:rsid w:val="008C0DC3"/>
    <w:rsid w:val="008C0DC5"/>
    <w:rsid w:val="008C0EF5"/>
    <w:rsid w:val="008C0F77"/>
    <w:rsid w:val="008C11D7"/>
    <w:rsid w:val="008C12A2"/>
    <w:rsid w:val="008C13DB"/>
    <w:rsid w:val="008C1B78"/>
    <w:rsid w:val="008C1C2B"/>
    <w:rsid w:val="008C1C3D"/>
    <w:rsid w:val="008C1E37"/>
    <w:rsid w:val="008C1EDB"/>
    <w:rsid w:val="008C227F"/>
    <w:rsid w:val="008C22B3"/>
    <w:rsid w:val="008C22FB"/>
    <w:rsid w:val="008C2314"/>
    <w:rsid w:val="008C2362"/>
    <w:rsid w:val="008C23BF"/>
    <w:rsid w:val="008C26D7"/>
    <w:rsid w:val="008C273B"/>
    <w:rsid w:val="008C278F"/>
    <w:rsid w:val="008C2B33"/>
    <w:rsid w:val="008C2C66"/>
    <w:rsid w:val="008C2D15"/>
    <w:rsid w:val="008C2E01"/>
    <w:rsid w:val="008C2E12"/>
    <w:rsid w:val="008C3049"/>
    <w:rsid w:val="008C308D"/>
    <w:rsid w:val="008C32F4"/>
    <w:rsid w:val="008C337F"/>
    <w:rsid w:val="008C347A"/>
    <w:rsid w:val="008C361D"/>
    <w:rsid w:val="008C3816"/>
    <w:rsid w:val="008C391E"/>
    <w:rsid w:val="008C3BDD"/>
    <w:rsid w:val="008C3DC2"/>
    <w:rsid w:val="008C3E2B"/>
    <w:rsid w:val="008C413B"/>
    <w:rsid w:val="008C41AF"/>
    <w:rsid w:val="008C41B7"/>
    <w:rsid w:val="008C42CA"/>
    <w:rsid w:val="008C431B"/>
    <w:rsid w:val="008C453E"/>
    <w:rsid w:val="008C467C"/>
    <w:rsid w:val="008C46B9"/>
    <w:rsid w:val="008C46C5"/>
    <w:rsid w:val="008C46F8"/>
    <w:rsid w:val="008C4812"/>
    <w:rsid w:val="008C4A38"/>
    <w:rsid w:val="008C4B94"/>
    <w:rsid w:val="008C4BBB"/>
    <w:rsid w:val="008C4BDA"/>
    <w:rsid w:val="008C4C4F"/>
    <w:rsid w:val="008C4D2D"/>
    <w:rsid w:val="008C4DB8"/>
    <w:rsid w:val="008C5146"/>
    <w:rsid w:val="008C520F"/>
    <w:rsid w:val="008C525D"/>
    <w:rsid w:val="008C5405"/>
    <w:rsid w:val="008C54C1"/>
    <w:rsid w:val="008C58CF"/>
    <w:rsid w:val="008C6017"/>
    <w:rsid w:val="008C602C"/>
    <w:rsid w:val="008C61CA"/>
    <w:rsid w:val="008C63F9"/>
    <w:rsid w:val="008C6550"/>
    <w:rsid w:val="008C6864"/>
    <w:rsid w:val="008C68F5"/>
    <w:rsid w:val="008C6969"/>
    <w:rsid w:val="008C6A8E"/>
    <w:rsid w:val="008C6D12"/>
    <w:rsid w:val="008C6E62"/>
    <w:rsid w:val="008C6F17"/>
    <w:rsid w:val="008C7030"/>
    <w:rsid w:val="008C7215"/>
    <w:rsid w:val="008C73D0"/>
    <w:rsid w:val="008C758E"/>
    <w:rsid w:val="008C7755"/>
    <w:rsid w:val="008C7902"/>
    <w:rsid w:val="008C79E2"/>
    <w:rsid w:val="008C7A0E"/>
    <w:rsid w:val="008C7AFE"/>
    <w:rsid w:val="008C7BDA"/>
    <w:rsid w:val="008C7BE2"/>
    <w:rsid w:val="008C7E4C"/>
    <w:rsid w:val="008D007B"/>
    <w:rsid w:val="008D022F"/>
    <w:rsid w:val="008D06DD"/>
    <w:rsid w:val="008D076E"/>
    <w:rsid w:val="008D0783"/>
    <w:rsid w:val="008D07B7"/>
    <w:rsid w:val="008D08A5"/>
    <w:rsid w:val="008D09F9"/>
    <w:rsid w:val="008D0B4A"/>
    <w:rsid w:val="008D0B5E"/>
    <w:rsid w:val="008D0B7B"/>
    <w:rsid w:val="008D0F05"/>
    <w:rsid w:val="008D1016"/>
    <w:rsid w:val="008D123E"/>
    <w:rsid w:val="008D1254"/>
    <w:rsid w:val="008D135F"/>
    <w:rsid w:val="008D1475"/>
    <w:rsid w:val="008D1534"/>
    <w:rsid w:val="008D15AA"/>
    <w:rsid w:val="008D1798"/>
    <w:rsid w:val="008D17DC"/>
    <w:rsid w:val="008D1963"/>
    <w:rsid w:val="008D199D"/>
    <w:rsid w:val="008D1CD5"/>
    <w:rsid w:val="008D1F42"/>
    <w:rsid w:val="008D20C6"/>
    <w:rsid w:val="008D218F"/>
    <w:rsid w:val="008D22E3"/>
    <w:rsid w:val="008D24EB"/>
    <w:rsid w:val="008D26B1"/>
    <w:rsid w:val="008D2915"/>
    <w:rsid w:val="008D2B6E"/>
    <w:rsid w:val="008D2BC6"/>
    <w:rsid w:val="008D2C15"/>
    <w:rsid w:val="008D2EA1"/>
    <w:rsid w:val="008D2F5F"/>
    <w:rsid w:val="008D311E"/>
    <w:rsid w:val="008D31D5"/>
    <w:rsid w:val="008D344F"/>
    <w:rsid w:val="008D37FB"/>
    <w:rsid w:val="008D3896"/>
    <w:rsid w:val="008D3CFF"/>
    <w:rsid w:val="008D3F6C"/>
    <w:rsid w:val="008D40B4"/>
    <w:rsid w:val="008D40F1"/>
    <w:rsid w:val="008D41FA"/>
    <w:rsid w:val="008D420F"/>
    <w:rsid w:val="008D438A"/>
    <w:rsid w:val="008D45B7"/>
    <w:rsid w:val="008D4A6E"/>
    <w:rsid w:val="008D4A73"/>
    <w:rsid w:val="008D4AB6"/>
    <w:rsid w:val="008D4B1F"/>
    <w:rsid w:val="008D4BAF"/>
    <w:rsid w:val="008D4DDA"/>
    <w:rsid w:val="008D4F26"/>
    <w:rsid w:val="008D4F33"/>
    <w:rsid w:val="008D503F"/>
    <w:rsid w:val="008D5140"/>
    <w:rsid w:val="008D5385"/>
    <w:rsid w:val="008D5694"/>
    <w:rsid w:val="008D578A"/>
    <w:rsid w:val="008D58C9"/>
    <w:rsid w:val="008D593D"/>
    <w:rsid w:val="008D599D"/>
    <w:rsid w:val="008D5BF4"/>
    <w:rsid w:val="008D5C92"/>
    <w:rsid w:val="008D5E1C"/>
    <w:rsid w:val="008D5EC6"/>
    <w:rsid w:val="008D5FC6"/>
    <w:rsid w:val="008D61FE"/>
    <w:rsid w:val="008D624A"/>
    <w:rsid w:val="008D66A0"/>
    <w:rsid w:val="008D6704"/>
    <w:rsid w:val="008D678C"/>
    <w:rsid w:val="008D67D3"/>
    <w:rsid w:val="008D67F1"/>
    <w:rsid w:val="008D680E"/>
    <w:rsid w:val="008D68A9"/>
    <w:rsid w:val="008D6965"/>
    <w:rsid w:val="008D6BB6"/>
    <w:rsid w:val="008D6C92"/>
    <w:rsid w:val="008D6D5E"/>
    <w:rsid w:val="008D7075"/>
    <w:rsid w:val="008D71EE"/>
    <w:rsid w:val="008D73E4"/>
    <w:rsid w:val="008D74E4"/>
    <w:rsid w:val="008D79E2"/>
    <w:rsid w:val="008D7B03"/>
    <w:rsid w:val="008D7FA3"/>
    <w:rsid w:val="008E0040"/>
    <w:rsid w:val="008E01C2"/>
    <w:rsid w:val="008E027A"/>
    <w:rsid w:val="008E0397"/>
    <w:rsid w:val="008E04F1"/>
    <w:rsid w:val="008E05BC"/>
    <w:rsid w:val="008E05FF"/>
    <w:rsid w:val="008E0743"/>
    <w:rsid w:val="008E07E8"/>
    <w:rsid w:val="008E08AE"/>
    <w:rsid w:val="008E0928"/>
    <w:rsid w:val="008E0CBA"/>
    <w:rsid w:val="008E0D36"/>
    <w:rsid w:val="008E0E7D"/>
    <w:rsid w:val="008E100D"/>
    <w:rsid w:val="008E116E"/>
    <w:rsid w:val="008E1468"/>
    <w:rsid w:val="008E14B0"/>
    <w:rsid w:val="008E15C6"/>
    <w:rsid w:val="008E18E4"/>
    <w:rsid w:val="008E1A91"/>
    <w:rsid w:val="008E1AE4"/>
    <w:rsid w:val="008E1B3F"/>
    <w:rsid w:val="008E1C17"/>
    <w:rsid w:val="008E1C2C"/>
    <w:rsid w:val="008E1C58"/>
    <w:rsid w:val="008E1CA0"/>
    <w:rsid w:val="008E1F3E"/>
    <w:rsid w:val="008E2024"/>
    <w:rsid w:val="008E2266"/>
    <w:rsid w:val="008E233D"/>
    <w:rsid w:val="008E26C0"/>
    <w:rsid w:val="008E285C"/>
    <w:rsid w:val="008E2944"/>
    <w:rsid w:val="008E29FB"/>
    <w:rsid w:val="008E2BDC"/>
    <w:rsid w:val="008E2C24"/>
    <w:rsid w:val="008E2CAD"/>
    <w:rsid w:val="008E2D53"/>
    <w:rsid w:val="008E2D64"/>
    <w:rsid w:val="008E2DB8"/>
    <w:rsid w:val="008E2EFE"/>
    <w:rsid w:val="008E3131"/>
    <w:rsid w:val="008E33E5"/>
    <w:rsid w:val="008E34D7"/>
    <w:rsid w:val="008E36FA"/>
    <w:rsid w:val="008E3707"/>
    <w:rsid w:val="008E399A"/>
    <w:rsid w:val="008E39D2"/>
    <w:rsid w:val="008E3C18"/>
    <w:rsid w:val="008E3D83"/>
    <w:rsid w:val="008E3EED"/>
    <w:rsid w:val="008E3F37"/>
    <w:rsid w:val="008E409F"/>
    <w:rsid w:val="008E40F0"/>
    <w:rsid w:val="008E41F4"/>
    <w:rsid w:val="008E422E"/>
    <w:rsid w:val="008E44FD"/>
    <w:rsid w:val="008E457C"/>
    <w:rsid w:val="008E4704"/>
    <w:rsid w:val="008E482C"/>
    <w:rsid w:val="008E4902"/>
    <w:rsid w:val="008E4B03"/>
    <w:rsid w:val="008E4BA6"/>
    <w:rsid w:val="008E4BCD"/>
    <w:rsid w:val="008E4C11"/>
    <w:rsid w:val="008E4CC3"/>
    <w:rsid w:val="008E4F49"/>
    <w:rsid w:val="008E4FB9"/>
    <w:rsid w:val="008E5049"/>
    <w:rsid w:val="008E513B"/>
    <w:rsid w:val="008E524A"/>
    <w:rsid w:val="008E531B"/>
    <w:rsid w:val="008E5361"/>
    <w:rsid w:val="008E53E5"/>
    <w:rsid w:val="008E5706"/>
    <w:rsid w:val="008E5778"/>
    <w:rsid w:val="008E588C"/>
    <w:rsid w:val="008E588E"/>
    <w:rsid w:val="008E58BD"/>
    <w:rsid w:val="008E5B09"/>
    <w:rsid w:val="008E5BA7"/>
    <w:rsid w:val="008E5C38"/>
    <w:rsid w:val="008E5F67"/>
    <w:rsid w:val="008E60AC"/>
    <w:rsid w:val="008E60EA"/>
    <w:rsid w:val="008E6164"/>
    <w:rsid w:val="008E6262"/>
    <w:rsid w:val="008E6379"/>
    <w:rsid w:val="008E63A5"/>
    <w:rsid w:val="008E63C2"/>
    <w:rsid w:val="008E63E0"/>
    <w:rsid w:val="008E67AB"/>
    <w:rsid w:val="008E6869"/>
    <w:rsid w:val="008E68BA"/>
    <w:rsid w:val="008E6D51"/>
    <w:rsid w:val="008E6F0A"/>
    <w:rsid w:val="008E709E"/>
    <w:rsid w:val="008E70A4"/>
    <w:rsid w:val="008E71FA"/>
    <w:rsid w:val="008E7313"/>
    <w:rsid w:val="008E75B4"/>
    <w:rsid w:val="008E77EC"/>
    <w:rsid w:val="008E79FE"/>
    <w:rsid w:val="008E7A13"/>
    <w:rsid w:val="008E7C6A"/>
    <w:rsid w:val="008E7CEF"/>
    <w:rsid w:val="008E7DBA"/>
    <w:rsid w:val="008E7E56"/>
    <w:rsid w:val="008E7FF3"/>
    <w:rsid w:val="008F0177"/>
    <w:rsid w:val="008F0183"/>
    <w:rsid w:val="008F01E8"/>
    <w:rsid w:val="008F0529"/>
    <w:rsid w:val="008F0567"/>
    <w:rsid w:val="008F0569"/>
    <w:rsid w:val="008F0724"/>
    <w:rsid w:val="008F07AD"/>
    <w:rsid w:val="008F0BF9"/>
    <w:rsid w:val="008F0DB9"/>
    <w:rsid w:val="008F145D"/>
    <w:rsid w:val="008F1766"/>
    <w:rsid w:val="008F17AD"/>
    <w:rsid w:val="008F1865"/>
    <w:rsid w:val="008F1878"/>
    <w:rsid w:val="008F1A17"/>
    <w:rsid w:val="008F1AF9"/>
    <w:rsid w:val="008F1B94"/>
    <w:rsid w:val="008F1D5C"/>
    <w:rsid w:val="008F1F6D"/>
    <w:rsid w:val="008F2218"/>
    <w:rsid w:val="008F233C"/>
    <w:rsid w:val="008F23CD"/>
    <w:rsid w:val="008F2584"/>
    <w:rsid w:val="008F2907"/>
    <w:rsid w:val="008F2B7A"/>
    <w:rsid w:val="008F2BC9"/>
    <w:rsid w:val="008F2D5C"/>
    <w:rsid w:val="008F2DC0"/>
    <w:rsid w:val="008F2F4A"/>
    <w:rsid w:val="008F304B"/>
    <w:rsid w:val="008F30E3"/>
    <w:rsid w:val="008F317B"/>
    <w:rsid w:val="008F33EC"/>
    <w:rsid w:val="008F3473"/>
    <w:rsid w:val="008F3544"/>
    <w:rsid w:val="008F36ED"/>
    <w:rsid w:val="008F375D"/>
    <w:rsid w:val="008F39A3"/>
    <w:rsid w:val="008F3B1E"/>
    <w:rsid w:val="008F3C73"/>
    <w:rsid w:val="008F3C8A"/>
    <w:rsid w:val="008F3F17"/>
    <w:rsid w:val="008F410D"/>
    <w:rsid w:val="008F4176"/>
    <w:rsid w:val="008F41DC"/>
    <w:rsid w:val="008F4267"/>
    <w:rsid w:val="008F435B"/>
    <w:rsid w:val="008F43DC"/>
    <w:rsid w:val="008F4415"/>
    <w:rsid w:val="008F4769"/>
    <w:rsid w:val="008F47E4"/>
    <w:rsid w:val="008F498F"/>
    <w:rsid w:val="008F499C"/>
    <w:rsid w:val="008F4A4D"/>
    <w:rsid w:val="008F4AE6"/>
    <w:rsid w:val="008F4AF7"/>
    <w:rsid w:val="008F4CC5"/>
    <w:rsid w:val="008F4CF5"/>
    <w:rsid w:val="008F4DA1"/>
    <w:rsid w:val="008F4E4E"/>
    <w:rsid w:val="008F4EE4"/>
    <w:rsid w:val="008F4F25"/>
    <w:rsid w:val="008F4FB5"/>
    <w:rsid w:val="008F4FBB"/>
    <w:rsid w:val="008F51D9"/>
    <w:rsid w:val="008F520E"/>
    <w:rsid w:val="008F5388"/>
    <w:rsid w:val="008F56FB"/>
    <w:rsid w:val="008F57F1"/>
    <w:rsid w:val="008F593C"/>
    <w:rsid w:val="008F5951"/>
    <w:rsid w:val="008F5C44"/>
    <w:rsid w:val="008F5D4D"/>
    <w:rsid w:val="008F5D5A"/>
    <w:rsid w:val="008F5DE8"/>
    <w:rsid w:val="008F5EBC"/>
    <w:rsid w:val="008F5ED3"/>
    <w:rsid w:val="008F5FAF"/>
    <w:rsid w:val="008F602B"/>
    <w:rsid w:val="008F617B"/>
    <w:rsid w:val="008F632A"/>
    <w:rsid w:val="008F65C4"/>
    <w:rsid w:val="008F6763"/>
    <w:rsid w:val="008F6A11"/>
    <w:rsid w:val="008F6B3A"/>
    <w:rsid w:val="008F6D7E"/>
    <w:rsid w:val="008F6EEB"/>
    <w:rsid w:val="008F701B"/>
    <w:rsid w:val="008F70F1"/>
    <w:rsid w:val="008F70FD"/>
    <w:rsid w:val="008F71EF"/>
    <w:rsid w:val="008F724B"/>
    <w:rsid w:val="008F725C"/>
    <w:rsid w:val="008F73A3"/>
    <w:rsid w:val="008F7450"/>
    <w:rsid w:val="008F75B5"/>
    <w:rsid w:val="008F75C9"/>
    <w:rsid w:val="008F7CA9"/>
    <w:rsid w:val="008F7D03"/>
    <w:rsid w:val="00900193"/>
    <w:rsid w:val="00900275"/>
    <w:rsid w:val="009003B9"/>
    <w:rsid w:val="00900418"/>
    <w:rsid w:val="00900422"/>
    <w:rsid w:val="009006CF"/>
    <w:rsid w:val="00900719"/>
    <w:rsid w:val="009007A1"/>
    <w:rsid w:val="00900CC3"/>
    <w:rsid w:val="00900D46"/>
    <w:rsid w:val="00901025"/>
    <w:rsid w:val="00901041"/>
    <w:rsid w:val="00901113"/>
    <w:rsid w:val="009011ED"/>
    <w:rsid w:val="00901383"/>
    <w:rsid w:val="0090142E"/>
    <w:rsid w:val="00901475"/>
    <w:rsid w:val="00901523"/>
    <w:rsid w:val="0090155D"/>
    <w:rsid w:val="009017EF"/>
    <w:rsid w:val="00901AFF"/>
    <w:rsid w:val="00901D62"/>
    <w:rsid w:val="00901D88"/>
    <w:rsid w:val="00902076"/>
    <w:rsid w:val="0090207A"/>
    <w:rsid w:val="00902157"/>
    <w:rsid w:val="00902182"/>
    <w:rsid w:val="009021CD"/>
    <w:rsid w:val="00902443"/>
    <w:rsid w:val="00902547"/>
    <w:rsid w:val="00902881"/>
    <w:rsid w:val="00902CB0"/>
    <w:rsid w:val="00902E0C"/>
    <w:rsid w:val="00902F32"/>
    <w:rsid w:val="00902FF4"/>
    <w:rsid w:val="00903089"/>
    <w:rsid w:val="0090308E"/>
    <w:rsid w:val="00903103"/>
    <w:rsid w:val="009033CD"/>
    <w:rsid w:val="00903763"/>
    <w:rsid w:val="0090376A"/>
    <w:rsid w:val="009039D3"/>
    <w:rsid w:val="00903E6F"/>
    <w:rsid w:val="0090414E"/>
    <w:rsid w:val="0090437A"/>
    <w:rsid w:val="00904399"/>
    <w:rsid w:val="009043EF"/>
    <w:rsid w:val="0090446D"/>
    <w:rsid w:val="00904552"/>
    <w:rsid w:val="00904560"/>
    <w:rsid w:val="00904672"/>
    <w:rsid w:val="009046CD"/>
    <w:rsid w:val="00904B23"/>
    <w:rsid w:val="00904D11"/>
    <w:rsid w:val="00904D9E"/>
    <w:rsid w:val="00904DD4"/>
    <w:rsid w:val="00904E1A"/>
    <w:rsid w:val="00905078"/>
    <w:rsid w:val="0090508B"/>
    <w:rsid w:val="009051F9"/>
    <w:rsid w:val="0090531B"/>
    <w:rsid w:val="00905398"/>
    <w:rsid w:val="0090542B"/>
    <w:rsid w:val="0090543D"/>
    <w:rsid w:val="00905672"/>
    <w:rsid w:val="00905818"/>
    <w:rsid w:val="00905A6F"/>
    <w:rsid w:val="00905AEC"/>
    <w:rsid w:val="00905B0D"/>
    <w:rsid w:val="00905C42"/>
    <w:rsid w:val="0090605F"/>
    <w:rsid w:val="009060BD"/>
    <w:rsid w:val="00906172"/>
    <w:rsid w:val="00906173"/>
    <w:rsid w:val="00906189"/>
    <w:rsid w:val="00906194"/>
    <w:rsid w:val="009067F6"/>
    <w:rsid w:val="00906835"/>
    <w:rsid w:val="00906A37"/>
    <w:rsid w:val="00906B7D"/>
    <w:rsid w:val="00906CB2"/>
    <w:rsid w:val="00906E37"/>
    <w:rsid w:val="00906E5C"/>
    <w:rsid w:val="00906EE6"/>
    <w:rsid w:val="00906F42"/>
    <w:rsid w:val="009070EC"/>
    <w:rsid w:val="00907143"/>
    <w:rsid w:val="00907318"/>
    <w:rsid w:val="00907372"/>
    <w:rsid w:val="0090748A"/>
    <w:rsid w:val="00907593"/>
    <w:rsid w:val="00907832"/>
    <w:rsid w:val="00907897"/>
    <w:rsid w:val="0090792C"/>
    <w:rsid w:val="00907A9E"/>
    <w:rsid w:val="00907B80"/>
    <w:rsid w:val="00907D3B"/>
    <w:rsid w:val="00907D6C"/>
    <w:rsid w:val="00907E21"/>
    <w:rsid w:val="00907E3C"/>
    <w:rsid w:val="00907E48"/>
    <w:rsid w:val="009102A3"/>
    <w:rsid w:val="009105E8"/>
    <w:rsid w:val="009105FE"/>
    <w:rsid w:val="009106AC"/>
    <w:rsid w:val="009106FF"/>
    <w:rsid w:val="00910831"/>
    <w:rsid w:val="009108AD"/>
    <w:rsid w:val="00910933"/>
    <w:rsid w:val="00910A83"/>
    <w:rsid w:val="00910C98"/>
    <w:rsid w:val="00910CE2"/>
    <w:rsid w:val="00910CF9"/>
    <w:rsid w:val="00910EC2"/>
    <w:rsid w:val="00911139"/>
    <w:rsid w:val="00911355"/>
    <w:rsid w:val="009114A3"/>
    <w:rsid w:val="009114D8"/>
    <w:rsid w:val="0091151B"/>
    <w:rsid w:val="00911685"/>
    <w:rsid w:val="0091192D"/>
    <w:rsid w:val="00911937"/>
    <w:rsid w:val="00911948"/>
    <w:rsid w:val="00911B36"/>
    <w:rsid w:val="00911B84"/>
    <w:rsid w:val="00911CEF"/>
    <w:rsid w:val="00911CFB"/>
    <w:rsid w:val="00911E6D"/>
    <w:rsid w:val="009121DA"/>
    <w:rsid w:val="0091231D"/>
    <w:rsid w:val="009125B6"/>
    <w:rsid w:val="009125C8"/>
    <w:rsid w:val="00912664"/>
    <w:rsid w:val="00912670"/>
    <w:rsid w:val="00912695"/>
    <w:rsid w:val="00912AB9"/>
    <w:rsid w:val="00912F96"/>
    <w:rsid w:val="00913053"/>
    <w:rsid w:val="00913241"/>
    <w:rsid w:val="009136B7"/>
    <w:rsid w:val="009139AB"/>
    <w:rsid w:val="00913E30"/>
    <w:rsid w:val="00914098"/>
    <w:rsid w:val="0091420A"/>
    <w:rsid w:val="00914278"/>
    <w:rsid w:val="009142A0"/>
    <w:rsid w:val="009142E0"/>
    <w:rsid w:val="00914820"/>
    <w:rsid w:val="00914867"/>
    <w:rsid w:val="009148BE"/>
    <w:rsid w:val="00914AC5"/>
    <w:rsid w:val="00914B1A"/>
    <w:rsid w:val="00914D0A"/>
    <w:rsid w:val="00914D36"/>
    <w:rsid w:val="00914F15"/>
    <w:rsid w:val="00914F2F"/>
    <w:rsid w:val="00914FDA"/>
    <w:rsid w:val="009154B5"/>
    <w:rsid w:val="00915536"/>
    <w:rsid w:val="0091558D"/>
    <w:rsid w:val="009158EE"/>
    <w:rsid w:val="00915AF7"/>
    <w:rsid w:val="00915B01"/>
    <w:rsid w:val="00915BD6"/>
    <w:rsid w:val="00915BF6"/>
    <w:rsid w:val="00915C25"/>
    <w:rsid w:val="00915C78"/>
    <w:rsid w:val="00915E41"/>
    <w:rsid w:val="00916049"/>
    <w:rsid w:val="00916242"/>
    <w:rsid w:val="009162FC"/>
    <w:rsid w:val="00916457"/>
    <w:rsid w:val="009165D9"/>
    <w:rsid w:val="009166F7"/>
    <w:rsid w:val="00916716"/>
    <w:rsid w:val="0091674F"/>
    <w:rsid w:val="00916998"/>
    <w:rsid w:val="00916C26"/>
    <w:rsid w:val="00916C3C"/>
    <w:rsid w:val="00916CDD"/>
    <w:rsid w:val="00916D18"/>
    <w:rsid w:val="00916ED9"/>
    <w:rsid w:val="00916F85"/>
    <w:rsid w:val="00916F86"/>
    <w:rsid w:val="00917263"/>
    <w:rsid w:val="00917367"/>
    <w:rsid w:val="00917477"/>
    <w:rsid w:val="009175E9"/>
    <w:rsid w:val="009178DD"/>
    <w:rsid w:val="00917EAA"/>
    <w:rsid w:val="0092001C"/>
    <w:rsid w:val="00920487"/>
    <w:rsid w:val="0092059E"/>
    <w:rsid w:val="00920701"/>
    <w:rsid w:val="009207E6"/>
    <w:rsid w:val="00920857"/>
    <w:rsid w:val="0092099B"/>
    <w:rsid w:val="00920AEE"/>
    <w:rsid w:val="00920B56"/>
    <w:rsid w:val="00920B9F"/>
    <w:rsid w:val="00920BA9"/>
    <w:rsid w:val="00920BAD"/>
    <w:rsid w:val="00920D5F"/>
    <w:rsid w:val="00920E53"/>
    <w:rsid w:val="00920F05"/>
    <w:rsid w:val="00920F3E"/>
    <w:rsid w:val="009211FE"/>
    <w:rsid w:val="009213BF"/>
    <w:rsid w:val="0092145F"/>
    <w:rsid w:val="009214E8"/>
    <w:rsid w:val="00921532"/>
    <w:rsid w:val="00921752"/>
    <w:rsid w:val="00921C22"/>
    <w:rsid w:val="00921C6D"/>
    <w:rsid w:val="00921D13"/>
    <w:rsid w:val="009221AF"/>
    <w:rsid w:val="009222CB"/>
    <w:rsid w:val="009225A2"/>
    <w:rsid w:val="009225B1"/>
    <w:rsid w:val="0092288F"/>
    <w:rsid w:val="00922892"/>
    <w:rsid w:val="009228A4"/>
    <w:rsid w:val="009229B7"/>
    <w:rsid w:val="009229BA"/>
    <w:rsid w:val="009229FA"/>
    <w:rsid w:val="00922AB5"/>
    <w:rsid w:val="00922AD5"/>
    <w:rsid w:val="00922CA9"/>
    <w:rsid w:val="00922CD6"/>
    <w:rsid w:val="00922D8A"/>
    <w:rsid w:val="00922FF7"/>
    <w:rsid w:val="0092304E"/>
    <w:rsid w:val="0092306A"/>
    <w:rsid w:val="00923169"/>
    <w:rsid w:val="009231D9"/>
    <w:rsid w:val="009232B4"/>
    <w:rsid w:val="00923320"/>
    <w:rsid w:val="009233BD"/>
    <w:rsid w:val="009235AC"/>
    <w:rsid w:val="009235AE"/>
    <w:rsid w:val="009238E3"/>
    <w:rsid w:val="00923A4A"/>
    <w:rsid w:val="00923BD3"/>
    <w:rsid w:val="00923CA7"/>
    <w:rsid w:val="00923FC9"/>
    <w:rsid w:val="00924013"/>
    <w:rsid w:val="00924019"/>
    <w:rsid w:val="009240C4"/>
    <w:rsid w:val="009240C7"/>
    <w:rsid w:val="009240CC"/>
    <w:rsid w:val="00924132"/>
    <w:rsid w:val="0092459B"/>
    <w:rsid w:val="00924655"/>
    <w:rsid w:val="00924784"/>
    <w:rsid w:val="00924897"/>
    <w:rsid w:val="00924AB6"/>
    <w:rsid w:val="00924B3C"/>
    <w:rsid w:val="00924C25"/>
    <w:rsid w:val="00924CB6"/>
    <w:rsid w:val="00924F0A"/>
    <w:rsid w:val="00924F40"/>
    <w:rsid w:val="00924FD0"/>
    <w:rsid w:val="009252D9"/>
    <w:rsid w:val="0092531A"/>
    <w:rsid w:val="0092547B"/>
    <w:rsid w:val="00925547"/>
    <w:rsid w:val="009256B4"/>
    <w:rsid w:val="009259C8"/>
    <w:rsid w:val="00925A3A"/>
    <w:rsid w:val="00925A72"/>
    <w:rsid w:val="00925B18"/>
    <w:rsid w:val="00925DFA"/>
    <w:rsid w:val="00925E23"/>
    <w:rsid w:val="00925EA4"/>
    <w:rsid w:val="0092605F"/>
    <w:rsid w:val="00926123"/>
    <w:rsid w:val="009261C3"/>
    <w:rsid w:val="009262A4"/>
    <w:rsid w:val="009262B7"/>
    <w:rsid w:val="009262FB"/>
    <w:rsid w:val="0092635F"/>
    <w:rsid w:val="00926433"/>
    <w:rsid w:val="009264A9"/>
    <w:rsid w:val="009264F2"/>
    <w:rsid w:val="00926517"/>
    <w:rsid w:val="009265C3"/>
    <w:rsid w:val="009265F8"/>
    <w:rsid w:val="0092666F"/>
    <w:rsid w:val="00926AB2"/>
    <w:rsid w:val="00926D14"/>
    <w:rsid w:val="00926D3A"/>
    <w:rsid w:val="00926DD0"/>
    <w:rsid w:val="00926E1A"/>
    <w:rsid w:val="009270CE"/>
    <w:rsid w:val="009271B8"/>
    <w:rsid w:val="009271F4"/>
    <w:rsid w:val="00927219"/>
    <w:rsid w:val="00927227"/>
    <w:rsid w:val="009275B6"/>
    <w:rsid w:val="00927701"/>
    <w:rsid w:val="00927827"/>
    <w:rsid w:val="009278A5"/>
    <w:rsid w:val="00927A50"/>
    <w:rsid w:val="00927AF8"/>
    <w:rsid w:val="00927BFF"/>
    <w:rsid w:val="00927C45"/>
    <w:rsid w:val="00927D08"/>
    <w:rsid w:val="00927D17"/>
    <w:rsid w:val="00927E8D"/>
    <w:rsid w:val="00930048"/>
    <w:rsid w:val="0093006E"/>
    <w:rsid w:val="0093017E"/>
    <w:rsid w:val="00930286"/>
    <w:rsid w:val="00930322"/>
    <w:rsid w:val="00930432"/>
    <w:rsid w:val="00930572"/>
    <w:rsid w:val="009306D5"/>
    <w:rsid w:val="009306F2"/>
    <w:rsid w:val="00930817"/>
    <w:rsid w:val="00930850"/>
    <w:rsid w:val="009309AE"/>
    <w:rsid w:val="00930B63"/>
    <w:rsid w:val="00930B92"/>
    <w:rsid w:val="00930BC6"/>
    <w:rsid w:val="00930D38"/>
    <w:rsid w:val="00930F0C"/>
    <w:rsid w:val="00930F6A"/>
    <w:rsid w:val="009310D5"/>
    <w:rsid w:val="00931174"/>
    <w:rsid w:val="0093134C"/>
    <w:rsid w:val="0093138F"/>
    <w:rsid w:val="00931423"/>
    <w:rsid w:val="00931456"/>
    <w:rsid w:val="0093149F"/>
    <w:rsid w:val="0093153F"/>
    <w:rsid w:val="00931549"/>
    <w:rsid w:val="00931617"/>
    <w:rsid w:val="009317C9"/>
    <w:rsid w:val="00931823"/>
    <w:rsid w:val="009319CA"/>
    <w:rsid w:val="00931C46"/>
    <w:rsid w:val="00931F10"/>
    <w:rsid w:val="00932120"/>
    <w:rsid w:val="00932214"/>
    <w:rsid w:val="009323E0"/>
    <w:rsid w:val="0093248A"/>
    <w:rsid w:val="0093254F"/>
    <w:rsid w:val="009325AC"/>
    <w:rsid w:val="0093293B"/>
    <w:rsid w:val="00932CB5"/>
    <w:rsid w:val="00932D50"/>
    <w:rsid w:val="00932F4C"/>
    <w:rsid w:val="009331BF"/>
    <w:rsid w:val="0093321D"/>
    <w:rsid w:val="0093339D"/>
    <w:rsid w:val="0093344C"/>
    <w:rsid w:val="009334A8"/>
    <w:rsid w:val="009334E1"/>
    <w:rsid w:val="00933573"/>
    <w:rsid w:val="009335F1"/>
    <w:rsid w:val="009336CB"/>
    <w:rsid w:val="00933704"/>
    <w:rsid w:val="00933726"/>
    <w:rsid w:val="00933976"/>
    <w:rsid w:val="00933D3C"/>
    <w:rsid w:val="00933F48"/>
    <w:rsid w:val="00933F5F"/>
    <w:rsid w:val="0093401B"/>
    <w:rsid w:val="00934172"/>
    <w:rsid w:val="00934708"/>
    <w:rsid w:val="009347C6"/>
    <w:rsid w:val="009347E2"/>
    <w:rsid w:val="009347FD"/>
    <w:rsid w:val="00934A29"/>
    <w:rsid w:val="00934AC8"/>
    <w:rsid w:val="00934B3C"/>
    <w:rsid w:val="00934C00"/>
    <w:rsid w:val="00934C48"/>
    <w:rsid w:val="00934FA8"/>
    <w:rsid w:val="00934FCA"/>
    <w:rsid w:val="00935000"/>
    <w:rsid w:val="00935055"/>
    <w:rsid w:val="009351E4"/>
    <w:rsid w:val="00935272"/>
    <w:rsid w:val="009354E3"/>
    <w:rsid w:val="0093567C"/>
    <w:rsid w:val="009356A9"/>
    <w:rsid w:val="0093571E"/>
    <w:rsid w:val="009358D6"/>
    <w:rsid w:val="0093592E"/>
    <w:rsid w:val="009359DC"/>
    <w:rsid w:val="00935A1E"/>
    <w:rsid w:val="00935AF6"/>
    <w:rsid w:val="00935B41"/>
    <w:rsid w:val="00935D7C"/>
    <w:rsid w:val="00935DE9"/>
    <w:rsid w:val="00935E24"/>
    <w:rsid w:val="00936156"/>
    <w:rsid w:val="00936247"/>
    <w:rsid w:val="009363AC"/>
    <w:rsid w:val="009363F0"/>
    <w:rsid w:val="00936532"/>
    <w:rsid w:val="00936665"/>
    <w:rsid w:val="009366A4"/>
    <w:rsid w:val="00936886"/>
    <w:rsid w:val="009368C3"/>
    <w:rsid w:val="00936AF0"/>
    <w:rsid w:val="00936B7A"/>
    <w:rsid w:val="00936F5F"/>
    <w:rsid w:val="00937021"/>
    <w:rsid w:val="009370C0"/>
    <w:rsid w:val="00937100"/>
    <w:rsid w:val="0093710F"/>
    <w:rsid w:val="009371CE"/>
    <w:rsid w:val="00937239"/>
    <w:rsid w:val="0093727D"/>
    <w:rsid w:val="009373E5"/>
    <w:rsid w:val="009373F1"/>
    <w:rsid w:val="009374C8"/>
    <w:rsid w:val="009375E8"/>
    <w:rsid w:val="009376D2"/>
    <w:rsid w:val="0093793C"/>
    <w:rsid w:val="00937C67"/>
    <w:rsid w:val="00937D41"/>
    <w:rsid w:val="00937E26"/>
    <w:rsid w:val="00937ECC"/>
    <w:rsid w:val="0094001A"/>
    <w:rsid w:val="0094005B"/>
    <w:rsid w:val="00940141"/>
    <w:rsid w:val="0094022E"/>
    <w:rsid w:val="009402AF"/>
    <w:rsid w:val="00940CD2"/>
    <w:rsid w:val="00940D90"/>
    <w:rsid w:val="00940DDC"/>
    <w:rsid w:val="00940E06"/>
    <w:rsid w:val="00940E1E"/>
    <w:rsid w:val="00940E23"/>
    <w:rsid w:val="00940E47"/>
    <w:rsid w:val="00940E55"/>
    <w:rsid w:val="00940EA4"/>
    <w:rsid w:val="00940FD8"/>
    <w:rsid w:val="0094102D"/>
    <w:rsid w:val="00941045"/>
    <w:rsid w:val="00941206"/>
    <w:rsid w:val="00941328"/>
    <w:rsid w:val="00941368"/>
    <w:rsid w:val="00941432"/>
    <w:rsid w:val="0094144E"/>
    <w:rsid w:val="009415B2"/>
    <w:rsid w:val="0094165A"/>
    <w:rsid w:val="0094181F"/>
    <w:rsid w:val="009418CD"/>
    <w:rsid w:val="009419A6"/>
    <w:rsid w:val="00941A12"/>
    <w:rsid w:val="00941BF5"/>
    <w:rsid w:val="00941CC7"/>
    <w:rsid w:val="00941D0D"/>
    <w:rsid w:val="00941DE3"/>
    <w:rsid w:val="00941E90"/>
    <w:rsid w:val="0094203C"/>
    <w:rsid w:val="009420C8"/>
    <w:rsid w:val="00942110"/>
    <w:rsid w:val="009423A6"/>
    <w:rsid w:val="0094260F"/>
    <w:rsid w:val="0094263B"/>
    <w:rsid w:val="0094264D"/>
    <w:rsid w:val="0094266A"/>
    <w:rsid w:val="009426CA"/>
    <w:rsid w:val="00942732"/>
    <w:rsid w:val="00942AFC"/>
    <w:rsid w:val="00942C33"/>
    <w:rsid w:val="00942CFE"/>
    <w:rsid w:val="00942D49"/>
    <w:rsid w:val="00942D6B"/>
    <w:rsid w:val="00942F33"/>
    <w:rsid w:val="00942FB5"/>
    <w:rsid w:val="0094310E"/>
    <w:rsid w:val="00943569"/>
    <w:rsid w:val="00943616"/>
    <w:rsid w:val="009436FC"/>
    <w:rsid w:val="0094393F"/>
    <w:rsid w:val="00943B4A"/>
    <w:rsid w:val="00943C75"/>
    <w:rsid w:val="00943CBF"/>
    <w:rsid w:val="00943D78"/>
    <w:rsid w:val="00943DFF"/>
    <w:rsid w:val="00943F74"/>
    <w:rsid w:val="009444C7"/>
    <w:rsid w:val="0094450D"/>
    <w:rsid w:val="00944602"/>
    <w:rsid w:val="0094467C"/>
    <w:rsid w:val="009446CE"/>
    <w:rsid w:val="00944703"/>
    <w:rsid w:val="009447A7"/>
    <w:rsid w:val="00944899"/>
    <w:rsid w:val="00944920"/>
    <w:rsid w:val="00944968"/>
    <w:rsid w:val="00944A8E"/>
    <w:rsid w:val="00944C9D"/>
    <w:rsid w:val="00944CF7"/>
    <w:rsid w:val="009450D6"/>
    <w:rsid w:val="0094513F"/>
    <w:rsid w:val="009452F3"/>
    <w:rsid w:val="009452F4"/>
    <w:rsid w:val="00945411"/>
    <w:rsid w:val="00945418"/>
    <w:rsid w:val="009455C1"/>
    <w:rsid w:val="00945680"/>
    <w:rsid w:val="00945825"/>
    <w:rsid w:val="0094596A"/>
    <w:rsid w:val="009459DD"/>
    <w:rsid w:val="009459E1"/>
    <w:rsid w:val="00945C35"/>
    <w:rsid w:val="00945D92"/>
    <w:rsid w:val="00945E1E"/>
    <w:rsid w:val="00945E99"/>
    <w:rsid w:val="00945F76"/>
    <w:rsid w:val="00945FA2"/>
    <w:rsid w:val="00945FD2"/>
    <w:rsid w:val="00946031"/>
    <w:rsid w:val="00946124"/>
    <w:rsid w:val="009461BF"/>
    <w:rsid w:val="0094662D"/>
    <w:rsid w:val="0094682B"/>
    <w:rsid w:val="00946B48"/>
    <w:rsid w:val="00946BAC"/>
    <w:rsid w:val="00946C86"/>
    <w:rsid w:val="00946DCF"/>
    <w:rsid w:val="00946E85"/>
    <w:rsid w:val="00947060"/>
    <w:rsid w:val="009470BE"/>
    <w:rsid w:val="009472B7"/>
    <w:rsid w:val="00947527"/>
    <w:rsid w:val="00947A38"/>
    <w:rsid w:val="00947D19"/>
    <w:rsid w:val="00947D7E"/>
    <w:rsid w:val="00950163"/>
    <w:rsid w:val="00950282"/>
    <w:rsid w:val="00950299"/>
    <w:rsid w:val="009502E2"/>
    <w:rsid w:val="0095040F"/>
    <w:rsid w:val="00950690"/>
    <w:rsid w:val="00950903"/>
    <w:rsid w:val="0095091A"/>
    <w:rsid w:val="00950ACB"/>
    <w:rsid w:val="00950B60"/>
    <w:rsid w:val="00950CE8"/>
    <w:rsid w:val="00950D09"/>
    <w:rsid w:val="00951070"/>
    <w:rsid w:val="0095128E"/>
    <w:rsid w:val="009512D9"/>
    <w:rsid w:val="00951322"/>
    <w:rsid w:val="0095142B"/>
    <w:rsid w:val="00951584"/>
    <w:rsid w:val="00951B0D"/>
    <w:rsid w:val="00951BB4"/>
    <w:rsid w:val="00951D41"/>
    <w:rsid w:val="00952004"/>
    <w:rsid w:val="0095205E"/>
    <w:rsid w:val="009520AF"/>
    <w:rsid w:val="00952259"/>
    <w:rsid w:val="0095226D"/>
    <w:rsid w:val="00952333"/>
    <w:rsid w:val="00952600"/>
    <w:rsid w:val="009529C8"/>
    <w:rsid w:val="00952B51"/>
    <w:rsid w:val="00952DBB"/>
    <w:rsid w:val="00952E22"/>
    <w:rsid w:val="00952E9A"/>
    <w:rsid w:val="00952EC5"/>
    <w:rsid w:val="00953229"/>
    <w:rsid w:val="009533E1"/>
    <w:rsid w:val="00953451"/>
    <w:rsid w:val="009535E4"/>
    <w:rsid w:val="00953750"/>
    <w:rsid w:val="00953982"/>
    <w:rsid w:val="00953A0E"/>
    <w:rsid w:val="00953B98"/>
    <w:rsid w:val="00953D3D"/>
    <w:rsid w:val="00953D72"/>
    <w:rsid w:val="00953E1E"/>
    <w:rsid w:val="00953E4E"/>
    <w:rsid w:val="00953F45"/>
    <w:rsid w:val="00954113"/>
    <w:rsid w:val="00954124"/>
    <w:rsid w:val="00954156"/>
    <w:rsid w:val="009541EA"/>
    <w:rsid w:val="00954416"/>
    <w:rsid w:val="009546EC"/>
    <w:rsid w:val="00954743"/>
    <w:rsid w:val="00954776"/>
    <w:rsid w:val="00954846"/>
    <w:rsid w:val="00954A86"/>
    <w:rsid w:val="00954ACB"/>
    <w:rsid w:val="00954B57"/>
    <w:rsid w:val="00954E6C"/>
    <w:rsid w:val="00954F11"/>
    <w:rsid w:val="00954F19"/>
    <w:rsid w:val="00954F77"/>
    <w:rsid w:val="00955141"/>
    <w:rsid w:val="009551BC"/>
    <w:rsid w:val="0095538F"/>
    <w:rsid w:val="00955531"/>
    <w:rsid w:val="009556F5"/>
    <w:rsid w:val="00955718"/>
    <w:rsid w:val="0095574E"/>
    <w:rsid w:val="009557D2"/>
    <w:rsid w:val="009557FB"/>
    <w:rsid w:val="00955833"/>
    <w:rsid w:val="00955BBA"/>
    <w:rsid w:val="00955C6B"/>
    <w:rsid w:val="00955C95"/>
    <w:rsid w:val="00955CCD"/>
    <w:rsid w:val="00955D57"/>
    <w:rsid w:val="00955DE0"/>
    <w:rsid w:val="00955E56"/>
    <w:rsid w:val="00955EC7"/>
    <w:rsid w:val="00956075"/>
    <w:rsid w:val="0095630A"/>
    <w:rsid w:val="00956346"/>
    <w:rsid w:val="00956379"/>
    <w:rsid w:val="0095640F"/>
    <w:rsid w:val="009564E9"/>
    <w:rsid w:val="009565D5"/>
    <w:rsid w:val="009567BC"/>
    <w:rsid w:val="009568F5"/>
    <w:rsid w:val="009568FD"/>
    <w:rsid w:val="00956996"/>
    <w:rsid w:val="00956A2C"/>
    <w:rsid w:val="00956AE1"/>
    <w:rsid w:val="00956E98"/>
    <w:rsid w:val="00956E9E"/>
    <w:rsid w:val="00956EAA"/>
    <w:rsid w:val="00956F7E"/>
    <w:rsid w:val="00956FF4"/>
    <w:rsid w:val="00957048"/>
    <w:rsid w:val="009570A4"/>
    <w:rsid w:val="009572D0"/>
    <w:rsid w:val="009573E7"/>
    <w:rsid w:val="009574E7"/>
    <w:rsid w:val="009576DA"/>
    <w:rsid w:val="009576E1"/>
    <w:rsid w:val="009577DA"/>
    <w:rsid w:val="009577EA"/>
    <w:rsid w:val="00957812"/>
    <w:rsid w:val="009578CF"/>
    <w:rsid w:val="00957A7A"/>
    <w:rsid w:val="00957BAC"/>
    <w:rsid w:val="00957DDD"/>
    <w:rsid w:val="00957FDF"/>
    <w:rsid w:val="0096023A"/>
    <w:rsid w:val="00960249"/>
    <w:rsid w:val="0096025F"/>
    <w:rsid w:val="00960378"/>
    <w:rsid w:val="0096043C"/>
    <w:rsid w:val="00960683"/>
    <w:rsid w:val="0096070B"/>
    <w:rsid w:val="009607F7"/>
    <w:rsid w:val="00960850"/>
    <w:rsid w:val="00960919"/>
    <w:rsid w:val="00960999"/>
    <w:rsid w:val="00960AF0"/>
    <w:rsid w:val="00960CCD"/>
    <w:rsid w:val="00960F13"/>
    <w:rsid w:val="00960F76"/>
    <w:rsid w:val="00960F7C"/>
    <w:rsid w:val="00961007"/>
    <w:rsid w:val="00961114"/>
    <w:rsid w:val="009611D0"/>
    <w:rsid w:val="00961204"/>
    <w:rsid w:val="0096123F"/>
    <w:rsid w:val="009614B0"/>
    <w:rsid w:val="00961516"/>
    <w:rsid w:val="0096168D"/>
    <w:rsid w:val="00961718"/>
    <w:rsid w:val="0096180B"/>
    <w:rsid w:val="00961811"/>
    <w:rsid w:val="009618C3"/>
    <w:rsid w:val="00961919"/>
    <w:rsid w:val="00961AED"/>
    <w:rsid w:val="00961B6B"/>
    <w:rsid w:val="00961B9B"/>
    <w:rsid w:val="00961BC9"/>
    <w:rsid w:val="00961C03"/>
    <w:rsid w:val="00961CA5"/>
    <w:rsid w:val="00962305"/>
    <w:rsid w:val="00962321"/>
    <w:rsid w:val="0096235D"/>
    <w:rsid w:val="009623CE"/>
    <w:rsid w:val="0096245D"/>
    <w:rsid w:val="0096269A"/>
    <w:rsid w:val="00962A4F"/>
    <w:rsid w:val="00962BBE"/>
    <w:rsid w:val="00962BF1"/>
    <w:rsid w:val="00962E4D"/>
    <w:rsid w:val="009630E8"/>
    <w:rsid w:val="00963117"/>
    <w:rsid w:val="00963183"/>
    <w:rsid w:val="0096318F"/>
    <w:rsid w:val="009632DA"/>
    <w:rsid w:val="009634C9"/>
    <w:rsid w:val="009634E5"/>
    <w:rsid w:val="009636E6"/>
    <w:rsid w:val="00963833"/>
    <w:rsid w:val="00963836"/>
    <w:rsid w:val="0096388E"/>
    <w:rsid w:val="00963B2E"/>
    <w:rsid w:val="00963BEB"/>
    <w:rsid w:val="00963E09"/>
    <w:rsid w:val="00963F1E"/>
    <w:rsid w:val="00963FBF"/>
    <w:rsid w:val="00964012"/>
    <w:rsid w:val="00964088"/>
    <w:rsid w:val="009642C5"/>
    <w:rsid w:val="00964324"/>
    <w:rsid w:val="009645EE"/>
    <w:rsid w:val="0096479F"/>
    <w:rsid w:val="009647BC"/>
    <w:rsid w:val="00964AE8"/>
    <w:rsid w:val="00964C2A"/>
    <w:rsid w:val="00964C45"/>
    <w:rsid w:val="00964D23"/>
    <w:rsid w:val="00964F0A"/>
    <w:rsid w:val="00964F2C"/>
    <w:rsid w:val="00964FCF"/>
    <w:rsid w:val="0096505E"/>
    <w:rsid w:val="00965217"/>
    <w:rsid w:val="00965266"/>
    <w:rsid w:val="0096530D"/>
    <w:rsid w:val="00965500"/>
    <w:rsid w:val="0096562D"/>
    <w:rsid w:val="00965A6C"/>
    <w:rsid w:val="00965AB4"/>
    <w:rsid w:val="00965C69"/>
    <w:rsid w:val="009660E7"/>
    <w:rsid w:val="0096610C"/>
    <w:rsid w:val="0096613C"/>
    <w:rsid w:val="0096613F"/>
    <w:rsid w:val="00966263"/>
    <w:rsid w:val="0096626E"/>
    <w:rsid w:val="00966329"/>
    <w:rsid w:val="0096638A"/>
    <w:rsid w:val="0096646F"/>
    <w:rsid w:val="00966520"/>
    <w:rsid w:val="0096655D"/>
    <w:rsid w:val="0096694F"/>
    <w:rsid w:val="009669AE"/>
    <w:rsid w:val="00966A1B"/>
    <w:rsid w:val="00966A7B"/>
    <w:rsid w:val="00966CF6"/>
    <w:rsid w:val="00966E75"/>
    <w:rsid w:val="00966EE4"/>
    <w:rsid w:val="00966F76"/>
    <w:rsid w:val="00967208"/>
    <w:rsid w:val="00967604"/>
    <w:rsid w:val="009678AB"/>
    <w:rsid w:val="00967962"/>
    <w:rsid w:val="00967A0F"/>
    <w:rsid w:val="00967C0B"/>
    <w:rsid w:val="00967C38"/>
    <w:rsid w:val="00967CE6"/>
    <w:rsid w:val="009700B8"/>
    <w:rsid w:val="00970156"/>
    <w:rsid w:val="0097018F"/>
    <w:rsid w:val="00970667"/>
    <w:rsid w:val="009707C3"/>
    <w:rsid w:val="00970821"/>
    <w:rsid w:val="009709B3"/>
    <w:rsid w:val="009709EF"/>
    <w:rsid w:val="00970ABC"/>
    <w:rsid w:val="00970B24"/>
    <w:rsid w:val="00970C60"/>
    <w:rsid w:val="00970C9B"/>
    <w:rsid w:val="0097103D"/>
    <w:rsid w:val="009710F6"/>
    <w:rsid w:val="0097123F"/>
    <w:rsid w:val="009713F4"/>
    <w:rsid w:val="00971403"/>
    <w:rsid w:val="009716F4"/>
    <w:rsid w:val="00971718"/>
    <w:rsid w:val="009717BF"/>
    <w:rsid w:val="00971855"/>
    <w:rsid w:val="009718DF"/>
    <w:rsid w:val="00971956"/>
    <w:rsid w:val="00971988"/>
    <w:rsid w:val="00971BB3"/>
    <w:rsid w:val="00971E55"/>
    <w:rsid w:val="00971F05"/>
    <w:rsid w:val="00971FC7"/>
    <w:rsid w:val="00971FED"/>
    <w:rsid w:val="009720AC"/>
    <w:rsid w:val="0097213B"/>
    <w:rsid w:val="00972141"/>
    <w:rsid w:val="00972388"/>
    <w:rsid w:val="009723D8"/>
    <w:rsid w:val="00972520"/>
    <w:rsid w:val="00972980"/>
    <w:rsid w:val="00972994"/>
    <w:rsid w:val="00972ABC"/>
    <w:rsid w:val="00972B23"/>
    <w:rsid w:val="00972C37"/>
    <w:rsid w:val="00972C40"/>
    <w:rsid w:val="00972C8A"/>
    <w:rsid w:val="00972D70"/>
    <w:rsid w:val="00972E7C"/>
    <w:rsid w:val="00973702"/>
    <w:rsid w:val="00973740"/>
    <w:rsid w:val="009737D1"/>
    <w:rsid w:val="00973859"/>
    <w:rsid w:val="009739EF"/>
    <w:rsid w:val="00973B3B"/>
    <w:rsid w:val="00973B61"/>
    <w:rsid w:val="00973B97"/>
    <w:rsid w:val="00973ECA"/>
    <w:rsid w:val="00974062"/>
    <w:rsid w:val="009740AD"/>
    <w:rsid w:val="009741BE"/>
    <w:rsid w:val="009741D1"/>
    <w:rsid w:val="009741ED"/>
    <w:rsid w:val="0097429B"/>
    <w:rsid w:val="009742DC"/>
    <w:rsid w:val="0097440C"/>
    <w:rsid w:val="009744CC"/>
    <w:rsid w:val="00974537"/>
    <w:rsid w:val="009745EC"/>
    <w:rsid w:val="009746B8"/>
    <w:rsid w:val="0097490E"/>
    <w:rsid w:val="0097494C"/>
    <w:rsid w:val="00974AD7"/>
    <w:rsid w:val="00974BE8"/>
    <w:rsid w:val="00974C9C"/>
    <w:rsid w:val="00974CE6"/>
    <w:rsid w:val="00974D36"/>
    <w:rsid w:val="00974D85"/>
    <w:rsid w:val="00974E1D"/>
    <w:rsid w:val="009752A2"/>
    <w:rsid w:val="009753C6"/>
    <w:rsid w:val="009753FC"/>
    <w:rsid w:val="009756D4"/>
    <w:rsid w:val="00975702"/>
    <w:rsid w:val="00975865"/>
    <w:rsid w:val="00975970"/>
    <w:rsid w:val="00975985"/>
    <w:rsid w:val="00975A5A"/>
    <w:rsid w:val="00975B45"/>
    <w:rsid w:val="00975CFD"/>
    <w:rsid w:val="00975F7B"/>
    <w:rsid w:val="009760AD"/>
    <w:rsid w:val="009760F9"/>
    <w:rsid w:val="00976318"/>
    <w:rsid w:val="00976374"/>
    <w:rsid w:val="009763CD"/>
    <w:rsid w:val="009763FA"/>
    <w:rsid w:val="0097646C"/>
    <w:rsid w:val="00976543"/>
    <w:rsid w:val="0097658E"/>
    <w:rsid w:val="00976818"/>
    <w:rsid w:val="0097684B"/>
    <w:rsid w:val="00976944"/>
    <w:rsid w:val="00976A0B"/>
    <w:rsid w:val="00976C88"/>
    <w:rsid w:val="00976D64"/>
    <w:rsid w:val="00976EEC"/>
    <w:rsid w:val="00976F16"/>
    <w:rsid w:val="00977069"/>
    <w:rsid w:val="0097707C"/>
    <w:rsid w:val="009770B1"/>
    <w:rsid w:val="00977207"/>
    <w:rsid w:val="009772AB"/>
    <w:rsid w:val="00977344"/>
    <w:rsid w:val="009773AD"/>
    <w:rsid w:val="009773FE"/>
    <w:rsid w:val="00977464"/>
    <w:rsid w:val="009774F5"/>
    <w:rsid w:val="009779D1"/>
    <w:rsid w:val="00977B66"/>
    <w:rsid w:val="00977D82"/>
    <w:rsid w:val="00977EB2"/>
    <w:rsid w:val="00977F0C"/>
    <w:rsid w:val="00977FFA"/>
    <w:rsid w:val="0098001E"/>
    <w:rsid w:val="00980057"/>
    <w:rsid w:val="009800B1"/>
    <w:rsid w:val="009801B2"/>
    <w:rsid w:val="009802B5"/>
    <w:rsid w:val="009802E4"/>
    <w:rsid w:val="009803BD"/>
    <w:rsid w:val="00980614"/>
    <w:rsid w:val="0098079B"/>
    <w:rsid w:val="0098083E"/>
    <w:rsid w:val="0098087E"/>
    <w:rsid w:val="00980897"/>
    <w:rsid w:val="00980A92"/>
    <w:rsid w:val="00980CA8"/>
    <w:rsid w:val="00980FE2"/>
    <w:rsid w:val="00981057"/>
    <w:rsid w:val="009810DA"/>
    <w:rsid w:val="00981195"/>
    <w:rsid w:val="00981544"/>
    <w:rsid w:val="009815B6"/>
    <w:rsid w:val="009815BE"/>
    <w:rsid w:val="0098168A"/>
    <w:rsid w:val="009816D6"/>
    <w:rsid w:val="009817F9"/>
    <w:rsid w:val="00981829"/>
    <w:rsid w:val="0098182E"/>
    <w:rsid w:val="009819C4"/>
    <w:rsid w:val="009819C5"/>
    <w:rsid w:val="00981A03"/>
    <w:rsid w:val="00981A8F"/>
    <w:rsid w:val="00981AEC"/>
    <w:rsid w:val="00981C40"/>
    <w:rsid w:val="00981C58"/>
    <w:rsid w:val="00981E00"/>
    <w:rsid w:val="00981E14"/>
    <w:rsid w:val="009820E6"/>
    <w:rsid w:val="0098217B"/>
    <w:rsid w:val="009822E4"/>
    <w:rsid w:val="0098232E"/>
    <w:rsid w:val="00982574"/>
    <w:rsid w:val="00982579"/>
    <w:rsid w:val="00982694"/>
    <w:rsid w:val="009828F3"/>
    <w:rsid w:val="009829B8"/>
    <w:rsid w:val="009829DC"/>
    <w:rsid w:val="00982BB2"/>
    <w:rsid w:val="00982F37"/>
    <w:rsid w:val="00983142"/>
    <w:rsid w:val="0098315F"/>
    <w:rsid w:val="00983180"/>
    <w:rsid w:val="009832CD"/>
    <w:rsid w:val="0098342C"/>
    <w:rsid w:val="0098346D"/>
    <w:rsid w:val="009834A7"/>
    <w:rsid w:val="009836E2"/>
    <w:rsid w:val="00983A26"/>
    <w:rsid w:val="00983BC8"/>
    <w:rsid w:val="00983BD1"/>
    <w:rsid w:val="00983C7F"/>
    <w:rsid w:val="00983D79"/>
    <w:rsid w:val="00983DDC"/>
    <w:rsid w:val="0098418E"/>
    <w:rsid w:val="009841EB"/>
    <w:rsid w:val="0098425A"/>
    <w:rsid w:val="0098425C"/>
    <w:rsid w:val="00984327"/>
    <w:rsid w:val="009843B8"/>
    <w:rsid w:val="00984523"/>
    <w:rsid w:val="0098463E"/>
    <w:rsid w:val="00984737"/>
    <w:rsid w:val="00984856"/>
    <w:rsid w:val="00984AFD"/>
    <w:rsid w:val="00984BFA"/>
    <w:rsid w:val="00984D03"/>
    <w:rsid w:val="00984FEE"/>
    <w:rsid w:val="009850DB"/>
    <w:rsid w:val="009852DB"/>
    <w:rsid w:val="0098595F"/>
    <w:rsid w:val="00985A31"/>
    <w:rsid w:val="00985B1C"/>
    <w:rsid w:val="00985D06"/>
    <w:rsid w:val="00986188"/>
    <w:rsid w:val="0098618D"/>
    <w:rsid w:val="00986336"/>
    <w:rsid w:val="0098643E"/>
    <w:rsid w:val="009864C7"/>
    <w:rsid w:val="009865D6"/>
    <w:rsid w:val="00986704"/>
    <w:rsid w:val="009867EE"/>
    <w:rsid w:val="00986A60"/>
    <w:rsid w:val="00986BD8"/>
    <w:rsid w:val="00986C58"/>
    <w:rsid w:val="00986D11"/>
    <w:rsid w:val="00987018"/>
    <w:rsid w:val="0098706F"/>
    <w:rsid w:val="009870CE"/>
    <w:rsid w:val="0098714D"/>
    <w:rsid w:val="0098738E"/>
    <w:rsid w:val="009873FB"/>
    <w:rsid w:val="00987735"/>
    <w:rsid w:val="0098776B"/>
    <w:rsid w:val="009878A7"/>
    <w:rsid w:val="009879B1"/>
    <w:rsid w:val="00987A35"/>
    <w:rsid w:val="00987B71"/>
    <w:rsid w:val="00987B74"/>
    <w:rsid w:val="00987D46"/>
    <w:rsid w:val="00987EC5"/>
    <w:rsid w:val="00990372"/>
    <w:rsid w:val="00990424"/>
    <w:rsid w:val="0099058E"/>
    <w:rsid w:val="00990680"/>
    <w:rsid w:val="009907F4"/>
    <w:rsid w:val="00990985"/>
    <w:rsid w:val="00990A1D"/>
    <w:rsid w:val="00990DA7"/>
    <w:rsid w:val="00990DD1"/>
    <w:rsid w:val="00990EF8"/>
    <w:rsid w:val="0099132A"/>
    <w:rsid w:val="0099133A"/>
    <w:rsid w:val="00991567"/>
    <w:rsid w:val="009915E0"/>
    <w:rsid w:val="00991889"/>
    <w:rsid w:val="0099192D"/>
    <w:rsid w:val="009919E8"/>
    <w:rsid w:val="00991B80"/>
    <w:rsid w:val="00991C92"/>
    <w:rsid w:val="00991D04"/>
    <w:rsid w:val="00991D3F"/>
    <w:rsid w:val="00991FF1"/>
    <w:rsid w:val="009920DD"/>
    <w:rsid w:val="0099250D"/>
    <w:rsid w:val="00992562"/>
    <w:rsid w:val="00992580"/>
    <w:rsid w:val="009925A9"/>
    <w:rsid w:val="009926D9"/>
    <w:rsid w:val="00992825"/>
    <w:rsid w:val="009929E7"/>
    <w:rsid w:val="00992A76"/>
    <w:rsid w:val="00992CC1"/>
    <w:rsid w:val="00992F67"/>
    <w:rsid w:val="00992FA7"/>
    <w:rsid w:val="009932AD"/>
    <w:rsid w:val="009933FD"/>
    <w:rsid w:val="00993460"/>
    <w:rsid w:val="0099350F"/>
    <w:rsid w:val="00993669"/>
    <w:rsid w:val="009936A9"/>
    <w:rsid w:val="0099383A"/>
    <w:rsid w:val="00993AD6"/>
    <w:rsid w:val="00993C6F"/>
    <w:rsid w:val="00993FC5"/>
    <w:rsid w:val="009941C5"/>
    <w:rsid w:val="009942BD"/>
    <w:rsid w:val="009942FC"/>
    <w:rsid w:val="00994364"/>
    <w:rsid w:val="00994490"/>
    <w:rsid w:val="00994581"/>
    <w:rsid w:val="00994598"/>
    <w:rsid w:val="009945A7"/>
    <w:rsid w:val="009946C3"/>
    <w:rsid w:val="009946E2"/>
    <w:rsid w:val="0099470D"/>
    <w:rsid w:val="0099472F"/>
    <w:rsid w:val="00994841"/>
    <w:rsid w:val="009948AA"/>
    <w:rsid w:val="00994958"/>
    <w:rsid w:val="009949B8"/>
    <w:rsid w:val="009949D8"/>
    <w:rsid w:val="00994C37"/>
    <w:rsid w:val="00994D2D"/>
    <w:rsid w:val="00994D6E"/>
    <w:rsid w:val="009950D8"/>
    <w:rsid w:val="0099536E"/>
    <w:rsid w:val="00995397"/>
    <w:rsid w:val="009953B3"/>
    <w:rsid w:val="00995599"/>
    <w:rsid w:val="00995A20"/>
    <w:rsid w:val="00995ABC"/>
    <w:rsid w:val="00995DA5"/>
    <w:rsid w:val="00995E84"/>
    <w:rsid w:val="00996023"/>
    <w:rsid w:val="009965E2"/>
    <w:rsid w:val="0099681D"/>
    <w:rsid w:val="009969B0"/>
    <w:rsid w:val="00996AB7"/>
    <w:rsid w:val="00996D2D"/>
    <w:rsid w:val="00996EEF"/>
    <w:rsid w:val="00997056"/>
    <w:rsid w:val="009971A9"/>
    <w:rsid w:val="00997273"/>
    <w:rsid w:val="009974BE"/>
    <w:rsid w:val="00997703"/>
    <w:rsid w:val="009A023E"/>
    <w:rsid w:val="009A0253"/>
    <w:rsid w:val="009A0293"/>
    <w:rsid w:val="009A03AC"/>
    <w:rsid w:val="009A04B8"/>
    <w:rsid w:val="009A05E2"/>
    <w:rsid w:val="009A089F"/>
    <w:rsid w:val="009A0ACE"/>
    <w:rsid w:val="009A0AF8"/>
    <w:rsid w:val="009A0CDD"/>
    <w:rsid w:val="009A0EAC"/>
    <w:rsid w:val="009A0F9E"/>
    <w:rsid w:val="009A1264"/>
    <w:rsid w:val="009A13AC"/>
    <w:rsid w:val="009A1435"/>
    <w:rsid w:val="009A14DB"/>
    <w:rsid w:val="009A1546"/>
    <w:rsid w:val="009A1719"/>
    <w:rsid w:val="009A17C7"/>
    <w:rsid w:val="009A1863"/>
    <w:rsid w:val="009A1AB8"/>
    <w:rsid w:val="009A1BD3"/>
    <w:rsid w:val="009A1E9B"/>
    <w:rsid w:val="009A1F53"/>
    <w:rsid w:val="009A21DF"/>
    <w:rsid w:val="009A22A3"/>
    <w:rsid w:val="009A2323"/>
    <w:rsid w:val="009A2399"/>
    <w:rsid w:val="009A23D2"/>
    <w:rsid w:val="009A254A"/>
    <w:rsid w:val="009A2790"/>
    <w:rsid w:val="009A27BC"/>
    <w:rsid w:val="009A2B28"/>
    <w:rsid w:val="009A2B42"/>
    <w:rsid w:val="009A2C19"/>
    <w:rsid w:val="009A2C53"/>
    <w:rsid w:val="009A2E25"/>
    <w:rsid w:val="009A3119"/>
    <w:rsid w:val="009A3238"/>
    <w:rsid w:val="009A33C4"/>
    <w:rsid w:val="009A33CB"/>
    <w:rsid w:val="009A3645"/>
    <w:rsid w:val="009A3680"/>
    <w:rsid w:val="009A37C1"/>
    <w:rsid w:val="009A37EF"/>
    <w:rsid w:val="009A386B"/>
    <w:rsid w:val="009A39E5"/>
    <w:rsid w:val="009A39E7"/>
    <w:rsid w:val="009A3A17"/>
    <w:rsid w:val="009A3B08"/>
    <w:rsid w:val="009A3D7C"/>
    <w:rsid w:val="009A3E4D"/>
    <w:rsid w:val="009A3F44"/>
    <w:rsid w:val="009A3F8D"/>
    <w:rsid w:val="009A4090"/>
    <w:rsid w:val="009A426A"/>
    <w:rsid w:val="009A4291"/>
    <w:rsid w:val="009A4313"/>
    <w:rsid w:val="009A448F"/>
    <w:rsid w:val="009A461E"/>
    <w:rsid w:val="009A4704"/>
    <w:rsid w:val="009A491C"/>
    <w:rsid w:val="009A4977"/>
    <w:rsid w:val="009A4B9B"/>
    <w:rsid w:val="009A4C4A"/>
    <w:rsid w:val="009A4C56"/>
    <w:rsid w:val="009A4D43"/>
    <w:rsid w:val="009A5114"/>
    <w:rsid w:val="009A513E"/>
    <w:rsid w:val="009A5206"/>
    <w:rsid w:val="009A5291"/>
    <w:rsid w:val="009A5389"/>
    <w:rsid w:val="009A53BD"/>
    <w:rsid w:val="009A53F8"/>
    <w:rsid w:val="009A5502"/>
    <w:rsid w:val="009A5604"/>
    <w:rsid w:val="009A5689"/>
    <w:rsid w:val="009A5738"/>
    <w:rsid w:val="009A5779"/>
    <w:rsid w:val="009A58D1"/>
    <w:rsid w:val="009A58F3"/>
    <w:rsid w:val="009A5963"/>
    <w:rsid w:val="009A5983"/>
    <w:rsid w:val="009A5A8B"/>
    <w:rsid w:val="009A5CA7"/>
    <w:rsid w:val="009A5EDC"/>
    <w:rsid w:val="009A6072"/>
    <w:rsid w:val="009A61A2"/>
    <w:rsid w:val="009A61EB"/>
    <w:rsid w:val="009A622E"/>
    <w:rsid w:val="009A630F"/>
    <w:rsid w:val="009A639A"/>
    <w:rsid w:val="009A656B"/>
    <w:rsid w:val="009A6A45"/>
    <w:rsid w:val="009A6A8C"/>
    <w:rsid w:val="009A6B7B"/>
    <w:rsid w:val="009A6DBC"/>
    <w:rsid w:val="009A6E39"/>
    <w:rsid w:val="009A7020"/>
    <w:rsid w:val="009A7068"/>
    <w:rsid w:val="009A70D2"/>
    <w:rsid w:val="009A7331"/>
    <w:rsid w:val="009A736B"/>
    <w:rsid w:val="009A7374"/>
    <w:rsid w:val="009A73D6"/>
    <w:rsid w:val="009A7791"/>
    <w:rsid w:val="009A77C4"/>
    <w:rsid w:val="009A793F"/>
    <w:rsid w:val="009A7AA0"/>
    <w:rsid w:val="009A7AA6"/>
    <w:rsid w:val="009A7C31"/>
    <w:rsid w:val="009A7C46"/>
    <w:rsid w:val="009A7D14"/>
    <w:rsid w:val="009A7D35"/>
    <w:rsid w:val="009A7D5B"/>
    <w:rsid w:val="009A7DB8"/>
    <w:rsid w:val="009A7ED3"/>
    <w:rsid w:val="009A7EE9"/>
    <w:rsid w:val="009A7F26"/>
    <w:rsid w:val="009B018F"/>
    <w:rsid w:val="009B05EF"/>
    <w:rsid w:val="009B061C"/>
    <w:rsid w:val="009B0745"/>
    <w:rsid w:val="009B0843"/>
    <w:rsid w:val="009B0A48"/>
    <w:rsid w:val="009B0A64"/>
    <w:rsid w:val="009B0CB2"/>
    <w:rsid w:val="009B0D28"/>
    <w:rsid w:val="009B0DAE"/>
    <w:rsid w:val="009B0E83"/>
    <w:rsid w:val="009B0E90"/>
    <w:rsid w:val="009B0EC0"/>
    <w:rsid w:val="009B0F5F"/>
    <w:rsid w:val="009B0F71"/>
    <w:rsid w:val="009B115F"/>
    <w:rsid w:val="009B1212"/>
    <w:rsid w:val="009B12AC"/>
    <w:rsid w:val="009B1326"/>
    <w:rsid w:val="009B1327"/>
    <w:rsid w:val="009B1445"/>
    <w:rsid w:val="009B1551"/>
    <w:rsid w:val="009B15B8"/>
    <w:rsid w:val="009B1A48"/>
    <w:rsid w:val="009B1A8B"/>
    <w:rsid w:val="009B1B06"/>
    <w:rsid w:val="009B1E28"/>
    <w:rsid w:val="009B208A"/>
    <w:rsid w:val="009B20BC"/>
    <w:rsid w:val="009B2152"/>
    <w:rsid w:val="009B21A8"/>
    <w:rsid w:val="009B2231"/>
    <w:rsid w:val="009B2375"/>
    <w:rsid w:val="009B2563"/>
    <w:rsid w:val="009B2648"/>
    <w:rsid w:val="009B28D9"/>
    <w:rsid w:val="009B2A27"/>
    <w:rsid w:val="009B2AB3"/>
    <w:rsid w:val="009B2AE2"/>
    <w:rsid w:val="009B2B9C"/>
    <w:rsid w:val="009B2BB7"/>
    <w:rsid w:val="009B2CE3"/>
    <w:rsid w:val="009B2DC0"/>
    <w:rsid w:val="009B2DD0"/>
    <w:rsid w:val="009B2FDB"/>
    <w:rsid w:val="009B3113"/>
    <w:rsid w:val="009B314F"/>
    <w:rsid w:val="009B3296"/>
    <w:rsid w:val="009B3575"/>
    <w:rsid w:val="009B35D5"/>
    <w:rsid w:val="009B36B4"/>
    <w:rsid w:val="009B37F4"/>
    <w:rsid w:val="009B3853"/>
    <w:rsid w:val="009B3893"/>
    <w:rsid w:val="009B38EA"/>
    <w:rsid w:val="009B3A0D"/>
    <w:rsid w:val="009B3A5B"/>
    <w:rsid w:val="009B3C64"/>
    <w:rsid w:val="009B3F0D"/>
    <w:rsid w:val="009B3FD0"/>
    <w:rsid w:val="009B412B"/>
    <w:rsid w:val="009B4130"/>
    <w:rsid w:val="009B41F3"/>
    <w:rsid w:val="009B4273"/>
    <w:rsid w:val="009B430A"/>
    <w:rsid w:val="009B43FF"/>
    <w:rsid w:val="009B4761"/>
    <w:rsid w:val="009B4837"/>
    <w:rsid w:val="009B497F"/>
    <w:rsid w:val="009B49B4"/>
    <w:rsid w:val="009B4AFC"/>
    <w:rsid w:val="009B4BE3"/>
    <w:rsid w:val="009B4C09"/>
    <w:rsid w:val="009B4E79"/>
    <w:rsid w:val="009B50C1"/>
    <w:rsid w:val="009B52AB"/>
    <w:rsid w:val="009B5440"/>
    <w:rsid w:val="009B5443"/>
    <w:rsid w:val="009B5649"/>
    <w:rsid w:val="009B5806"/>
    <w:rsid w:val="009B586D"/>
    <w:rsid w:val="009B5C82"/>
    <w:rsid w:val="009B5D0F"/>
    <w:rsid w:val="009B5D57"/>
    <w:rsid w:val="009B5D99"/>
    <w:rsid w:val="009B5E38"/>
    <w:rsid w:val="009B5FD1"/>
    <w:rsid w:val="009B6031"/>
    <w:rsid w:val="009B614A"/>
    <w:rsid w:val="009B61B1"/>
    <w:rsid w:val="009B6504"/>
    <w:rsid w:val="009B68E8"/>
    <w:rsid w:val="009B69D1"/>
    <w:rsid w:val="009B6ABA"/>
    <w:rsid w:val="009B73C3"/>
    <w:rsid w:val="009B741D"/>
    <w:rsid w:val="009B75D2"/>
    <w:rsid w:val="009B760F"/>
    <w:rsid w:val="009B7723"/>
    <w:rsid w:val="009B7797"/>
    <w:rsid w:val="009B7AD9"/>
    <w:rsid w:val="009B7B28"/>
    <w:rsid w:val="009B7C5C"/>
    <w:rsid w:val="009B7D3C"/>
    <w:rsid w:val="009B7E35"/>
    <w:rsid w:val="009B7F0A"/>
    <w:rsid w:val="009B7FD2"/>
    <w:rsid w:val="009B7FF7"/>
    <w:rsid w:val="009C033D"/>
    <w:rsid w:val="009C03AB"/>
    <w:rsid w:val="009C0576"/>
    <w:rsid w:val="009C05E8"/>
    <w:rsid w:val="009C05EE"/>
    <w:rsid w:val="009C0605"/>
    <w:rsid w:val="009C0728"/>
    <w:rsid w:val="009C0743"/>
    <w:rsid w:val="009C085A"/>
    <w:rsid w:val="009C0AA6"/>
    <w:rsid w:val="009C0B32"/>
    <w:rsid w:val="009C0C2C"/>
    <w:rsid w:val="009C0DDB"/>
    <w:rsid w:val="009C0EEE"/>
    <w:rsid w:val="009C0F1A"/>
    <w:rsid w:val="009C0FBA"/>
    <w:rsid w:val="009C1060"/>
    <w:rsid w:val="009C1190"/>
    <w:rsid w:val="009C1545"/>
    <w:rsid w:val="009C16C9"/>
    <w:rsid w:val="009C1AEE"/>
    <w:rsid w:val="009C1CEE"/>
    <w:rsid w:val="009C1D79"/>
    <w:rsid w:val="009C1D7F"/>
    <w:rsid w:val="009C1F40"/>
    <w:rsid w:val="009C22B8"/>
    <w:rsid w:val="009C2491"/>
    <w:rsid w:val="009C25CF"/>
    <w:rsid w:val="009C260E"/>
    <w:rsid w:val="009C26BC"/>
    <w:rsid w:val="009C2774"/>
    <w:rsid w:val="009C27FC"/>
    <w:rsid w:val="009C2800"/>
    <w:rsid w:val="009C287A"/>
    <w:rsid w:val="009C2AD5"/>
    <w:rsid w:val="009C2B3A"/>
    <w:rsid w:val="009C2C33"/>
    <w:rsid w:val="009C2F30"/>
    <w:rsid w:val="009C2F97"/>
    <w:rsid w:val="009C3092"/>
    <w:rsid w:val="009C3584"/>
    <w:rsid w:val="009C35EA"/>
    <w:rsid w:val="009C361F"/>
    <w:rsid w:val="009C3642"/>
    <w:rsid w:val="009C38C6"/>
    <w:rsid w:val="009C3933"/>
    <w:rsid w:val="009C3A42"/>
    <w:rsid w:val="009C3BCF"/>
    <w:rsid w:val="009C3C03"/>
    <w:rsid w:val="009C3CD1"/>
    <w:rsid w:val="009C3DC8"/>
    <w:rsid w:val="009C3DE9"/>
    <w:rsid w:val="009C3FE8"/>
    <w:rsid w:val="009C40DA"/>
    <w:rsid w:val="009C4100"/>
    <w:rsid w:val="009C4233"/>
    <w:rsid w:val="009C43E2"/>
    <w:rsid w:val="009C443F"/>
    <w:rsid w:val="009C45A9"/>
    <w:rsid w:val="009C4670"/>
    <w:rsid w:val="009C4810"/>
    <w:rsid w:val="009C49C9"/>
    <w:rsid w:val="009C4A48"/>
    <w:rsid w:val="009C4C14"/>
    <w:rsid w:val="009C4C38"/>
    <w:rsid w:val="009C4CD4"/>
    <w:rsid w:val="009C4DB3"/>
    <w:rsid w:val="009C50D8"/>
    <w:rsid w:val="009C516B"/>
    <w:rsid w:val="009C5281"/>
    <w:rsid w:val="009C5426"/>
    <w:rsid w:val="009C5495"/>
    <w:rsid w:val="009C5530"/>
    <w:rsid w:val="009C55A0"/>
    <w:rsid w:val="009C5839"/>
    <w:rsid w:val="009C59C4"/>
    <w:rsid w:val="009C5D85"/>
    <w:rsid w:val="009C5E98"/>
    <w:rsid w:val="009C602E"/>
    <w:rsid w:val="009C627F"/>
    <w:rsid w:val="009C62DD"/>
    <w:rsid w:val="009C64A9"/>
    <w:rsid w:val="009C656A"/>
    <w:rsid w:val="009C66A4"/>
    <w:rsid w:val="009C678D"/>
    <w:rsid w:val="009C6853"/>
    <w:rsid w:val="009C687C"/>
    <w:rsid w:val="009C68D7"/>
    <w:rsid w:val="009C694E"/>
    <w:rsid w:val="009C698B"/>
    <w:rsid w:val="009C6B9E"/>
    <w:rsid w:val="009C6D59"/>
    <w:rsid w:val="009C6D9D"/>
    <w:rsid w:val="009C6E13"/>
    <w:rsid w:val="009C6E29"/>
    <w:rsid w:val="009C6FF8"/>
    <w:rsid w:val="009C6FFC"/>
    <w:rsid w:val="009C758A"/>
    <w:rsid w:val="009C75B8"/>
    <w:rsid w:val="009C7703"/>
    <w:rsid w:val="009C7745"/>
    <w:rsid w:val="009C7873"/>
    <w:rsid w:val="009C78A5"/>
    <w:rsid w:val="009C790C"/>
    <w:rsid w:val="009C7962"/>
    <w:rsid w:val="009C7980"/>
    <w:rsid w:val="009C7A0B"/>
    <w:rsid w:val="009C7AF6"/>
    <w:rsid w:val="009C7CF2"/>
    <w:rsid w:val="009C7DF5"/>
    <w:rsid w:val="009C7F5A"/>
    <w:rsid w:val="009D0079"/>
    <w:rsid w:val="009D0373"/>
    <w:rsid w:val="009D0487"/>
    <w:rsid w:val="009D04B7"/>
    <w:rsid w:val="009D07A2"/>
    <w:rsid w:val="009D096B"/>
    <w:rsid w:val="009D0AD8"/>
    <w:rsid w:val="009D0BFF"/>
    <w:rsid w:val="009D0CF1"/>
    <w:rsid w:val="009D0D34"/>
    <w:rsid w:val="009D10F2"/>
    <w:rsid w:val="009D10F4"/>
    <w:rsid w:val="009D12D2"/>
    <w:rsid w:val="009D1370"/>
    <w:rsid w:val="009D14F2"/>
    <w:rsid w:val="009D1923"/>
    <w:rsid w:val="009D1968"/>
    <w:rsid w:val="009D196D"/>
    <w:rsid w:val="009D19AD"/>
    <w:rsid w:val="009D1A5A"/>
    <w:rsid w:val="009D1B50"/>
    <w:rsid w:val="009D1E5C"/>
    <w:rsid w:val="009D1F2B"/>
    <w:rsid w:val="009D2110"/>
    <w:rsid w:val="009D233D"/>
    <w:rsid w:val="009D2379"/>
    <w:rsid w:val="009D2590"/>
    <w:rsid w:val="009D26DD"/>
    <w:rsid w:val="009D271D"/>
    <w:rsid w:val="009D281A"/>
    <w:rsid w:val="009D29A4"/>
    <w:rsid w:val="009D2B96"/>
    <w:rsid w:val="009D2C05"/>
    <w:rsid w:val="009D2CDF"/>
    <w:rsid w:val="009D2DE0"/>
    <w:rsid w:val="009D2F8F"/>
    <w:rsid w:val="009D3002"/>
    <w:rsid w:val="009D3215"/>
    <w:rsid w:val="009D326C"/>
    <w:rsid w:val="009D3421"/>
    <w:rsid w:val="009D35A9"/>
    <w:rsid w:val="009D36B6"/>
    <w:rsid w:val="009D39C1"/>
    <w:rsid w:val="009D3AD4"/>
    <w:rsid w:val="009D3D17"/>
    <w:rsid w:val="009D3E68"/>
    <w:rsid w:val="009D3F66"/>
    <w:rsid w:val="009D4057"/>
    <w:rsid w:val="009D40D1"/>
    <w:rsid w:val="009D40F4"/>
    <w:rsid w:val="009D4171"/>
    <w:rsid w:val="009D423A"/>
    <w:rsid w:val="009D4412"/>
    <w:rsid w:val="009D4477"/>
    <w:rsid w:val="009D44E3"/>
    <w:rsid w:val="009D47FC"/>
    <w:rsid w:val="009D4840"/>
    <w:rsid w:val="009D486E"/>
    <w:rsid w:val="009D4AD7"/>
    <w:rsid w:val="009D4BBF"/>
    <w:rsid w:val="009D5126"/>
    <w:rsid w:val="009D5133"/>
    <w:rsid w:val="009D5269"/>
    <w:rsid w:val="009D5281"/>
    <w:rsid w:val="009D53C6"/>
    <w:rsid w:val="009D558C"/>
    <w:rsid w:val="009D55C6"/>
    <w:rsid w:val="009D57E2"/>
    <w:rsid w:val="009D581F"/>
    <w:rsid w:val="009D5AD7"/>
    <w:rsid w:val="009D5E2E"/>
    <w:rsid w:val="009D5FDB"/>
    <w:rsid w:val="009D629A"/>
    <w:rsid w:val="009D6583"/>
    <w:rsid w:val="009D6649"/>
    <w:rsid w:val="009D66B0"/>
    <w:rsid w:val="009D66DF"/>
    <w:rsid w:val="009D66FB"/>
    <w:rsid w:val="009D67D9"/>
    <w:rsid w:val="009D680C"/>
    <w:rsid w:val="009D6814"/>
    <w:rsid w:val="009D68B7"/>
    <w:rsid w:val="009D6C49"/>
    <w:rsid w:val="009D6D19"/>
    <w:rsid w:val="009D6DFF"/>
    <w:rsid w:val="009D6EE8"/>
    <w:rsid w:val="009D6F67"/>
    <w:rsid w:val="009D6FB6"/>
    <w:rsid w:val="009D77A5"/>
    <w:rsid w:val="009D796B"/>
    <w:rsid w:val="009D7A86"/>
    <w:rsid w:val="009D7CDB"/>
    <w:rsid w:val="009D7D6C"/>
    <w:rsid w:val="009E0116"/>
    <w:rsid w:val="009E0204"/>
    <w:rsid w:val="009E03E8"/>
    <w:rsid w:val="009E0542"/>
    <w:rsid w:val="009E054B"/>
    <w:rsid w:val="009E0638"/>
    <w:rsid w:val="009E0794"/>
    <w:rsid w:val="009E084E"/>
    <w:rsid w:val="009E0C70"/>
    <w:rsid w:val="009E0EA3"/>
    <w:rsid w:val="009E0ED6"/>
    <w:rsid w:val="009E0EE0"/>
    <w:rsid w:val="009E1194"/>
    <w:rsid w:val="009E11DB"/>
    <w:rsid w:val="009E12C2"/>
    <w:rsid w:val="009E137F"/>
    <w:rsid w:val="009E139B"/>
    <w:rsid w:val="009E1702"/>
    <w:rsid w:val="009E1833"/>
    <w:rsid w:val="009E1B52"/>
    <w:rsid w:val="009E1C83"/>
    <w:rsid w:val="009E1DCA"/>
    <w:rsid w:val="009E1E89"/>
    <w:rsid w:val="009E1F23"/>
    <w:rsid w:val="009E210E"/>
    <w:rsid w:val="009E2167"/>
    <w:rsid w:val="009E217B"/>
    <w:rsid w:val="009E259E"/>
    <w:rsid w:val="009E25C1"/>
    <w:rsid w:val="009E272F"/>
    <w:rsid w:val="009E275B"/>
    <w:rsid w:val="009E275E"/>
    <w:rsid w:val="009E2A80"/>
    <w:rsid w:val="009E2B60"/>
    <w:rsid w:val="009E2E77"/>
    <w:rsid w:val="009E3049"/>
    <w:rsid w:val="009E346E"/>
    <w:rsid w:val="009E3483"/>
    <w:rsid w:val="009E34CD"/>
    <w:rsid w:val="009E376A"/>
    <w:rsid w:val="009E397F"/>
    <w:rsid w:val="009E3CC4"/>
    <w:rsid w:val="009E3DA3"/>
    <w:rsid w:val="009E3DF7"/>
    <w:rsid w:val="009E3EF3"/>
    <w:rsid w:val="009E3EF9"/>
    <w:rsid w:val="009E42BB"/>
    <w:rsid w:val="009E4406"/>
    <w:rsid w:val="009E4447"/>
    <w:rsid w:val="009E461B"/>
    <w:rsid w:val="009E4709"/>
    <w:rsid w:val="009E473F"/>
    <w:rsid w:val="009E483A"/>
    <w:rsid w:val="009E48B8"/>
    <w:rsid w:val="009E48D6"/>
    <w:rsid w:val="009E49AF"/>
    <w:rsid w:val="009E4AED"/>
    <w:rsid w:val="009E4B10"/>
    <w:rsid w:val="009E4B13"/>
    <w:rsid w:val="009E4D10"/>
    <w:rsid w:val="009E4E90"/>
    <w:rsid w:val="009E5490"/>
    <w:rsid w:val="009E56A8"/>
    <w:rsid w:val="009E58BB"/>
    <w:rsid w:val="009E59CC"/>
    <w:rsid w:val="009E5B00"/>
    <w:rsid w:val="009E5DB9"/>
    <w:rsid w:val="009E5E5B"/>
    <w:rsid w:val="009E6064"/>
    <w:rsid w:val="009E60A6"/>
    <w:rsid w:val="009E60CF"/>
    <w:rsid w:val="009E60EE"/>
    <w:rsid w:val="009E6226"/>
    <w:rsid w:val="009E6545"/>
    <w:rsid w:val="009E6627"/>
    <w:rsid w:val="009E6898"/>
    <w:rsid w:val="009E6A15"/>
    <w:rsid w:val="009E6AE0"/>
    <w:rsid w:val="009E6DB1"/>
    <w:rsid w:val="009E6E1F"/>
    <w:rsid w:val="009E6E39"/>
    <w:rsid w:val="009E7015"/>
    <w:rsid w:val="009E70ED"/>
    <w:rsid w:val="009E7116"/>
    <w:rsid w:val="009E740C"/>
    <w:rsid w:val="009E78A3"/>
    <w:rsid w:val="009E7943"/>
    <w:rsid w:val="009E7D09"/>
    <w:rsid w:val="009E7E5A"/>
    <w:rsid w:val="009F0045"/>
    <w:rsid w:val="009F0163"/>
    <w:rsid w:val="009F025D"/>
    <w:rsid w:val="009F02A5"/>
    <w:rsid w:val="009F058F"/>
    <w:rsid w:val="009F0636"/>
    <w:rsid w:val="009F081C"/>
    <w:rsid w:val="009F0A2F"/>
    <w:rsid w:val="009F0CA0"/>
    <w:rsid w:val="009F0E72"/>
    <w:rsid w:val="009F0E9C"/>
    <w:rsid w:val="009F0F83"/>
    <w:rsid w:val="009F119A"/>
    <w:rsid w:val="009F1520"/>
    <w:rsid w:val="009F1636"/>
    <w:rsid w:val="009F1BA5"/>
    <w:rsid w:val="009F1BA7"/>
    <w:rsid w:val="009F1BCD"/>
    <w:rsid w:val="009F1C51"/>
    <w:rsid w:val="009F1C98"/>
    <w:rsid w:val="009F1CB7"/>
    <w:rsid w:val="009F1CBF"/>
    <w:rsid w:val="009F1DBE"/>
    <w:rsid w:val="009F1E8E"/>
    <w:rsid w:val="009F1F4A"/>
    <w:rsid w:val="009F1F62"/>
    <w:rsid w:val="009F2283"/>
    <w:rsid w:val="009F2426"/>
    <w:rsid w:val="009F2676"/>
    <w:rsid w:val="009F2726"/>
    <w:rsid w:val="009F28D9"/>
    <w:rsid w:val="009F2A88"/>
    <w:rsid w:val="009F2B6B"/>
    <w:rsid w:val="009F2BC0"/>
    <w:rsid w:val="009F2C03"/>
    <w:rsid w:val="009F2C16"/>
    <w:rsid w:val="009F2C4B"/>
    <w:rsid w:val="009F2C53"/>
    <w:rsid w:val="009F2C8A"/>
    <w:rsid w:val="009F2D53"/>
    <w:rsid w:val="009F2DEC"/>
    <w:rsid w:val="009F3321"/>
    <w:rsid w:val="009F35C2"/>
    <w:rsid w:val="009F3640"/>
    <w:rsid w:val="009F3658"/>
    <w:rsid w:val="009F374A"/>
    <w:rsid w:val="009F3814"/>
    <w:rsid w:val="009F3C4F"/>
    <w:rsid w:val="009F3D38"/>
    <w:rsid w:val="009F3F68"/>
    <w:rsid w:val="009F4130"/>
    <w:rsid w:val="009F421A"/>
    <w:rsid w:val="009F4298"/>
    <w:rsid w:val="009F4323"/>
    <w:rsid w:val="009F4374"/>
    <w:rsid w:val="009F44A5"/>
    <w:rsid w:val="009F466F"/>
    <w:rsid w:val="009F468A"/>
    <w:rsid w:val="009F46D9"/>
    <w:rsid w:val="009F4755"/>
    <w:rsid w:val="009F4769"/>
    <w:rsid w:val="009F4959"/>
    <w:rsid w:val="009F4E69"/>
    <w:rsid w:val="009F50AF"/>
    <w:rsid w:val="009F51EC"/>
    <w:rsid w:val="009F52AE"/>
    <w:rsid w:val="009F53D8"/>
    <w:rsid w:val="009F548F"/>
    <w:rsid w:val="009F57B4"/>
    <w:rsid w:val="009F58E8"/>
    <w:rsid w:val="009F5985"/>
    <w:rsid w:val="009F5AB1"/>
    <w:rsid w:val="009F5B05"/>
    <w:rsid w:val="009F5B2E"/>
    <w:rsid w:val="009F5C54"/>
    <w:rsid w:val="009F5CA3"/>
    <w:rsid w:val="009F5D33"/>
    <w:rsid w:val="009F5D5D"/>
    <w:rsid w:val="009F60E5"/>
    <w:rsid w:val="009F67DC"/>
    <w:rsid w:val="009F68FD"/>
    <w:rsid w:val="009F6C4F"/>
    <w:rsid w:val="009F6F12"/>
    <w:rsid w:val="009F6FD9"/>
    <w:rsid w:val="009F7043"/>
    <w:rsid w:val="009F705F"/>
    <w:rsid w:val="009F7159"/>
    <w:rsid w:val="009F7341"/>
    <w:rsid w:val="009F7387"/>
    <w:rsid w:val="009F7448"/>
    <w:rsid w:val="009F7500"/>
    <w:rsid w:val="009F7536"/>
    <w:rsid w:val="009F7569"/>
    <w:rsid w:val="009F75BD"/>
    <w:rsid w:val="009F764A"/>
    <w:rsid w:val="009F789F"/>
    <w:rsid w:val="009F7B9E"/>
    <w:rsid w:val="009F7C27"/>
    <w:rsid w:val="009F7D6F"/>
    <w:rsid w:val="009F7DFC"/>
    <w:rsid w:val="009F7DFD"/>
    <w:rsid w:val="009F7F12"/>
    <w:rsid w:val="00A00211"/>
    <w:rsid w:val="00A006AE"/>
    <w:rsid w:val="00A0086F"/>
    <w:rsid w:val="00A00927"/>
    <w:rsid w:val="00A0093F"/>
    <w:rsid w:val="00A00958"/>
    <w:rsid w:val="00A00B0D"/>
    <w:rsid w:val="00A00BA4"/>
    <w:rsid w:val="00A0148E"/>
    <w:rsid w:val="00A017B3"/>
    <w:rsid w:val="00A01887"/>
    <w:rsid w:val="00A01A79"/>
    <w:rsid w:val="00A01C2C"/>
    <w:rsid w:val="00A01CAD"/>
    <w:rsid w:val="00A01E86"/>
    <w:rsid w:val="00A02277"/>
    <w:rsid w:val="00A023E9"/>
    <w:rsid w:val="00A02513"/>
    <w:rsid w:val="00A026E1"/>
    <w:rsid w:val="00A02A15"/>
    <w:rsid w:val="00A02BAA"/>
    <w:rsid w:val="00A02C01"/>
    <w:rsid w:val="00A02DBE"/>
    <w:rsid w:val="00A02E6F"/>
    <w:rsid w:val="00A02FB6"/>
    <w:rsid w:val="00A032B5"/>
    <w:rsid w:val="00A033F3"/>
    <w:rsid w:val="00A036C1"/>
    <w:rsid w:val="00A03829"/>
    <w:rsid w:val="00A038E3"/>
    <w:rsid w:val="00A03B27"/>
    <w:rsid w:val="00A03BA8"/>
    <w:rsid w:val="00A03C0A"/>
    <w:rsid w:val="00A03C30"/>
    <w:rsid w:val="00A03C38"/>
    <w:rsid w:val="00A03E4A"/>
    <w:rsid w:val="00A03F98"/>
    <w:rsid w:val="00A0400D"/>
    <w:rsid w:val="00A04053"/>
    <w:rsid w:val="00A0425C"/>
    <w:rsid w:val="00A04668"/>
    <w:rsid w:val="00A04EEA"/>
    <w:rsid w:val="00A051C2"/>
    <w:rsid w:val="00A05218"/>
    <w:rsid w:val="00A0524C"/>
    <w:rsid w:val="00A0527F"/>
    <w:rsid w:val="00A05317"/>
    <w:rsid w:val="00A05347"/>
    <w:rsid w:val="00A05377"/>
    <w:rsid w:val="00A053B1"/>
    <w:rsid w:val="00A054D6"/>
    <w:rsid w:val="00A05534"/>
    <w:rsid w:val="00A055B4"/>
    <w:rsid w:val="00A05F6D"/>
    <w:rsid w:val="00A0621B"/>
    <w:rsid w:val="00A06323"/>
    <w:rsid w:val="00A06367"/>
    <w:rsid w:val="00A066AE"/>
    <w:rsid w:val="00A0678A"/>
    <w:rsid w:val="00A06A2F"/>
    <w:rsid w:val="00A06A48"/>
    <w:rsid w:val="00A06AB1"/>
    <w:rsid w:val="00A06B4C"/>
    <w:rsid w:val="00A06B8F"/>
    <w:rsid w:val="00A06D74"/>
    <w:rsid w:val="00A06DDE"/>
    <w:rsid w:val="00A07193"/>
    <w:rsid w:val="00A07258"/>
    <w:rsid w:val="00A07398"/>
    <w:rsid w:val="00A07409"/>
    <w:rsid w:val="00A0742C"/>
    <w:rsid w:val="00A07526"/>
    <w:rsid w:val="00A07809"/>
    <w:rsid w:val="00A07941"/>
    <w:rsid w:val="00A07B51"/>
    <w:rsid w:val="00A07D8C"/>
    <w:rsid w:val="00A07DCC"/>
    <w:rsid w:val="00A07FB9"/>
    <w:rsid w:val="00A07FE4"/>
    <w:rsid w:val="00A10027"/>
    <w:rsid w:val="00A1023C"/>
    <w:rsid w:val="00A1032D"/>
    <w:rsid w:val="00A10497"/>
    <w:rsid w:val="00A106D1"/>
    <w:rsid w:val="00A10877"/>
    <w:rsid w:val="00A10BD1"/>
    <w:rsid w:val="00A10BEF"/>
    <w:rsid w:val="00A10DA1"/>
    <w:rsid w:val="00A10EBA"/>
    <w:rsid w:val="00A10F5F"/>
    <w:rsid w:val="00A11047"/>
    <w:rsid w:val="00A110DC"/>
    <w:rsid w:val="00A1116F"/>
    <w:rsid w:val="00A111ED"/>
    <w:rsid w:val="00A112CD"/>
    <w:rsid w:val="00A112D4"/>
    <w:rsid w:val="00A112E2"/>
    <w:rsid w:val="00A115A6"/>
    <w:rsid w:val="00A117A4"/>
    <w:rsid w:val="00A11C1F"/>
    <w:rsid w:val="00A11CDF"/>
    <w:rsid w:val="00A11E00"/>
    <w:rsid w:val="00A120B4"/>
    <w:rsid w:val="00A121C4"/>
    <w:rsid w:val="00A1223E"/>
    <w:rsid w:val="00A12271"/>
    <w:rsid w:val="00A12432"/>
    <w:rsid w:val="00A12670"/>
    <w:rsid w:val="00A127E2"/>
    <w:rsid w:val="00A1285F"/>
    <w:rsid w:val="00A1289F"/>
    <w:rsid w:val="00A129B6"/>
    <w:rsid w:val="00A12AE6"/>
    <w:rsid w:val="00A12ED9"/>
    <w:rsid w:val="00A1305D"/>
    <w:rsid w:val="00A130F7"/>
    <w:rsid w:val="00A13541"/>
    <w:rsid w:val="00A137BF"/>
    <w:rsid w:val="00A13F9B"/>
    <w:rsid w:val="00A14010"/>
    <w:rsid w:val="00A1425F"/>
    <w:rsid w:val="00A144C0"/>
    <w:rsid w:val="00A14634"/>
    <w:rsid w:val="00A1463E"/>
    <w:rsid w:val="00A14641"/>
    <w:rsid w:val="00A14950"/>
    <w:rsid w:val="00A1496F"/>
    <w:rsid w:val="00A14B99"/>
    <w:rsid w:val="00A14E7F"/>
    <w:rsid w:val="00A14EFF"/>
    <w:rsid w:val="00A14F94"/>
    <w:rsid w:val="00A14FF7"/>
    <w:rsid w:val="00A1500C"/>
    <w:rsid w:val="00A150CF"/>
    <w:rsid w:val="00A1522D"/>
    <w:rsid w:val="00A152A8"/>
    <w:rsid w:val="00A153AD"/>
    <w:rsid w:val="00A15547"/>
    <w:rsid w:val="00A156EB"/>
    <w:rsid w:val="00A15728"/>
    <w:rsid w:val="00A158F5"/>
    <w:rsid w:val="00A15B6B"/>
    <w:rsid w:val="00A15BD2"/>
    <w:rsid w:val="00A15D69"/>
    <w:rsid w:val="00A161A4"/>
    <w:rsid w:val="00A161A7"/>
    <w:rsid w:val="00A162C4"/>
    <w:rsid w:val="00A16565"/>
    <w:rsid w:val="00A16729"/>
    <w:rsid w:val="00A16774"/>
    <w:rsid w:val="00A16817"/>
    <w:rsid w:val="00A16A23"/>
    <w:rsid w:val="00A16BBD"/>
    <w:rsid w:val="00A16D1D"/>
    <w:rsid w:val="00A16D54"/>
    <w:rsid w:val="00A16E1D"/>
    <w:rsid w:val="00A16ED2"/>
    <w:rsid w:val="00A171C6"/>
    <w:rsid w:val="00A1723E"/>
    <w:rsid w:val="00A172F7"/>
    <w:rsid w:val="00A1734E"/>
    <w:rsid w:val="00A17378"/>
    <w:rsid w:val="00A1775F"/>
    <w:rsid w:val="00A1791A"/>
    <w:rsid w:val="00A179B7"/>
    <w:rsid w:val="00A17A8C"/>
    <w:rsid w:val="00A17E30"/>
    <w:rsid w:val="00A17EC2"/>
    <w:rsid w:val="00A20186"/>
    <w:rsid w:val="00A20189"/>
    <w:rsid w:val="00A20270"/>
    <w:rsid w:val="00A2029E"/>
    <w:rsid w:val="00A202A0"/>
    <w:rsid w:val="00A2045F"/>
    <w:rsid w:val="00A2086A"/>
    <w:rsid w:val="00A20A1E"/>
    <w:rsid w:val="00A20ACA"/>
    <w:rsid w:val="00A20BBA"/>
    <w:rsid w:val="00A20C05"/>
    <w:rsid w:val="00A20CAE"/>
    <w:rsid w:val="00A21174"/>
    <w:rsid w:val="00A212D5"/>
    <w:rsid w:val="00A2169A"/>
    <w:rsid w:val="00A218BF"/>
    <w:rsid w:val="00A218FA"/>
    <w:rsid w:val="00A219E3"/>
    <w:rsid w:val="00A21A1A"/>
    <w:rsid w:val="00A21A85"/>
    <w:rsid w:val="00A21ADA"/>
    <w:rsid w:val="00A21B12"/>
    <w:rsid w:val="00A21B83"/>
    <w:rsid w:val="00A21CEE"/>
    <w:rsid w:val="00A21DDD"/>
    <w:rsid w:val="00A220F4"/>
    <w:rsid w:val="00A221C3"/>
    <w:rsid w:val="00A2220F"/>
    <w:rsid w:val="00A2228F"/>
    <w:rsid w:val="00A2235D"/>
    <w:rsid w:val="00A223C6"/>
    <w:rsid w:val="00A224EB"/>
    <w:rsid w:val="00A225BC"/>
    <w:rsid w:val="00A225DD"/>
    <w:rsid w:val="00A22825"/>
    <w:rsid w:val="00A2296E"/>
    <w:rsid w:val="00A22B6F"/>
    <w:rsid w:val="00A22B88"/>
    <w:rsid w:val="00A22CE3"/>
    <w:rsid w:val="00A22E67"/>
    <w:rsid w:val="00A22E6C"/>
    <w:rsid w:val="00A22F68"/>
    <w:rsid w:val="00A2310D"/>
    <w:rsid w:val="00A232DF"/>
    <w:rsid w:val="00A23582"/>
    <w:rsid w:val="00A235EA"/>
    <w:rsid w:val="00A236D2"/>
    <w:rsid w:val="00A2377F"/>
    <w:rsid w:val="00A237AE"/>
    <w:rsid w:val="00A23805"/>
    <w:rsid w:val="00A23909"/>
    <w:rsid w:val="00A23DAF"/>
    <w:rsid w:val="00A2401C"/>
    <w:rsid w:val="00A240F8"/>
    <w:rsid w:val="00A2411E"/>
    <w:rsid w:val="00A241C1"/>
    <w:rsid w:val="00A2423C"/>
    <w:rsid w:val="00A24243"/>
    <w:rsid w:val="00A245EB"/>
    <w:rsid w:val="00A2462E"/>
    <w:rsid w:val="00A2487C"/>
    <w:rsid w:val="00A24AA4"/>
    <w:rsid w:val="00A24B99"/>
    <w:rsid w:val="00A24BDC"/>
    <w:rsid w:val="00A24CE4"/>
    <w:rsid w:val="00A24DB6"/>
    <w:rsid w:val="00A24E4E"/>
    <w:rsid w:val="00A24F47"/>
    <w:rsid w:val="00A24FF3"/>
    <w:rsid w:val="00A2520C"/>
    <w:rsid w:val="00A254B8"/>
    <w:rsid w:val="00A256E3"/>
    <w:rsid w:val="00A2572C"/>
    <w:rsid w:val="00A25799"/>
    <w:rsid w:val="00A25931"/>
    <w:rsid w:val="00A259D7"/>
    <w:rsid w:val="00A25D2A"/>
    <w:rsid w:val="00A262B5"/>
    <w:rsid w:val="00A262CC"/>
    <w:rsid w:val="00A26423"/>
    <w:rsid w:val="00A2652D"/>
    <w:rsid w:val="00A26551"/>
    <w:rsid w:val="00A265AF"/>
    <w:rsid w:val="00A2665B"/>
    <w:rsid w:val="00A266C8"/>
    <w:rsid w:val="00A267DE"/>
    <w:rsid w:val="00A26905"/>
    <w:rsid w:val="00A26AEB"/>
    <w:rsid w:val="00A26BAA"/>
    <w:rsid w:val="00A26BCD"/>
    <w:rsid w:val="00A26C09"/>
    <w:rsid w:val="00A26D2C"/>
    <w:rsid w:val="00A26DC5"/>
    <w:rsid w:val="00A26EBC"/>
    <w:rsid w:val="00A26F76"/>
    <w:rsid w:val="00A27351"/>
    <w:rsid w:val="00A2736C"/>
    <w:rsid w:val="00A27532"/>
    <w:rsid w:val="00A2759D"/>
    <w:rsid w:val="00A27863"/>
    <w:rsid w:val="00A27867"/>
    <w:rsid w:val="00A27952"/>
    <w:rsid w:val="00A279E1"/>
    <w:rsid w:val="00A27A1C"/>
    <w:rsid w:val="00A27DFC"/>
    <w:rsid w:val="00A3016D"/>
    <w:rsid w:val="00A3018B"/>
    <w:rsid w:val="00A30233"/>
    <w:rsid w:val="00A30254"/>
    <w:rsid w:val="00A30689"/>
    <w:rsid w:val="00A30A9E"/>
    <w:rsid w:val="00A30BA2"/>
    <w:rsid w:val="00A30C94"/>
    <w:rsid w:val="00A30CE1"/>
    <w:rsid w:val="00A30D4C"/>
    <w:rsid w:val="00A3114A"/>
    <w:rsid w:val="00A311FA"/>
    <w:rsid w:val="00A31236"/>
    <w:rsid w:val="00A3127D"/>
    <w:rsid w:val="00A313F6"/>
    <w:rsid w:val="00A3158C"/>
    <w:rsid w:val="00A318F4"/>
    <w:rsid w:val="00A31B34"/>
    <w:rsid w:val="00A31CBF"/>
    <w:rsid w:val="00A31EDB"/>
    <w:rsid w:val="00A32373"/>
    <w:rsid w:val="00A325A1"/>
    <w:rsid w:val="00A325C4"/>
    <w:rsid w:val="00A325FA"/>
    <w:rsid w:val="00A32766"/>
    <w:rsid w:val="00A329C5"/>
    <w:rsid w:val="00A32BCC"/>
    <w:rsid w:val="00A32D92"/>
    <w:rsid w:val="00A32E1A"/>
    <w:rsid w:val="00A32E3D"/>
    <w:rsid w:val="00A32F03"/>
    <w:rsid w:val="00A32F18"/>
    <w:rsid w:val="00A32F67"/>
    <w:rsid w:val="00A32FB8"/>
    <w:rsid w:val="00A33053"/>
    <w:rsid w:val="00A33206"/>
    <w:rsid w:val="00A3325E"/>
    <w:rsid w:val="00A33287"/>
    <w:rsid w:val="00A3329F"/>
    <w:rsid w:val="00A33367"/>
    <w:rsid w:val="00A334E8"/>
    <w:rsid w:val="00A33517"/>
    <w:rsid w:val="00A335DC"/>
    <w:rsid w:val="00A33672"/>
    <w:rsid w:val="00A3377E"/>
    <w:rsid w:val="00A337AA"/>
    <w:rsid w:val="00A338A2"/>
    <w:rsid w:val="00A339A1"/>
    <w:rsid w:val="00A33C77"/>
    <w:rsid w:val="00A33E32"/>
    <w:rsid w:val="00A343DF"/>
    <w:rsid w:val="00A34422"/>
    <w:rsid w:val="00A344A0"/>
    <w:rsid w:val="00A3481D"/>
    <w:rsid w:val="00A34822"/>
    <w:rsid w:val="00A3488B"/>
    <w:rsid w:val="00A348E1"/>
    <w:rsid w:val="00A348FE"/>
    <w:rsid w:val="00A349FD"/>
    <w:rsid w:val="00A34AF4"/>
    <w:rsid w:val="00A34D3E"/>
    <w:rsid w:val="00A35216"/>
    <w:rsid w:val="00A35324"/>
    <w:rsid w:val="00A35383"/>
    <w:rsid w:val="00A35A3D"/>
    <w:rsid w:val="00A35B81"/>
    <w:rsid w:val="00A35CA2"/>
    <w:rsid w:val="00A35D9F"/>
    <w:rsid w:val="00A35F80"/>
    <w:rsid w:val="00A3608F"/>
    <w:rsid w:val="00A3609E"/>
    <w:rsid w:val="00A360C9"/>
    <w:rsid w:val="00A36285"/>
    <w:rsid w:val="00A363B8"/>
    <w:rsid w:val="00A364CC"/>
    <w:rsid w:val="00A36773"/>
    <w:rsid w:val="00A3683B"/>
    <w:rsid w:val="00A36884"/>
    <w:rsid w:val="00A36C97"/>
    <w:rsid w:val="00A36CDA"/>
    <w:rsid w:val="00A36D4E"/>
    <w:rsid w:val="00A36E57"/>
    <w:rsid w:val="00A36FB5"/>
    <w:rsid w:val="00A36FD6"/>
    <w:rsid w:val="00A370C5"/>
    <w:rsid w:val="00A37541"/>
    <w:rsid w:val="00A37607"/>
    <w:rsid w:val="00A37837"/>
    <w:rsid w:val="00A378F8"/>
    <w:rsid w:val="00A37B1D"/>
    <w:rsid w:val="00A37B42"/>
    <w:rsid w:val="00A37C7C"/>
    <w:rsid w:val="00A37FB3"/>
    <w:rsid w:val="00A40003"/>
    <w:rsid w:val="00A40107"/>
    <w:rsid w:val="00A401A7"/>
    <w:rsid w:val="00A40338"/>
    <w:rsid w:val="00A404A5"/>
    <w:rsid w:val="00A404F5"/>
    <w:rsid w:val="00A40501"/>
    <w:rsid w:val="00A406A7"/>
    <w:rsid w:val="00A407F2"/>
    <w:rsid w:val="00A40822"/>
    <w:rsid w:val="00A408AA"/>
    <w:rsid w:val="00A40A5E"/>
    <w:rsid w:val="00A40C97"/>
    <w:rsid w:val="00A40D9C"/>
    <w:rsid w:val="00A40F15"/>
    <w:rsid w:val="00A4112C"/>
    <w:rsid w:val="00A4112D"/>
    <w:rsid w:val="00A411CC"/>
    <w:rsid w:val="00A411CE"/>
    <w:rsid w:val="00A41405"/>
    <w:rsid w:val="00A414FC"/>
    <w:rsid w:val="00A415EA"/>
    <w:rsid w:val="00A41681"/>
    <w:rsid w:val="00A4177E"/>
    <w:rsid w:val="00A417E9"/>
    <w:rsid w:val="00A417F1"/>
    <w:rsid w:val="00A41829"/>
    <w:rsid w:val="00A419AC"/>
    <w:rsid w:val="00A41A06"/>
    <w:rsid w:val="00A41B67"/>
    <w:rsid w:val="00A41BAD"/>
    <w:rsid w:val="00A41D07"/>
    <w:rsid w:val="00A41F4C"/>
    <w:rsid w:val="00A42010"/>
    <w:rsid w:val="00A42012"/>
    <w:rsid w:val="00A42204"/>
    <w:rsid w:val="00A42303"/>
    <w:rsid w:val="00A42329"/>
    <w:rsid w:val="00A42535"/>
    <w:rsid w:val="00A42841"/>
    <w:rsid w:val="00A42944"/>
    <w:rsid w:val="00A4296F"/>
    <w:rsid w:val="00A429F4"/>
    <w:rsid w:val="00A42DA0"/>
    <w:rsid w:val="00A43059"/>
    <w:rsid w:val="00A4312F"/>
    <w:rsid w:val="00A431D2"/>
    <w:rsid w:val="00A431D8"/>
    <w:rsid w:val="00A431FF"/>
    <w:rsid w:val="00A43208"/>
    <w:rsid w:val="00A43241"/>
    <w:rsid w:val="00A43291"/>
    <w:rsid w:val="00A432DD"/>
    <w:rsid w:val="00A43534"/>
    <w:rsid w:val="00A43606"/>
    <w:rsid w:val="00A43678"/>
    <w:rsid w:val="00A436F5"/>
    <w:rsid w:val="00A43732"/>
    <w:rsid w:val="00A43988"/>
    <w:rsid w:val="00A43B69"/>
    <w:rsid w:val="00A43B77"/>
    <w:rsid w:val="00A43BEA"/>
    <w:rsid w:val="00A43BEB"/>
    <w:rsid w:val="00A43C41"/>
    <w:rsid w:val="00A43DCE"/>
    <w:rsid w:val="00A43E99"/>
    <w:rsid w:val="00A43FCC"/>
    <w:rsid w:val="00A440AE"/>
    <w:rsid w:val="00A441EF"/>
    <w:rsid w:val="00A442F3"/>
    <w:rsid w:val="00A44467"/>
    <w:rsid w:val="00A444C3"/>
    <w:rsid w:val="00A44769"/>
    <w:rsid w:val="00A44861"/>
    <w:rsid w:val="00A4488B"/>
    <w:rsid w:val="00A44928"/>
    <w:rsid w:val="00A44A31"/>
    <w:rsid w:val="00A44A7B"/>
    <w:rsid w:val="00A44DE6"/>
    <w:rsid w:val="00A44E5F"/>
    <w:rsid w:val="00A45062"/>
    <w:rsid w:val="00A4512B"/>
    <w:rsid w:val="00A457A6"/>
    <w:rsid w:val="00A45A32"/>
    <w:rsid w:val="00A45DE5"/>
    <w:rsid w:val="00A45EE3"/>
    <w:rsid w:val="00A4639B"/>
    <w:rsid w:val="00A46463"/>
    <w:rsid w:val="00A464D2"/>
    <w:rsid w:val="00A464D6"/>
    <w:rsid w:val="00A46606"/>
    <w:rsid w:val="00A467A7"/>
    <w:rsid w:val="00A4684D"/>
    <w:rsid w:val="00A468FC"/>
    <w:rsid w:val="00A46936"/>
    <w:rsid w:val="00A4694B"/>
    <w:rsid w:val="00A469B9"/>
    <w:rsid w:val="00A46A11"/>
    <w:rsid w:val="00A46B20"/>
    <w:rsid w:val="00A46CB9"/>
    <w:rsid w:val="00A46D8D"/>
    <w:rsid w:val="00A46F6C"/>
    <w:rsid w:val="00A47021"/>
    <w:rsid w:val="00A47045"/>
    <w:rsid w:val="00A47193"/>
    <w:rsid w:val="00A4734C"/>
    <w:rsid w:val="00A473AA"/>
    <w:rsid w:val="00A47507"/>
    <w:rsid w:val="00A4764A"/>
    <w:rsid w:val="00A476F2"/>
    <w:rsid w:val="00A47877"/>
    <w:rsid w:val="00A47878"/>
    <w:rsid w:val="00A4787A"/>
    <w:rsid w:val="00A47DA1"/>
    <w:rsid w:val="00A47DC0"/>
    <w:rsid w:val="00A47EDA"/>
    <w:rsid w:val="00A50049"/>
    <w:rsid w:val="00A50050"/>
    <w:rsid w:val="00A500BE"/>
    <w:rsid w:val="00A5048B"/>
    <w:rsid w:val="00A5050A"/>
    <w:rsid w:val="00A505D9"/>
    <w:rsid w:val="00A50633"/>
    <w:rsid w:val="00A506FA"/>
    <w:rsid w:val="00A50906"/>
    <w:rsid w:val="00A5098A"/>
    <w:rsid w:val="00A50C14"/>
    <w:rsid w:val="00A50C35"/>
    <w:rsid w:val="00A50C41"/>
    <w:rsid w:val="00A50C5D"/>
    <w:rsid w:val="00A50C8D"/>
    <w:rsid w:val="00A50D38"/>
    <w:rsid w:val="00A50D6D"/>
    <w:rsid w:val="00A50EA4"/>
    <w:rsid w:val="00A50F2B"/>
    <w:rsid w:val="00A51351"/>
    <w:rsid w:val="00A51405"/>
    <w:rsid w:val="00A51443"/>
    <w:rsid w:val="00A514B7"/>
    <w:rsid w:val="00A514F9"/>
    <w:rsid w:val="00A517C2"/>
    <w:rsid w:val="00A51901"/>
    <w:rsid w:val="00A51A15"/>
    <w:rsid w:val="00A51EF2"/>
    <w:rsid w:val="00A51F12"/>
    <w:rsid w:val="00A5231D"/>
    <w:rsid w:val="00A52460"/>
    <w:rsid w:val="00A527CF"/>
    <w:rsid w:val="00A5288F"/>
    <w:rsid w:val="00A52AF2"/>
    <w:rsid w:val="00A52CB7"/>
    <w:rsid w:val="00A52DE1"/>
    <w:rsid w:val="00A52EA7"/>
    <w:rsid w:val="00A52ED8"/>
    <w:rsid w:val="00A52FC3"/>
    <w:rsid w:val="00A530B7"/>
    <w:rsid w:val="00A535C1"/>
    <w:rsid w:val="00A5378F"/>
    <w:rsid w:val="00A538A2"/>
    <w:rsid w:val="00A539D5"/>
    <w:rsid w:val="00A53A21"/>
    <w:rsid w:val="00A53C18"/>
    <w:rsid w:val="00A53CA3"/>
    <w:rsid w:val="00A53FE0"/>
    <w:rsid w:val="00A54151"/>
    <w:rsid w:val="00A5418D"/>
    <w:rsid w:val="00A542DF"/>
    <w:rsid w:val="00A542F7"/>
    <w:rsid w:val="00A544B6"/>
    <w:rsid w:val="00A544DE"/>
    <w:rsid w:val="00A5458E"/>
    <w:rsid w:val="00A54721"/>
    <w:rsid w:val="00A54741"/>
    <w:rsid w:val="00A54824"/>
    <w:rsid w:val="00A54838"/>
    <w:rsid w:val="00A548D1"/>
    <w:rsid w:val="00A54A97"/>
    <w:rsid w:val="00A54C15"/>
    <w:rsid w:val="00A54C53"/>
    <w:rsid w:val="00A54F57"/>
    <w:rsid w:val="00A5507A"/>
    <w:rsid w:val="00A55246"/>
    <w:rsid w:val="00A55696"/>
    <w:rsid w:val="00A5589A"/>
    <w:rsid w:val="00A55944"/>
    <w:rsid w:val="00A55ADC"/>
    <w:rsid w:val="00A55BA2"/>
    <w:rsid w:val="00A55C21"/>
    <w:rsid w:val="00A55CD8"/>
    <w:rsid w:val="00A55D3D"/>
    <w:rsid w:val="00A55D89"/>
    <w:rsid w:val="00A56205"/>
    <w:rsid w:val="00A56270"/>
    <w:rsid w:val="00A56286"/>
    <w:rsid w:val="00A5651B"/>
    <w:rsid w:val="00A56824"/>
    <w:rsid w:val="00A568AE"/>
    <w:rsid w:val="00A5692E"/>
    <w:rsid w:val="00A56B4A"/>
    <w:rsid w:val="00A56CB6"/>
    <w:rsid w:val="00A56F4F"/>
    <w:rsid w:val="00A5708E"/>
    <w:rsid w:val="00A5718A"/>
    <w:rsid w:val="00A57631"/>
    <w:rsid w:val="00A5764C"/>
    <w:rsid w:val="00A578EB"/>
    <w:rsid w:val="00A57AA3"/>
    <w:rsid w:val="00A57B4F"/>
    <w:rsid w:val="00A57BF8"/>
    <w:rsid w:val="00A57C8B"/>
    <w:rsid w:val="00A57CA4"/>
    <w:rsid w:val="00A57E35"/>
    <w:rsid w:val="00A57EAD"/>
    <w:rsid w:val="00A57EFA"/>
    <w:rsid w:val="00A57F26"/>
    <w:rsid w:val="00A6006A"/>
    <w:rsid w:val="00A60191"/>
    <w:rsid w:val="00A604B8"/>
    <w:rsid w:val="00A60798"/>
    <w:rsid w:val="00A60806"/>
    <w:rsid w:val="00A608DE"/>
    <w:rsid w:val="00A6098A"/>
    <w:rsid w:val="00A60AC0"/>
    <w:rsid w:val="00A60BA3"/>
    <w:rsid w:val="00A60C2E"/>
    <w:rsid w:val="00A60CD2"/>
    <w:rsid w:val="00A60E4F"/>
    <w:rsid w:val="00A61049"/>
    <w:rsid w:val="00A611C9"/>
    <w:rsid w:val="00A61514"/>
    <w:rsid w:val="00A616FD"/>
    <w:rsid w:val="00A61758"/>
    <w:rsid w:val="00A61832"/>
    <w:rsid w:val="00A6187F"/>
    <w:rsid w:val="00A6191E"/>
    <w:rsid w:val="00A61B05"/>
    <w:rsid w:val="00A61E95"/>
    <w:rsid w:val="00A61F25"/>
    <w:rsid w:val="00A61FF2"/>
    <w:rsid w:val="00A61FF9"/>
    <w:rsid w:val="00A62070"/>
    <w:rsid w:val="00A62092"/>
    <w:rsid w:val="00A620FF"/>
    <w:rsid w:val="00A623EA"/>
    <w:rsid w:val="00A626FF"/>
    <w:rsid w:val="00A62703"/>
    <w:rsid w:val="00A62711"/>
    <w:rsid w:val="00A6272A"/>
    <w:rsid w:val="00A627D1"/>
    <w:rsid w:val="00A6284A"/>
    <w:rsid w:val="00A6291F"/>
    <w:rsid w:val="00A629FF"/>
    <w:rsid w:val="00A62B96"/>
    <w:rsid w:val="00A62CF6"/>
    <w:rsid w:val="00A62D63"/>
    <w:rsid w:val="00A62E8F"/>
    <w:rsid w:val="00A62FE4"/>
    <w:rsid w:val="00A6309D"/>
    <w:rsid w:val="00A630BD"/>
    <w:rsid w:val="00A631AE"/>
    <w:rsid w:val="00A631F3"/>
    <w:rsid w:val="00A63406"/>
    <w:rsid w:val="00A63609"/>
    <w:rsid w:val="00A6367A"/>
    <w:rsid w:val="00A63728"/>
    <w:rsid w:val="00A637D8"/>
    <w:rsid w:val="00A63801"/>
    <w:rsid w:val="00A63A9E"/>
    <w:rsid w:val="00A63B76"/>
    <w:rsid w:val="00A63C35"/>
    <w:rsid w:val="00A63C38"/>
    <w:rsid w:val="00A63C44"/>
    <w:rsid w:val="00A63DE0"/>
    <w:rsid w:val="00A63F0F"/>
    <w:rsid w:val="00A64020"/>
    <w:rsid w:val="00A64220"/>
    <w:rsid w:val="00A6426B"/>
    <w:rsid w:val="00A642C7"/>
    <w:rsid w:val="00A64335"/>
    <w:rsid w:val="00A64373"/>
    <w:rsid w:val="00A643C6"/>
    <w:rsid w:val="00A643D5"/>
    <w:rsid w:val="00A64485"/>
    <w:rsid w:val="00A644CF"/>
    <w:rsid w:val="00A6458A"/>
    <w:rsid w:val="00A64590"/>
    <w:rsid w:val="00A64595"/>
    <w:rsid w:val="00A646F0"/>
    <w:rsid w:val="00A6498D"/>
    <w:rsid w:val="00A64A72"/>
    <w:rsid w:val="00A64B99"/>
    <w:rsid w:val="00A64C5B"/>
    <w:rsid w:val="00A64E4C"/>
    <w:rsid w:val="00A64E97"/>
    <w:rsid w:val="00A64EC1"/>
    <w:rsid w:val="00A64FC8"/>
    <w:rsid w:val="00A6500D"/>
    <w:rsid w:val="00A65028"/>
    <w:rsid w:val="00A654B2"/>
    <w:rsid w:val="00A657CD"/>
    <w:rsid w:val="00A6587F"/>
    <w:rsid w:val="00A658B5"/>
    <w:rsid w:val="00A65B33"/>
    <w:rsid w:val="00A65CA0"/>
    <w:rsid w:val="00A65DD4"/>
    <w:rsid w:val="00A65E53"/>
    <w:rsid w:val="00A65EF9"/>
    <w:rsid w:val="00A65F52"/>
    <w:rsid w:val="00A65F85"/>
    <w:rsid w:val="00A6600C"/>
    <w:rsid w:val="00A660CD"/>
    <w:rsid w:val="00A660ED"/>
    <w:rsid w:val="00A66131"/>
    <w:rsid w:val="00A661DC"/>
    <w:rsid w:val="00A661F9"/>
    <w:rsid w:val="00A66211"/>
    <w:rsid w:val="00A66226"/>
    <w:rsid w:val="00A6640A"/>
    <w:rsid w:val="00A66583"/>
    <w:rsid w:val="00A6661F"/>
    <w:rsid w:val="00A666CA"/>
    <w:rsid w:val="00A669DE"/>
    <w:rsid w:val="00A66A8B"/>
    <w:rsid w:val="00A66AD8"/>
    <w:rsid w:val="00A66D3C"/>
    <w:rsid w:val="00A66D51"/>
    <w:rsid w:val="00A66E32"/>
    <w:rsid w:val="00A674E2"/>
    <w:rsid w:val="00A675A1"/>
    <w:rsid w:val="00A676DC"/>
    <w:rsid w:val="00A677ED"/>
    <w:rsid w:val="00A67823"/>
    <w:rsid w:val="00A67BA6"/>
    <w:rsid w:val="00A67BC5"/>
    <w:rsid w:val="00A67D07"/>
    <w:rsid w:val="00A67FF0"/>
    <w:rsid w:val="00A7007C"/>
    <w:rsid w:val="00A70114"/>
    <w:rsid w:val="00A701EC"/>
    <w:rsid w:val="00A7029F"/>
    <w:rsid w:val="00A70337"/>
    <w:rsid w:val="00A7034E"/>
    <w:rsid w:val="00A703FE"/>
    <w:rsid w:val="00A704CD"/>
    <w:rsid w:val="00A70607"/>
    <w:rsid w:val="00A7076E"/>
    <w:rsid w:val="00A70807"/>
    <w:rsid w:val="00A709AB"/>
    <w:rsid w:val="00A70A5C"/>
    <w:rsid w:val="00A70B8E"/>
    <w:rsid w:val="00A70C8D"/>
    <w:rsid w:val="00A70CA2"/>
    <w:rsid w:val="00A70D5D"/>
    <w:rsid w:val="00A70FCF"/>
    <w:rsid w:val="00A70FEF"/>
    <w:rsid w:val="00A7100E"/>
    <w:rsid w:val="00A71080"/>
    <w:rsid w:val="00A71679"/>
    <w:rsid w:val="00A716A4"/>
    <w:rsid w:val="00A7176C"/>
    <w:rsid w:val="00A71E1B"/>
    <w:rsid w:val="00A71E7F"/>
    <w:rsid w:val="00A71F5B"/>
    <w:rsid w:val="00A72014"/>
    <w:rsid w:val="00A72033"/>
    <w:rsid w:val="00A7207A"/>
    <w:rsid w:val="00A7237F"/>
    <w:rsid w:val="00A72436"/>
    <w:rsid w:val="00A72480"/>
    <w:rsid w:val="00A7252A"/>
    <w:rsid w:val="00A72608"/>
    <w:rsid w:val="00A7268D"/>
    <w:rsid w:val="00A726DD"/>
    <w:rsid w:val="00A72806"/>
    <w:rsid w:val="00A72AD0"/>
    <w:rsid w:val="00A72C17"/>
    <w:rsid w:val="00A72ED3"/>
    <w:rsid w:val="00A72F95"/>
    <w:rsid w:val="00A72F9E"/>
    <w:rsid w:val="00A72FA0"/>
    <w:rsid w:val="00A72FDD"/>
    <w:rsid w:val="00A72FEE"/>
    <w:rsid w:val="00A73066"/>
    <w:rsid w:val="00A7309C"/>
    <w:rsid w:val="00A732BF"/>
    <w:rsid w:val="00A733B7"/>
    <w:rsid w:val="00A73506"/>
    <w:rsid w:val="00A73734"/>
    <w:rsid w:val="00A73812"/>
    <w:rsid w:val="00A7390E"/>
    <w:rsid w:val="00A73AD1"/>
    <w:rsid w:val="00A73AFD"/>
    <w:rsid w:val="00A73BAC"/>
    <w:rsid w:val="00A73C59"/>
    <w:rsid w:val="00A73D0F"/>
    <w:rsid w:val="00A73EF2"/>
    <w:rsid w:val="00A7415D"/>
    <w:rsid w:val="00A74165"/>
    <w:rsid w:val="00A7416E"/>
    <w:rsid w:val="00A741CE"/>
    <w:rsid w:val="00A741F3"/>
    <w:rsid w:val="00A74385"/>
    <w:rsid w:val="00A743C7"/>
    <w:rsid w:val="00A7453D"/>
    <w:rsid w:val="00A7463E"/>
    <w:rsid w:val="00A746BE"/>
    <w:rsid w:val="00A748F9"/>
    <w:rsid w:val="00A7495A"/>
    <w:rsid w:val="00A74AAA"/>
    <w:rsid w:val="00A74B53"/>
    <w:rsid w:val="00A74B7C"/>
    <w:rsid w:val="00A74C85"/>
    <w:rsid w:val="00A74D6D"/>
    <w:rsid w:val="00A750A6"/>
    <w:rsid w:val="00A75367"/>
    <w:rsid w:val="00A753CF"/>
    <w:rsid w:val="00A753F2"/>
    <w:rsid w:val="00A756F3"/>
    <w:rsid w:val="00A75914"/>
    <w:rsid w:val="00A7594C"/>
    <w:rsid w:val="00A75C51"/>
    <w:rsid w:val="00A75CCE"/>
    <w:rsid w:val="00A75DD3"/>
    <w:rsid w:val="00A75EF5"/>
    <w:rsid w:val="00A7603F"/>
    <w:rsid w:val="00A761E0"/>
    <w:rsid w:val="00A76378"/>
    <w:rsid w:val="00A7676A"/>
    <w:rsid w:val="00A76B92"/>
    <w:rsid w:val="00A76C7A"/>
    <w:rsid w:val="00A76C9D"/>
    <w:rsid w:val="00A76D6B"/>
    <w:rsid w:val="00A76D9A"/>
    <w:rsid w:val="00A76FF8"/>
    <w:rsid w:val="00A77098"/>
    <w:rsid w:val="00A770AB"/>
    <w:rsid w:val="00A77532"/>
    <w:rsid w:val="00A77597"/>
    <w:rsid w:val="00A7767A"/>
    <w:rsid w:val="00A776B9"/>
    <w:rsid w:val="00A776DD"/>
    <w:rsid w:val="00A777AB"/>
    <w:rsid w:val="00A77808"/>
    <w:rsid w:val="00A77898"/>
    <w:rsid w:val="00A778CD"/>
    <w:rsid w:val="00A77A55"/>
    <w:rsid w:val="00A77B65"/>
    <w:rsid w:val="00A77FA9"/>
    <w:rsid w:val="00A80060"/>
    <w:rsid w:val="00A80175"/>
    <w:rsid w:val="00A801C1"/>
    <w:rsid w:val="00A80214"/>
    <w:rsid w:val="00A8029B"/>
    <w:rsid w:val="00A80330"/>
    <w:rsid w:val="00A8034D"/>
    <w:rsid w:val="00A8048A"/>
    <w:rsid w:val="00A804F7"/>
    <w:rsid w:val="00A80667"/>
    <w:rsid w:val="00A8066C"/>
    <w:rsid w:val="00A80673"/>
    <w:rsid w:val="00A80747"/>
    <w:rsid w:val="00A8083A"/>
    <w:rsid w:val="00A8087E"/>
    <w:rsid w:val="00A80C6D"/>
    <w:rsid w:val="00A80E07"/>
    <w:rsid w:val="00A80E7F"/>
    <w:rsid w:val="00A80F20"/>
    <w:rsid w:val="00A8125B"/>
    <w:rsid w:val="00A812D0"/>
    <w:rsid w:val="00A81333"/>
    <w:rsid w:val="00A817C1"/>
    <w:rsid w:val="00A8196E"/>
    <w:rsid w:val="00A819BF"/>
    <w:rsid w:val="00A81A3D"/>
    <w:rsid w:val="00A81ACE"/>
    <w:rsid w:val="00A81CE9"/>
    <w:rsid w:val="00A81DCF"/>
    <w:rsid w:val="00A81DE3"/>
    <w:rsid w:val="00A81EFE"/>
    <w:rsid w:val="00A82001"/>
    <w:rsid w:val="00A82174"/>
    <w:rsid w:val="00A8224D"/>
    <w:rsid w:val="00A82409"/>
    <w:rsid w:val="00A82870"/>
    <w:rsid w:val="00A828D9"/>
    <w:rsid w:val="00A82982"/>
    <w:rsid w:val="00A82A32"/>
    <w:rsid w:val="00A82C75"/>
    <w:rsid w:val="00A82D79"/>
    <w:rsid w:val="00A82F5A"/>
    <w:rsid w:val="00A82F75"/>
    <w:rsid w:val="00A82F90"/>
    <w:rsid w:val="00A830AF"/>
    <w:rsid w:val="00A8314A"/>
    <w:rsid w:val="00A831F4"/>
    <w:rsid w:val="00A83214"/>
    <w:rsid w:val="00A8321C"/>
    <w:rsid w:val="00A8324D"/>
    <w:rsid w:val="00A834BC"/>
    <w:rsid w:val="00A834F1"/>
    <w:rsid w:val="00A83588"/>
    <w:rsid w:val="00A83707"/>
    <w:rsid w:val="00A83761"/>
    <w:rsid w:val="00A83C9B"/>
    <w:rsid w:val="00A83CE6"/>
    <w:rsid w:val="00A84086"/>
    <w:rsid w:val="00A842D3"/>
    <w:rsid w:val="00A843D6"/>
    <w:rsid w:val="00A845FB"/>
    <w:rsid w:val="00A846FC"/>
    <w:rsid w:val="00A84869"/>
    <w:rsid w:val="00A848AF"/>
    <w:rsid w:val="00A84A20"/>
    <w:rsid w:val="00A84EA4"/>
    <w:rsid w:val="00A84ED6"/>
    <w:rsid w:val="00A8506E"/>
    <w:rsid w:val="00A8517E"/>
    <w:rsid w:val="00A85369"/>
    <w:rsid w:val="00A854E3"/>
    <w:rsid w:val="00A855B8"/>
    <w:rsid w:val="00A858EB"/>
    <w:rsid w:val="00A859AF"/>
    <w:rsid w:val="00A859E0"/>
    <w:rsid w:val="00A85A22"/>
    <w:rsid w:val="00A85A30"/>
    <w:rsid w:val="00A85ACF"/>
    <w:rsid w:val="00A85C36"/>
    <w:rsid w:val="00A85C59"/>
    <w:rsid w:val="00A85FE8"/>
    <w:rsid w:val="00A85FEE"/>
    <w:rsid w:val="00A863D6"/>
    <w:rsid w:val="00A8656F"/>
    <w:rsid w:val="00A865AF"/>
    <w:rsid w:val="00A86675"/>
    <w:rsid w:val="00A86698"/>
    <w:rsid w:val="00A8670B"/>
    <w:rsid w:val="00A86813"/>
    <w:rsid w:val="00A86847"/>
    <w:rsid w:val="00A86B91"/>
    <w:rsid w:val="00A86CB9"/>
    <w:rsid w:val="00A86D92"/>
    <w:rsid w:val="00A86E16"/>
    <w:rsid w:val="00A86F26"/>
    <w:rsid w:val="00A86FE5"/>
    <w:rsid w:val="00A87059"/>
    <w:rsid w:val="00A872A2"/>
    <w:rsid w:val="00A8735A"/>
    <w:rsid w:val="00A87494"/>
    <w:rsid w:val="00A87509"/>
    <w:rsid w:val="00A8751C"/>
    <w:rsid w:val="00A8754C"/>
    <w:rsid w:val="00A8768E"/>
    <w:rsid w:val="00A87885"/>
    <w:rsid w:val="00A87A33"/>
    <w:rsid w:val="00A87BAD"/>
    <w:rsid w:val="00A87DB2"/>
    <w:rsid w:val="00A87FCB"/>
    <w:rsid w:val="00A87FEA"/>
    <w:rsid w:val="00A90093"/>
    <w:rsid w:val="00A900B0"/>
    <w:rsid w:val="00A90455"/>
    <w:rsid w:val="00A90466"/>
    <w:rsid w:val="00A90489"/>
    <w:rsid w:val="00A904B2"/>
    <w:rsid w:val="00A905C5"/>
    <w:rsid w:val="00A90755"/>
    <w:rsid w:val="00A90972"/>
    <w:rsid w:val="00A90C97"/>
    <w:rsid w:val="00A90CB0"/>
    <w:rsid w:val="00A9106E"/>
    <w:rsid w:val="00A91163"/>
    <w:rsid w:val="00A91208"/>
    <w:rsid w:val="00A91251"/>
    <w:rsid w:val="00A9158E"/>
    <w:rsid w:val="00A916D2"/>
    <w:rsid w:val="00A91DE2"/>
    <w:rsid w:val="00A91DEE"/>
    <w:rsid w:val="00A91F9E"/>
    <w:rsid w:val="00A9202D"/>
    <w:rsid w:val="00A920FC"/>
    <w:rsid w:val="00A922C2"/>
    <w:rsid w:val="00A9244B"/>
    <w:rsid w:val="00A924A0"/>
    <w:rsid w:val="00A92539"/>
    <w:rsid w:val="00A9253F"/>
    <w:rsid w:val="00A9257A"/>
    <w:rsid w:val="00A925F6"/>
    <w:rsid w:val="00A928FE"/>
    <w:rsid w:val="00A92AB6"/>
    <w:rsid w:val="00A92B4B"/>
    <w:rsid w:val="00A92D05"/>
    <w:rsid w:val="00A92D67"/>
    <w:rsid w:val="00A92EE5"/>
    <w:rsid w:val="00A93054"/>
    <w:rsid w:val="00A9306D"/>
    <w:rsid w:val="00A93160"/>
    <w:rsid w:val="00A93315"/>
    <w:rsid w:val="00A935C2"/>
    <w:rsid w:val="00A93648"/>
    <w:rsid w:val="00A936B8"/>
    <w:rsid w:val="00A93833"/>
    <w:rsid w:val="00A93966"/>
    <w:rsid w:val="00A93996"/>
    <w:rsid w:val="00A93DD6"/>
    <w:rsid w:val="00A93ECA"/>
    <w:rsid w:val="00A93FA0"/>
    <w:rsid w:val="00A94121"/>
    <w:rsid w:val="00A94157"/>
    <w:rsid w:val="00A942AA"/>
    <w:rsid w:val="00A9431C"/>
    <w:rsid w:val="00A94366"/>
    <w:rsid w:val="00A9438E"/>
    <w:rsid w:val="00A94441"/>
    <w:rsid w:val="00A944C0"/>
    <w:rsid w:val="00A94B33"/>
    <w:rsid w:val="00A94BF0"/>
    <w:rsid w:val="00A94C61"/>
    <w:rsid w:val="00A94D3E"/>
    <w:rsid w:val="00A94E28"/>
    <w:rsid w:val="00A94FFB"/>
    <w:rsid w:val="00A95090"/>
    <w:rsid w:val="00A9511B"/>
    <w:rsid w:val="00A951FC"/>
    <w:rsid w:val="00A952DF"/>
    <w:rsid w:val="00A95370"/>
    <w:rsid w:val="00A95467"/>
    <w:rsid w:val="00A95599"/>
    <w:rsid w:val="00A95948"/>
    <w:rsid w:val="00A95996"/>
    <w:rsid w:val="00A95AD0"/>
    <w:rsid w:val="00A95AFF"/>
    <w:rsid w:val="00A95CBF"/>
    <w:rsid w:val="00A95EB0"/>
    <w:rsid w:val="00A95FD6"/>
    <w:rsid w:val="00A95FDA"/>
    <w:rsid w:val="00A96237"/>
    <w:rsid w:val="00A96425"/>
    <w:rsid w:val="00A96475"/>
    <w:rsid w:val="00A964BE"/>
    <w:rsid w:val="00A96550"/>
    <w:rsid w:val="00A965B1"/>
    <w:rsid w:val="00A9666E"/>
    <w:rsid w:val="00A96691"/>
    <w:rsid w:val="00A96829"/>
    <w:rsid w:val="00A969BF"/>
    <w:rsid w:val="00A96A06"/>
    <w:rsid w:val="00A96A12"/>
    <w:rsid w:val="00A96D77"/>
    <w:rsid w:val="00A96D93"/>
    <w:rsid w:val="00A96E04"/>
    <w:rsid w:val="00A96E05"/>
    <w:rsid w:val="00A96E81"/>
    <w:rsid w:val="00A971E0"/>
    <w:rsid w:val="00A97396"/>
    <w:rsid w:val="00A97601"/>
    <w:rsid w:val="00A976B5"/>
    <w:rsid w:val="00A978CD"/>
    <w:rsid w:val="00A97910"/>
    <w:rsid w:val="00A97945"/>
    <w:rsid w:val="00A97B5E"/>
    <w:rsid w:val="00A97BB1"/>
    <w:rsid w:val="00A97C78"/>
    <w:rsid w:val="00A97F85"/>
    <w:rsid w:val="00AA004E"/>
    <w:rsid w:val="00AA020A"/>
    <w:rsid w:val="00AA03A7"/>
    <w:rsid w:val="00AA08CF"/>
    <w:rsid w:val="00AA0945"/>
    <w:rsid w:val="00AA0BB3"/>
    <w:rsid w:val="00AA0C1C"/>
    <w:rsid w:val="00AA0C2C"/>
    <w:rsid w:val="00AA0E49"/>
    <w:rsid w:val="00AA0E8F"/>
    <w:rsid w:val="00AA0E99"/>
    <w:rsid w:val="00AA0FDE"/>
    <w:rsid w:val="00AA1154"/>
    <w:rsid w:val="00AA1185"/>
    <w:rsid w:val="00AA12FC"/>
    <w:rsid w:val="00AA139D"/>
    <w:rsid w:val="00AA140E"/>
    <w:rsid w:val="00AA142C"/>
    <w:rsid w:val="00AA1527"/>
    <w:rsid w:val="00AA1666"/>
    <w:rsid w:val="00AA1A02"/>
    <w:rsid w:val="00AA1B76"/>
    <w:rsid w:val="00AA1CFB"/>
    <w:rsid w:val="00AA1D69"/>
    <w:rsid w:val="00AA1DBE"/>
    <w:rsid w:val="00AA2612"/>
    <w:rsid w:val="00AA2B5B"/>
    <w:rsid w:val="00AA2B7F"/>
    <w:rsid w:val="00AA2B8B"/>
    <w:rsid w:val="00AA2BC7"/>
    <w:rsid w:val="00AA2BCC"/>
    <w:rsid w:val="00AA2C9D"/>
    <w:rsid w:val="00AA3084"/>
    <w:rsid w:val="00AA340E"/>
    <w:rsid w:val="00AA356A"/>
    <w:rsid w:val="00AA360C"/>
    <w:rsid w:val="00AA3740"/>
    <w:rsid w:val="00AA3783"/>
    <w:rsid w:val="00AA3928"/>
    <w:rsid w:val="00AA39FF"/>
    <w:rsid w:val="00AA3A7D"/>
    <w:rsid w:val="00AA3ACC"/>
    <w:rsid w:val="00AA3B0B"/>
    <w:rsid w:val="00AA3B93"/>
    <w:rsid w:val="00AA3C94"/>
    <w:rsid w:val="00AA3CB4"/>
    <w:rsid w:val="00AA3E22"/>
    <w:rsid w:val="00AA3E9C"/>
    <w:rsid w:val="00AA3EA7"/>
    <w:rsid w:val="00AA42DF"/>
    <w:rsid w:val="00AA449C"/>
    <w:rsid w:val="00AA4643"/>
    <w:rsid w:val="00AA4848"/>
    <w:rsid w:val="00AA4AA4"/>
    <w:rsid w:val="00AA4AD6"/>
    <w:rsid w:val="00AA4C55"/>
    <w:rsid w:val="00AA4CDF"/>
    <w:rsid w:val="00AA4EB0"/>
    <w:rsid w:val="00AA4ECC"/>
    <w:rsid w:val="00AA5000"/>
    <w:rsid w:val="00AA52FA"/>
    <w:rsid w:val="00AA534D"/>
    <w:rsid w:val="00AA541D"/>
    <w:rsid w:val="00AA562A"/>
    <w:rsid w:val="00AA56E8"/>
    <w:rsid w:val="00AA5AB9"/>
    <w:rsid w:val="00AA5C46"/>
    <w:rsid w:val="00AA5C84"/>
    <w:rsid w:val="00AA5DE6"/>
    <w:rsid w:val="00AA5E50"/>
    <w:rsid w:val="00AA5F0D"/>
    <w:rsid w:val="00AA6180"/>
    <w:rsid w:val="00AA6383"/>
    <w:rsid w:val="00AA63B5"/>
    <w:rsid w:val="00AA6581"/>
    <w:rsid w:val="00AA665E"/>
    <w:rsid w:val="00AA6686"/>
    <w:rsid w:val="00AA6700"/>
    <w:rsid w:val="00AA6D34"/>
    <w:rsid w:val="00AA70FA"/>
    <w:rsid w:val="00AA724B"/>
    <w:rsid w:val="00AA73D3"/>
    <w:rsid w:val="00AA74AF"/>
    <w:rsid w:val="00AA7526"/>
    <w:rsid w:val="00AA7B1E"/>
    <w:rsid w:val="00AA7B29"/>
    <w:rsid w:val="00AA7C39"/>
    <w:rsid w:val="00AA7DD4"/>
    <w:rsid w:val="00AA7E9D"/>
    <w:rsid w:val="00AA7F18"/>
    <w:rsid w:val="00AA7FEB"/>
    <w:rsid w:val="00AB0045"/>
    <w:rsid w:val="00AB00D7"/>
    <w:rsid w:val="00AB019D"/>
    <w:rsid w:val="00AB0307"/>
    <w:rsid w:val="00AB0309"/>
    <w:rsid w:val="00AB048E"/>
    <w:rsid w:val="00AB0566"/>
    <w:rsid w:val="00AB0613"/>
    <w:rsid w:val="00AB0726"/>
    <w:rsid w:val="00AB0864"/>
    <w:rsid w:val="00AB08A0"/>
    <w:rsid w:val="00AB091C"/>
    <w:rsid w:val="00AB0A67"/>
    <w:rsid w:val="00AB0AA7"/>
    <w:rsid w:val="00AB0B4E"/>
    <w:rsid w:val="00AB0BC9"/>
    <w:rsid w:val="00AB0C1C"/>
    <w:rsid w:val="00AB0CCE"/>
    <w:rsid w:val="00AB0D1D"/>
    <w:rsid w:val="00AB0E26"/>
    <w:rsid w:val="00AB0ECC"/>
    <w:rsid w:val="00AB1099"/>
    <w:rsid w:val="00AB10A6"/>
    <w:rsid w:val="00AB137D"/>
    <w:rsid w:val="00AB138C"/>
    <w:rsid w:val="00AB14F8"/>
    <w:rsid w:val="00AB1505"/>
    <w:rsid w:val="00AB168D"/>
    <w:rsid w:val="00AB16A6"/>
    <w:rsid w:val="00AB1997"/>
    <w:rsid w:val="00AB1A97"/>
    <w:rsid w:val="00AB1BCF"/>
    <w:rsid w:val="00AB1D84"/>
    <w:rsid w:val="00AB1F22"/>
    <w:rsid w:val="00AB2036"/>
    <w:rsid w:val="00AB2137"/>
    <w:rsid w:val="00AB21F8"/>
    <w:rsid w:val="00AB2297"/>
    <w:rsid w:val="00AB26F4"/>
    <w:rsid w:val="00AB2706"/>
    <w:rsid w:val="00AB276D"/>
    <w:rsid w:val="00AB284D"/>
    <w:rsid w:val="00AB2920"/>
    <w:rsid w:val="00AB2982"/>
    <w:rsid w:val="00AB2A23"/>
    <w:rsid w:val="00AB2A33"/>
    <w:rsid w:val="00AB2A6A"/>
    <w:rsid w:val="00AB305B"/>
    <w:rsid w:val="00AB31B7"/>
    <w:rsid w:val="00AB31E9"/>
    <w:rsid w:val="00AB3212"/>
    <w:rsid w:val="00AB35FA"/>
    <w:rsid w:val="00AB38DC"/>
    <w:rsid w:val="00AB3928"/>
    <w:rsid w:val="00AB398F"/>
    <w:rsid w:val="00AB3AE5"/>
    <w:rsid w:val="00AB3C59"/>
    <w:rsid w:val="00AB3D3D"/>
    <w:rsid w:val="00AB3E4E"/>
    <w:rsid w:val="00AB3FE0"/>
    <w:rsid w:val="00AB412F"/>
    <w:rsid w:val="00AB42C8"/>
    <w:rsid w:val="00AB443C"/>
    <w:rsid w:val="00AB46A5"/>
    <w:rsid w:val="00AB49DD"/>
    <w:rsid w:val="00AB4A39"/>
    <w:rsid w:val="00AB4B1E"/>
    <w:rsid w:val="00AB4B5B"/>
    <w:rsid w:val="00AB4C4F"/>
    <w:rsid w:val="00AB4EDD"/>
    <w:rsid w:val="00AB5169"/>
    <w:rsid w:val="00AB53A8"/>
    <w:rsid w:val="00AB5417"/>
    <w:rsid w:val="00AB5658"/>
    <w:rsid w:val="00AB56C3"/>
    <w:rsid w:val="00AB5805"/>
    <w:rsid w:val="00AB581B"/>
    <w:rsid w:val="00AB58E3"/>
    <w:rsid w:val="00AB5923"/>
    <w:rsid w:val="00AB5A99"/>
    <w:rsid w:val="00AB5AC0"/>
    <w:rsid w:val="00AB5BA4"/>
    <w:rsid w:val="00AB5C14"/>
    <w:rsid w:val="00AB5DED"/>
    <w:rsid w:val="00AB5DFF"/>
    <w:rsid w:val="00AB5E6A"/>
    <w:rsid w:val="00AB5ED2"/>
    <w:rsid w:val="00AB5F7B"/>
    <w:rsid w:val="00AB5FEF"/>
    <w:rsid w:val="00AB6099"/>
    <w:rsid w:val="00AB6322"/>
    <w:rsid w:val="00AB650E"/>
    <w:rsid w:val="00AB6623"/>
    <w:rsid w:val="00AB6683"/>
    <w:rsid w:val="00AB696F"/>
    <w:rsid w:val="00AB69A2"/>
    <w:rsid w:val="00AB6A0C"/>
    <w:rsid w:val="00AB6AC6"/>
    <w:rsid w:val="00AB6ACB"/>
    <w:rsid w:val="00AB6AD3"/>
    <w:rsid w:val="00AB6BFD"/>
    <w:rsid w:val="00AB6D46"/>
    <w:rsid w:val="00AB6DEE"/>
    <w:rsid w:val="00AB6F22"/>
    <w:rsid w:val="00AB6FD4"/>
    <w:rsid w:val="00AB71D6"/>
    <w:rsid w:val="00AB726B"/>
    <w:rsid w:val="00AB74A5"/>
    <w:rsid w:val="00AB753A"/>
    <w:rsid w:val="00AB758D"/>
    <w:rsid w:val="00AB79E4"/>
    <w:rsid w:val="00AB79F5"/>
    <w:rsid w:val="00AB7A8D"/>
    <w:rsid w:val="00AB7BEA"/>
    <w:rsid w:val="00AB7D24"/>
    <w:rsid w:val="00AB7DE3"/>
    <w:rsid w:val="00AC0048"/>
    <w:rsid w:val="00AC0051"/>
    <w:rsid w:val="00AC00AA"/>
    <w:rsid w:val="00AC019E"/>
    <w:rsid w:val="00AC0292"/>
    <w:rsid w:val="00AC0B30"/>
    <w:rsid w:val="00AC0C70"/>
    <w:rsid w:val="00AC0C95"/>
    <w:rsid w:val="00AC0D0C"/>
    <w:rsid w:val="00AC0D0D"/>
    <w:rsid w:val="00AC0E6D"/>
    <w:rsid w:val="00AC0EBA"/>
    <w:rsid w:val="00AC0FDA"/>
    <w:rsid w:val="00AC0FF3"/>
    <w:rsid w:val="00AC10BC"/>
    <w:rsid w:val="00AC147A"/>
    <w:rsid w:val="00AC1553"/>
    <w:rsid w:val="00AC15E1"/>
    <w:rsid w:val="00AC1609"/>
    <w:rsid w:val="00AC1825"/>
    <w:rsid w:val="00AC187D"/>
    <w:rsid w:val="00AC19B5"/>
    <w:rsid w:val="00AC1A54"/>
    <w:rsid w:val="00AC1BAE"/>
    <w:rsid w:val="00AC1E11"/>
    <w:rsid w:val="00AC1EBC"/>
    <w:rsid w:val="00AC2129"/>
    <w:rsid w:val="00AC23F9"/>
    <w:rsid w:val="00AC245E"/>
    <w:rsid w:val="00AC252E"/>
    <w:rsid w:val="00AC2963"/>
    <w:rsid w:val="00AC2B0A"/>
    <w:rsid w:val="00AC2B61"/>
    <w:rsid w:val="00AC2C8A"/>
    <w:rsid w:val="00AC2E90"/>
    <w:rsid w:val="00AC2F42"/>
    <w:rsid w:val="00AC2F4E"/>
    <w:rsid w:val="00AC2F5C"/>
    <w:rsid w:val="00AC2F77"/>
    <w:rsid w:val="00AC3315"/>
    <w:rsid w:val="00AC334E"/>
    <w:rsid w:val="00AC342E"/>
    <w:rsid w:val="00AC3436"/>
    <w:rsid w:val="00AC34CC"/>
    <w:rsid w:val="00AC35CF"/>
    <w:rsid w:val="00AC35FC"/>
    <w:rsid w:val="00AC38C8"/>
    <w:rsid w:val="00AC3910"/>
    <w:rsid w:val="00AC3932"/>
    <w:rsid w:val="00AC39FC"/>
    <w:rsid w:val="00AC3AE1"/>
    <w:rsid w:val="00AC3B1F"/>
    <w:rsid w:val="00AC3CD5"/>
    <w:rsid w:val="00AC3D4F"/>
    <w:rsid w:val="00AC3E7A"/>
    <w:rsid w:val="00AC3FE6"/>
    <w:rsid w:val="00AC4086"/>
    <w:rsid w:val="00AC4105"/>
    <w:rsid w:val="00AC41FF"/>
    <w:rsid w:val="00AC433F"/>
    <w:rsid w:val="00AC4354"/>
    <w:rsid w:val="00AC46A4"/>
    <w:rsid w:val="00AC46F9"/>
    <w:rsid w:val="00AC48E6"/>
    <w:rsid w:val="00AC4AFE"/>
    <w:rsid w:val="00AC4FD2"/>
    <w:rsid w:val="00AC5387"/>
    <w:rsid w:val="00AC550A"/>
    <w:rsid w:val="00AC563B"/>
    <w:rsid w:val="00AC56AA"/>
    <w:rsid w:val="00AC5704"/>
    <w:rsid w:val="00AC57DF"/>
    <w:rsid w:val="00AC58A9"/>
    <w:rsid w:val="00AC5A12"/>
    <w:rsid w:val="00AC5AD6"/>
    <w:rsid w:val="00AC5B49"/>
    <w:rsid w:val="00AC5CD6"/>
    <w:rsid w:val="00AC5DEE"/>
    <w:rsid w:val="00AC5E15"/>
    <w:rsid w:val="00AC5EA2"/>
    <w:rsid w:val="00AC62E0"/>
    <w:rsid w:val="00AC6400"/>
    <w:rsid w:val="00AC6682"/>
    <w:rsid w:val="00AC677E"/>
    <w:rsid w:val="00AC6788"/>
    <w:rsid w:val="00AC6895"/>
    <w:rsid w:val="00AC6906"/>
    <w:rsid w:val="00AC6B97"/>
    <w:rsid w:val="00AC6C1D"/>
    <w:rsid w:val="00AC6D27"/>
    <w:rsid w:val="00AC6E07"/>
    <w:rsid w:val="00AC6E10"/>
    <w:rsid w:val="00AC6F3F"/>
    <w:rsid w:val="00AC7254"/>
    <w:rsid w:val="00AC725D"/>
    <w:rsid w:val="00AC7542"/>
    <w:rsid w:val="00AC75D6"/>
    <w:rsid w:val="00AC7655"/>
    <w:rsid w:val="00AC7740"/>
    <w:rsid w:val="00AC777A"/>
    <w:rsid w:val="00AC7782"/>
    <w:rsid w:val="00AC778E"/>
    <w:rsid w:val="00AC7835"/>
    <w:rsid w:val="00AC7851"/>
    <w:rsid w:val="00AC78E0"/>
    <w:rsid w:val="00AC79B6"/>
    <w:rsid w:val="00AC7B55"/>
    <w:rsid w:val="00AC7D62"/>
    <w:rsid w:val="00AC7EBC"/>
    <w:rsid w:val="00AC7F16"/>
    <w:rsid w:val="00AC7F36"/>
    <w:rsid w:val="00AD010D"/>
    <w:rsid w:val="00AD027C"/>
    <w:rsid w:val="00AD02F8"/>
    <w:rsid w:val="00AD044C"/>
    <w:rsid w:val="00AD04EC"/>
    <w:rsid w:val="00AD05C1"/>
    <w:rsid w:val="00AD0623"/>
    <w:rsid w:val="00AD07F7"/>
    <w:rsid w:val="00AD1204"/>
    <w:rsid w:val="00AD1294"/>
    <w:rsid w:val="00AD13CD"/>
    <w:rsid w:val="00AD1898"/>
    <w:rsid w:val="00AD1A72"/>
    <w:rsid w:val="00AD1B92"/>
    <w:rsid w:val="00AD1C46"/>
    <w:rsid w:val="00AD1DA0"/>
    <w:rsid w:val="00AD1DBB"/>
    <w:rsid w:val="00AD1DBD"/>
    <w:rsid w:val="00AD1DC1"/>
    <w:rsid w:val="00AD1DC6"/>
    <w:rsid w:val="00AD21AB"/>
    <w:rsid w:val="00AD22AE"/>
    <w:rsid w:val="00AD23FF"/>
    <w:rsid w:val="00AD2471"/>
    <w:rsid w:val="00AD24A2"/>
    <w:rsid w:val="00AD2593"/>
    <w:rsid w:val="00AD278D"/>
    <w:rsid w:val="00AD2980"/>
    <w:rsid w:val="00AD29ED"/>
    <w:rsid w:val="00AD2ADB"/>
    <w:rsid w:val="00AD2E2B"/>
    <w:rsid w:val="00AD2F3B"/>
    <w:rsid w:val="00AD2F70"/>
    <w:rsid w:val="00AD30A2"/>
    <w:rsid w:val="00AD30EB"/>
    <w:rsid w:val="00AD32E2"/>
    <w:rsid w:val="00AD3328"/>
    <w:rsid w:val="00AD38B1"/>
    <w:rsid w:val="00AD38BF"/>
    <w:rsid w:val="00AD3908"/>
    <w:rsid w:val="00AD3A4C"/>
    <w:rsid w:val="00AD3AF6"/>
    <w:rsid w:val="00AD3DF1"/>
    <w:rsid w:val="00AD3E87"/>
    <w:rsid w:val="00AD4027"/>
    <w:rsid w:val="00AD4207"/>
    <w:rsid w:val="00AD424B"/>
    <w:rsid w:val="00AD43D5"/>
    <w:rsid w:val="00AD446C"/>
    <w:rsid w:val="00AD45BA"/>
    <w:rsid w:val="00AD466F"/>
    <w:rsid w:val="00AD472A"/>
    <w:rsid w:val="00AD47FB"/>
    <w:rsid w:val="00AD48F6"/>
    <w:rsid w:val="00AD4ADA"/>
    <w:rsid w:val="00AD4CAC"/>
    <w:rsid w:val="00AD4CD0"/>
    <w:rsid w:val="00AD4D27"/>
    <w:rsid w:val="00AD50EF"/>
    <w:rsid w:val="00AD524A"/>
    <w:rsid w:val="00AD53F5"/>
    <w:rsid w:val="00AD53F8"/>
    <w:rsid w:val="00AD5561"/>
    <w:rsid w:val="00AD5576"/>
    <w:rsid w:val="00AD569F"/>
    <w:rsid w:val="00AD5865"/>
    <w:rsid w:val="00AD598E"/>
    <w:rsid w:val="00AD5999"/>
    <w:rsid w:val="00AD59A3"/>
    <w:rsid w:val="00AD5A16"/>
    <w:rsid w:val="00AD5C58"/>
    <w:rsid w:val="00AD5C5F"/>
    <w:rsid w:val="00AD5F4C"/>
    <w:rsid w:val="00AD5FF9"/>
    <w:rsid w:val="00AD61AD"/>
    <w:rsid w:val="00AD625F"/>
    <w:rsid w:val="00AD646B"/>
    <w:rsid w:val="00AD64F5"/>
    <w:rsid w:val="00AD6621"/>
    <w:rsid w:val="00AD6646"/>
    <w:rsid w:val="00AD66EC"/>
    <w:rsid w:val="00AD6715"/>
    <w:rsid w:val="00AD675C"/>
    <w:rsid w:val="00AD680F"/>
    <w:rsid w:val="00AD683B"/>
    <w:rsid w:val="00AD6B4E"/>
    <w:rsid w:val="00AD6C1F"/>
    <w:rsid w:val="00AD6D00"/>
    <w:rsid w:val="00AD6DFC"/>
    <w:rsid w:val="00AD6E96"/>
    <w:rsid w:val="00AD6F64"/>
    <w:rsid w:val="00AD6F7C"/>
    <w:rsid w:val="00AD6FB6"/>
    <w:rsid w:val="00AD720E"/>
    <w:rsid w:val="00AD75BE"/>
    <w:rsid w:val="00AD75D4"/>
    <w:rsid w:val="00AD7635"/>
    <w:rsid w:val="00AD7815"/>
    <w:rsid w:val="00AD78A9"/>
    <w:rsid w:val="00AD78E9"/>
    <w:rsid w:val="00AD79F3"/>
    <w:rsid w:val="00AD7A79"/>
    <w:rsid w:val="00AD7AB2"/>
    <w:rsid w:val="00AD7B80"/>
    <w:rsid w:val="00AD7E3C"/>
    <w:rsid w:val="00AD7EC4"/>
    <w:rsid w:val="00AE00AB"/>
    <w:rsid w:val="00AE0148"/>
    <w:rsid w:val="00AE0704"/>
    <w:rsid w:val="00AE097E"/>
    <w:rsid w:val="00AE0B74"/>
    <w:rsid w:val="00AE0E27"/>
    <w:rsid w:val="00AE0E47"/>
    <w:rsid w:val="00AE0EF0"/>
    <w:rsid w:val="00AE0FBC"/>
    <w:rsid w:val="00AE0FC4"/>
    <w:rsid w:val="00AE10FC"/>
    <w:rsid w:val="00AE111F"/>
    <w:rsid w:val="00AE11B6"/>
    <w:rsid w:val="00AE1251"/>
    <w:rsid w:val="00AE1297"/>
    <w:rsid w:val="00AE12EF"/>
    <w:rsid w:val="00AE1437"/>
    <w:rsid w:val="00AE175E"/>
    <w:rsid w:val="00AE193C"/>
    <w:rsid w:val="00AE196D"/>
    <w:rsid w:val="00AE1AB3"/>
    <w:rsid w:val="00AE1BEF"/>
    <w:rsid w:val="00AE1CCF"/>
    <w:rsid w:val="00AE1CE2"/>
    <w:rsid w:val="00AE1E12"/>
    <w:rsid w:val="00AE1E52"/>
    <w:rsid w:val="00AE2174"/>
    <w:rsid w:val="00AE217E"/>
    <w:rsid w:val="00AE2195"/>
    <w:rsid w:val="00AE2207"/>
    <w:rsid w:val="00AE239F"/>
    <w:rsid w:val="00AE23A2"/>
    <w:rsid w:val="00AE256E"/>
    <w:rsid w:val="00AE25C0"/>
    <w:rsid w:val="00AE2697"/>
    <w:rsid w:val="00AE26AB"/>
    <w:rsid w:val="00AE277D"/>
    <w:rsid w:val="00AE2910"/>
    <w:rsid w:val="00AE2925"/>
    <w:rsid w:val="00AE2ACE"/>
    <w:rsid w:val="00AE2C1B"/>
    <w:rsid w:val="00AE2C9F"/>
    <w:rsid w:val="00AE2CB2"/>
    <w:rsid w:val="00AE2E08"/>
    <w:rsid w:val="00AE2F9D"/>
    <w:rsid w:val="00AE31FA"/>
    <w:rsid w:val="00AE335C"/>
    <w:rsid w:val="00AE346D"/>
    <w:rsid w:val="00AE34C4"/>
    <w:rsid w:val="00AE34FD"/>
    <w:rsid w:val="00AE3619"/>
    <w:rsid w:val="00AE375C"/>
    <w:rsid w:val="00AE384C"/>
    <w:rsid w:val="00AE38F2"/>
    <w:rsid w:val="00AE39D6"/>
    <w:rsid w:val="00AE3C07"/>
    <w:rsid w:val="00AE3C7F"/>
    <w:rsid w:val="00AE3D53"/>
    <w:rsid w:val="00AE3D8C"/>
    <w:rsid w:val="00AE3E61"/>
    <w:rsid w:val="00AE3EDC"/>
    <w:rsid w:val="00AE3F33"/>
    <w:rsid w:val="00AE3F38"/>
    <w:rsid w:val="00AE3FCB"/>
    <w:rsid w:val="00AE3FF2"/>
    <w:rsid w:val="00AE40CF"/>
    <w:rsid w:val="00AE4186"/>
    <w:rsid w:val="00AE4367"/>
    <w:rsid w:val="00AE4464"/>
    <w:rsid w:val="00AE479B"/>
    <w:rsid w:val="00AE48A2"/>
    <w:rsid w:val="00AE49D8"/>
    <w:rsid w:val="00AE4BAF"/>
    <w:rsid w:val="00AE4D2B"/>
    <w:rsid w:val="00AE4E4C"/>
    <w:rsid w:val="00AE4F76"/>
    <w:rsid w:val="00AE535C"/>
    <w:rsid w:val="00AE546F"/>
    <w:rsid w:val="00AE58ED"/>
    <w:rsid w:val="00AE591E"/>
    <w:rsid w:val="00AE5938"/>
    <w:rsid w:val="00AE59C6"/>
    <w:rsid w:val="00AE5A4C"/>
    <w:rsid w:val="00AE5B66"/>
    <w:rsid w:val="00AE5D85"/>
    <w:rsid w:val="00AE5DF8"/>
    <w:rsid w:val="00AE5E25"/>
    <w:rsid w:val="00AE5E6E"/>
    <w:rsid w:val="00AE6009"/>
    <w:rsid w:val="00AE61D9"/>
    <w:rsid w:val="00AE626D"/>
    <w:rsid w:val="00AE6429"/>
    <w:rsid w:val="00AE6440"/>
    <w:rsid w:val="00AE65BD"/>
    <w:rsid w:val="00AE6646"/>
    <w:rsid w:val="00AE66A6"/>
    <w:rsid w:val="00AE66E5"/>
    <w:rsid w:val="00AE6739"/>
    <w:rsid w:val="00AE6891"/>
    <w:rsid w:val="00AE68D9"/>
    <w:rsid w:val="00AE6962"/>
    <w:rsid w:val="00AE6A1E"/>
    <w:rsid w:val="00AE6ADA"/>
    <w:rsid w:val="00AE6C42"/>
    <w:rsid w:val="00AE6C9C"/>
    <w:rsid w:val="00AE6CE1"/>
    <w:rsid w:val="00AE7162"/>
    <w:rsid w:val="00AE741C"/>
    <w:rsid w:val="00AE7545"/>
    <w:rsid w:val="00AE7547"/>
    <w:rsid w:val="00AE76D0"/>
    <w:rsid w:val="00AE7782"/>
    <w:rsid w:val="00AE78A1"/>
    <w:rsid w:val="00AE7CCD"/>
    <w:rsid w:val="00AF0076"/>
    <w:rsid w:val="00AF0144"/>
    <w:rsid w:val="00AF0574"/>
    <w:rsid w:val="00AF0616"/>
    <w:rsid w:val="00AF09D6"/>
    <w:rsid w:val="00AF0CBA"/>
    <w:rsid w:val="00AF11D2"/>
    <w:rsid w:val="00AF1273"/>
    <w:rsid w:val="00AF1291"/>
    <w:rsid w:val="00AF14C6"/>
    <w:rsid w:val="00AF151D"/>
    <w:rsid w:val="00AF153A"/>
    <w:rsid w:val="00AF17B1"/>
    <w:rsid w:val="00AF18AD"/>
    <w:rsid w:val="00AF1A89"/>
    <w:rsid w:val="00AF1C69"/>
    <w:rsid w:val="00AF1D77"/>
    <w:rsid w:val="00AF1E29"/>
    <w:rsid w:val="00AF1E6C"/>
    <w:rsid w:val="00AF1EC7"/>
    <w:rsid w:val="00AF1FD3"/>
    <w:rsid w:val="00AF2167"/>
    <w:rsid w:val="00AF228E"/>
    <w:rsid w:val="00AF2534"/>
    <w:rsid w:val="00AF269E"/>
    <w:rsid w:val="00AF2808"/>
    <w:rsid w:val="00AF2881"/>
    <w:rsid w:val="00AF28B5"/>
    <w:rsid w:val="00AF297D"/>
    <w:rsid w:val="00AF2A5E"/>
    <w:rsid w:val="00AF2B4B"/>
    <w:rsid w:val="00AF2CD7"/>
    <w:rsid w:val="00AF2D4D"/>
    <w:rsid w:val="00AF2EF0"/>
    <w:rsid w:val="00AF2F1B"/>
    <w:rsid w:val="00AF2FB3"/>
    <w:rsid w:val="00AF2FBD"/>
    <w:rsid w:val="00AF301B"/>
    <w:rsid w:val="00AF30B1"/>
    <w:rsid w:val="00AF3331"/>
    <w:rsid w:val="00AF3345"/>
    <w:rsid w:val="00AF336A"/>
    <w:rsid w:val="00AF35E3"/>
    <w:rsid w:val="00AF365C"/>
    <w:rsid w:val="00AF3766"/>
    <w:rsid w:val="00AF37CB"/>
    <w:rsid w:val="00AF38EF"/>
    <w:rsid w:val="00AF3972"/>
    <w:rsid w:val="00AF39AF"/>
    <w:rsid w:val="00AF3AD1"/>
    <w:rsid w:val="00AF3AE3"/>
    <w:rsid w:val="00AF3D9F"/>
    <w:rsid w:val="00AF3DF1"/>
    <w:rsid w:val="00AF4050"/>
    <w:rsid w:val="00AF4086"/>
    <w:rsid w:val="00AF41ED"/>
    <w:rsid w:val="00AF43C2"/>
    <w:rsid w:val="00AF4426"/>
    <w:rsid w:val="00AF4456"/>
    <w:rsid w:val="00AF4562"/>
    <w:rsid w:val="00AF4613"/>
    <w:rsid w:val="00AF473B"/>
    <w:rsid w:val="00AF48B3"/>
    <w:rsid w:val="00AF499C"/>
    <w:rsid w:val="00AF4AB1"/>
    <w:rsid w:val="00AF4D28"/>
    <w:rsid w:val="00AF4D9D"/>
    <w:rsid w:val="00AF4DD9"/>
    <w:rsid w:val="00AF4F01"/>
    <w:rsid w:val="00AF50F1"/>
    <w:rsid w:val="00AF52B1"/>
    <w:rsid w:val="00AF5337"/>
    <w:rsid w:val="00AF5350"/>
    <w:rsid w:val="00AF5399"/>
    <w:rsid w:val="00AF53AC"/>
    <w:rsid w:val="00AF5506"/>
    <w:rsid w:val="00AF556A"/>
    <w:rsid w:val="00AF55B9"/>
    <w:rsid w:val="00AF56BA"/>
    <w:rsid w:val="00AF589C"/>
    <w:rsid w:val="00AF590D"/>
    <w:rsid w:val="00AF596C"/>
    <w:rsid w:val="00AF5A43"/>
    <w:rsid w:val="00AF5BAF"/>
    <w:rsid w:val="00AF5BC0"/>
    <w:rsid w:val="00AF5C97"/>
    <w:rsid w:val="00AF5F16"/>
    <w:rsid w:val="00AF6148"/>
    <w:rsid w:val="00AF62EF"/>
    <w:rsid w:val="00AF632C"/>
    <w:rsid w:val="00AF6543"/>
    <w:rsid w:val="00AF67F0"/>
    <w:rsid w:val="00AF6826"/>
    <w:rsid w:val="00AF6A19"/>
    <w:rsid w:val="00AF6B61"/>
    <w:rsid w:val="00AF6C5A"/>
    <w:rsid w:val="00AF6E9E"/>
    <w:rsid w:val="00AF705B"/>
    <w:rsid w:val="00AF7112"/>
    <w:rsid w:val="00AF740E"/>
    <w:rsid w:val="00AF744A"/>
    <w:rsid w:val="00AF76E2"/>
    <w:rsid w:val="00AF77D3"/>
    <w:rsid w:val="00AF7967"/>
    <w:rsid w:val="00AF799F"/>
    <w:rsid w:val="00AF7A2C"/>
    <w:rsid w:val="00AF7A6F"/>
    <w:rsid w:val="00AF7B69"/>
    <w:rsid w:val="00AF7D7A"/>
    <w:rsid w:val="00AF7E62"/>
    <w:rsid w:val="00AF7FB3"/>
    <w:rsid w:val="00AF7FEA"/>
    <w:rsid w:val="00B00049"/>
    <w:rsid w:val="00B00113"/>
    <w:rsid w:val="00B0015D"/>
    <w:rsid w:val="00B00169"/>
    <w:rsid w:val="00B0025E"/>
    <w:rsid w:val="00B002AD"/>
    <w:rsid w:val="00B00391"/>
    <w:rsid w:val="00B00665"/>
    <w:rsid w:val="00B00862"/>
    <w:rsid w:val="00B00C57"/>
    <w:rsid w:val="00B00D31"/>
    <w:rsid w:val="00B01021"/>
    <w:rsid w:val="00B0119B"/>
    <w:rsid w:val="00B011B9"/>
    <w:rsid w:val="00B011C3"/>
    <w:rsid w:val="00B0137E"/>
    <w:rsid w:val="00B015E6"/>
    <w:rsid w:val="00B01660"/>
    <w:rsid w:val="00B0168B"/>
    <w:rsid w:val="00B01812"/>
    <w:rsid w:val="00B018ED"/>
    <w:rsid w:val="00B0197B"/>
    <w:rsid w:val="00B01A05"/>
    <w:rsid w:val="00B01A4B"/>
    <w:rsid w:val="00B01B32"/>
    <w:rsid w:val="00B01BB5"/>
    <w:rsid w:val="00B01D73"/>
    <w:rsid w:val="00B02169"/>
    <w:rsid w:val="00B02267"/>
    <w:rsid w:val="00B02346"/>
    <w:rsid w:val="00B02799"/>
    <w:rsid w:val="00B0293B"/>
    <w:rsid w:val="00B0294C"/>
    <w:rsid w:val="00B02953"/>
    <w:rsid w:val="00B02AF7"/>
    <w:rsid w:val="00B02C75"/>
    <w:rsid w:val="00B02D3A"/>
    <w:rsid w:val="00B02D8D"/>
    <w:rsid w:val="00B02E07"/>
    <w:rsid w:val="00B02E85"/>
    <w:rsid w:val="00B02EEE"/>
    <w:rsid w:val="00B0305B"/>
    <w:rsid w:val="00B0309F"/>
    <w:rsid w:val="00B0315F"/>
    <w:rsid w:val="00B03198"/>
    <w:rsid w:val="00B03377"/>
    <w:rsid w:val="00B03383"/>
    <w:rsid w:val="00B033A4"/>
    <w:rsid w:val="00B033A5"/>
    <w:rsid w:val="00B03544"/>
    <w:rsid w:val="00B0371E"/>
    <w:rsid w:val="00B03890"/>
    <w:rsid w:val="00B03A63"/>
    <w:rsid w:val="00B03A69"/>
    <w:rsid w:val="00B03B89"/>
    <w:rsid w:val="00B03BAF"/>
    <w:rsid w:val="00B03C34"/>
    <w:rsid w:val="00B03C7A"/>
    <w:rsid w:val="00B03CB5"/>
    <w:rsid w:val="00B03CD6"/>
    <w:rsid w:val="00B03D1F"/>
    <w:rsid w:val="00B03D72"/>
    <w:rsid w:val="00B03E9D"/>
    <w:rsid w:val="00B03EBE"/>
    <w:rsid w:val="00B03F0A"/>
    <w:rsid w:val="00B04014"/>
    <w:rsid w:val="00B04173"/>
    <w:rsid w:val="00B04386"/>
    <w:rsid w:val="00B043F5"/>
    <w:rsid w:val="00B04A8A"/>
    <w:rsid w:val="00B04AFC"/>
    <w:rsid w:val="00B04C06"/>
    <w:rsid w:val="00B04D01"/>
    <w:rsid w:val="00B04EC5"/>
    <w:rsid w:val="00B04EFD"/>
    <w:rsid w:val="00B04F87"/>
    <w:rsid w:val="00B05059"/>
    <w:rsid w:val="00B0509E"/>
    <w:rsid w:val="00B05259"/>
    <w:rsid w:val="00B052AE"/>
    <w:rsid w:val="00B052EB"/>
    <w:rsid w:val="00B0552E"/>
    <w:rsid w:val="00B05628"/>
    <w:rsid w:val="00B05947"/>
    <w:rsid w:val="00B05982"/>
    <w:rsid w:val="00B059FE"/>
    <w:rsid w:val="00B05B53"/>
    <w:rsid w:val="00B05BF0"/>
    <w:rsid w:val="00B05D82"/>
    <w:rsid w:val="00B05D9A"/>
    <w:rsid w:val="00B05DA6"/>
    <w:rsid w:val="00B05EEE"/>
    <w:rsid w:val="00B05FD1"/>
    <w:rsid w:val="00B060F6"/>
    <w:rsid w:val="00B0617B"/>
    <w:rsid w:val="00B061E0"/>
    <w:rsid w:val="00B06260"/>
    <w:rsid w:val="00B0628D"/>
    <w:rsid w:val="00B063C0"/>
    <w:rsid w:val="00B067F3"/>
    <w:rsid w:val="00B068F9"/>
    <w:rsid w:val="00B06A16"/>
    <w:rsid w:val="00B06B32"/>
    <w:rsid w:val="00B06CBE"/>
    <w:rsid w:val="00B06D4B"/>
    <w:rsid w:val="00B06E8D"/>
    <w:rsid w:val="00B06F6C"/>
    <w:rsid w:val="00B070AE"/>
    <w:rsid w:val="00B07136"/>
    <w:rsid w:val="00B0726A"/>
    <w:rsid w:val="00B072CB"/>
    <w:rsid w:val="00B075E3"/>
    <w:rsid w:val="00B075EB"/>
    <w:rsid w:val="00B076B4"/>
    <w:rsid w:val="00B07776"/>
    <w:rsid w:val="00B0778C"/>
    <w:rsid w:val="00B07A31"/>
    <w:rsid w:val="00B07C63"/>
    <w:rsid w:val="00B07C98"/>
    <w:rsid w:val="00B07C9C"/>
    <w:rsid w:val="00B07C9D"/>
    <w:rsid w:val="00B07F2B"/>
    <w:rsid w:val="00B10078"/>
    <w:rsid w:val="00B1042B"/>
    <w:rsid w:val="00B10653"/>
    <w:rsid w:val="00B10709"/>
    <w:rsid w:val="00B10852"/>
    <w:rsid w:val="00B10B2D"/>
    <w:rsid w:val="00B10EDD"/>
    <w:rsid w:val="00B11018"/>
    <w:rsid w:val="00B11143"/>
    <w:rsid w:val="00B11186"/>
    <w:rsid w:val="00B1118D"/>
    <w:rsid w:val="00B11296"/>
    <w:rsid w:val="00B112F9"/>
    <w:rsid w:val="00B11678"/>
    <w:rsid w:val="00B1186C"/>
    <w:rsid w:val="00B11B0E"/>
    <w:rsid w:val="00B11CAC"/>
    <w:rsid w:val="00B11DA4"/>
    <w:rsid w:val="00B11DB9"/>
    <w:rsid w:val="00B11E31"/>
    <w:rsid w:val="00B12002"/>
    <w:rsid w:val="00B123AB"/>
    <w:rsid w:val="00B123FF"/>
    <w:rsid w:val="00B12481"/>
    <w:rsid w:val="00B127D4"/>
    <w:rsid w:val="00B1285C"/>
    <w:rsid w:val="00B128A8"/>
    <w:rsid w:val="00B128FA"/>
    <w:rsid w:val="00B12913"/>
    <w:rsid w:val="00B1299D"/>
    <w:rsid w:val="00B129CC"/>
    <w:rsid w:val="00B12BD9"/>
    <w:rsid w:val="00B12BF5"/>
    <w:rsid w:val="00B12DD9"/>
    <w:rsid w:val="00B12E22"/>
    <w:rsid w:val="00B12F00"/>
    <w:rsid w:val="00B13000"/>
    <w:rsid w:val="00B130CC"/>
    <w:rsid w:val="00B13234"/>
    <w:rsid w:val="00B13440"/>
    <w:rsid w:val="00B1351F"/>
    <w:rsid w:val="00B1356D"/>
    <w:rsid w:val="00B13596"/>
    <w:rsid w:val="00B1372C"/>
    <w:rsid w:val="00B138F1"/>
    <w:rsid w:val="00B13B93"/>
    <w:rsid w:val="00B13C58"/>
    <w:rsid w:val="00B13C8B"/>
    <w:rsid w:val="00B13CEE"/>
    <w:rsid w:val="00B13CFD"/>
    <w:rsid w:val="00B13D12"/>
    <w:rsid w:val="00B13D35"/>
    <w:rsid w:val="00B13D38"/>
    <w:rsid w:val="00B13D55"/>
    <w:rsid w:val="00B13D57"/>
    <w:rsid w:val="00B140E2"/>
    <w:rsid w:val="00B1417E"/>
    <w:rsid w:val="00B141FD"/>
    <w:rsid w:val="00B1428F"/>
    <w:rsid w:val="00B14678"/>
    <w:rsid w:val="00B14711"/>
    <w:rsid w:val="00B1474A"/>
    <w:rsid w:val="00B14947"/>
    <w:rsid w:val="00B14A18"/>
    <w:rsid w:val="00B14B98"/>
    <w:rsid w:val="00B14B99"/>
    <w:rsid w:val="00B14C06"/>
    <w:rsid w:val="00B14D55"/>
    <w:rsid w:val="00B14D59"/>
    <w:rsid w:val="00B14D6D"/>
    <w:rsid w:val="00B14D8B"/>
    <w:rsid w:val="00B1521F"/>
    <w:rsid w:val="00B15241"/>
    <w:rsid w:val="00B152A8"/>
    <w:rsid w:val="00B152FD"/>
    <w:rsid w:val="00B1531E"/>
    <w:rsid w:val="00B15638"/>
    <w:rsid w:val="00B15773"/>
    <w:rsid w:val="00B15A6E"/>
    <w:rsid w:val="00B15A93"/>
    <w:rsid w:val="00B15A9D"/>
    <w:rsid w:val="00B15B27"/>
    <w:rsid w:val="00B15BAA"/>
    <w:rsid w:val="00B15C0F"/>
    <w:rsid w:val="00B15C21"/>
    <w:rsid w:val="00B15F15"/>
    <w:rsid w:val="00B160D9"/>
    <w:rsid w:val="00B16311"/>
    <w:rsid w:val="00B16477"/>
    <w:rsid w:val="00B16482"/>
    <w:rsid w:val="00B16509"/>
    <w:rsid w:val="00B16607"/>
    <w:rsid w:val="00B16639"/>
    <w:rsid w:val="00B16731"/>
    <w:rsid w:val="00B1692C"/>
    <w:rsid w:val="00B16991"/>
    <w:rsid w:val="00B169D0"/>
    <w:rsid w:val="00B16D7E"/>
    <w:rsid w:val="00B16DDD"/>
    <w:rsid w:val="00B170D8"/>
    <w:rsid w:val="00B17132"/>
    <w:rsid w:val="00B173A1"/>
    <w:rsid w:val="00B173A3"/>
    <w:rsid w:val="00B1741B"/>
    <w:rsid w:val="00B1748D"/>
    <w:rsid w:val="00B17606"/>
    <w:rsid w:val="00B177E3"/>
    <w:rsid w:val="00B17857"/>
    <w:rsid w:val="00B179F9"/>
    <w:rsid w:val="00B17A80"/>
    <w:rsid w:val="00B17B6F"/>
    <w:rsid w:val="00B17C83"/>
    <w:rsid w:val="00B17E69"/>
    <w:rsid w:val="00B201ED"/>
    <w:rsid w:val="00B20374"/>
    <w:rsid w:val="00B20427"/>
    <w:rsid w:val="00B20951"/>
    <w:rsid w:val="00B20ACB"/>
    <w:rsid w:val="00B20CEE"/>
    <w:rsid w:val="00B20FB4"/>
    <w:rsid w:val="00B211EF"/>
    <w:rsid w:val="00B212A9"/>
    <w:rsid w:val="00B2132B"/>
    <w:rsid w:val="00B213E8"/>
    <w:rsid w:val="00B214CD"/>
    <w:rsid w:val="00B21500"/>
    <w:rsid w:val="00B21590"/>
    <w:rsid w:val="00B215E3"/>
    <w:rsid w:val="00B216CF"/>
    <w:rsid w:val="00B21767"/>
    <w:rsid w:val="00B21793"/>
    <w:rsid w:val="00B21818"/>
    <w:rsid w:val="00B21873"/>
    <w:rsid w:val="00B21AA1"/>
    <w:rsid w:val="00B21BE5"/>
    <w:rsid w:val="00B21CBD"/>
    <w:rsid w:val="00B21E11"/>
    <w:rsid w:val="00B21F95"/>
    <w:rsid w:val="00B21FE4"/>
    <w:rsid w:val="00B21FF6"/>
    <w:rsid w:val="00B22101"/>
    <w:rsid w:val="00B2210B"/>
    <w:rsid w:val="00B2221D"/>
    <w:rsid w:val="00B222DC"/>
    <w:rsid w:val="00B222E3"/>
    <w:rsid w:val="00B2230F"/>
    <w:rsid w:val="00B2233E"/>
    <w:rsid w:val="00B2259A"/>
    <w:rsid w:val="00B2260D"/>
    <w:rsid w:val="00B2283B"/>
    <w:rsid w:val="00B22A9D"/>
    <w:rsid w:val="00B22AA9"/>
    <w:rsid w:val="00B22AD0"/>
    <w:rsid w:val="00B22C0E"/>
    <w:rsid w:val="00B22CA9"/>
    <w:rsid w:val="00B22DD6"/>
    <w:rsid w:val="00B22E02"/>
    <w:rsid w:val="00B22ECC"/>
    <w:rsid w:val="00B22F7A"/>
    <w:rsid w:val="00B23098"/>
    <w:rsid w:val="00B231E6"/>
    <w:rsid w:val="00B23203"/>
    <w:rsid w:val="00B2325F"/>
    <w:rsid w:val="00B2334B"/>
    <w:rsid w:val="00B237DF"/>
    <w:rsid w:val="00B23924"/>
    <w:rsid w:val="00B2393D"/>
    <w:rsid w:val="00B23A8F"/>
    <w:rsid w:val="00B23E14"/>
    <w:rsid w:val="00B23E4A"/>
    <w:rsid w:val="00B23F3D"/>
    <w:rsid w:val="00B23FC0"/>
    <w:rsid w:val="00B23FC1"/>
    <w:rsid w:val="00B24282"/>
    <w:rsid w:val="00B242EB"/>
    <w:rsid w:val="00B2430E"/>
    <w:rsid w:val="00B24331"/>
    <w:rsid w:val="00B2452D"/>
    <w:rsid w:val="00B2455A"/>
    <w:rsid w:val="00B24A4A"/>
    <w:rsid w:val="00B24A53"/>
    <w:rsid w:val="00B24A60"/>
    <w:rsid w:val="00B24DE0"/>
    <w:rsid w:val="00B24F75"/>
    <w:rsid w:val="00B25082"/>
    <w:rsid w:val="00B25133"/>
    <w:rsid w:val="00B2515E"/>
    <w:rsid w:val="00B25572"/>
    <w:rsid w:val="00B259C9"/>
    <w:rsid w:val="00B259DD"/>
    <w:rsid w:val="00B25A7A"/>
    <w:rsid w:val="00B25B70"/>
    <w:rsid w:val="00B25DD9"/>
    <w:rsid w:val="00B25E0A"/>
    <w:rsid w:val="00B262F0"/>
    <w:rsid w:val="00B264BB"/>
    <w:rsid w:val="00B2659C"/>
    <w:rsid w:val="00B26726"/>
    <w:rsid w:val="00B26829"/>
    <w:rsid w:val="00B26883"/>
    <w:rsid w:val="00B26AC0"/>
    <w:rsid w:val="00B26BA2"/>
    <w:rsid w:val="00B26C36"/>
    <w:rsid w:val="00B26CFB"/>
    <w:rsid w:val="00B26E27"/>
    <w:rsid w:val="00B26FD3"/>
    <w:rsid w:val="00B2710A"/>
    <w:rsid w:val="00B27338"/>
    <w:rsid w:val="00B273FD"/>
    <w:rsid w:val="00B2762C"/>
    <w:rsid w:val="00B27716"/>
    <w:rsid w:val="00B278E1"/>
    <w:rsid w:val="00B27901"/>
    <w:rsid w:val="00B27A1A"/>
    <w:rsid w:val="00B27A3B"/>
    <w:rsid w:val="00B3001C"/>
    <w:rsid w:val="00B30029"/>
    <w:rsid w:val="00B30047"/>
    <w:rsid w:val="00B30152"/>
    <w:rsid w:val="00B3022B"/>
    <w:rsid w:val="00B302E2"/>
    <w:rsid w:val="00B302F5"/>
    <w:rsid w:val="00B3049A"/>
    <w:rsid w:val="00B30569"/>
    <w:rsid w:val="00B3059C"/>
    <w:rsid w:val="00B305B7"/>
    <w:rsid w:val="00B305D8"/>
    <w:rsid w:val="00B3060B"/>
    <w:rsid w:val="00B30724"/>
    <w:rsid w:val="00B3083E"/>
    <w:rsid w:val="00B30A27"/>
    <w:rsid w:val="00B30B44"/>
    <w:rsid w:val="00B30C37"/>
    <w:rsid w:val="00B30E2F"/>
    <w:rsid w:val="00B30E65"/>
    <w:rsid w:val="00B30EAC"/>
    <w:rsid w:val="00B3115E"/>
    <w:rsid w:val="00B3132D"/>
    <w:rsid w:val="00B31335"/>
    <w:rsid w:val="00B313BC"/>
    <w:rsid w:val="00B31407"/>
    <w:rsid w:val="00B315A5"/>
    <w:rsid w:val="00B3168D"/>
    <w:rsid w:val="00B317D0"/>
    <w:rsid w:val="00B31944"/>
    <w:rsid w:val="00B319D7"/>
    <w:rsid w:val="00B31A52"/>
    <w:rsid w:val="00B31BFC"/>
    <w:rsid w:val="00B31F9F"/>
    <w:rsid w:val="00B3203D"/>
    <w:rsid w:val="00B3244F"/>
    <w:rsid w:val="00B32605"/>
    <w:rsid w:val="00B326F7"/>
    <w:rsid w:val="00B3282F"/>
    <w:rsid w:val="00B328CE"/>
    <w:rsid w:val="00B328D6"/>
    <w:rsid w:val="00B329EE"/>
    <w:rsid w:val="00B32AB4"/>
    <w:rsid w:val="00B32C2E"/>
    <w:rsid w:val="00B32E19"/>
    <w:rsid w:val="00B32EC9"/>
    <w:rsid w:val="00B32EFC"/>
    <w:rsid w:val="00B32F08"/>
    <w:rsid w:val="00B3307E"/>
    <w:rsid w:val="00B330B6"/>
    <w:rsid w:val="00B33463"/>
    <w:rsid w:val="00B337A6"/>
    <w:rsid w:val="00B3380C"/>
    <w:rsid w:val="00B33853"/>
    <w:rsid w:val="00B3385D"/>
    <w:rsid w:val="00B33867"/>
    <w:rsid w:val="00B33B4B"/>
    <w:rsid w:val="00B33BAA"/>
    <w:rsid w:val="00B33E3B"/>
    <w:rsid w:val="00B33FC2"/>
    <w:rsid w:val="00B340E1"/>
    <w:rsid w:val="00B34229"/>
    <w:rsid w:val="00B3423E"/>
    <w:rsid w:val="00B342E4"/>
    <w:rsid w:val="00B34407"/>
    <w:rsid w:val="00B34440"/>
    <w:rsid w:val="00B34529"/>
    <w:rsid w:val="00B34790"/>
    <w:rsid w:val="00B3484A"/>
    <w:rsid w:val="00B3487C"/>
    <w:rsid w:val="00B34909"/>
    <w:rsid w:val="00B34AE2"/>
    <w:rsid w:val="00B34F5E"/>
    <w:rsid w:val="00B3506E"/>
    <w:rsid w:val="00B35072"/>
    <w:rsid w:val="00B350C3"/>
    <w:rsid w:val="00B350CC"/>
    <w:rsid w:val="00B3524A"/>
    <w:rsid w:val="00B3527C"/>
    <w:rsid w:val="00B353C3"/>
    <w:rsid w:val="00B35403"/>
    <w:rsid w:val="00B35592"/>
    <w:rsid w:val="00B35624"/>
    <w:rsid w:val="00B35730"/>
    <w:rsid w:val="00B35838"/>
    <w:rsid w:val="00B35861"/>
    <w:rsid w:val="00B35912"/>
    <w:rsid w:val="00B35999"/>
    <w:rsid w:val="00B35BE1"/>
    <w:rsid w:val="00B35BEF"/>
    <w:rsid w:val="00B35E9E"/>
    <w:rsid w:val="00B360F4"/>
    <w:rsid w:val="00B36405"/>
    <w:rsid w:val="00B364B2"/>
    <w:rsid w:val="00B366D1"/>
    <w:rsid w:val="00B367A9"/>
    <w:rsid w:val="00B3693F"/>
    <w:rsid w:val="00B369A4"/>
    <w:rsid w:val="00B36A02"/>
    <w:rsid w:val="00B36B10"/>
    <w:rsid w:val="00B36CF4"/>
    <w:rsid w:val="00B36D20"/>
    <w:rsid w:val="00B36D41"/>
    <w:rsid w:val="00B36D75"/>
    <w:rsid w:val="00B36E2E"/>
    <w:rsid w:val="00B36E35"/>
    <w:rsid w:val="00B36EFA"/>
    <w:rsid w:val="00B36FAB"/>
    <w:rsid w:val="00B371A0"/>
    <w:rsid w:val="00B371C4"/>
    <w:rsid w:val="00B37238"/>
    <w:rsid w:val="00B373D0"/>
    <w:rsid w:val="00B37494"/>
    <w:rsid w:val="00B374E9"/>
    <w:rsid w:val="00B3754F"/>
    <w:rsid w:val="00B376B8"/>
    <w:rsid w:val="00B37755"/>
    <w:rsid w:val="00B37919"/>
    <w:rsid w:val="00B37B11"/>
    <w:rsid w:val="00B37D98"/>
    <w:rsid w:val="00B37E0C"/>
    <w:rsid w:val="00B37EC1"/>
    <w:rsid w:val="00B37F35"/>
    <w:rsid w:val="00B37FBA"/>
    <w:rsid w:val="00B37FFC"/>
    <w:rsid w:val="00B40245"/>
    <w:rsid w:val="00B40326"/>
    <w:rsid w:val="00B404AF"/>
    <w:rsid w:val="00B405D5"/>
    <w:rsid w:val="00B406EA"/>
    <w:rsid w:val="00B4072C"/>
    <w:rsid w:val="00B4094D"/>
    <w:rsid w:val="00B40AA3"/>
    <w:rsid w:val="00B40CF5"/>
    <w:rsid w:val="00B40EBF"/>
    <w:rsid w:val="00B40F5F"/>
    <w:rsid w:val="00B4102B"/>
    <w:rsid w:val="00B41163"/>
    <w:rsid w:val="00B412EC"/>
    <w:rsid w:val="00B413E1"/>
    <w:rsid w:val="00B41402"/>
    <w:rsid w:val="00B4144A"/>
    <w:rsid w:val="00B414F0"/>
    <w:rsid w:val="00B4159D"/>
    <w:rsid w:val="00B41981"/>
    <w:rsid w:val="00B419CD"/>
    <w:rsid w:val="00B41CAC"/>
    <w:rsid w:val="00B41D4F"/>
    <w:rsid w:val="00B41D88"/>
    <w:rsid w:val="00B41E66"/>
    <w:rsid w:val="00B4209E"/>
    <w:rsid w:val="00B422DA"/>
    <w:rsid w:val="00B4232D"/>
    <w:rsid w:val="00B4242A"/>
    <w:rsid w:val="00B42677"/>
    <w:rsid w:val="00B4273C"/>
    <w:rsid w:val="00B42A3D"/>
    <w:rsid w:val="00B42B80"/>
    <w:rsid w:val="00B42D9B"/>
    <w:rsid w:val="00B42FCE"/>
    <w:rsid w:val="00B43080"/>
    <w:rsid w:val="00B430DB"/>
    <w:rsid w:val="00B43160"/>
    <w:rsid w:val="00B43518"/>
    <w:rsid w:val="00B4366C"/>
    <w:rsid w:val="00B43A05"/>
    <w:rsid w:val="00B43A2B"/>
    <w:rsid w:val="00B43A38"/>
    <w:rsid w:val="00B43AC6"/>
    <w:rsid w:val="00B43BFF"/>
    <w:rsid w:val="00B43C93"/>
    <w:rsid w:val="00B43E9B"/>
    <w:rsid w:val="00B43F0B"/>
    <w:rsid w:val="00B44028"/>
    <w:rsid w:val="00B441A8"/>
    <w:rsid w:val="00B44269"/>
    <w:rsid w:val="00B44738"/>
    <w:rsid w:val="00B44757"/>
    <w:rsid w:val="00B44A1F"/>
    <w:rsid w:val="00B44B0C"/>
    <w:rsid w:val="00B44BA7"/>
    <w:rsid w:val="00B44BC9"/>
    <w:rsid w:val="00B44DC6"/>
    <w:rsid w:val="00B44E80"/>
    <w:rsid w:val="00B44F8A"/>
    <w:rsid w:val="00B456A3"/>
    <w:rsid w:val="00B45778"/>
    <w:rsid w:val="00B457E6"/>
    <w:rsid w:val="00B45931"/>
    <w:rsid w:val="00B45A23"/>
    <w:rsid w:val="00B45A99"/>
    <w:rsid w:val="00B45BFF"/>
    <w:rsid w:val="00B45D75"/>
    <w:rsid w:val="00B45E29"/>
    <w:rsid w:val="00B45E60"/>
    <w:rsid w:val="00B4617B"/>
    <w:rsid w:val="00B46538"/>
    <w:rsid w:val="00B46837"/>
    <w:rsid w:val="00B46868"/>
    <w:rsid w:val="00B46A12"/>
    <w:rsid w:val="00B46C26"/>
    <w:rsid w:val="00B46CC5"/>
    <w:rsid w:val="00B46E1F"/>
    <w:rsid w:val="00B46E95"/>
    <w:rsid w:val="00B46FE3"/>
    <w:rsid w:val="00B470CA"/>
    <w:rsid w:val="00B47231"/>
    <w:rsid w:val="00B47534"/>
    <w:rsid w:val="00B4759B"/>
    <w:rsid w:val="00B47748"/>
    <w:rsid w:val="00B4774D"/>
    <w:rsid w:val="00B47B6A"/>
    <w:rsid w:val="00B47B75"/>
    <w:rsid w:val="00B47B9D"/>
    <w:rsid w:val="00B47DF1"/>
    <w:rsid w:val="00B47E36"/>
    <w:rsid w:val="00B5005B"/>
    <w:rsid w:val="00B5014B"/>
    <w:rsid w:val="00B5040D"/>
    <w:rsid w:val="00B50412"/>
    <w:rsid w:val="00B5049D"/>
    <w:rsid w:val="00B50505"/>
    <w:rsid w:val="00B506EB"/>
    <w:rsid w:val="00B50707"/>
    <w:rsid w:val="00B50766"/>
    <w:rsid w:val="00B50B35"/>
    <w:rsid w:val="00B50D66"/>
    <w:rsid w:val="00B50DBF"/>
    <w:rsid w:val="00B50F5E"/>
    <w:rsid w:val="00B51086"/>
    <w:rsid w:val="00B51132"/>
    <w:rsid w:val="00B51236"/>
    <w:rsid w:val="00B51907"/>
    <w:rsid w:val="00B51A8F"/>
    <w:rsid w:val="00B51B81"/>
    <w:rsid w:val="00B51BD4"/>
    <w:rsid w:val="00B51C7E"/>
    <w:rsid w:val="00B521EE"/>
    <w:rsid w:val="00B52239"/>
    <w:rsid w:val="00B524AB"/>
    <w:rsid w:val="00B5281D"/>
    <w:rsid w:val="00B529CC"/>
    <w:rsid w:val="00B52A00"/>
    <w:rsid w:val="00B52CBE"/>
    <w:rsid w:val="00B52DE2"/>
    <w:rsid w:val="00B52DF2"/>
    <w:rsid w:val="00B52EF4"/>
    <w:rsid w:val="00B52F1E"/>
    <w:rsid w:val="00B53137"/>
    <w:rsid w:val="00B531F6"/>
    <w:rsid w:val="00B532D3"/>
    <w:rsid w:val="00B532E9"/>
    <w:rsid w:val="00B53458"/>
    <w:rsid w:val="00B53535"/>
    <w:rsid w:val="00B53616"/>
    <w:rsid w:val="00B537AD"/>
    <w:rsid w:val="00B537BA"/>
    <w:rsid w:val="00B538DF"/>
    <w:rsid w:val="00B538E8"/>
    <w:rsid w:val="00B538EA"/>
    <w:rsid w:val="00B53E8E"/>
    <w:rsid w:val="00B5416B"/>
    <w:rsid w:val="00B54398"/>
    <w:rsid w:val="00B54428"/>
    <w:rsid w:val="00B54515"/>
    <w:rsid w:val="00B545CE"/>
    <w:rsid w:val="00B546FF"/>
    <w:rsid w:val="00B5475B"/>
    <w:rsid w:val="00B54939"/>
    <w:rsid w:val="00B54996"/>
    <w:rsid w:val="00B54ADA"/>
    <w:rsid w:val="00B54BE8"/>
    <w:rsid w:val="00B54C3E"/>
    <w:rsid w:val="00B54DA0"/>
    <w:rsid w:val="00B54F24"/>
    <w:rsid w:val="00B551CA"/>
    <w:rsid w:val="00B55251"/>
    <w:rsid w:val="00B55485"/>
    <w:rsid w:val="00B559BF"/>
    <w:rsid w:val="00B55A79"/>
    <w:rsid w:val="00B55A7F"/>
    <w:rsid w:val="00B55C65"/>
    <w:rsid w:val="00B560D0"/>
    <w:rsid w:val="00B56172"/>
    <w:rsid w:val="00B56223"/>
    <w:rsid w:val="00B5624E"/>
    <w:rsid w:val="00B56598"/>
    <w:rsid w:val="00B56AF5"/>
    <w:rsid w:val="00B56B03"/>
    <w:rsid w:val="00B56B07"/>
    <w:rsid w:val="00B56C88"/>
    <w:rsid w:val="00B56CD9"/>
    <w:rsid w:val="00B56E79"/>
    <w:rsid w:val="00B56E7D"/>
    <w:rsid w:val="00B56E82"/>
    <w:rsid w:val="00B57132"/>
    <w:rsid w:val="00B57145"/>
    <w:rsid w:val="00B57227"/>
    <w:rsid w:val="00B5722C"/>
    <w:rsid w:val="00B57476"/>
    <w:rsid w:val="00B574F7"/>
    <w:rsid w:val="00B575F2"/>
    <w:rsid w:val="00B576B4"/>
    <w:rsid w:val="00B576E5"/>
    <w:rsid w:val="00B57915"/>
    <w:rsid w:val="00B57938"/>
    <w:rsid w:val="00B5793C"/>
    <w:rsid w:val="00B5794D"/>
    <w:rsid w:val="00B57955"/>
    <w:rsid w:val="00B57B2E"/>
    <w:rsid w:val="00B57B9C"/>
    <w:rsid w:val="00B57BF9"/>
    <w:rsid w:val="00B57C02"/>
    <w:rsid w:val="00B57DAF"/>
    <w:rsid w:val="00B57DBB"/>
    <w:rsid w:val="00B57E62"/>
    <w:rsid w:val="00B60107"/>
    <w:rsid w:val="00B602C1"/>
    <w:rsid w:val="00B602C9"/>
    <w:rsid w:val="00B602CD"/>
    <w:rsid w:val="00B6032E"/>
    <w:rsid w:val="00B6071D"/>
    <w:rsid w:val="00B6083E"/>
    <w:rsid w:val="00B6092F"/>
    <w:rsid w:val="00B609A6"/>
    <w:rsid w:val="00B609B8"/>
    <w:rsid w:val="00B60BEF"/>
    <w:rsid w:val="00B60CBD"/>
    <w:rsid w:val="00B60E1F"/>
    <w:rsid w:val="00B612E3"/>
    <w:rsid w:val="00B61354"/>
    <w:rsid w:val="00B613A1"/>
    <w:rsid w:val="00B61464"/>
    <w:rsid w:val="00B61523"/>
    <w:rsid w:val="00B61576"/>
    <w:rsid w:val="00B615C3"/>
    <w:rsid w:val="00B61870"/>
    <w:rsid w:val="00B61964"/>
    <w:rsid w:val="00B61B5A"/>
    <w:rsid w:val="00B61BEA"/>
    <w:rsid w:val="00B61C77"/>
    <w:rsid w:val="00B61EAA"/>
    <w:rsid w:val="00B61EAD"/>
    <w:rsid w:val="00B62002"/>
    <w:rsid w:val="00B620E7"/>
    <w:rsid w:val="00B628A9"/>
    <w:rsid w:val="00B629D2"/>
    <w:rsid w:val="00B62A19"/>
    <w:rsid w:val="00B62D2F"/>
    <w:rsid w:val="00B62D84"/>
    <w:rsid w:val="00B63136"/>
    <w:rsid w:val="00B6316D"/>
    <w:rsid w:val="00B63686"/>
    <w:rsid w:val="00B63865"/>
    <w:rsid w:val="00B638EF"/>
    <w:rsid w:val="00B63AAD"/>
    <w:rsid w:val="00B63C17"/>
    <w:rsid w:val="00B63D6D"/>
    <w:rsid w:val="00B63EAB"/>
    <w:rsid w:val="00B63F81"/>
    <w:rsid w:val="00B64040"/>
    <w:rsid w:val="00B640AA"/>
    <w:rsid w:val="00B64164"/>
    <w:rsid w:val="00B64274"/>
    <w:rsid w:val="00B644A2"/>
    <w:rsid w:val="00B64526"/>
    <w:rsid w:val="00B645D5"/>
    <w:rsid w:val="00B646C8"/>
    <w:rsid w:val="00B647C8"/>
    <w:rsid w:val="00B647FF"/>
    <w:rsid w:val="00B649B0"/>
    <w:rsid w:val="00B64B2E"/>
    <w:rsid w:val="00B64D62"/>
    <w:rsid w:val="00B6501E"/>
    <w:rsid w:val="00B65091"/>
    <w:rsid w:val="00B650E3"/>
    <w:rsid w:val="00B65117"/>
    <w:rsid w:val="00B6525B"/>
    <w:rsid w:val="00B65359"/>
    <w:rsid w:val="00B65429"/>
    <w:rsid w:val="00B655B5"/>
    <w:rsid w:val="00B65752"/>
    <w:rsid w:val="00B6598F"/>
    <w:rsid w:val="00B65ACA"/>
    <w:rsid w:val="00B65B8E"/>
    <w:rsid w:val="00B65DD0"/>
    <w:rsid w:val="00B65DD9"/>
    <w:rsid w:val="00B6611C"/>
    <w:rsid w:val="00B66373"/>
    <w:rsid w:val="00B6638C"/>
    <w:rsid w:val="00B66608"/>
    <w:rsid w:val="00B666DA"/>
    <w:rsid w:val="00B668B7"/>
    <w:rsid w:val="00B6695E"/>
    <w:rsid w:val="00B669E9"/>
    <w:rsid w:val="00B66A0D"/>
    <w:rsid w:val="00B66AAC"/>
    <w:rsid w:val="00B66B00"/>
    <w:rsid w:val="00B66BEE"/>
    <w:rsid w:val="00B66BFA"/>
    <w:rsid w:val="00B66C0F"/>
    <w:rsid w:val="00B66CAE"/>
    <w:rsid w:val="00B66D1A"/>
    <w:rsid w:val="00B66F75"/>
    <w:rsid w:val="00B67096"/>
    <w:rsid w:val="00B67194"/>
    <w:rsid w:val="00B672C3"/>
    <w:rsid w:val="00B6738C"/>
    <w:rsid w:val="00B674BE"/>
    <w:rsid w:val="00B674D7"/>
    <w:rsid w:val="00B677CF"/>
    <w:rsid w:val="00B67890"/>
    <w:rsid w:val="00B67932"/>
    <w:rsid w:val="00B679C2"/>
    <w:rsid w:val="00B67AAA"/>
    <w:rsid w:val="00B67B1B"/>
    <w:rsid w:val="00B67B4E"/>
    <w:rsid w:val="00B67CFF"/>
    <w:rsid w:val="00B67D62"/>
    <w:rsid w:val="00B67D88"/>
    <w:rsid w:val="00B70192"/>
    <w:rsid w:val="00B70365"/>
    <w:rsid w:val="00B70552"/>
    <w:rsid w:val="00B7055F"/>
    <w:rsid w:val="00B70606"/>
    <w:rsid w:val="00B70663"/>
    <w:rsid w:val="00B7080E"/>
    <w:rsid w:val="00B708FF"/>
    <w:rsid w:val="00B709C4"/>
    <w:rsid w:val="00B70CAD"/>
    <w:rsid w:val="00B70F2D"/>
    <w:rsid w:val="00B70F99"/>
    <w:rsid w:val="00B71244"/>
    <w:rsid w:val="00B7130D"/>
    <w:rsid w:val="00B71340"/>
    <w:rsid w:val="00B7143C"/>
    <w:rsid w:val="00B7155C"/>
    <w:rsid w:val="00B71742"/>
    <w:rsid w:val="00B717A2"/>
    <w:rsid w:val="00B7188D"/>
    <w:rsid w:val="00B718A7"/>
    <w:rsid w:val="00B71956"/>
    <w:rsid w:val="00B71996"/>
    <w:rsid w:val="00B71A40"/>
    <w:rsid w:val="00B71AEE"/>
    <w:rsid w:val="00B71B80"/>
    <w:rsid w:val="00B71C63"/>
    <w:rsid w:val="00B71D45"/>
    <w:rsid w:val="00B71D64"/>
    <w:rsid w:val="00B72049"/>
    <w:rsid w:val="00B720A2"/>
    <w:rsid w:val="00B720F3"/>
    <w:rsid w:val="00B72109"/>
    <w:rsid w:val="00B72324"/>
    <w:rsid w:val="00B723AF"/>
    <w:rsid w:val="00B723C5"/>
    <w:rsid w:val="00B723E2"/>
    <w:rsid w:val="00B7244B"/>
    <w:rsid w:val="00B72831"/>
    <w:rsid w:val="00B72BED"/>
    <w:rsid w:val="00B72DDA"/>
    <w:rsid w:val="00B72DE1"/>
    <w:rsid w:val="00B72E1B"/>
    <w:rsid w:val="00B72E31"/>
    <w:rsid w:val="00B72F1F"/>
    <w:rsid w:val="00B72FA4"/>
    <w:rsid w:val="00B7304A"/>
    <w:rsid w:val="00B730BF"/>
    <w:rsid w:val="00B73435"/>
    <w:rsid w:val="00B734C2"/>
    <w:rsid w:val="00B735B7"/>
    <w:rsid w:val="00B735E1"/>
    <w:rsid w:val="00B738BF"/>
    <w:rsid w:val="00B73925"/>
    <w:rsid w:val="00B73994"/>
    <w:rsid w:val="00B73AEE"/>
    <w:rsid w:val="00B73B8B"/>
    <w:rsid w:val="00B73BA0"/>
    <w:rsid w:val="00B73C96"/>
    <w:rsid w:val="00B73CF3"/>
    <w:rsid w:val="00B73DEA"/>
    <w:rsid w:val="00B73E05"/>
    <w:rsid w:val="00B73F80"/>
    <w:rsid w:val="00B73F82"/>
    <w:rsid w:val="00B74045"/>
    <w:rsid w:val="00B741F0"/>
    <w:rsid w:val="00B7423E"/>
    <w:rsid w:val="00B744DF"/>
    <w:rsid w:val="00B74504"/>
    <w:rsid w:val="00B746A0"/>
    <w:rsid w:val="00B746E2"/>
    <w:rsid w:val="00B747D4"/>
    <w:rsid w:val="00B747EA"/>
    <w:rsid w:val="00B7481C"/>
    <w:rsid w:val="00B7490D"/>
    <w:rsid w:val="00B749B4"/>
    <w:rsid w:val="00B74A10"/>
    <w:rsid w:val="00B74B48"/>
    <w:rsid w:val="00B74B79"/>
    <w:rsid w:val="00B74B80"/>
    <w:rsid w:val="00B74BF4"/>
    <w:rsid w:val="00B74C43"/>
    <w:rsid w:val="00B74E13"/>
    <w:rsid w:val="00B74EB7"/>
    <w:rsid w:val="00B75255"/>
    <w:rsid w:val="00B75330"/>
    <w:rsid w:val="00B75348"/>
    <w:rsid w:val="00B754CE"/>
    <w:rsid w:val="00B75502"/>
    <w:rsid w:val="00B756E8"/>
    <w:rsid w:val="00B7573C"/>
    <w:rsid w:val="00B75821"/>
    <w:rsid w:val="00B7582C"/>
    <w:rsid w:val="00B7587B"/>
    <w:rsid w:val="00B7595B"/>
    <w:rsid w:val="00B759AD"/>
    <w:rsid w:val="00B759B5"/>
    <w:rsid w:val="00B76030"/>
    <w:rsid w:val="00B76065"/>
    <w:rsid w:val="00B7606E"/>
    <w:rsid w:val="00B76235"/>
    <w:rsid w:val="00B76395"/>
    <w:rsid w:val="00B763BD"/>
    <w:rsid w:val="00B763C6"/>
    <w:rsid w:val="00B763F0"/>
    <w:rsid w:val="00B76429"/>
    <w:rsid w:val="00B76541"/>
    <w:rsid w:val="00B76621"/>
    <w:rsid w:val="00B76764"/>
    <w:rsid w:val="00B768DB"/>
    <w:rsid w:val="00B76A9E"/>
    <w:rsid w:val="00B76C72"/>
    <w:rsid w:val="00B76C82"/>
    <w:rsid w:val="00B76CD6"/>
    <w:rsid w:val="00B76D4F"/>
    <w:rsid w:val="00B7702B"/>
    <w:rsid w:val="00B770A9"/>
    <w:rsid w:val="00B77179"/>
    <w:rsid w:val="00B7736E"/>
    <w:rsid w:val="00B7764F"/>
    <w:rsid w:val="00B7765E"/>
    <w:rsid w:val="00B7778E"/>
    <w:rsid w:val="00B77845"/>
    <w:rsid w:val="00B77931"/>
    <w:rsid w:val="00B77AE2"/>
    <w:rsid w:val="00B77B8F"/>
    <w:rsid w:val="00B77EF4"/>
    <w:rsid w:val="00B77EF8"/>
    <w:rsid w:val="00B77F40"/>
    <w:rsid w:val="00B77FAE"/>
    <w:rsid w:val="00B77FDA"/>
    <w:rsid w:val="00B80036"/>
    <w:rsid w:val="00B803B8"/>
    <w:rsid w:val="00B80539"/>
    <w:rsid w:val="00B80685"/>
    <w:rsid w:val="00B80759"/>
    <w:rsid w:val="00B80785"/>
    <w:rsid w:val="00B807F7"/>
    <w:rsid w:val="00B8083B"/>
    <w:rsid w:val="00B80866"/>
    <w:rsid w:val="00B808C7"/>
    <w:rsid w:val="00B80AC2"/>
    <w:rsid w:val="00B80AD9"/>
    <w:rsid w:val="00B80C7F"/>
    <w:rsid w:val="00B80E39"/>
    <w:rsid w:val="00B80EDC"/>
    <w:rsid w:val="00B80FED"/>
    <w:rsid w:val="00B81123"/>
    <w:rsid w:val="00B812B1"/>
    <w:rsid w:val="00B81313"/>
    <w:rsid w:val="00B81723"/>
    <w:rsid w:val="00B8172E"/>
    <w:rsid w:val="00B81775"/>
    <w:rsid w:val="00B8192C"/>
    <w:rsid w:val="00B819D1"/>
    <w:rsid w:val="00B81B0D"/>
    <w:rsid w:val="00B81B0F"/>
    <w:rsid w:val="00B81B45"/>
    <w:rsid w:val="00B81B9E"/>
    <w:rsid w:val="00B81EA2"/>
    <w:rsid w:val="00B81EBD"/>
    <w:rsid w:val="00B820D5"/>
    <w:rsid w:val="00B82267"/>
    <w:rsid w:val="00B82284"/>
    <w:rsid w:val="00B822AC"/>
    <w:rsid w:val="00B8233C"/>
    <w:rsid w:val="00B824FE"/>
    <w:rsid w:val="00B826B9"/>
    <w:rsid w:val="00B826E2"/>
    <w:rsid w:val="00B828CA"/>
    <w:rsid w:val="00B82DE7"/>
    <w:rsid w:val="00B82ED2"/>
    <w:rsid w:val="00B8326A"/>
    <w:rsid w:val="00B83397"/>
    <w:rsid w:val="00B8343B"/>
    <w:rsid w:val="00B83497"/>
    <w:rsid w:val="00B834AA"/>
    <w:rsid w:val="00B836D6"/>
    <w:rsid w:val="00B83826"/>
    <w:rsid w:val="00B83989"/>
    <w:rsid w:val="00B839F6"/>
    <w:rsid w:val="00B83A13"/>
    <w:rsid w:val="00B83A31"/>
    <w:rsid w:val="00B83A37"/>
    <w:rsid w:val="00B83B58"/>
    <w:rsid w:val="00B83BAC"/>
    <w:rsid w:val="00B83BC2"/>
    <w:rsid w:val="00B83CC9"/>
    <w:rsid w:val="00B83DA2"/>
    <w:rsid w:val="00B83E00"/>
    <w:rsid w:val="00B84275"/>
    <w:rsid w:val="00B843F8"/>
    <w:rsid w:val="00B847D2"/>
    <w:rsid w:val="00B84871"/>
    <w:rsid w:val="00B84ADD"/>
    <w:rsid w:val="00B84CA2"/>
    <w:rsid w:val="00B84D1D"/>
    <w:rsid w:val="00B8505A"/>
    <w:rsid w:val="00B85082"/>
    <w:rsid w:val="00B85148"/>
    <w:rsid w:val="00B85463"/>
    <w:rsid w:val="00B8547B"/>
    <w:rsid w:val="00B85753"/>
    <w:rsid w:val="00B85A3F"/>
    <w:rsid w:val="00B85AB6"/>
    <w:rsid w:val="00B85C72"/>
    <w:rsid w:val="00B85DA5"/>
    <w:rsid w:val="00B85E6D"/>
    <w:rsid w:val="00B86032"/>
    <w:rsid w:val="00B86038"/>
    <w:rsid w:val="00B86049"/>
    <w:rsid w:val="00B8606A"/>
    <w:rsid w:val="00B86103"/>
    <w:rsid w:val="00B86109"/>
    <w:rsid w:val="00B8616D"/>
    <w:rsid w:val="00B86268"/>
    <w:rsid w:val="00B862E5"/>
    <w:rsid w:val="00B86763"/>
    <w:rsid w:val="00B869E0"/>
    <w:rsid w:val="00B86B6C"/>
    <w:rsid w:val="00B86BF4"/>
    <w:rsid w:val="00B86C53"/>
    <w:rsid w:val="00B871A0"/>
    <w:rsid w:val="00B872AE"/>
    <w:rsid w:val="00B87374"/>
    <w:rsid w:val="00B8737B"/>
    <w:rsid w:val="00B87454"/>
    <w:rsid w:val="00B87461"/>
    <w:rsid w:val="00B87A2D"/>
    <w:rsid w:val="00B87A98"/>
    <w:rsid w:val="00B87B2B"/>
    <w:rsid w:val="00B87C98"/>
    <w:rsid w:val="00B87CAE"/>
    <w:rsid w:val="00B87D57"/>
    <w:rsid w:val="00B87D60"/>
    <w:rsid w:val="00B87E16"/>
    <w:rsid w:val="00B87E39"/>
    <w:rsid w:val="00B900D2"/>
    <w:rsid w:val="00B9032E"/>
    <w:rsid w:val="00B904FB"/>
    <w:rsid w:val="00B90691"/>
    <w:rsid w:val="00B90913"/>
    <w:rsid w:val="00B90A0F"/>
    <w:rsid w:val="00B90FB1"/>
    <w:rsid w:val="00B911F6"/>
    <w:rsid w:val="00B915AD"/>
    <w:rsid w:val="00B915BB"/>
    <w:rsid w:val="00B91740"/>
    <w:rsid w:val="00B91758"/>
    <w:rsid w:val="00B919D3"/>
    <w:rsid w:val="00B91D2D"/>
    <w:rsid w:val="00B91D92"/>
    <w:rsid w:val="00B91E1D"/>
    <w:rsid w:val="00B91FAA"/>
    <w:rsid w:val="00B92039"/>
    <w:rsid w:val="00B92161"/>
    <w:rsid w:val="00B9216B"/>
    <w:rsid w:val="00B921A7"/>
    <w:rsid w:val="00B92203"/>
    <w:rsid w:val="00B9220A"/>
    <w:rsid w:val="00B9230B"/>
    <w:rsid w:val="00B92325"/>
    <w:rsid w:val="00B9239C"/>
    <w:rsid w:val="00B92427"/>
    <w:rsid w:val="00B92495"/>
    <w:rsid w:val="00B925A5"/>
    <w:rsid w:val="00B925A8"/>
    <w:rsid w:val="00B926FE"/>
    <w:rsid w:val="00B928D0"/>
    <w:rsid w:val="00B92A1D"/>
    <w:rsid w:val="00B92B9A"/>
    <w:rsid w:val="00B92DE0"/>
    <w:rsid w:val="00B92F23"/>
    <w:rsid w:val="00B931D9"/>
    <w:rsid w:val="00B934E0"/>
    <w:rsid w:val="00B935CB"/>
    <w:rsid w:val="00B93641"/>
    <w:rsid w:val="00B9367D"/>
    <w:rsid w:val="00B9373B"/>
    <w:rsid w:val="00B93768"/>
    <w:rsid w:val="00B9382E"/>
    <w:rsid w:val="00B93881"/>
    <w:rsid w:val="00B9388F"/>
    <w:rsid w:val="00B93AF1"/>
    <w:rsid w:val="00B93CF9"/>
    <w:rsid w:val="00B93D2C"/>
    <w:rsid w:val="00B93D45"/>
    <w:rsid w:val="00B93D6A"/>
    <w:rsid w:val="00B93E5B"/>
    <w:rsid w:val="00B94110"/>
    <w:rsid w:val="00B94213"/>
    <w:rsid w:val="00B94301"/>
    <w:rsid w:val="00B94413"/>
    <w:rsid w:val="00B9441B"/>
    <w:rsid w:val="00B9442C"/>
    <w:rsid w:val="00B94711"/>
    <w:rsid w:val="00B94830"/>
    <w:rsid w:val="00B9494C"/>
    <w:rsid w:val="00B9495F"/>
    <w:rsid w:val="00B94A47"/>
    <w:rsid w:val="00B94B52"/>
    <w:rsid w:val="00B94C44"/>
    <w:rsid w:val="00B94D80"/>
    <w:rsid w:val="00B94EF9"/>
    <w:rsid w:val="00B950A2"/>
    <w:rsid w:val="00B954D4"/>
    <w:rsid w:val="00B9553F"/>
    <w:rsid w:val="00B95561"/>
    <w:rsid w:val="00B95722"/>
    <w:rsid w:val="00B95886"/>
    <w:rsid w:val="00B9589D"/>
    <w:rsid w:val="00B95997"/>
    <w:rsid w:val="00B95A37"/>
    <w:rsid w:val="00B95A7A"/>
    <w:rsid w:val="00B95BEC"/>
    <w:rsid w:val="00B95F3E"/>
    <w:rsid w:val="00B960B1"/>
    <w:rsid w:val="00B96128"/>
    <w:rsid w:val="00B96206"/>
    <w:rsid w:val="00B96281"/>
    <w:rsid w:val="00B96543"/>
    <w:rsid w:val="00B966FC"/>
    <w:rsid w:val="00B96755"/>
    <w:rsid w:val="00B9686D"/>
    <w:rsid w:val="00B96A25"/>
    <w:rsid w:val="00B96A94"/>
    <w:rsid w:val="00B96A9C"/>
    <w:rsid w:val="00B96ABC"/>
    <w:rsid w:val="00B96AC5"/>
    <w:rsid w:val="00B96C7F"/>
    <w:rsid w:val="00B96DE2"/>
    <w:rsid w:val="00B96E16"/>
    <w:rsid w:val="00B96E4D"/>
    <w:rsid w:val="00B9703A"/>
    <w:rsid w:val="00B970F1"/>
    <w:rsid w:val="00B9710C"/>
    <w:rsid w:val="00B9720D"/>
    <w:rsid w:val="00B972B8"/>
    <w:rsid w:val="00B972FA"/>
    <w:rsid w:val="00B97341"/>
    <w:rsid w:val="00B97359"/>
    <w:rsid w:val="00B973FE"/>
    <w:rsid w:val="00B97455"/>
    <w:rsid w:val="00B9748E"/>
    <w:rsid w:val="00B97537"/>
    <w:rsid w:val="00B9759B"/>
    <w:rsid w:val="00B977DE"/>
    <w:rsid w:val="00B977F0"/>
    <w:rsid w:val="00B97874"/>
    <w:rsid w:val="00B978DC"/>
    <w:rsid w:val="00B979AA"/>
    <w:rsid w:val="00B979CF"/>
    <w:rsid w:val="00B97A5F"/>
    <w:rsid w:val="00B97B57"/>
    <w:rsid w:val="00B97D70"/>
    <w:rsid w:val="00B97E4F"/>
    <w:rsid w:val="00BA0168"/>
    <w:rsid w:val="00BA0299"/>
    <w:rsid w:val="00BA02B4"/>
    <w:rsid w:val="00BA05CB"/>
    <w:rsid w:val="00BA05DA"/>
    <w:rsid w:val="00BA07BA"/>
    <w:rsid w:val="00BA0881"/>
    <w:rsid w:val="00BA090E"/>
    <w:rsid w:val="00BA0A7F"/>
    <w:rsid w:val="00BA0B9E"/>
    <w:rsid w:val="00BA0DA3"/>
    <w:rsid w:val="00BA0E57"/>
    <w:rsid w:val="00BA0E64"/>
    <w:rsid w:val="00BA0E88"/>
    <w:rsid w:val="00BA0E9B"/>
    <w:rsid w:val="00BA10AD"/>
    <w:rsid w:val="00BA1302"/>
    <w:rsid w:val="00BA1690"/>
    <w:rsid w:val="00BA1774"/>
    <w:rsid w:val="00BA1878"/>
    <w:rsid w:val="00BA1897"/>
    <w:rsid w:val="00BA1986"/>
    <w:rsid w:val="00BA19F8"/>
    <w:rsid w:val="00BA1A15"/>
    <w:rsid w:val="00BA1BEE"/>
    <w:rsid w:val="00BA1C92"/>
    <w:rsid w:val="00BA201F"/>
    <w:rsid w:val="00BA2147"/>
    <w:rsid w:val="00BA2398"/>
    <w:rsid w:val="00BA252D"/>
    <w:rsid w:val="00BA2636"/>
    <w:rsid w:val="00BA2674"/>
    <w:rsid w:val="00BA27A9"/>
    <w:rsid w:val="00BA2815"/>
    <w:rsid w:val="00BA2A17"/>
    <w:rsid w:val="00BA2A23"/>
    <w:rsid w:val="00BA2B70"/>
    <w:rsid w:val="00BA2C47"/>
    <w:rsid w:val="00BA2DAC"/>
    <w:rsid w:val="00BA2E07"/>
    <w:rsid w:val="00BA2E78"/>
    <w:rsid w:val="00BA3071"/>
    <w:rsid w:val="00BA30DF"/>
    <w:rsid w:val="00BA30FD"/>
    <w:rsid w:val="00BA341E"/>
    <w:rsid w:val="00BA3500"/>
    <w:rsid w:val="00BA3514"/>
    <w:rsid w:val="00BA379A"/>
    <w:rsid w:val="00BA38E6"/>
    <w:rsid w:val="00BA3CB9"/>
    <w:rsid w:val="00BA41AC"/>
    <w:rsid w:val="00BA426E"/>
    <w:rsid w:val="00BA42C7"/>
    <w:rsid w:val="00BA4422"/>
    <w:rsid w:val="00BA4442"/>
    <w:rsid w:val="00BA45DE"/>
    <w:rsid w:val="00BA464D"/>
    <w:rsid w:val="00BA488F"/>
    <w:rsid w:val="00BA48F8"/>
    <w:rsid w:val="00BA4932"/>
    <w:rsid w:val="00BA4A9D"/>
    <w:rsid w:val="00BA4B36"/>
    <w:rsid w:val="00BA4F62"/>
    <w:rsid w:val="00BA4FE5"/>
    <w:rsid w:val="00BA503E"/>
    <w:rsid w:val="00BA5237"/>
    <w:rsid w:val="00BA53DD"/>
    <w:rsid w:val="00BA53E4"/>
    <w:rsid w:val="00BA5499"/>
    <w:rsid w:val="00BA551F"/>
    <w:rsid w:val="00BA5593"/>
    <w:rsid w:val="00BA55CA"/>
    <w:rsid w:val="00BA56DB"/>
    <w:rsid w:val="00BA56EF"/>
    <w:rsid w:val="00BA5746"/>
    <w:rsid w:val="00BA5883"/>
    <w:rsid w:val="00BA5A28"/>
    <w:rsid w:val="00BA5BC3"/>
    <w:rsid w:val="00BA5D06"/>
    <w:rsid w:val="00BA5D55"/>
    <w:rsid w:val="00BA5F2C"/>
    <w:rsid w:val="00BA6042"/>
    <w:rsid w:val="00BA6056"/>
    <w:rsid w:val="00BA6204"/>
    <w:rsid w:val="00BA6356"/>
    <w:rsid w:val="00BA637F"/>
    <w:rsid w:val="00BA63D9"/>
    <w:rsid w:val="00BA6500"/>
    <w:rsid w:val="00BA67E4"/>
    <w:rsid w:val="00BA68B0"/>
    <w:rsid w:val="00BA6990"/>
    <w:rsid w:val="00BA6AAC"/>
    <w:rsid w:val="00BA6AFC"/>
    <w:rsid w:val="00BA6B66"/>
    <w:rsid w:val="00BA6C4F"/>
    <w:rsid w:val="00BA6DB7"/>
    <w:rsid w:val="00BA6F2C"/>
    <w:rsid w:val="00BA6FC3"/>
    <w:rsid w:val="00BA6FDE"/>
    <w:rsid w:val="00BA7019"/>
    <w:rsid w:val="00BA72C5"/>
    <w:rsid w:val="00BA73BC"/>
    <w:rsid w:val="00BA73E5"/>
    <w:rsid w:val="00BA7500"/>
    <w:rsid w:val="00BA752F"/>
    <w:rsid w:val="00BA75E4"/>
    <w:rsid w:val="00BA7602"/>
    <w:rsid w:val="00BA7811"/>
    <w:rsid w:val="00BA78E3"/>
    <w:rsid w:val="00BA791A"/>
    <w:rsid w:val="00BA796C"/>
    <w:rsid w:val="00BA797F"/>
    <w:rsid w:val="00BA79BF"/>
    <w:rsid w:val="00BA7C52"/>
    <w:rsid w:val="00BA7D88"/>
    <w:rsid w:val="00BA7DC2"/>
    <w:rsid w:val="00BA7EF1"/>
    <w:rsid w:val="00BA7F0D"/>
    <w:rsid w:val="00BB01D6"/>
    <w:rsid w:val="00BB03CD"/>
    <w:rsid w:val="00BB04C3"/>
    <w:rsid w:val="00BB06B4"/>
    <w:rsid w:val="00BB095B"/>
    <w:rsid w:val="00BB0AC3"/>
    <w:rsid w:val="00BB0BA0"/>
    <w:rsid w:val="00BB0CA2"/>
    <w:rsid w:val="00BB0E53"/>
    <w:rsid w:val="00BB0E8A"/>
    <w:rsid w:val="00BB0ECB"/>
    <w:rsid w:val="00BB0F03"/>
    <w:rsid w:val="00BB0FEC"/>
    <w:rsid w:val="00BB11D4"/>
    <w:rsid w:val="00BB1408"/>
    <w:rsid w:val="00BB1653"/>
    <w:rsid w:val="00BB1769"/>
    <w:rsid w:val="00BB1858"/>
    <w:rsid w:val="00BB19A9"/>
    <w:rsid w:val="00BB1CC2"/>
    <w:rsid w:val="00BB1CC4"/>
    <w:rsid w:val="00BB1CF3"/>
    <w:rsid w:val="00BB2290"/>
    <w:rsid w:val="00BB231A"/>
    <w:rsid w:val="00BB2355"/>
    <w:rsid w:val="00BB24BF"/>
    <w:rsid w:val="00BB2554"/>
    <w:rsid w:val="00BB2587"/>
    <w:rsid w:val="00BB25B8"/>
    <w:rsid w:val="00BB281B"/>
    <w:rsid w:val="00BB2854"/>
    <w:rsid w:val="00BB2900"/>
    <w:rsid w:val="00BB291B"/>
    <w:rsid w:val="00BB2BA3"/>
    <w:rsid w:val="00BB2E07"/>
    <w:rsid w:val="00BB2ED9"/>
    <w:rsid w:val="00BB2F78"/>
    <w:rsid w:val="00BB30CF"/>
    <w:rsid w:val="00BB3159"/>
    <w:rsid w:val="00BB3252"/>
    <w:rsid w:val="00BB32BD"/>
    <w:rsid w:val="00BB32D9"/>
    <w:rsid w:val="00BB32DF"/>
    <w:rsid w:val="00BB33BD"/>
    <w:rsid w:val="00BB350F"/>
    <w:rsid w:val="00BB36AA"/>
    <w:rsid w:val="00BB3928"/>
    <w:rsid w:val="00BB39B2"/>
    <w:rsid w:val="00BB3BB9"/>
    <w:rsid w:val="00BB3C14"/>
    <w:rsid w:val="00BB3CF3"/>
    <w:rsid w:val="00BB3D9C"/>
    <w:rsid w:val="00BB3E38"/>
    <w:rsid w:val="00BB45BB"/>
    <w:rsid w:val="00BB4602"/>
    <w:rsid w:val="00BB4622"/>
    <w:rsid w:val="00BB4678"/>
    <w:rsid w:val="00BB4867"/>
    <w:rsid w:val="00BB4877"/>
    <w:rsid w:val="00BB49BF"/>
    <w:rsid w:val="00BB4C54"/>
    <w:rsid w:val="00BB4CEF"/>
    <w:rsid w:val="00BB4E16"/>
    <w:rsid w:val="00BB4E36"/>
    <w:rsid w:val="00BB5048"/>
    <w:rsid w:val="00BB5302"/>
    <w:rsid w:val="00BB532E"/>
    <w:rsid w:val="00BB5621"/>
    <w:rsid w:val="00BB56FD"/>
    <w:rsid w:val="00BB5711"/>
    <w:rsid w:val="00BB5777"/>
    <w:rsid w:val="00BB577A"/>
    <w:rsid w:val="00BB5919"/>
    <w:rsid w:val="00BB5B79"/>
    <w:rsid w:val="00BB5D30"/>
    <w:rsid w:val="00BB5E91"/>
    <w:rsid w:val="00BB5EC3"/>
    <w:rsid w:val="00BB5FFC"/>
    <w:rsid w:val="00BB613C"/>
    <w:rsid w:val="00BB616F"/>
    <w:rsid w:val="00BB6407"/>
    <w:rsid w:val="00BB67DA"/>
    <w:rsid w:val="00BB67FA"/>
    <w:rsid w:val="00BB6882"/>
    <w:rsid w:val="00BB689E"/>
    <w:rsid w:val="00BB6971"/>
    <w:rsid w:val="00BB69E0"/>
    <w:rsid w:val="00BB6A0E"/>
    <w:rsid w:val="00BB6A6A"/>
    <w:rsid w:val="00BB6BF5"/>
    <w:rsid w:val="00BB6E89"/>
    <w:rsid w:val="00BB6F9C"/>
    <w:rsid w:val="00BB6FC0"/>
    <w:rsid w:val="00BB7356"/>
    <w:rsid w:val="00BB73AF"/>
    <w:rsid w:val="00BB7599"/>
    <w:rsid w:val="00BB78EA"/>
    <w:rsid w:val="00BB7927"/>
    <w:rsid w:val="00BB792F"/>
    <w:rsid w:val="00BB7A2E"/>
    <w:rsid w:val="00BB7AD2"/>
    <w:rsid w:val="00BB7EF6"/>
    <w:rsid w:val="00BB7F3C"/>
    <w:rsid w:val="00BB7F97"/>
    <w:rsid w:val="00BC016D"/>
    <w:rsid w:val="00BC02BA"/>
    <w:rsid w:val="00BC0323"/>
    <w:rsid w:val="00BC033B"/>
    <w:rsid w:val="00BC0454"/>
    <w:rsid w:val="00BC04ED"/>
    <w:rsid w:val="00BC0B94"/>
    <w:rsid w:val="00BC0C0C"/>
    <w:rsid w:val="00BC0C4F"/>
    <w:rsid w:val="00BC0C9C"/>
    <w:rsid w:val="00BC0CD4"/>
    <w:rsid w:val="00BC0D1D"/>
    <w:rsid w:val="00BC0D91"/>
    <w:rsid w:val="00BC0E13"/>
    <w:rsid w:val="00BC0E1C"/>
    <w:rsid w:val="00BC0E78"/>
    <w:rsid w:val="00BC0F7B"/>
    <w:rsid w:val="00BC105D"/>
    <w:rsid w:val="00BC1191"/>
    <w:rsid w:val="00BC11B0"/>
    <w:rsid w:val="00BC1254"/>
    <w:rsid w:val="00BC12A4"/>
    <w:rsid w:val="00BC1A08"/>
    <w:rsid w:val="00BC1A80"/>
    <w:rsid w:val="00BC1C3E"/>
    <w:rsid w:val="00BC1CBC"/>
    <w:rsid w:val="00BC1CC1"/>
    <w:rsid w:val="00BC1D00"/>
    <w:rsid w:val="00BC2093"/>
    <w:rsid w:val="00BC22C0"/>
    <w:rsid w:val="00BC247F"/>
    <w:rsid w:val="00BC25D7"/>
    <w:rsid w:val="00BC25F5"/>
    <w:rsid w:val="00BC2754"/>
    <w:rsid w:val="00BC2760"/>
    <w:rsid w:val="00BC27B0"/>
    <w:rsid w:val="00BC2C94"/>
    <w:rsid w:val="00BC2CC2"/>
    <w:rsid w:val="00BC2D7B"/>
    <w:rsid w:val="00BC2DFE"/>
    <w:rsid w:val="00BC2E3C"/>
    <w:rsid w:val="00BC2EF5"/>
    <w:rsid w:val="00BC30FE"/>
    <w:rsid w:val="00BC3593"/>
    <w:rsid w:val="00BC35D7"/>
    <w:rsid w:val="00BC38EF"/>
    <w:rsid w:val="00BC3907"/>
    <w:rsid w:val="00BC39E7"/>
    <w:rsid w:val="00BC3A89"/>
    <w:rsid w:val="00BC3AC7"/>
    <w:rsid w:val="00BC3C0D"/>
    <w:rsid w:val="00BC3F0F"/>
    <w:rsid w:val="00BC42C6"/>
    <w:rsid w:val="00BC449C"/>
    <w:rsid w:val="00BC45C8"/>
    <w:rsid w:val="00BC46B2"/>
    <w:rsid w:val="00BC46B4"/>
    <w:rsid w:val="00BC473D"/>
    <w:rsid w:val="00BC4A69"/>
    <w:rsid w:val="00BC4FA6"/>
    <w:rsid w:val="00BC5029"/>
    <w:rsid w:val="00BC5073"/>
    <w:rsid w:val="00BC519D"/>
    <w:rsid w:val="00BC5335"/>
    <w:rsid w:val="00BC547A"/>
    <w:rsid w:val="00BC5545"/>
    <w:rsid w:val="00BC5791"/>
    <w:rsid w:val="00BC5938"/>
    <w:rsid w:val="00BC598E"/>
    <w:rsid w:val="00BC5A60"/>
    <w:rsid w:val="00BC6248"/>
    <w:rsid w:val="00BC62DB"/>
    <w:rsid w:val="00BC6304"/>
    <w:rsid w:val="00BC63AE"/>
    <w:rsid w:val="00BC64A7"/>
    <w:rsid w:val="00BC64AB"/>
    <w:rsid w:val="00BC65AD"/>
    <w:rsid w:val="00BC674E"/>
    <w:rsid w:val="00BC67FD"/>
    <w:rsid w:val="00BC684E"/>
    <w:rsid w:val="00BC6854"/>
    <w:rsid w:val="00BC685D"/>
    <w:rsid w:val="00BC6B09"/>
    <w:rsid w:val="00BC6B59"/>
    <w:rsid w:val="00BC6B91"/>
    <w:rsid w:val="00BC6C3F"/>
    <w:rsid w:val="00BC6FAD"/>
    <w:rsid w:val="00BC7053"/>
    <w:rsid w:val="00BC70F6"/>
    <w:rsid w:val="00BC716B"/>
    <w:rsid w:val="00BC7206"/>
    <w:rsid w:val="00BC727F"/>
    <w:rsid w:val="00BC72EE"/>
    <w:rsid w:val="00BC73BC"/>
    <w:rsid w:val="00BC743F"/>
    <w:rsid w:val="00BC752A"/>
    <w:rsid w:val="00BC793B"/>
    <w:rsid w:val="00BC797E"/>
    <w:rsid w:val="00BC7A3D"/>
    <w:rsid w:val="00BC7DBF"/>
    <w:rsid w:val="00BC7DEE"/>
    <w:rsid w:val="00BC7EF7"/>
    <w:rsid w:val="00BD039A"/>
    <w:rsid w:val="00BD03B0"/>
    <w:rsid w:val="00BD040A"/>
    <w:rsid w:val="00BD069F"/>
    <w:rsid w:val="00BD0741"/>
    <w:rsid w:val="00BD0859"/>
    <w:rsid w:val="00BD0A7C"/>
    <w:rsid w:val="00BD0B7D"/>
    <w:rsid w:val="00BD0BC2"/>
    <w:rsid w:val="00BD0D28"/>
    <w:rsid w:val="00BD0DF9"/>
    <w:rsid w:val="00BD0E15"/>
    <w:rsid w:val="00BD0EAB"/>
    <w:rsid w:val="00BD1068"/>
    <w:rsid w:val="00BD11D8"/>
    <w:rsid w:val="00BD12CA"/>
    <w:rsid w:val="00BD1414"/>
    <w:rsid w:val="00BD150D"/>
    <w:rsid w:val="00BD15D3"/>
    <w:rsid w:val="00BD15E1"/>
    <w:rsid w:val="00BD1867"/>
    <w:rsid w:val="00BD1885"/>
    <w:rsid w:val="00BD18AF"/>
    <w:rsid w:val="00BD1911"/>
    <w:rsid w:val="00BD1C9F"/>
    <w:rsid w:val="00BD1CCD"/>
    <w:rsid w:val="00BD1D03"/>
    <w:rsid w:val="00BD1DD6"/>
    <w:rsid w:val="00BD20C6"/>
    <w:rsid w:val="00BD212F"/>
    <w:rsid w:val="00BD21EA"/>
    <w:rsid w:val="00BD222C"/>
    <w:rsid w:val="00BD244C"/>
    <w:rsid w:val="00BD24DE"/>
    <w:rsid w:val="00BD24FB"/>
    <w:rsid w:val="00BD2507"/>
    <w:rsid w:val="00BD2568"/>
    <w:rsid w:val="00BD257F"/>
    <w:rsid w:val="00BD26F8"/>
    <w:rsid w:val="00BD27F5"/>
    <w:rsid w:val="00BD2A44"/>
    <w:rsid w:val="00BD2C0B"/>
    <w:rsid w:val="00BD2CDA"/>
    <w:rsid w:val="00BD2F2A"/>
    <w:rsid w:val="00BD2F81"/>
    <w:rsid w:val="00BD3038"/>
    <w:rsid w:val="00BD312E"/>
    <w:rsid w:val="00BD31CB"/>
    <w:rsid w:val="00BD3211"/>
    <w:rsid w:val="00BD32CE"/>
    <w:rsid w:val="00BD355A"/>
    <w:rsid w:val="00BD35A2"/>
    <w:rsid w:val="00BD35B5"/>
    <w:rsid w:val="00BD3732"/>
    <w:rsid w:val="00BD3787"/>
    <w:rsid w:val="00BD37F4"/>
    <w:rsid w:val="00BD38DA"/>
    <w:rsid w:val="00BD3A7F"/>
    <w:rsid w:val="00BD3AB7"/>
    <w:rsid w:val="00BD3BA9"/>
    <w:rsid w:val="00BD3C39"/>
    <w:rsid w:val="00BD3C71"/>
    <w:rsid w:val="00BD4010"/>
    <w:rsid w:val="00BD4286"/>
    <w:rsid w:val="00BD4350"/>
    <w:rsid w:val="00BD43A1"/>
    <w:rsid w:val="00BD4491"/>
    <w:rsid w:val="00BD4556"/>
    <w:rsid w:val="00BD472D"/>
    <w:rsid w:val="00BD4773"/>
    <w:rsid w:val="00BD47FA"/>
    <w:rsid w:val="00BD492B"/>
    <w:rsid w:val="00BD4A2F"/>
    <w:rsid w:val="00BD4A85"/>
    <w:rsid w:val="00BD4B60"/>
    <w:rsid w:val="00BD4CC4"/>
    <w:rsid w:val="00BD4F06"/>
    <w:rsid w:val="00BD5495"/>
    <w:rsid w:val="00BD57A4"/>
    <w:rsid w:val="00BD58CC"/>
    <w:rsid w:val="00BD5BE5"/>
    <w:rsid w:val="00BD5C16"/>
    <w:rsid w:val="00BD5C9F"/>
    <w:rsid w:val="00BD5CB5"/>
    <w:rsid w:val="00BD5CF5"/>
    <w:rsid w:val="00BD5D6D"/>
    <w:rsid w:val="00BD5E34"/>
    <w:rsid w:val="00BD624B"/>
    <w:rsid w:val="00BD62BC"/>
    <w:rsid w:val="00BD646D"/>
    <w:rsid w:val="00BD65A0"/>
    <w:rsid w:val="00BD6736"/>
    <w:rsid w:val="00BD694E"/>
    <w:rsid w:val="00BD6982"/>
    <w:rsid w:val="00BD6A47"/>
    <w:rsid w:val="00BD6A4B"/>
    <w:rsid w:val="00BD6C74"/>
    <w:rsid w:val="00BD6CC6"/>
    <w:rsid w:val="00BD6CE9"/>
    <w:rsid w:val="00BD6DE3"/>
    <w:rsid w:val="00BD6FA0"/>
    <w:rsid w:val="00BD7602"/>
    <w:rsid w:val="00BD761A"/>
    <w:rsid w:val="00BD776C"/>
    <w:rsid w:val="00BD7906"/>
    <w:rsid w:val="00BD7B87"/>
    <w:rsid w:val="00BD7C15"/>
    <w:rsid w:val="00BD7E40"/>
    <w:rsid w:val="00BD7EE4"/>
    <w:rsid w:val="00BD7FCA"/>
    <w:rsid w:val="00BE00ED"/>
    <w:rsid w:val="00BE0405"/>
    <w:rsid w:val="00BE0491"/>
    <w:rsid w:val="00BE0520"/>
    <w:rsid w:val="00BE062F"/>
    <w:rsid w:val="00BE0811"/>
    <w:rsid w:val="00BE0842"/>
    <w:rsid w:val="00BE0CF6"/>
    <w:rsid w:val="00BE0D7A"/>
    <w:rsid w:val="00BE0E7F"/>
    <w:rsid w:val="00BE111F"/>
    <w:rsid w:val="00BE11E2"/>
    <w:rsid w:val="00BE1250"/>
    <w:rsid w:val="00BE12B7"/>
    <w:rsid w:val="00BE1323"/>
    <w:rsid w:val="00BE132A"/>
    <w:rsid w:val="00BE15DE"/>
    <w:rsid w:val="00BE18CF"/>
    <w:rsid w:val="00BE1A03"/>
    <w:rsid w:val="00BE1A7C"/>
    <w:rsid w:val="00BE1B02"/>
    <w:rsid w:val="00BE1BCA"/>
    <w:rsid w:val="00BE1C50"/>
    <w:rsid w:val="00BE1F93"/>
    <w:rsid w:val="00BE213E"/>
    <w:rsid w:val="00BE2223"/>
    <w:rsid w:val="00BE22B8"/>
    <w:rsid w:val="00BE2332"/>
    <w:rsid w:val="00BE237A"/>
    <w:rsid w:val="00BE2536"/>
    <w:rsid w:val="00BE262B"/>
    <w:rsid w:val="00BE2826"/>
    <w:rsid w:val="00BE289D"/>
    <w:rsid w:val="00BE28AF"/>
    <w:rsid w:val="00BE28CB"/>
    <w:rsid w:val="00BE294E"/>
    <w:rsid w:val="00BE2950"/>
    <w:rsid w:val="00BE29F2"/>
    <w:rsid w:val="00BE2CB7"/>
    <w:rsid w:val="00BE304E"/>
    <w:rsid w:val="00BE30FB"/>
    <w:rsid w:val="00BE31BC"/>
    <w:rsid w:val="00BE3463"/>
    <w:rsid w:val="00BE353D"/>
    <w:rsid w:val="00BE3569"/>
    <w:rsid w:val="00BE357E"/>
    <w:rsid w:val="00BE3695"/>
    <w:rsid w:val="00BE39C7"/>
    <w:rsid w:val="00BE3AC8"/>
    <w:rsid w:val="00BE3BC5"/>
    <w:rsid w:val="00BE4086"/>
    <w:rsid w:val="00BE439B"/>
    <w:rsid w:val="00BE443E"/>
    <w:rsid w:val="00BE45F5"/>
    <w:rsid w:val="00BE4664"/>
    <w:rsid w:val="00BE47F6"/>
    <w:rsid w:val="00BE4AFA"/>
    <w:rsid w:val="00BE4B55"/>
    <w:rsid w:val="00BE4BBF"/>
    <w:rsid w:val="00BE4C5A"/>
    <w:rsid w:val="00BE4CC4"/>
    <w:rsid w:val="00BE51D3"/>
    <w:rsid w:val="00BE529C"/>
    <w:rsid w:val="00BE52A1"/>
    <w:rsid w:val="00BE52AF"/>
    <w:rsid w:val="00BE5496"/>
    <w:rsid w:val="00BE556C"/>
    <w:rsid w:val="00BE59EF"/>
    <w:rsid w:val="00BE5AA9"/>
    <w:rsid w:val="00BE5B9D"/>
    <w:rsid w:val="00BE5C70"/>
    <w:rsid w:val="00BE5E76"/>
    <w:rsid w:val="00BE607B"/>
    <w:rsid w:val="00BE60C3"/>
    <w:rsid w:val="00BE6331"/>
    <w:rsid w:val="00BE6490"/>
    <w:rsid w:val="00BE6624"/>
    <w:rsid w:val="00BE67E8"/>
    <w:rsid w:val="00BE68AF"/>
    <w:rsid w:val="00BE6B2F"/>
    <w:rsid w:val="00BE6BF1"/>
    <w:rsid w:val="00BE6DA0"/>
    <w:rsid w:val="00BE6EA3"/>
    <w:rsid w:val="00BE6F8F"/>
    <w:rsid w:val="00BE7187"/>
    <w:rsid w:val="00BE71D1"/>
    <w:rsid w:val="00BE72D0"/>
    <w:rsid w:val="00BE7432"/>
    <w:rsid w:val="00BE74BB"/>
    <w:rsid w:val="00BE7AC5"/>
    <w:rsid w:val="00BE7B03"/>
    <w:rsid w:val="00BE7B36"/>
    <w:rsid w:val="00BE7C32"/>
    <w:rsid w:val="00BE7C5F"/>
    <w:rsid w:val="00BE7D6E"/>
    <w:rsid w:val="00BE7FE3"/>
    <w:rsid w:val="00BF0069"/>
    <w:rsid w:val="00BF0124"/>
    <w:rsid w:val="00BF01C5"/>
    <w:rsid w:val="00BF069E"/>
    <w:rsid w:val="00BF07DF"/>
    <w:rsid w:val="00BF0875"/>
    <w:rsid w:val="00BF0900"/>
    <w:rsid w:val="00BF09C7"/>
    <w:rsid w:val="00BF0A0C"/>
    <w:rsid w:val="00BF0B05"/>
    <w:rsid w:val="00BF0BA8"/>
    <w:rsid w:val="00BF0C42"/>
    <w:rsid w:val="00BF0D8C"/>
    <w:rsid w:val="00BF1089"/>
    <w:rsid w:val="00BF1313"/>
    <w:rsid w:val="00BF1463"/>
    <w:rsid w:val="00BF150D"/>
    <w:rsid w:val="00BF1610"/>
    <w:rsid w:val="00BF1619"/>
    <w:rsid w:val="00BF1647"/>
    <w:rsid w:val="00BF18E5"/>
    <w:rsid w:val="00BF1918"/>
    <w:rsid w:val="00BF1C69"/>
    <w:rsid w:val="00BF1DC8"/>
    <w:rsid w:val="00BF2084"/>
    <w:rsid w:val="00BF208F"/>
    <w:rsid w:val="00BF2213"/>
    <w:rsid w:val="00BF22BA"/>
    <w:rsid w:val="00BF22C0"/>
    <w:rsid w:val="00BF2428"/>
    <w:rsid w:val="00BF2526"/>
    <w:rsid w:val="00BF25CD"/>
    <w:rsid w:val="00BF25F5"/>
    <w:rsid w:val="00BF2643"/>
    <w:rsid w:val="00BF293F"/>
    <w:rsid w:val="00BF2A70"/>
    <w:rsid w:val="00BF2A88"/>
    <w:rsid w:val="00BF2D94"/>
    <w:rsid w:val="00BF2FEF"/>
    <w:rsid w:val="00BF3651"/>
    <w:rsid w:val="00BF3677"/>
    <w:rsid w:val="00BF36D7"/>
    <w:rsid w:val="00BF38AE"/>
    <w:rsid w:val="00BF391E"/>
    <w:rsid w:val="00BF39C8"/>
    <w:rsid w:val="00BF3B12"/>
    <w:rsid w:val="00BF3B66"/>
    <w:rsid w:val="00BF3C26"/>
    <w:rsid w:val="00BF3CCA"/>
    <w:rsid w:val="00BF3E87"/>
    <w:rsid w:val="00BF3EAA"/>
    <w:rsid w:val="00BF3EC7"/>
    <w:rsid w:val="00BF3F96"/>
    <w:rsid w:val="00BF4258"/>
    <w:rsid w:val="00BF42C0"/>
    <w:rsid w:val="00BF4589"/>
    <w:rsid w:val="00BF466D"/>
    <w:rsid w:val="00BF46B6"/>
    <w:rsid w:val="00BF47A5"/>
    <w:rsid w:val="00BF4965"/>
    <w:rsid w:val="00BF4DBB"/>
    <w:rsid w:val="00BF4EBA"/>
    <w:rsid w:val="00BF4FA5"/>
    <w:rsid w:val="00BF50EE"/>
    <w:rsid w:val="00BF5153"/>
    <w:rsid w:val="00BF5306"/>
    <w:rsid w:val="00BF5395"/>
    <w:rsid w:val="00BF53BC"/>
    <w:rsid w:val="00BF5552"/>
    <w:rsid w:val="00BF559D"/>
    <w:rsid w:val="00BF5691"/>
    <w:rsid w:val="00BF56A1"/>
    <w:rsid w:val="00BF570A"/>
    <w:rsid w:val="00BF59DB"/>
    <w:rsid w:val="00BF5C0B"/>
    <w:rsid w:val="00BF5DAE"/>
    <w:rsid w:val="00BF5DC4"/>
    <w:rsid w:val="00BF5E1E"/>
    <w:rsid w:val="00BF5E8E"/>
    <w:rsid w:val="00BF5EF8"/>
    <w:rsid w:val="00BF609B"/>
    <w:rsid w:val="00BF60B1"/>
    <w:rsid w:val="00BF6225"/>
    <w:rsid w:val="00BF64FE"/>
    <w:rsid w:val="00BF65DD"/>
    <w:rsid w:val="00BF6832"/>
    <w:rsid w:val="00BF6991"/>
    <w:rsid w:val="00BF69F8"/>
    <w:rsid w:val="00BF6D71"/>
    <w:rsid w:val="00BF6EE5"/>
    <w:rsid w:val="00BF708F"/>
    <w:rsid w:val="00BF70C2"/>
    <w:rsid w:val="00BF7295"/>
    <w:rsid w:val="00BF733D"/>
    <w:rsid w:val="00BF73FB"/>
    <w:rsid w:val="00BF746D"/>
    <w:rsid w:val="00BF7501"/>
    <w:rsid w:val="00BF76FA"/>
    <w:rsid w:val="00BF7714"/>
    <w:rsid w:val="00BF7970"/>
    <w:rsid w:val="00BF7A3D"/>
    <w:rsid w:val="00BF7A51"/>
    <w:rsid w:val="00BF7ACF"/>
    <w:rsid w:val="00BF7AE1"/>
    <w:rsid w:val="00BF7E9D"/>
    <w:rsid w:val="00C00057"/>
    <w:rsid w:val="00C0018F"/>
    <w:rsid w:val="00C00236"/>
    <w:rsid w:val="00C00317"/>
    <w:rsid w:val="00C0061A"/>
    <w:rsid w:val="00C006A6"/>
    <w:rsid w:val="00C006C1"/>
    <w:rsid w:val="00C0083E"/>
    <w:rsid w:val="00C00B73"/>
    <w:rsid w:val="00C00C6E"/>
    <w:rsid w:val="00C00CB9"/>
    <w:rsid w:val="00C00D14"/>
    <w:rsid w:val="00C01053"/>
    <w:rsid w:val="00C012C7"/>
    <w:rsid w:val="00C01462"/>
    <w:rsid w:val="00C017DE"/>
    <w:rsid w:val="00C01ABB"/>
    <w:rsid w:val="00C01B37"/>
    <w:rsid w:val="00C01CEC"/>
    <w:rsid w:val="00C01D8B"/>
    <w:rsid w:val="00C01EC8"/>
    <w:rsid w:val="00C0218F"/>
    <w:rsid w:val="00C0223A"/>
    <w:rsid w:val="00C022FE"/>
    <w:rsid w:val="00C02404"/>
    <w:rsid w:val="00C02647"/>
    <w:rsid w:val="00C02713"/>
    <w:rsid w:val="00C027B3"/>
    <w:rsid w:val="00C027CE"/>
    <w:rsid w:val="00C02966"/>
    <w:rsid w:val="00C02AA7"/>
    <w:rsid w:val="00C02CD5"/>
    <w:rsid w:val="00C02D26"/>
    <w:rsid w:val="00C02D94"/>
    <w:rsid w:val="00C02EA5"/>
    <w:rsid w:val="00C02F1E"/>
    <w:rsid w:val="00C02FA2"/>
    <w:rsid w:val="00C03158"/>
    <w:rsid w:val="00C03272"/>
    <w:rsid w:val="00C0348F"/>
    <w:rsid w:val="00C034A0"/>
    <w:rsid w:val="00C03590"/>
    <w:rsid w:val="00C035CA"/>
    <w:rsid w:val="00C03699"/>
    <w:rsid w:val="00C03AEA"/>
    <w:rsid w:val="00C03BE7"/>
    <w:rsid w:val="00C03C44"/>
    <w:rsid w:val="00C03CD0"/>
    <w:rsid w:val="00C03E36"/>
    <w:rsid w:val="00C040B4"/>
    <w:rsid w:val="00C044D1"/>
    <w:rsid w:val="00C0451C"/>
    <w:rsid w:val="00C04620"/>
    <w:rsid w:val="00C046D2"/>
    <w:rsid w:val="00C0472B"/>
    <w:rsid w:val="00C04858"/>
    <w:rsid w:val="00C049BA"/>
    <w:rsid w:val="00C04AA0"/>
    <w:rsid w:val="00C04B1C"/>
    <w:rsid w:val="00C04CA6"/>
    <w:rsid w:val="00C04DE1"/>
    <w:rsid w:val="00C04E19"/>
    <w:rsid w:val="00C04F35"/>
    <w:rsid w:val="00C05123"/>
    <w:rsid w:val="00C05632"/>
    <w:rsid w:val="00C05821"/>
    <w:rsid w:val="00C05950"/>
    <w:rsid w:val="00C05CEE"/>
    <w:rsid w:val="00C05D66"/>
    <w:rsid w:val="00C05DA2"/>
    <w:rsid w:val="00C05F97"/>
    <w:rsid w:val="00C06001"/>
    <w:rsid w:val="00C06295"/>
    <w:rsid w:val="00C062EE"/>
    <w:rsid w:val="00C06674"/>
    <w:rsid w:val="00C067F7"/>
    <w:rsid w:val="00C06A6A"/>
    <w:rsid w:val="00C06AD8"/>
    <w:rsid w:val="00C06ADE"/>
    <w:rsid w:val="00C06B15"/>
    <w:rsid w:val="00C06D57"/>
    <w:rsid w:val="00C06D65"/>
    <w:rsid w:val="00C07319"/>
    <w:rsid w:val="00C0744B"/>
    <w:rsid w:val="00C07578"/>
    <w:rsid w:val="00C07682"/>
    <w:rsid w:val="00C076D2"/>
    <w:rsid w:val="00C077F3"/>
    <w:rsid w:val="00C0784D"/>
    <w:rsid w:val="00C0789C"/>
    <w:rsid w:val="00C07965"/>
    <w:rsid w:val="00C07A02"/>
    <w:rsid w:val="00C07AA7"/>
    <w:rsid w:val="00C07BA1"/>
    <w:rsid w:val="00C07CF8"/>
    <w:rsid w:val="00C1004C"/>
    <w:rsid w:val="00C10200"/>
    <w:rsid w:val="00C104C0"/>
    <w:rsid w:val="00C1050A"/>
    <w:rsid w:val="00C1059A"/>
    <w:rsid w:val="00C106A3"/>
    <w:rsid w:val="00C106D1"/>
    <w:rsid w:val="00C1080A"/>
    <w:rsid w:val="00C10AF0"/>
    <w:rsid w:val="00C10BCD"/>
    <w:rsid w:val="00C10D67"/>
    <w:rsid w:val="00C11387"/>
    <w:rsid w:val="00C116D4"/>
    <w:rsid w:val="00C11776"/>
    <w:rsid w:val="00C11869"/>
    <w:rsid w:val="00C11874"/>
    <w:rsid w:val="00C11908"/>
    <w:rsid w:val="00C11971"/>
    <w:rsid w:val="00C119C6"/>
    <w:rsid w:val="00C119C8"/>
    <w:rsid w:val="00C11A45"/>
    <w:rsid w:val="00C11E1D"/>
    <w:rsid w:val="00C11EC5"/>
    <w:rsid w:val="00C11F5A"/>
    <w:rsid w:val="00C11FAC"/>
    <w:rsid w:val="00C12008"/>
    <w:rsid w:val="00C12183"/>
    <w:rsid w:val="00C1220E"/>
    <w:rsid w:val="00C124B7"/>
    <w:rsid w:val="00C1250B"/>
    <w:rsid w:val="00C1251D"/>
    <w:rsid w:val="00C12694"/>
    <w:rsid w:val="00C12A5A"/>
    <w:rsid w:val="00C12BFF"/>
    <w:rsid w:val="00C12EFB"/>
    <w:rsid w:val="00C12F73"/>
    <w:rsid w:val="00C13086"/>
    <w:rsid w:val="00C13118"/>
    <w:rsid w:val="00C1347C"/>
    <w:rsid w:val="00C1382B"/>
    <w:rsid w:val="00C139E1"/>
    <w:rsid w:val="00C13A73"/>
    <w:rsid w:val="00C13AFA"/>
    <w:rsid w:val="00C13CF9"/>
    <w:rsid w:val="00C13FD4"/>
    <w:rsid w:val="00C13FDF"/>
    <w:rsid w:val="00C14049"/>
    <w:rsid w:val="00C1410B"/>
    <w:rsid w:val="00C1416B"/>
    <w:rsid w:val="00C14254"/>
    <w:rsid w:val="00C142EC"/>
    <w:rsid w:val="00C144E3"/>
    <w:rsid w:val="00C14582"/>
    <w:rsid w:val="00C14843"/>
    <w:rsid w:val="00C148FE"/>
    <w:rsid w:val="00C14A8A"/>
    <w:rsid w:val="00C14DDB"/>
    <w:rsid w:val="00C14E3F"/>
    <w:rsid w:val="00C14F17"/>
    <w:rsid w:val="00C14F3A"/>
    <w:rsid w:val="00C15130"/>
    <w:rsid w:val="00C15322"/>
    <w:rsid w:val="00C153B5"/>
    <w:rsid w:val="00C156C1"/>
    <w:rsid w:val="00C1594F"/>
    <w:rsid w:val="00C15AE0"/>
    <w:rsid w:val="00C15C2C"/>
    <w:rsid w:val="00C15E77"/>
    <w:rsid w:val="00C15F1F"/>
    <w:rsid w:val="00C1613A"/>
    <w:rsid w:val="00C16347"/>
    <w:rsid w:val="00C1638B"/>
    <w:rsid w:val="00C1644C"/>
    <w:rsid w:val="00C165B9"/>
    <w:rsid w:val="00C16708"/>
    <w:rsid w:val="00C16717"/>
    <w:rsid w:val="00C167DE"/>
    <w:rsid w:val="00C167FA"/>
    <w:rsid w:val="00C1699C"/>
    <w:rsid w:val="00C16A49"/>
    <w:rsid w:val="00C16BDF"/>
    <w:rsid w:val="00C16BE6"/>
    <w:rsid w:val="00C16E50"/>
    <w:rsid w:val="00C16EE1"/>
    <w:rsid w:val="00C16F03"/>
    <w:rsid w:val="00C16FB9"/>
    <w:rsid w:val="00C1707F"/>
    <w:rsid w:val="00C170A6"/>
    <w:rsid w:val="00C170FD"/>
    <w:rsid w:val="00C17281"/>
    <w:rsid w:val="00C172C1"/>
    <w:rsid w:val="00C172E2"/>
    <w:rsid w:val="00C17A3B"/>
    <w:rsid w:val="00C17C9B"/>
    <w:rsid w:val="00C17D89"/>
    <w:rsid w:val="00C17E2F"/>
    <w:rsid w:val="00C17FBA"/>
    <w:rsid w:val="00C201C7"/>
    <w:rsid w:val="00C201ED"/>
    <w:rsid w:val="00C2025C"/>
    <w:rsid w:val="00C20339"/>
    <w:rsid w:val="00C20461"/>
    <w:rsid w:val="00C20604"/>
    <w:rsid w:val="00C20953"/>
    <w:rsid w:val="00C2097C"/>
    <w:rsid w:val="00C209CA"/>
    <w:rsid w:val="00C20C81"/>
    <w:rsid w:val="00C20FB8"/>
    <w:rsid w:val="00C20FC3"/>
    <w:rsid w:val="00C2115C"/>
    <w:rsid w:val="00C21267"/>
    <w:rsid w:val="00C2127B"/>
    <w:rsid w:val="00C212E1"/>
    <w:rsid w:val="00C21347"/>
    <w:rsid w:val="00C2134B"/>
    <w:rsid w:val="00C2143A"/>
    <w:rsid w:val="00C214B5"/>
    <w:rsid w:val="00C214FC"/>
    <w:rsid w:val="00C21524"/>
    <w:rsid w:val="00C2157C"/>
    <w:rsid w:val="00C21844"/>
    <w:rsid w:val="00C2190F"/>
    <w:rsid w:val="00C219E5"/>
    <w:rsid w:val="00C21A23"/>
    <w:rsid w:val="00C21B28"/>
    <w:rsid w:val="00C21D75"/>
    <w:rsid w:val="00C21F23"/>
    <w:rsid w:val="00C21FD5"/>
    <w:rsid w:val="00C21FF7"/>
    <w:rsid w:val="00C22055"/>
    <w:rsid w:val="00C224B6"/>
    <w:rsid w:val="00C226B7"/>
    <w:rsid w:val="00C22A4B"/>
    <w:rsid w:val="00C22B38"/>
    <w:rsid w:val="00C22BA3"/>
    <w:rsid w:val="00C22C49"/>
    <w:rsid w:val="00C22C7C"/>
    <w:rsid w:val="00C22E1F"/>
    <w:rsid w:val="00C22F7C"/>
    <w:rsid w:val="00C22FA4"/>
    <w:rsid w:val="00C2303C"/>
    <w:rsid w:val="00C230C7"/>
    <w:rsid w:val="00C230F4"/>
    <w:rsid w:val="00C23340"/>
    <w:rsid w:val="00C23363"/>
    <w:rsid w:val="00C234EB"/>
    <w:rsid w:val="00C234EF"/>
    <w:rsid w:val="00C2367D"/>
    <w:rsid w:val="00C236E1"/>
    <w:rsid w:val="00C237E9"/>
    <w:rsid w:val="00C239B3"/>
    <w:rsid w:val="00C23B28"/>
    <w:rsid w:val="00C23CCA"/>
    <w:rsid w:val="00C23E06"/>
    <w:rsid w:val="00C23E53"/>
    <w:rsid w:val="00C24044"/>
    <w:rsid w:val="00C24065"/>
    <w:rsid w:val="00C2449E"/>
    <w:rsid w:val="00C24648"/>
    <w:rsid w:val="00C24738"/>
    <w:rsid w:val="00C2474A"/>
    <w:rsid w:val="00C2483B"/>
    <w:rsid w:val="00C24877"/>
    <w:rsid w:val="00C24BC6"/>
    <w:rsid w:val="00C24CAE"/>
    <w:rsid w:val="00C24CDC"/>
    <w:rsid w:val="00C24D6F"/>
    <w:rsid w:val="00C24DD1"/>
    <w:rsid w:val="00C24FDA"/>
    <w:rsid w:val="00C25113"/>
    <w:rsid w:val="00C25192"/>
    <w:rsid w:val="00C25327"/>
    <w:rsid w:val="00C25329"/>
    <w:rsid w:val="00C25488"/>
    <w:rsid w:val="00C258C8"/>
    <w:rsid w:val="00C25AD4"/>
    <w:rsid w:val="00C25B0F"/>
    <w:rsid w:val="00C25D89"/>
    <w:rsid w:val="00C25E98"/>
    <w:rsid w:val="00C264B0"/>
    <w:rsid w:val="00C26662"/>
    <w:rsid w:val="00C26865"/>
    <w:rsid w:val="00C268AD"/>
    <w:rsid w:val="00C26981"/>
    <w:rsid w:val="00C269A5"/>
    <w:rsid w:val="00C26C28"/>
    <w:rsid w:val="00C26CAB"/>
    <w:rsid w:val="00C27279"/>
    <w:rsid w:val="00C27347"/>
    <w:rsid w:val="00C274B2"/>
    <w:rsid w:val="00C2759A"/>
    <w:rsid w:val="00C276F1"/>
    <w:rsid w:val="00C277C0"/>
    <w:rsid w:val="00C27866"/>
    <w:rsid w:val="00C2799A"/>
    <w:rsid w:val="00C27ADF"/>
    <w:rsid w:val="00C27B1B"/>
    <w:rsid w:val="00C27C0E"/>
    <w:rsid w:val="00C27C26"/>
    <w:rsid w:val="00C27DF8"/>
    <w:rsid w:val="00C30029"/>
    <w:rsid w:val="00C3015A"/>
    <w:rsid w:val="00C30207"/>
    <w:rsid w:val="00C30327"/>
    <w:rsid w:val="00C3045C"/>
    <w:rsid w:val="00C3074A"/>
    <w:rsid w:val="00C3089A"/>
    <w:rsid w:val="00C3094F"/>
    <w:rsid w:val="00C30A04"/>
    <w:rsid w:val="00C30AFA"/>
    <w:rsid w:val="00C30E1D"/>
    <w:rsid w:val="00C30E3D"/>
    <w:rsid w:val="00C31031"/>
    <w:rsid w:val="00C310A7"/>
    <w:rsid w:val="00C310DE"/>
    <w:rsid w:val="00C3113F"/>
    <w:rsid w:val="00C31337"/>
    <w:rsid w:val="00C31435"/>
    <w:rsid w:val="00C316FA"/>
    <w:rsid w:val="00C31728"/>
    <w:rsid w:val="00C318F9"/>
    <w:rsid w:val="00C3199C"/>
    <w:rsid w:val="00C319DA"/>
    <w:rsid w:val="00C31B19"/>
    <w:rsid w:val="00C31C35"/>
    <w:rsid w:val="00C31D99"/>
    <w:rsid w:val="00C32025"/>
    <w:rsid w:val="00C320CF"/>
    <w:rsid w:val="00C32224"/>
    <w:rsid w:val="00C323A9"/>
    <w:rsid w:val="00C3256B"/>
    <w:rsid w:val="00C325E2"/>
    <w:rsid w:val="00C3264B"/>
    <w:rsid w:val="00C32686"/>
    <w:rsid w:val="00C32783"/>
    <w:rsid w:val="00C327B6"/>
    <w:rsid w:val="00C32AAC"/>
    <w:rsid w:val="00C32B93"/>
    <w:rsid w:val="00C32F85"/>
    <w:rsid w:val="00C3319B"/>
    <w:rsid w:val="00C332A7"/>
    <w:rsid w:val="00C33316"/>
    <w:rsid w:val="00C33496"/>
    <w:rsid w:val="00C335EC"/>
    <w:rsid w:val="00C338CE"/>
    <w:rsid w:val="00C338E0"/>
    <w:rsid w:val="00C33A81"/>
    <w:rsid w:val="00C33D64"/>
    <w:rsid w:val="00C33F66"/>
    <w:rsid w:val="00C340B1"/>
    <w:rsid w:val="00C3414F"/>
    <w:rsid w:val="00C342D1"/>
    <w:rsid w:val="00C3438E"/>
    <w:rsid w:val="00C3439C"/>
    <w:rsid w:val="00C343C0"/>
    <w:rsid w:val="00C34616"/>
    <w:rsid w:val="00C3461A"/>
    <w:rsid w:val="00C346B0"/>
    <w:rsid w:val="00C348C7"/>
    <w:rsid w:val="00C34901"/>
    <w:rsid w:val="00C34A03"/>
    <w:rsid w:val="00C34AD6"/>
    <w:rsid w:val="00C34B0D"/>
    <w:rsid w:val="00C34B32"/>
    <w:rsid w:val="00C34C80"/>
    <w:rsid w:val="00C34DB3"/>
    <w:rsid w:val="00C34DDC"/>
    <w:rsid w:val="00C35505"/>
    <w:rsid w:val="00C35514"/>
    <w:rsid w:val="00C3560D"/>
    <w:rsid w:val="00C35785"/>
    <w:rsid w:val="00C358F7"/>
    <w:rsid w:val="00C35CFA"/>
    <w:rsid w:val="00C35FC4"/>
    <w:rsid w:val="00C36251"/>
    <w:rsid w:val="00C36402"/>
    <w:rsid w:val="00C36436"/>
    <w:rsid w:val="00C36475"/>
    <w:rsid w:val="00C36606"/>
    <w:rsid w:val="00C36718"/>
    <w:rsid w:val="00C36821"/>
    <w:rsid w:val="00C368A9"/>
    <w:rsid w:val="00C3696E"/>
    <w:rsid w:val="00C36A8A"/>
    <w:rsid w:val="00C36DA5"/>
    <w:rsid w:val="00C36EA4"/>
    <w:rsid w:val="00C370E2"/>
    <w:rsid w:val="00C37210"/>
    <w:rsid w:val="00C37225"/>
    <w:rsid w:val="00C37362"/>
    <w:rsid w:val="00C37409"/>
    <w:rsid w:val="00C375FF"/>
    <w:rsid w:val="00C3763D"/>
    <w:rsid w:val="00C376B5"/>
    <w:rsid w:val="00C376FC"/>
    <w:rsid w:val="00C3781E"/>
    <w:rsid w:val="00C37899"/>
    <w:rsid w:val="00C37A3C"/>
    <w:rsid w:val="00C37C83"/>
    <w:rsid w:val="00C37D03"/>
    <w:rsid w:val="00C40266"/>
    <w:rsid w:val="00C4037D"/>
    <w:rsid w:val="00C40694"/>
    <w:rsid w:val="00C40721"/>
    <w:rsid w:val="00C4097B"/>
    <w:rsid w:val="00C40A45"/>
    <w:rsid w:val="00C40AD9"/>
    <w:rsid w:val="00C40D34"/>
    <w:rsid w:val="00C40D3D"/>
    <w:rsid w:val="00C413A9"/>
    <w:rsid w:val="00C415A6"/>
    <w:rsid w:val="00C41655"/>
    <w:rsid w:val="00C41662"/>
    <w:rsid w:val="00C417EE"/>
    <w:rsid w:val="00C419AD"/>
    <w:rsid w:val="00C41AA3"/>
    <w:rsid w:val="00C41AF3"/>
    <w:rsid w:val="00C41C70"/>
    <w:rsid w:val="00C41C7C"/>
    <w:rsid w:val="00C41DF9"/>
    <w:rsid w:val="00C41E2D"/>
    <w:rsid w:val="00C41EA6"/>
    <w:rsid w:val="00C41F04"/>
    <w:rsid w:val="00C41F0E"/>
    <w:rsid w:val="00C4224E"/>
    <w:rsid w:val="00C422B2"/>
    <w:rsid w:val="00C422E8"/>
    <w:rsid w:val="00C4232A"/>
    <w:rsid w:val="00C423C6"/>
    <w:rsid w:val="00C425C2"/>
    <w:rsid w:val="00C42886"/>
    <w:rsid w:val="00C42891"/>
    <w:rsid w:val="00C428BD"/>
    <w:rsid w:val="00C428E1"/>
    <w:rsid w:val="00C42941"/>
    <w:rsid w:val="00C42A7A"/>
    <w:rsid w:val="00C42AA4"/>
    <w:rsid w:val="00C42EA7"/>
    <w:rsid w:val="00C42F16"/>
    <w:rsid w:val="00C42F52"/>
    <w:rsid w:val="00C43058"/>
    <w:rsid w:val="00C433FD"/>
    <w:rsid w:val="00C4346C"/>
    <w:rsid w:val="00C43741"/>
    <w:rsid w:val="00C43856"/>
    <w:rsid w:val="00C438D5"/>
    <w:rsid w:val="00C43C42"/>
    <w:rsid w:val="00C43DBD"/>
    <w:rsid w:val="00C43E7A"/>
    <w:rsid w:val="00C43FC5"/>
    <w:rsid w:val="00C440D8"/>
    <w:rsid w:val="00C44259"/>
    <w:rsid w:val="00C442FB"/>
    <w:rsid w:val="00C44392"/>
    <w:rsid w:val="00C44521"/>
    <w:rsid w:val="00C4452F"/>
    <w:rsid w:val="00C4483D"/>
    <w:rsid w:val="00C44BA7"/>
    <w:rsid w:val="00C44BEA"/>
    <w:rsid w:val="00C44E76"/>
    <w:rsid w:val="00C44EDF"/>
    <w:rsid w:val="00C44FA3"/>
    <w:rsid w:val="00C44FE4"/>
    <w:rsid w:val="00C45038"/>
    <w:rsid w:val="00C45072"/>
    <w:rsid w:val="00C45095"/>
    <w:rsid w:val="00C45259"/>
    <w:rsid w:val="00C45311"/>
    <w:rsid w:val="00C45399"/>
    <w:rsid w:val="00C454E9"/>
    <w:rsid w:val="00C455A4"/>
    <w:rsid w:val="00C45709"/>
    <w:rsid w:val="00C45883"/>
    <w:rsid w:val="00C45A05"/>
    <w:rsid w:val="00C45CBC"/>
    <w:rsid w:val="00C45CDA"/>
    <w:rsid w:val="00C45D41"/>
    <w:rsid w:val="00C46000"/>
    <w:rsid w:val="00C460BF"/>
    <w:rsid w:val="00C462CA"/>
    <w:rsid w:val="00C4631E"/>
    <w:rsid w:val="00C4646A"/>
    <w:rsid w:val="00C466B9"/>
    <w:rsid w:val="00C46759"/>
    <w:rsid w:val="00C4677B"/>
    <w:rsid w:val="00C46B64"/>
    <w:rsid w:val="00C46BE4"/>
    <w:rsid w:val="00C47044"/>
    <w:rsid w:val="00C4704D"/>
    <w:rsid w:val="00C4717D"/>
    <w:rsid w:val="00C47203"/>
    <w:rsid w:val="00C472E8"/>
    <w:rsid w:val="00C47485"/>
    <w:rsid w:val="00C478E7"/>
    <w:rsid w:val="00C47A39"/>
    <w:rsid w:val="00C47CA1"/>
    <w:rsid w:val="00C47CD1"/>
    <w:rsid w:val="00C47DB9"/>
    <w:rsid w:val="00C47DD5"/>
    <w:rsid w:val="00C47F49"/>
    <w:rsid w:val="00C47F84"/>
    <w:rsid w:val="00C5012A"/>
    <w:rsid w:val="00C50154"/>
    <w:rsid w:val="00C501FC"/>
    <w:rsid w:val="00C50420"/>
    <w:rsid w:val="00C504D2"/>
    <w:rsid w:val="00C50506"/>
    <w:rsid w:val="00C507B2"/>
    <w:rsid w:val="00C50818"/>
    <w:rsid w:val="00C50837"/>
    <w:rsid w:val="00C5097E"/>
    <w:rsid w:val="00C509F2"/>
    <w:rsid w:val="00C50AF6"/>
    <w:rsid w:val="00C50BCA"/>
    <w:rsid w:val="00C50C1A"/>
    <w:rsid w:val="00C50C99"/>
    <w:rsid w:val="00C50D24"/>
    <w:rsid w:val="00C50E93"/>
    <w:rsid w:val="00C50FAC"/>
    <w:rsid w:val="00C5101D"/>
    <w:rsid w:val="00C51156"/>
    <w:rsid w:val="00C511C9"/>
    <w:rsid w:val="00C511D0"/>
    <w:rsid w:val="00C5130B"/>
    <w:rsid w:val="00C51538"/>
    <w:rsid w:val="00C515A8"/>
    <w:rsid w:val="00C515EC"/>
    <w:rsid w:val="00C519FF"/>
    <w:rsid w:val="00C51A1E"/>
    <w:rsid w:val="00C51CA4"/>
    <w:rsid w:val="00C51CD2"/>
    <w:rsid w:val="00C51D5B"/>
    <w:rsid w:val="00C51D7C"/>
    <w:rsid w:val="00C51D91"/>
    <w:rsid w:val="00C52089"/>
    <w:rsid w:val="00C52091"/>
    <w:rsid w:val="00C525A8"/>
    <w:rsid w:val="00C5286A"/>
    <w:rsid w:val="00C52989"/>
    <w:rsid w:val="00C52B3D"/>
    <w:rsid w:val="00C52B7B"/>
    <w:rsid w:val="00C52BCA"/>
    <w:rsid w:val="00C52C98"/>
    <w:rsid w:val="00C52EA6"/>
    <w:rsid w:val="00C53199"/>
    <w:rsid w:val="00C53228"/>
    <w:rsid w:val="00C53236"/>
    <w:rsid w:val="00C532F1"/>
    <w:rsid w:val="00C53448"/>
    <w:rsid w:val="00C535A0"/>
    <w:rsid w:val="00C537D1"/>
    <w:rsid w:val="00C5393F"/>
    <w:rsid w:val="00C539BC"/>
    <w:rsid w:val="00C53A77"/>
    <w:rsid w:val="00C53ABB"/>
    <w:rsid w:val="00C53AE6"/>
    <w:rsid w:val="00C53BB4"/>
    <w:rsid w:val="00C53F64"/>
    <w:rsid w:val="00C53FE0"/>
    <w:rsid w:val="00C54349"/>
    <w:rsid w:val="00C545E1"/>
    <w:rsid w:val="00C54645"/>
    <w:rsid w:val="00C54684"/>
    <w:rsid w:val="00C547D2"/>
    <w:rsid w:val="00C547D5"/>
    <w:rsid w:val="00C548CD"/>
    <w:rsid w:val="00C54919"/>
    <w:rsid w:val="00C5491B"/>
    <w:rsid w:val="00C54AE5"/>
    <w:rsid w:val="00C54DB8"/>
    <w:rsid w:val="00C54DC2"/>
    <w:rsid w:val="00C54DE7"/>
    <w:rsid w:val="00C54DF5"/>
    <w:rsid w:val="00C54F11"/>
    <w:rsid w:val="00C54FD5"/>
    <w:rsid w:val="00C552DB"/>
    <w:rsid w:val="00C55519"/>
    <w:rsid w:val="00C5585A"/>
    <w:rsid w:val="00C558C9"/>
    <w:rsid w:val="00C55A16"/>
    <w:rsid w:val="00C55A50"/>
    <w:rsid w:val="00C55A70"/>
    <w:rsid w:val="00C55A8D"/>
    <w:rsid w:val="00C55ABC"/>
    <w:rsid w:val="00C55EF0"/>
    <w:rsid w:val="00C55F6E"/>
    <w:rsid w:val="00C56317"/>
    <w:rsid w:val="00C56363"/>
    <w:rsid w:val="00C563C2"/>
    <w:rsid w:val="00C563FA"/>
    <w:rsid w:val="00C5655F"/>
    <w:rsid w:val="00C566BB"/>
    <w:rsid w:val="00C56847"/>
    <w:rsid w:val="00C56848"/>
    <w:rsid w:val="00C56999"/>
    <w:rsid w:val="00C56A05"/>
    <w:rsid w:val="00C56C12"/>
    <w:rsid w:val="00C56ECE"/>
    <w:rsid w:val="00C56ED0"/>
    <w:rsid w:val="00C56F30"/>
    <w:rsid w:val="00C5704A"/>
    <w:rsid w:val="00C57070"/>
    <w:rsid w:val="00C571C6"/>
    <w:rsid w:val="00C57453"/>
    <w:rsid w:val="00C576A3"/>
    <w:rsid w:val="00C57844"/>
    <w:rsid w:val="00C578D9"/>
    <w:rsid w:val="00C57A7F"/>
    <w:rsid w:val="00C57B83"/>
    <w:rsid w:val="00C57CDD"/>
    <w:rsid w:val="00C601F9"/>
    <w:rsid w:val="00C6037E"/>
    <w:rsid w:val="00C603C2"/>
    <w:rsid w:val="00C60421"/>
    <w:rsid w:val="00C60527"/>
    <w:rsid w:val="00C605BA"/>
    <w:rsid w:val="00C6076F"/>
    <w:rsid w:val="00C608AC"/>
    <w:rsid w:val="00C608C4"/>
    <w:rsid w:val="00C6094A"/>
    <w:rsid w:val="00C60A9B"/>
    <w:rsid w:val="00C60AF0"/>
    <w:rsid w:val="00C60B9F"/>
    <w:rsid w:val="00C60D10"/>
    <w:rsid w:val="00C60E80"/>
    <w:rsid w:val="00C60F8A"/>
    <w:rsid w:val="00C61019"/>
    <w:rsid w:val="00C61071"/>
    <w:rsid w:val="00C610D9"/>
    <w:rsid w:val="00C6111A"/>
    <w:rsid w:val="00C61185"/>
    <w:rsid w:val="00C61488"/>
    <w:rsid w:val="00C614C8"/>
    <w:rsid w:val="00C615FF"/>
    <w:rsid w:val="00C6179F"/>
    <w:rsid w:val="00C61832"/>
    <w:rsid w:val="00C61946"/>
    <w:rsid w:val="00C61D47"/>
    <w:rsid w:val="00C6221C"/>
    <w:rsid w:val="00C623A2"/>
    <w:rsid w:val="00C623CE"/>
    <w:rsid w:val="00C62626"/>
    <w:rsid w:val="00C626B2"/>
    <w:rsid w:val="00C6280D"/>
    <w:rsid w:val="00C628AF"/>
    <w:rsid w:val="00C62C7C"/>
    <w:rsid w:val="00C630B8"/>
    <w:rsid w:val="00C630C9"/>
    <w:rsid w:val="00C630F8"/>
    <w:rsid w:val="00C6313B"/>
    <w:rsid w:val="00C634CF"/>
    <w:rsid w:val="00C63610"/>
    <w:rsid w:val="00C637B5"/>
    <w:rsid w:val="00C637ED"/>
    <w:rsid w:val="00C63A2F"/>
    <w:rsid w:val="00C63B79"/>
    <w:rsid w:val="00C63BD2"/>
    <w:rsid w:val="00C63BD3"/>
    <w:rsid w:val="00C63C8A"/>
    <w:rsid w:val="00C63ED0"/>
    <w:rsid w:val="00C63F10"/>
    <w:rsid w:val="00C6400E"/>
    <w:rsid w:val="00C64048"/>
    <w:rsid w:val="00C64251"/>
    <w:rsid w:val="00C64337"/>
    <w:rsid w:val="00C645D2"/>
    <w:rsid w:val="00C64835"/>
    <w:rsid w:val="00C648D2"/>
    <w:rsid w:val="00C64BEA"/>
    <w:rsid w:val="00C64D28"/>
    <w:rsid w:val="00C64E9F"/>
    <w:rsid w:val="00C64ECC"/>
    <w:rsid w:val="00C65159"/>
    <w:rsid w:val="00C65180"/>
    <w:rsid w:val="00C6523A"/>
    <w:rsid w:val="00C652E2"/>
    <w:rsid w:val="00C6538E"/>
    <w:rsid w:val="00C6551D"/>
    <w:rsid w:val="00C6572D"/>
    <w:rsid w:val="00C659A1"/>
    <w:rsid w:val="00C659F9"/>
    <w:rsid w:val="00C65A3A"/>
    <w:rsid w:val="00C65A44"/>
    <w:rsid w:val="00C65A73"/>
    <w:rsid w:val="00C65B3C"/>
    <w:rsid w:val="00C65D8F"/>
    <w:rsid w:val="00C65E09"/>
    <w:rsid w:val="00C65F19"/>
    <w:rsid w:val="00C66075"/>
    <w:rsid w:val="00C6635F"/>
    <w:rsid w:val="00C66497"/>
    <w:rsid w:val="00C66563"/>
    <w:rsid w:val="00C666EF"/>
    <w:rsid w:val="00C66757"/>
    <w:rsid w:val="00C66842"/>
    <w:rsid w:val="00C668ED"/>
    <w:rsid w:val="00C66951"/>
    <w:rsid w:val="00C66955"/>
    <w:rsid w:val="00C669EE"/>
    <w:rsid w:val="00C66C12"/>
    <w:rsid w:val="00C66D3A"/>
    <w:rsid w:val="00C66D87"/>
    <w:rsid w:val="00C6737C"/>
    <w:rsid w:val="00C6741D"/>
    <w:rsid w:val="00C6744A"/>
    <w:rsid w:val="00C6755D"/>
    <w:rsid w:val="00C675AE"/>
    <w:rsid w:val="00C676FB"/>
    <w:rsid w:val="00C67796"/>
    <w:rsid w:val="00C6785B"/>
    <w:rsid w:val="00C679CE"/>
    <w:rsid w:val="00C67A06"/>
    <w:rsid w:val="00C67A80"/>
    <w:rsid w:val="00C67BC6"/>
    <w:rsid w:val="00C67E2C"/>
    <w:rsid w:val="00C67E4A"/>
    <w:rsid w:val="00C67E59"/>
    <w:rsid w:val="00C67F29"/>
    <w:rsid w:val="00C70072"/>
    <w:rsid w:val="00C7017D"/>
    <w:rsid w:val="00C7028A"/>
    <w:rsid w:val="00C702B1"/>
    <w:rsid w:val="00C705F4"/>
    <w:rsid w:val="00C70613"/>
    <w:rsid w:val="00C7078F"/>
    <w:rsid w:val="00C70A28"/>
    <w:rsid w:val="00C70AF0"/>
    <w:rsid w:val="00C70B91"/>
    <w:rsid w:val="00C710E6"/>
    <w:rsid w:val="00C71416"/>
    <w:rsid w:val="00C715A8"/>
    <w:rsid w:val="00C71943"/>
    <w:rsid w:val="00C71966"/>
    <w:rsid w:val="00C71A74"/>
    <w:rsid w:val="00C71DDA"/>
    <w:rsid w:val="00C72317"/>
    <w:rsid w:val="00C724AC"/>
    <w:rsid w:val="00C7285A"/>
    <w:rsid w:val="00C72AD6"/>
    <w:rsid w:val="00C7319D"/>
    <w:rsid w:val="00C731EB"/>
    <w:rsid w:val="00C732EB"/>
    <w:rsid w:val="00C73717"/>
    <w:rsid w:val="00C7374F"/>
    <w:rsid w:val="00C737AD"/>
    <w:rsid w:val="00C738F5"/>
    <w:rsid w:val="00C73AA7"/>
    <w:rsid w:val="00C73EDF"/>
    <w:rsid w:val="00C73F29"/>
    <w:rsid w:val="00C73F4F"/>
    <w:rsid w:val="00C73FA5"/>
    <w:rsid w:val="00C7401E"/>
    <w:rsid w:val="00C74156"/>
    <w:rsid w:val="00C742AB"/>
    <w:rsid w:val="00C74308"/>
    <w:rsid w:val="00C743D4"/>
    <w:rsid w:val="00C7455D"/>
    <w:rsid w:val="00C74799"/>
    <w:rsid w:val="00C74BD1"/>
    <w:rsid w:val="00C74C28"/>
    <w:rsid w:val="00C74E19"/>
    <w:rsid w:val="00C7502B"/>
    <w:rsid w:val="00C7513A"/>
    <w:rsid w:val="00C7514D"/>
    <w:rsid w:val="00C7544F"/>
    <w:rsid w:val="00C75584"/>
    <w:rsid w:val="00C755CA"/>
    <w:rsid w:val="00C75625"/>
    <w:rsid w:val="00C758D2"/>
    <w:rsid w:val="00C7596D"/>
    <w:rsid w:val="00C75AD1"/>
    <w:rsid w:val="00C75D68"/>
    <w:rsid w:val="00C76152"/>
    <w:rsid w:val="00C76194"/>
    <w:rsid w:val="00C762F3"/>
    <w:rsid w:val="00C76387"/>
    <w:rsid w:val="00C764AC"/>
    <w:rsid w:val="00C765D7"/>
    <w:rsid w:val="00C76748"/>
    <w:rsid w:val="00C7685C"/>
    <w:rsid w:val="00C76885"/>
    <w:rsid w:val="00C768A3"/>
    <w:rsid w:val="00C76ADE"/>
    <w:rsid w:val="00C76DF8"/>
    <w:rsid w:val="00C76E79"/>
    <w:rsid w:val="00C77018"/>
    <w:rsid w:val="00C7703C"/>
    <w:rsid w:val="00C7710A"/>
    <w:rsid w:val="00C771CA"/>
    <w:rsid w:val="00C7735D"/>
    <w:rsid w:val="00C7756B"/>
    <w:rsid w:val="00C77586"/>
    <w:rsid w:val="00C7761D"/>
    <w:rsid w:val="00C779F9"/>
    <w:rsid w:val="00C77A48"/>
    <w:rsid w:val="00C77A83"/>
    <w:rsid w:val="00C77B4C"/>
    <w:rsid w:val="00C77BAB"/>
    <w:rsid w:val="00C77EDF"/>
    <w:rsid w:val="00C77F43"/>
    <w:rsid w:val="00C77F65"/>
    <w:rsid w:val="00C8029D"/>
    <w:rsid w:val="00C802F4"/>
    <w:rsid w:val="00C804C1"/>
    <w:rsid w:val="00C805F0"/>
    <w:rsid w:val="00C80615"/>
    <w:rsid w:val="00C8082C"/>
    <w:rsid w:val="00C80889"/>
    <w:rsid w:val="00C80FB5"/>
    <w:rsid w:val="00C8127F"/>
    <w:rsid w:val="00C812C3"/>
    <w:rsid w:val="00C812F8"/>
    <w:rsid w:val="00C814F2"/>
    <w:rsid w:val="00C8153F"/>
    <w:rsid w:val="00C815F6"/>
    <w:rsid w:val="00C817B6"/>
    <w:rsid w:val="00C81830"/>
    <w:rsid w:val="00C81831"/>
    <w:rsid w:val="00C819D3"/>
    <w:rsid w:val="00C81BAA"/>
    <w:rsid w:val="00C81C01"/>
    <w:rsid w:val="00C81CAC"/>
    <w:rsid w:val="00C81CC4"/>
    <w:rsid w:val="00C81E24"/>
    <w:rsid w:val="00C81F7D"/>
    <w:rsid w:val="00C82188"/>
    <w:rsid w:val="00C827B5"/>
    <w:rsid w:val="00C828FF"/>
    <w:rsid w:val="00C82BF8"/>
    <w:rsid w:val="00C82F6D"/>
    <w:rsid w:val="00C82FA5"/>
    <w:rsid w:val="00C83168"/>
    <w:rsid w:val="00C832C9"/>
    <w:rsid w:val="00C8337F"/>
    <w:rsid w:val="00C833E9"/>
    <w:rsid w:val="00C8352E"/>
    <w:rsid w:val="00C83588"/>
    <w:rsid w:val="00C836BF"/>
    <w:rsid w:val="00C836F7"/>
    <w:rsid w:val="00C83980"/>
    <w:rsid w:val="00C839B1"/>
    <w:rsid w:val="00C83B25"/>
    <w:rsid w:val="00C83C15"/>
    <w:rsid w:val="00C83C88"/>
    <w:rsid w:val="00C83EA4"/>
    <w:rsid w:val="00C83EF2"/>
    <w:rsid w:val="00C83F53"/>
    <w:rsid w:val="00C84237"/>
    <w:rsid w:val="00C8423D"/>
    <w:rsid w:val="00C8426B"/>
    <w:rsid w:val="00C84372"/>
    <w:rsid w:val="00C846D9"/>
    <w:rsid w:val="00C847C0"/>
    <w:rsid w:val="00C848EE"/>
    <w:rsid w:val="00C84AFC"/>
    <w:rsid w:val="00C84B2A"/>
    <w:rsid w:val="00C84B39"/>
    <w:rsid w:val="00C84D8B"/>
    <w:rsid w:val="00C84E9C"/>
    <w:rsid w:val="00C84EDD"/>
    <w:rsid w:val="00C84F37"/>
    <w:rsid w:val="00C84F65"/>
    <w:rsid w:val="00C8555C"/>
    <w:rsid w:val="00C85A37"/>
    <w:rsid w:val="00C85AD1"/>
    <w:rsid w:val="00C85B14"/>
    <w:rsid w:val="00C85C90"/>
    <w:rsid w:val="00C85D48"/>
    <w:rsid w:val="00C85D8B"/>
    <w:rsid w:val="00C85DC5"/>
    <w:rsid w:val="00C85DDD"/>
    <w:rsid w:val="00C85EAA"/>
    <w:rsid w:val="00C85FAA"/>
    <w:rsid w:val="00C861C5"/>
    <w:rsid w:val="00C86269"/>
    <w:rsid w:val="00C8626B"/>
    <w:rsid w:val="00C86434"/>
    <w:rsid w:val="00C864F5"/>
    <w:rsid w:val="00C86656"/>
    <w:rsid w:val="00C8679C"/>
    <w:rsid w:val="00C8683B"/>
    <w:rsid w:val="00C86855"/>
    <w:rsid w:val="00C8686A"/>
    <w:rsid w:val="00C869C5"/>
    <w:rsid w:val="00C86B02"/>
    <w:rsid w:val="00C86B8A"/>
    <w:rsid w:val="00C86EB9"/>
    <w:rsid w:val="00C86F08"/>
    <w:rsid w:val="00C86F7D"/>
    <w:rsid w:val="00C87076"/>
    <w:rsid w:val="00C870B0"/>
    <w:rsid w:val="00C87135"/>
    <w:rsid w:val="00C87201"/>
    <w:rsid w:val="00C87314"/>
    <w:rsid w:val="00C8737A"/>
    <w:rsid w:val="00C87521"/>
    <w:rsid w:val="00C876D3"/>
    <w:rsid w:val="00C8778E"/>
    <w:rsid w:val="00C87A15"/>
    <w:rsid w:val="00C87B89"/>
    <w:rsid w:val="00C87E2A"/>
    <w:rsid w:val="00C90014"/>
    <w:rsid w:val="00C9003A"/>
    <w:rsid w:val="00C90175"/>
    <w:rsid w:val="00C90195"/>
    <w:rsid w:val="00C905FC"/>
    <w:rsid w:val="00C9076A"/>
    <w:rsid w:val="00C90A62"/>
    <w:rsid w:val="00C90E53"/>
    <w:rsid w:val="00C911CF"/>
    <w:rsid w:val="00C9126B"/>
    <w:rsid w:val="00C91278"/>
    <w:rsid w:val="00C914F1"/>
    <w:rsid w:val="00C9175A"/>
    <w:rsid w:val="00C91782"/>
    <w:rsid w:val="00C91B51"/>
    <w:rsid w:val="00C91CA4"/>
    <w:rsid w:val="00C91F87"/>
    <w:rsid w:val="00C91FB2"/>
    <w:rsid w:val="00C92007"/>
    <w:rsid w:val="00C92021"/>
    <w:rsid w:val="00C9215D"/>
    <w:rsid w:val="00C92188"/>
    <w:rsid w:val="00C9240A"/>
    <w:rsid w:val="00C92735"/>
    <w:rsid w:val="00C92774"/>
    <w:rsid w:val="00C927E7"/>
    <w:rsid w:val="00C92AB9"/>
    <w:rsid w:val="00C93290"/>
    <w:rsid w:val="00C932D3"/>
    <w:rsid w:val="00C934A6"/>
    <w:rsid w:val="00C936F0"/>
    <w:rsid w:val="00C9389A"/>
    <w:rsid w:val="00C93ADD"/>
    <w:rsid w:val="00C93BBB"/>
    <w:rsid w:val="00C93C52"/>
    <w:rsid w:val="00C93D5E"/>
    <w:rsid w:val="00C93E6D"/>
    <w:rsid w:val="00C93EB4"/>
    <w:rsid w:val="00C93ED6"/>
    <w:rsid w:val="00C93F80"/>
    <w:rsid w:val="00C9401B"/>
    <w:rsid w:val="00C941D0"/>
    <w:rsid w:val="00C94301"/>
    <w:rsid w:val="00C94335"/>
    <w:rsid w:val="00C94474"/>
    <w:rsid w:val="00C945D4"/>
    <w:rsid w:val="00C946D5"/>
    <w:rsid w:val="00C94857"/>
    <w:rsid w:val="00C94999"/>
    <w:rsid w:val="00C94AAE"/>
    <w:rsid w:val="00C94D5E"/>
    <w:rsid w:val="00C94DAB"/>
    <w:rsid w:val="00C94E24"/>
    <w:rsid w:val="00C95027"/>
    <w:rsid w:val="00C9520D"/>
    <w:rsid w:val="00C954BC"/>
    <w:rsid w:val="00C954DF"/>
    <w:rsid w:val="00C95794"/>
    <w:rsid w:val="00C957F2"/>
    <w:rsid w:val="00C958B1"/>
    <w:rsid w:val="00C95C12"/>
    <w:rsid w:val="00C95C4C"/>
    <w:rsid w:val="00C95C5E"/>
    <w:rsid w:val="00C95DEF"/>
    <w:rsid w:val="00C95E4B"/>
    <w:rsid w:val="00C95E5F"/>
    <w:rsid w:val="00C95E62"/>
    <w:rsid w:val="00C95EE9"/>
    <w:rsid w:val="00C95F9D"/>
    <w:rsid w:val="00C9602E"/>
    <w:rsid w:val="00C96066"/>
    <w:rsid w:val="00C96135"/>
    <w:rsid w:val="00C96156"/>
    <w:rsid w:val="00C964D7"/>
    <w:rsid w:val="00C9656F"/>
    <w:rsid w:val="00C96797"/>
    <w:rsid w:val="00C967E1"/>
    <w:rsid w:val="00C96901"/>
    <w:rsid w:val="00C96915"/>
    <w:rsid w:val="00C96B75"/>
    <w:rsid w:val="00C96D59"/>
    <w:rsid w:val="00C96EAE"/>
    <w:rsid w:val="00C96EF7"/>
    <w:rsid w:val="00C96F37"/>
    <w:rsid w:val="00C97120"/>
    <w:rsid w:val="00C97171"/>
    <w:rsid w:val="00C973B3"/>
    <w:rsid w:val="00C974A8"/>
    <w:rsid w:val="00C9755C"/>
    <w:rsid w:val="00C9775B"/>
    <w:rsid w:val="00C9786F"/>
    <w:rsid w:val="00C978D1"/>
    <w:rsid w:val="00C97995"/>
    <w:rsid w:val="00C97A35"/>
    <w:rsid w:val="00C97ACB"/>
    <w:rsid w:val="00C97AD6"/>
    <w:rsid w:val="00C97B3C"/>
    <w:rsid w:val="00C97D04"/>
    <w:rsid w:val="00C97D50"/>
    <w:rsid w:val="00C97FE2"/>
    <w:rsid w:val="00CA0042"/>
    <w:rsid w:val="00CA03AA"/>
    <w:rsid w:val="00CA03FB"/>
    <w:rsid w:val="00CA0402"/>
    <w:rsid w:val="00CA0523"/>
    <w:rsid w:val="00CA0552"/>
    <w:rsid w:val="00CA06F5"/>
    <w:rsid w:val="00CA06FB"/>
    <w:rsid w:val="00CA091C"/>
    <w:rsid w:val="00CA0B81"/>
    <w:rsid w:val="00CA0DB7"/>
    <w:rsid w:val="00CA0EF0"/>
    <w:rsid w:val="00CA12AD"/>
    <w:rsid w:val="00CA12DD"/>
    <w:rsid w:val="00CA1320"/>
    <w:rsid w:val="00CA13F5"/>
    <w:rsid w:val="00CA142C"/>
    <w:rsid w:val="00CA16E2"/>
    <w:rsid w:val="00CA1801"/>
    <w:rsid w:val="00CA1820"/>
    <w:rsid w:val="00CA18BE"/>
    <w:rsid w:val="00CA1A19"/>
    <w:rsid w:val="00CA1B4D"/>
    <w:rsid w:val="00CA1B6B"/>
    <w:rsid w:val="00CA1D27"/>
    <w:rsid w:val="00CA1DE3"/>
    <w:rsid w:val="00CA20FD"/>
    <w:rsid w:val="00CA2170"/>
    <w:rsid w:val="00CA217C"/>
    <w:rsid w:val="00CA25B5"/>
    <w:rsid w:val="00CA25E3"/>
    <w:rsid w:val="00CA2600"/>
    <w:rsid w:val="00CA264D"/>
    <w:rsid w:val="00CA283A"/>
    <w:rsid w:val="00CA2846"/>
    <w:rsid w:val="00CA2C4B"/>
    <w:rsid w:val="00CA2D9F"/>
    <w:rsid w:val="00CA2E65"/>
    <w:rsid w:val="00CA2E97"/>
    <w:rsid w:val="00CA3104"/>
    <w:rsid w:val="00CA314C"/>
    <w:rsid w:val="00CA327C"/>
    <w:rsid w:val="00CA37B3"/>
    <w:rsid w:val="00CA3917"/>
    <w:rsid w:val="00CA396A"/>
    <w:rsid w:val="00CA3ABA"/>
    <w:rsid w:val="00CA3C8C"/>
    <w:rsid w:val="00CA3F6D"/>
    <w:rsid w:val="00CA40B7"/>
    <w:rsid w:val="00CA40C3"/>
    <w:rsid w:val="00CA4167"/>
    <w:rsid w:val="00CA4424"/>
    <w:rsid w:val="00CA47BE"/>
    <w:rsid w:val="00CA49C2"/>
    <w:rsid w:val="00CA4D5C"/>
    <w:rsid w:val="00CA4F71"/>
    <w:rsid w:val="00CA4FD3"/>
    <w:rsid w:val="00CA5022"/>
    <w:rsid w:val="00CA5073"/>
    <w:rsid w:val="00CA5174"/>
    <w:rsid w:val="00CA5215"/>
    <w:rsid w:val="00CA5557"/>
    <w:rsid w:val="00CA555E"/>
    <w:rsid w:val="00CA55C2"/>
    <w:rsid w:val="00CA5C46"/>
    <w:rsid w:val="00CA5D1D"/>
    <w:rsid w:val="00CA5D6E"/>
    <w:rsid w:val="00CA5FE9"/>
    <w:rsid w:val="00CA60AD"/>
    <w:rsid w:val="00CA611A"/>
    <w:rsid w:val="00CA6188"/>
    <w:rsid w:val="00CA61B3"/>
    <w:rsid w:val="00CA6237"/>
    <w:rsid w:val="00CA632D"/>
    <w:rsid w:val="00CA637C"/>
    <w:rsid w:val="00CA63BE"/>
    <w:rsid w:val="00CA644F"/>
    <w:rsid w:val="00CA64AF"/>
    <w:rsid w:val="00CA66FC"/>
    <w:rsid w:val="00CA6A87"/>
    <w:rsid w:val="00CA6BFE"/>
    <w:rsid w:val="00CA6C70"/>
    <w:rsid w:val="00CA6CD0"/>
    <w:rsid w:val="00CA6D20"/>
    <w:rsid w:val="00CA6E7E"/>
    <w:rsid w:val="00CA6FE9"/>
    <w:rsid w:val="00CA70B5"/>
    <w:rsid w:val="00CA70D7"/>
    <w:rsid w:val="00CA7138"/>
    <w:rsid w:val="00CA72B3"/>
    <w:rsid w:val="00CA72CC"/>
    <w:rsid w:val="00CA7479"/>
    <w:rsid w:val="00CA77D7"/>
    <w:rsid w:val="00CA79D6"/>
    <w:rsid w:val="00CA7C5E"/>
    <w:rsid w:val="00CB002F"/>
    <w:rsid w:val="00CB00FC"/>
    <w:rsid w:val="00CB01CE"/>
    <w:rsid w:val="00CB01D7"/>
    <w:rsid w:val="00CB037F"/>
    <w:rsid w:val="00CB0481"/>
    <w:rsid w:val="00CB0759"/>
    <w:rsid w:val="00CB0767"/>
    <w:rsid w:val="00CB08E8"/>
    <w:rsid w:val="00CB0D34"/>
    <w:rsid w:val="00CB0D52"/>
    <w:rsid w:val="00CB0E5C"/>
    <w:rsid w:val="00CB0E61"/>
    <w:rsid w:val="00CB0F5F"/>
    <w:rsid w:val="00CB10D9"/>
    <w:rsid w:val="00CB11C0"/>
    <w:rsid w:val="00CB1337"/>
    <w:rsid w:val="00CB157B"/>
    <w:rsid w:val="00CB1605"/>
    <w:rsid w:val="00CB1637"/>
    <w:rsid w:val="00CB16C1"/>
    <w:rsid w:val="00CB1880"/>
    <w:rsid w:val="00CB1A0B"/>
    <w:rsid w:val="00CB1A1B"/>
    <w:rsid w:val="00CB1C1D"/>
    <w:rsid w:val="00CB1C8A"/>
    <w:rsid w:val="00CB1D52"/>
    <w:rsid w:val="00CB1EB1"/>
    <w:rsid w:val="00CB1F6F"/>
    <w:rsid w:val="00CB2046"/>
    <w:rsid w:val="00CB218F"/>
    <w:rsid w:val="00CB22B3"/>
    <w:rsid w:val="00CB22D7"/>
    <w:rsid w:val="00CB2385"/>
    <w:rsid w:val="00CB2478"/>
    <w:rsid w:val="00CB2489"/>
    <w:rsid w:val="00CB251E"/>
    <w:rsid w:val="00CB2531"/>
    <w:rsid w:val="00CB2557"/>
    <w:rsid w:val="00CB2656"/>
    <w:rsid w:val="00CB265A"/>
    <w:rsid w:val="00CB2710"/>
    <w:rsid w:val="00CB2859"/>
    <w:rsid w:val="00CB2923"/>
    <w:rsid w:val="00CB2940"/>
    <w:rsid w:val="00CB2978"/>
    <w:rsid w:val="00CB2B06"/>
    <w:rsid w:val="00CB2B96"/>
    <w:rsid w:val="00CB2BA9"/>
    <w:rsid w:val="00CB2CDD"/>
    <w:rsid w:val="00CB2D76"/>
    <w:rsid w:val="00CB2EB6"/>
    <w:rsid w:val="00CB2EDF"/>
    <w:rsid w:val="00CB31F5"/>
    <w:rsid w:val="00CB3578"/>
    <w:rsid w:val="00CB3582"/>
    <w:rsid w:val="00CB35E9"/>
    <w:rsid w:val="00CB366C"/>
    <w:rsid w:val="00CB3695"/>
    <w:rsid w:val="00CB379F"/>
    <w:rsid w:val="00CB37E6"/>
    <w:rsid w:val="00CB380D"/>
    <w:rsid w:val="00CB389D"/>
    <w:rsid w:val="00CB39BF"/>
    <w:rsid w:val="00CB3A8F"/>
    <w:rsid w:val="00CB3B04"/>
    <w:rsid w:val="00CB3F0D"/>
    <w:rsid w:val="00CB3FDF"/>
    <w:rsid w:val="00CB4079"/>
    <w:rsid w:val="00CB412E"/>
    <w:rsid w:val="00CB41E3"/>
    <w:rsid w:val="00CB44BD"/>
    <w:rsid w:val="00CB455D"/>
    <w:rsid w:val="00CB4652"/>
    <w:rsid w:val="00CB46F9"/>
    <w:rsid w:val="00CB482C"/>
    <w:rsid w:val="00CB48D6"/>
    <w:rsid w:val="00CB48FD"/>
    <w:rsid w:val="00CB49E3"/>
    <w:rsid w:val="00CB4D6E"/>
    <w:rsid w:val="00CB4D7E"/>
    <w:rsid w:val="00CB513C"/>
    <w:rsid w:val="00CB5209"/>
    <w:rsid w:val="00CB5231"/>
    <w:rsid w:val="00CB526C"/>
    <w:rsid w:val="00CB54C0"/>
    <w:rsid w:val="00CB556E"/>
    <w:rsid w:val="00CB55D6"/>
    <w:rsid w:val="00CB5607"/>
    <w:rsid w:val="00CB56C2"/>
    <w:rsid w:val="00CB5841"/>
    <w:rsid w:val="00CB585F"/>
    <w:rsid w:val="00CB58EF"/>
    <w:rsid w:val="00CB5BD2"/>
    <w:rsid w:val="00CB5C19"/>
    <w:rsid w:val="00CB5C22"/>
    <w:rsid w:val="00CB5C60"/>
    <w:rsid w:val="00CB5C6E"/>
    <w:rsid w:val="00CB63F4"/>
    <w:rsid w:val="00CB67D2"/>
    <w:rsid w:val="00CB68D1"/>
    <w:rsid w:val="00CB69AF"/>
    <w:rsid w:val="00CB6BFD"/>
    <w:rsid w:val="00CB6DD6"/>
    <w:rsid w:val="00CB6F08"/>
    <w:rsid w:val="00CB6FC7"/>
    <w:rsid w:val="00CB7478"/>
    <w:rsid w:val="00CB77D3"/>
    <w:rsid w:val="00CB7AFB"/>
    <w:rsid w:val="00CB7B6A"/>
    <w:rsid w:val="00CB7C25"/>
    <w:rsid w:val="00CB7DC8"/>
    <w:rsid w:val="00CB7FCC"/>
    <w:rsid w:val="00CC03AF"/>
    <w:rsid w:val="00CC07D6"/>
    <w:rsid w:val="00CC0870"/>
    <w:rsid w:val="00CC094A"/>
    <w:rsid w:val="00CC0A09"/>
    <w:rsid w:val="00CC0A34"/>
    <w:rsid w:val="00CC0A67"/>
    <w:rsid w:val="00CC0A6E"/>
    <w:rsid w:val="00CC0AFA"/>
    <w:rsid w:val="00CC0B5A"/>
    <w:rsid w:val="00CC0C0C"/>
    <w:rsid w:val="00CC0C3D"/>
    <w:rsid w:val="00CC0F34"/>
    <w:rsid w:val="00CC1044"/>
    <w:rsid w:val="00CC10B9"/>
    <w:rsid w:val="00CC10FA"/>
    <w:rsid w:val="00CC1107"/>
    <w:rsid w:val="00CC119C"/>
    <w:rsid w:val="00CC1243"/>
    <w:rsid w:val="00CC12DF"/>
    <w:rsid w:val="00CC13CA"/>
    <w:rsid w:val="00CC1440"/>
    <w:rsid w:val="00CC144D"/>
    <w:rsid w:val="00CC1451"/>
    <w:rsid w:val="00CC14BF"/>
    <w:rsid w:val="00CC155D"/>
    <w:rsid w:val="00CC1776"/>
    <w:rsid w:val="00CC1A82"/>
    <w:rsid w:val="00CC1C28"/>
    <w:rsid w:val="00CC1C52"/>
    <w:rsid w:val="00CC20D8"/>
    <w:rsid w:val="00CC2143"/>
    <w:rsid w:val="00CC21C2"/>
    <w:rsid w:val="00CC2206"/>
    <w:rsid w:val="00CC23BC"/>
    <w:rsid w:val="00CC2750"/>
    <w:rsid w:val="00CC290B"/>
    <w:rsid w:val="00CC29DF"/>
    <w:rsid w:val="00CC29EE"/>
    <w:rsid w:val="00CC2A8D"/>
    <w:rsid w:val="00CC2EEC"/>
    <w:rsid w:val="00CC31AA"/>
    <w:rsid w:val="00CC31E0"/>
    <w:rsid w:val="00CC327F"/>
    <w:rsid w:val="00CC3472"/>
    <w:rsid w:val="00CC3499"/>
    <w:rsid w:val="00CC34C5"/>
    <w:rsid w:val="00CC36B4"/>
    <w:rsid w:val="00CC3707"/>
    <w:rsid w:val="00CC3A43"/>
    <w:rsid w:val="00CC3B43"/>
    <w:rsid w:val="00CC3BCA"/>
    <w:rsid w:val="00CC3D64"/>
    <w:rsid w:val="00CC3DFB"/>
    <w:rsid w:val="00CC4344"/>
    <w:rsid w:val="00CC4479"/>
    <w:rsid w:val="00CC4596"/>
    <w:rsid w:val="00CC46AD"/>
    <w:rsid w:val="00CC497A"/>
    <w:rsid w:val="00CC4C1E"/>
    <w:rsid w:val="00CC4C56"/>
    <w:rsid w:val="00CC4EB4"/>
    <w:rsid w:val="00CC4F79"/>
    <w:rsid w:val="00CC502F"/>
    <w:rsid w:val="00CC50E2"/>
    <w:rsid w:val="00CC52CB"/>
    <w:rsid w:val="00CC5362"/>
    <w:rsid w:val="00CC540D"/>
    <w:rsid w:val="00CC54C4"/>
    <w:rsid w:val="00CC5584"/>
    <w:rsid w:val="00CC574F"/>
    <w:rsid w:val="00CC57ED"/>
    <w:rsid w:val="00CC5B65"/>
    <w:rsid w:val="00CC5C30"/>
    <w:rsid w:val="00CC5D3E"/>
    <w:rsid w:val="00CC5D6C"/>
    <w:rsid w:val="00CC5E50"/>
    <w:rsid w:val="00CC6003"/>
    <w:rsid w:val="00CC6060"/>
    <w:rsid w:val="00CC6190"/>
    <w:rsid w:val="00CC6230"/>
    <w:rsid w:val="00CC6244"/>
    <w:rsid w:val="00CC65B4"/>
    <w:rsid w:val="00CC65B7"/>
    <w:rsid w:val="00CC6684"/>
    <w:rsid w:val="00CC6723"/>
    <w:rsid w:val="00CC6979"/>
    <w:rsid w:val="00CC697B"/>
    <w:rsid w:val="00CC6AAF"/>
    <w:rsid w:val="00CC6B1C"/>
    <w:rsid w:val="00CC6BB3"/>
    <w:rsid w:val="00CC6BDE"/>
    <w:rsid w:val="00CC6CB8"/>
    <w:rsid w:val="00CC6CFD"/>
    <w:rsid w:val="00CC6E77"/>
    <w:rsid w:val="00CC6E9D"/>
    <w:rsid w:val="00CC6F77"/>
    <w:rsid w:val="00CC719F"/>
    <w:rsid w:val="00CC720D"/>
    <w:rsid w:val="00CC7484"/>
    <w:rsid w:val="00CC77AD"/>
    <w:rsid w:val="00CC77FD"/>
    <w:rsid w:val="00CC784E"/>
    <w:rsid w:val="00CC78D7"/>
    <w:rsid w:val="00CC79E7"/>
    <w:rsid w:val="00CC7C9C"/>
    <w:rsid w:val="00CC7DFD"/>
    <w:rsid w:val="00CC7E7E"/>
    <w:rsid w:val="00CC7ECD"/>
    <w:rsid w:val="00CC7F37"/>
    <w:rsid w:val="00CD0072"/>
    <w:rsid w:val="00CD021C"/>
    <w:rsid w:val="00CD0543"/>
    <w:rsid w:val="00CD055C"/>
    <w:rsid w:val="00CD0567"/>
    <w:rsid w:val="00CD061F"/>
    <w:rsid w:val="00CD0774"/>
    <w:rsid w:val="00CD0941"/>
    <w:rsid w:val="00CD0A9A"/>
    <w:rsid w:val="00CD0BD8"/>
    <w:rsid w:val="00CD119E"/>
    <w:rsid w:val="00CD11B5"/>
    <w:rsid w:val="00CD11F9"/>
    <w:rsid w:val="00CD1818"/>
    <w:rsid w:val="00CD1B63"/>
    <w:rsid w:val="00CD1BF4"/>
    <w:rsid w:val="00CD1C1A"/>
    <w:rsid w:val="00CD1EB5"/>
    <w:rsid w:val="00CD2100"/>
    <w:rsid w:val="00CD216D"/>
    <w:rsid w:val="00CD2360"/>
    <w:rsid w:val="00CD243C"/>
    <w:rsid w:val="00CD2472"/>
    <w:rsid w:val="00CD24A3"/>
    <w:rsid w:val="00CD25F0"/>
    <w:rsid w:val="00CD26A2"/>
    <w:rsid w:val="00CD270B"/>
    <w:rsid w:val="00CD2753"/>
    <w:rsid w:val="00CD27F7"/>
    <w:rsid w:val="00CD2910"/>
    <w:rsid w:val="00CD2A03"/>
    <w:rsid w:val="00CD2A9E"/>
    <w:rsid w:val="00CD2C34"/>
    <w:rsid w:val="00CD2C3F"/>
    <w:rsid w:val="00CD2E0B"/>
    <w:rsid w:val="00CD303A"/>
    <w:rsid w:val="00CD320A"/>
    <w:rsid w:val="00CD32DD"/>
    <w:rsid w:val="00CD33E9"/>
    <w:rsid w:val="00CD34A1"/>
    <w:rsid w:val="00CD3553"/>
    <w:rsid w:val="00CD3627"/>
    <w:rsid w:val="00CD3644"/>
    <w:rsid w:val="00CD3870"/>
    <w:rsid w:val="00CD38BF"/>
    <w:rsid w:val="00CD3925"/>
    <w:rsid w:val="00CD39C4"/>
    <w:rsid w:val="00CD3A0C"/>
    <w:rsid w:val="00CD3BF4"/>
    <w:rsid w:val="00CD3FEF"/>
    <w:rsid w:val="00CD408C"/>
    <w:rsid w:val="00CD430F"/>
    <w:rsid w:val="00CD49F1"/>
    <w:rsid w:val="00CD49F7"/>
    <w:rsid w:val="00CD4A23"/>
    <w:rsid w:val="00CD4B19"/>
    <w:rsid w:val="00CD4C98"/>
    <w:rsid w:val="00CD4CFA"/>
    <w:rsid w:val="00CD4F90"/>
    <w:rsid w:val="00CD5196"/>
    <w:rsid w:val="00CD52A0"/>
    <w:rsid w:val="00CD55EC"/>
    <w:rsid w:val="00CD57C3"/>
    <w:rsid w:val="00CD5B70"/>
    <w:rsid w:val="00CD5D75"/>
    <w:rsid w:val="00CD6057"/>
    <w:rsid w:val="00CD6252"/>
    <w:rsid w:val="00CD62B8"/>
    <w:rsid w:val="00CD62EF"/>
    <w:rsid w:val="00CD6310"/>
    <w:rsid w:val="00CD63CD"/>
    <w:rsid w:val="00CD6474"/>
    <w:rsid w:val="00CD6551"/>
    <w:rsid w:val="00CD65BF"/>
    <w:rsid w:val="00CD65CE"/>
    <w:rsid w:val="00CD665D"/>
    <w:rsid w:val="00CD66B5"/>
    <w:rsid w:val="00CD673D"/>
    <w:rsid w:val="00CD67AE"/>
    <w:rsid w:val="00CD682A"/>
    <w:rsid w:val="00CD6865"/>
    <w:rsid w:val="00CD68F1"/>
    <w:rsid w:val="00CD6C48"/>
    <w:rsid w:val="00CD6CA0"/>
    <w:rsid w:val="00CD6D8D"/>
    <w:rsid w:val="00CD6DA3"/>
    <w:rsid w:val="00CD71A6"/>
    <w:rsid w:val="00CD7295"/>
    <w:rsid w:val="00CD7347"/>
    <w:rsid w:val="00CD745A"/>
    <w:rsid w:val="00CD7538"/>
    <w:rsid w:val="00CD767B"/>
    <w:rsid w:val="00CD76FE"/>
    <w:rsid w:val="00CD794C"/>
    <w:rsid w:val="00CD7A79"/>
    <w:rsid w:val="00CD7D2A"/>
    <w:rsid w:val="00CD7E34"/>
    <w:rsid w:val="00CD7E4B"/>
    <w:rsid w:val="00CD7F50"/>
    <w:rsid w:val="00CE009E"/>
    <w:rsid w:val="00CE0103"/>
    <w:rsid w:val="00CE013C"/>
    <w:rsid w:val="00CE0357"/>
    <w:rsid w:val="00CE035C"/>
    <w:rsid w:val="00CE0467"/>
    <w:rsid w:val="00CE0598"/>
    <w:rsid w:val="00CE0654"/>
    <w:rsid w:val="00CE06DC"/>
    <w:rsid w:val="00CE0856"/>
    <w:rsid w:val="00CE0862"/>
    <w:rsid w:val="00CE0891"/>
    <w:rsid w:val="00CE08BB"/>
    <w:rsid w:val="00CE0952"/>
    <w:rsid w:val="00CE0AB2"/>
    <w:rsid w:val="00CE0B26"/>
    <w:rsid w:val="00CE0C23"/>
    <w:rsid w:val="00CE0C31"/>
    <w:rsid w:val="00CE0E26"/>
    <w:rsid w:val="00CE0E41"/>
    <w:rsid w:val="00CE0FCE"/>
    <w:rsid w:val="00CE0FDF"/>
    <w:rsid w:val="00CE1178"/>
    <w:rsid w:val="00CE11ED"/>
    <w:rsid w:val="00CE121F"/>
    <w:rsid w:val="00CE12BC"/>
    <w:rsid w:val="00CE12C4"/>
    <w:rsid w:val="00CE1551"/>
    <w:rsid w:val="00CE16BE"/>
    <w:rsid w:val="00CE17C8"/>
    <w:rsid w:val="00CE17E2"/>
    <w:rsid w:val="00CE1A8A"/>
    <w:rsid w:val="00CE1B68"/>
    <w:rsid w:val="00CE1CC9"/>
    <w:rsid w:val="00CE1E78"/>
    <w:rsid w:val="00CE1F1E"/>
    <w:rsid w:val="00CE2011"/>
    <w:rsid w:val="00CE20E2"/>
    <w:rsid w:val="00CE2253"/>
    <w:rsid w:val="00CE2305"/>
    <w:rsid w:val="00CE230F"/>
    <w:rsid w:val="00CE246B"/>
    <w:rsid w:val="00CE27F7"/>
    <w:rsid w:val="00CE2923"/>
    <w:rsid w:val="00CE296A"/>
    <w:rsid w:val="00CE29A0"/>
    <w:rsid w:val="00CE2A68"/>
    <w:rsid w:val="00CE2AF3"/>
    <w:rsid w:val="00CE2B92"/>
    <w:rsid w:val="00CE2D2B"/>
    <w:rsid w:val="00CE2F68"/>
    <w:rsid w:val="00CE309C"/>
    <w:rsid w:val="00CE32E1"/>
    <w:rsid w:val="00CE33FD"/>
    <w:rsid w:val="00CE348B"/>
    <w:rsid w:val="00CE34BB"/>
    <w:rsid w:val="00CE34FB"/>
    <w:rsid w:val="00CE370F"/>
    <w:rsid w:val="00CE3A08"/>
    <w:rsid w:val="00CE3CD5"/>
    <w:rsid w:val="00CE3CE4"/>
    <w:rsid w:val="00CE3E33"/>
    <w:rsid w:val="00CE3E8D"/>
    <w:rsid w:val="00CE3EAF"/>
    <w:rsid w:val="00CE3F8D"/>
    <w:rsid w:val="00CE3FB7"/>
    <w:rsid w:val="00CE403B"/>
    <w:rsid w:val="00CE422D"/>
    <w:rsid w:val="00CE42AF"/>
    <w:rsid w:val="00CE4380"/>
    <w:rsid w:val="00CE43D8"/>
    <w:rsid w:val="00CE444D"/>
    <w:rsid w:val="00CE44D4"/>
    <w:rsid w:val="00CE4702"/>
    <w:rsid w:val="00CE47CF"/>
    <w:rsid w:val="00CE48E0"/>
    <w:rsid w:val="00CE4BDC"/>
    <w:rsid w:val="00CE4E37"/>
    <w:rsid w:val="00CE4F31"/>
    <w:rsid w:val="00CE5020"/>
    <w:rsid w:val="00CE50DB"/>
    <w:rsid w:val="00CE52EA"/>
    <w:rsid w:val="00CE5428"/>
    <w:rsid w:val="00CE54C2"/>
    <w:rsid w:val="00CE5503"/>
    <w:rsid w:val="00CE55AC"/>
    <w:rsid w:val="00CE5896"/>
    <w:rsid w:val="00CE5908"/>
    <w:rsid w:val="00CE5CA3"/>
    <w:rsid w:val="00CE5D20"/>
    <w:rsid w:val="00CE5E4D"/>
    <w:rsid w:val="00CE5EA7"/>
    <w:rsid w:val="00CE6161"/>
    <w:rsid w:val="00CE6241"/>
    <w:rsid w:val="00CE62A4"/>
    <w:rsid w:val="00CE65B6"/>
    <w:rsid w:val="00CE66DE"/>
    <w:rsid w:val="00CE676A"/>
    <w:rsid w:val="00CE68C9"/>
    <w:rsid w:val="00CE691F"/>
    <w:rsid w:val="00CE6921"/>
    <w:rsid w:val="00CE6A44"/>
    <w:rsid w:val="00CE6A64"/>
    <w:rsid w:val="00CE6A8A"/>
    <w:rsid w:val="00CE6B29"/>
    <w:rsid w:val="00CE6BE7"/>
    <w:rsid w:val="00CE6C1D"/>
    <w:rsid w:val="00CE6CC2"/>
    <w:rsid w:val="00CE6D36"/>
    <w:rsid w:val="00CE6EF7"/>
    <w:rsid w:val="00CE6F78"/>
    <w:rsid w:val="00CE6F80"/>
    <w:rsid w:val="00CE70A6"/>
    <w:rsid w:val="00CE70E9"/>
    <w:rsid w:val="00CE7175"/>
    <w:rsid w:val="00CE71E6"/>
    <w:rsid w:val="00CE72B5"/>
    <w:rsid w:val="00CE73F6"/>
    <w:rsid w:val="00CE74E5"/>
    <w:rsid w:val="00CE74F5"/>
    <w:rsid w:val="00CE768F"/>
    <w:rsid w:val="00CE7A7C"/>
    <w:rsid w:val="00CE7B66"/>
    <w:rsid w:val="00CE7F58"/>
    <w:rsid w:val="00CF053E"/>
    <w:rsid w:val="00CF0581"/>
    <w:rsid w:val="00CF08C6"/>
    <w:rsid w:val="00CF09A0"/>
    <w:rsid w:val="00CF0A03"/>
    <w:rsid w:val="00CF0B91"/>
    <w:rsid w:val="00CF0F8D"/>
    <w:rsid w:val="00CF1024"/>
    <w:rsid w:val="00CF10FF"/>
    <w:rsid w:val="00CF1188"/>
    <w:rsid w:val="00CF12EF"/>
    <w:rsid w:val="00CF1435"/>
    <w:rsid w:val="00CF1488"/>
    <w:rsid w:val="00CF14E4"/>
    <w:rsid w:val="00CF1933"/>
    <w:rsid w:val="00CF19DD"/>
    <w:rsid w:val="00CF1D2E"/>
    <w:rsid w:val="00CF1DA6"/>
    <w:rsid w:val="00CF1EC1"/>
    <w:rsid w:val="00CF1F15"/>
    <w:rsid w:val="00CF1F2E"/>
    <w:rsid w:val="00CF1F58"/>
    <w:rsid w:val="00CF1FCC"/>
    <w:rsid w:val="00CF1FDC"/>
    <w:rsid w:val="00CF201F"/>
    <w:rsid w:val="00CF202B"/>
    <w:rsid w:val="00CF20A4"/>
    <w:rsid w:val="00CF23BD"/>
    <w:rsid w:val="00CF2414"/>
    <w:rsid w:val="00CF26DF"/>
    <w:rsid w:val="00CF2759"/>
    <w:rsid w:val="00CF28D4"/>
    <w:rsid w:val="00CF29A8"/>
    <w:rsid w:val="00CF2A6B"/>
    <w:rsid w:val="00CF2B4B"/>
    <w:rsid w:val="00CF2C12"/>
    <w:rsid w:val="00CF2C85"/>
    <w:rsid w:val="00CF2CAE"/>
    <w:rsid w:val="00CF2E09"/>
    <w:rsid w:val="00CF2F3A"/>
    <w:rsid w:val="00CF2FAD"/>
    <w:rsid w:val="00CF30B6"/>
    <w:rsid w:val="00CF3691"/>
    <w:rsid w:val="00CF3800"/>
    <w:rsid w:val="00CF3899"/>
    <w:rsid w:val="00CF3A53"/>
    <w:rsid w:val="00CF3B7C"/>
    <w:rsid w:val="00CF3CFC"/>
    <w:rsid w:val="00CF3D08"/>
    <w:rsid w:val="00CF3F0D"/>
    <w:rsid w:val="00CF4094"/>
    <w:rsid w:val="00CF40BE"/>
    <w:rsid w:val="00CF4102"/>
    <w:rsid w:val="00CF41F0"/>
    <w:rsid w:val="00CF453B"/>
    <w:rsid w:val="00CF4644"/>
    <w:rsid w:val="00CF474E"/>
    <w:rsid w:val="00CF477F"/>
    <w:rsid w:val="00CF48EC"/>
    <w:rsid w:val="00CF48ED"/>
    <w:rsid w:val="00CF491A"/>
    <w:rsid w:val="00CF493B"/>
    <w:rsid w:val="00CF4940"/>
    <w:rsid w:val="00CF4A3D"/>
    <w:rsid w:val="00CF4A62"/>
    <w:rsid w:val="00CF4C3E"/>
    <w:rsid w:val="00CF4DDE"/>
    <w:rsid w:val="00CF5068"/>
    <w:rsid w:val="00CF5142"/>
    <w:rsid w:val="00CF514B"/>
    <w:rsid w:val="00CF52D2"/>
    <w:rsid w:val="00CF54FD"/>
    <w:rsid w:val="00CF550A"/>
    <w:rsid w:val="00CF565D"/>
    <w:rsid w:val="00CF5666"/>
    <w:rsid w:val="00CF56D2"/>
    <w:rsid w:val="00CF59A9"/>
    <w:rsid w:val="00CF5A95"/>
    <w:rsid w:val="00CF5C90"/>
    <w:rsid w:val="00CF6034"/>
    <w:rsid w:val="00CF6324"/>
    <w:rsid w:val="00CF65C2"/>
    <w:rsid w:val="00CF681F"/>
    <w:rsid w:val="00CF6B7B"/>
    <w:rsid w:val="00CF6C75"/>
    <w:rsid w:val="00CF6CC5"/>
    <w:rsid w:val="00CF6CD2"/>
    <w:rsid w:val="00CF6DCC"/>
    <w:rsid w:val="00CF6F07"/>
    <w:rsid w:val="00CF7156"/>
    <w:rsid w:val="00CF725B"/>
    <w:rsid w:val="00CF7372"/>
    <w:rsid w:val="00CF75C6"/>
    <w:rsid w:val="00CF76DC"/>
    <w:rsid w:val="00CF7A14"/>
    <w:rsid w:val="00CF7A40"/>
    <w:rsid w:val="00CF7CA4"/>
    <w:rsid w:val="00CF7F00"/>
    <w:rsid w:val="00D00009"/>
    <w:rsid w:val="00D0047D"/>
    <w:rsid w:val="00D0050B"/>
    <w:rsid w:val="00D0057A"/>
    <w:rsid w:val="00D00724"/>
    <w:rsid w:val="00D00912"/>
    <w:rsid w:val="00D00B91"/>
    <w:rsid w:val="00D00BBA"/>
    <w:rsid w:val="00D00E68"/>
    <w:rsid w:val="00D00FD3"/>
    <w:rsid w:val="00D0100B"/>
    <w:rsid w:val="00D0109E"/>
    <w:rsid w:val="00D011D8"/>
    <w:rsid w:val="00D0134B"/>
    <w:rsid w:val="00D0139B"/>
    <w:rsid w:val="00D014D7"/>
    <w:rsid w:val="00D0150B"/>
    <w:rsid w:val="00D015DD"/>
    <w:rsid w:val="00D015FC"/>
    <w:rsid w:val="00D01753"/>
    <w:rsid w:val="00D019EE"/>
    <w:rsid w:val="00D01A02"/>
    <w:rsid w:val="00D01A83"/>
    <w:rsid w:val="00D01B3A"/>
    <w:rsid w:val="00D01BCD"/>
    <w:rsid w:val="00D01C86"/>
    <w:rsid w:val="00D01CB7"/>
    <w:rsid w:val="00D02031"/>
    <w:rsid w:val="00D02057"/>
    <w:rsid w:val="00D02380"/>
    <w:rsid w:val="00D0248D"/>
    <w:rsid w:val="00D0250F"/>
    <w:rsid w:val="00D02654"/>
    <w:rsid w:val="00D028A3"/>
    <w:rsid w:val="00D028B6"/>
    <w:rsid w:val="00D02A51"/>
    <w:rsid w:val="00D02B3B"/>
    <w:rsid w:val="00D02CB7"/>
    <w:rsid w:val="00D02EAC"/>
    <w:rsid w:val="00D02ECE"/>
    <w:rsid w:val="00D0303E"/>
    <w:rsid w:val="00D0307D"/>
    <w:rsid w:val="00D0329A"/>
    <w:rsid w:val="00D03450"/>
    <w:rsid w:val="00D03548"/>
    <w:rsid w:val="00D03915"/>
    <w:rsid w:val="00D0391A"/>
    <w:rsid w:val="00D0393A"/>
    <w:rsid w:val="00D03AEB"/>
    <w:rsid w:val="00D03BA6"/>
    <w:rsid w:val="00D03C07"/>
    <w:rsid w:val="00D03CD0"/>
    <w:rsid w:val="00D03E7B"/>
    <w:rsid w:val="00D03ED0"/>
    <w:rsid w:val="00D03F62"/>
    <w:rsid w:val="00D0410C"/>
    <w:rsid w:val="00D041B2"/>
    <w:rsid w:val="00D04267"/>
    <w:rsid w:val="00D04505"/>
    <w:rsid w:val="00D0459D"/>
    <w:rsid w:val="00D0460A"/>
    <w:rsid w:val="00D0477F"/>
    <w:rsid w:val="00D047DA"/>
    <w:rsid w:val="00D048CF"/>
    <w:rsid w:val="00D049D8"/>
    <w:rsid w:val="00D049E8"/>
    <w:rsid w:val="00D04A3A"/>
    <w:rsid w:val="00D04ACF"/>
    <w:rsid w:val="00D04C59"/>
    <w:rsid w:val="00D04C64"/>
    <w:rsid w:val="00D04C76"/>
    <w:rsid w:val="00D0500E"/>
    <w:rsid w:val="00D0525E"/>
    <w:rsid w:val="00D057C9"/>
    <w:rsid w:val="00D059AC"/>
    <w:rsid w:val="00D05A7C"/>
    <w:rsid w:val="00D05AC6"/>
    <w:rsid w:val="00D05AD3"/>
    <w:rsid w:val="00D05AF1"/>
    <w:rsid w:val="00D05BF1"/>
    <w:rsid w:val="00D05C85"/>
    <w:rsid w:val="00D05D9F"/>
    <w:rsid w:val="00D05FE7"/>
    <w:rsid w:val="00D06003"/>
    <w:rsid w:val="00D06068"/>
    <w:rsid w:val="00D060C6"/>
    <w:rsid w:val="00D06189"/>
    <w:rsid w:val="00D0618F"/>
    <w:rsid w:val="00D063B5"/>
    <w:rsid w:val="00D063D3"/>
    <w:rsid w:val="00D0645F"/>
    <w:rsid w:val="00D064B9"/>
    <w:rsid w:val="00D064F1"/>
    <w:rsid w:val="00D065C6"/>
    <w:rsid w:val="00D0668E"/>
    <w:rsid w:val="00D06695"/>
    <w:rsid w:val="00D067AF"/>
    <w:rsid w:val="00D06901"/>
    <w:rsid w:val="00D0693D"/>
    <w:rsid w:val="00D069B6"/>
    <w:rsid w:val="00D06A52"/>
    <w:rsid w:val="00D06B9C"/>
    <w:rsid w:val="00D06C64"/>
    <w:rsid w:val="00D06D9D"/>
    <w:rsid w:val="00D06F28"/>
    <w:rsid w:val="00D06F5B"/>
    <w:rsid w:val="00D07073"/>
    <w:rsid w:val="00D070FF"/>
    <w:rsid w:val="00D0717E"/>
    <w:rsid w:val="00D071B4"/>
    <w:rsid w:val="00D07492"/>
    <w:rsid w:val="00D074A6"/>
    <w:rsid w:val="00D074B1"/>
    <w:rsid w:val="00D074D6"/>
    <w:rsid w:val="00D07917"/>
    <w:rsid w:val="00D07D2B"/>
    <w:rsid w:val="00D10018"/>
    <w:rsid w:val="00D102B6"/>
    <w:rsid w:val="00D102F7"/>
    <w:rsid w:val="00D106FE"/>
    <w:rsid w:val="00D107B2"/>
    <w:rsid w:val="00D107FF"/>
    <w:rsid w:val="00D10825"/>
    <w:rsid w:val="00D10853"/>
    <w:rsid w:val="00D1093D"/>
    <w:rsid w:val="00D10A58"/>
    <w:rsid w:val="00D10A7A"/>
    <w:rsid w:val="00D10F52"/>
    <w:rsid w:val="00D10FA9"/>
    <w:rsid w:val="00D10FE3"/>
    <w:rsid w:val="00D11017"/>
    <w:rsid w:val="00D11216"/>
    <w:rsid w:val="00D11297"/>
    <w:rsid w:val="00D116F5"/>
    <w:rsid w:val="00D11733"/>
    <w:rsid w:val="00D11925"/>
    <w:rsid w:val="00D11956"/>
    <w:rsid w:val="00D119A9"/>
    <w:rsid w:val="00D11A5A"/>
    <w:rsid w:val="00D11BF0"/>
    <w:rsid w:val="00D11C32"/>
    <w:rsid w:val="00D11D6E"/>
    <w:rsid w:val="00D11DAA"/>
    <w:rsid w:val="00D11F41"/>
    <w:rsid w:val="00D1229C"/>
    <w:rsid w:val="00D12367"/>
    <w:rsid w:val="00D12469"/>
    <w:rsid w:val="00D124D9"/>
    <w:rsid w:val="00D12647"/>
    <w:rsid w:val="00D1286A"/>
    <w:rsid w:val="00D12B0E"/>
    <w:rsid w:val="00D12C23"/>
    <w:rsid w:val="00D12C6D"/>
    <w:rsid w:val="00D12D6E"/>
    <w:rsid w:val="00D12D71"/>
    <w:rsid w:val="00D12DFB"/>
    <w:rsid w:val="00D12E02"/>
    <w:rsid w:val="00D13122"/>
    <w:rsid w:val="00D131F6"/>
    <w:rsid w:val="00D13396"/>
    <w:rsid w:val="00D134A4"/>
    <w:rsid w:val="00D134B9"/>
    <w:rsid w:val="00D135B4"/>
    <w:rsid w:val="00D1361C"/>
    <w:rsid w:val="00D137D0"/>
    <w:rsid w:val="00D137F3"/>
    <w:rsid w:val="00D13870"/>
    <w:rsid w:val="00D139F7"/>
    <w:rsid w:val="00D13A11"/>
    <w:rsid w:val="00D13A51"/>
    <w:rsid w:val="00D13EC1"/>
    <w:rsid w:val="00D13FB6"/>
    <w:rsid w:val="00D14240"/>
    <w:rsid w:val="00D1434A"/>
    <w:rsid w:val="00D14369"/>
    <w:rsid w:val="00D144E4"/>
    <w:rsid w:val="00D1457C"/>
    <w:rsid w:val="00D1461B"/>
    <w:rsid w:val="00D146C4"/>
    <w:rsid w:val="00D14767"/>
    <w:rsid w:val="00D14A3D"/>
    <w:rsid w:val="00D14CA3"/>
    <w:rsid w:val="00D14CBA"/>
    <w:rsid w:val="00D14D17"/>
    <w:rsid w:val="00D14E34"/>
    <w:rsid w:val="00D14EB2"/>
    <w:rsid w:val="00D153CD"/>
    <w:rsid w:val="00D15465"/>
    <w:rsid w:val="00D154E6"/>
    <w:rsid w:val="00D154FA"/>
    <w:rsid w:val="00D15796"/>
    <w:rsid w:val="00D157C3"/>
    <w:rsid w:val="00D15894"/>
    <w:rsid w:val="00D158D7"/>
    <w:rsid w:val="00D15A03"/>
    <w:rsid w:val="00D15E59"/>
    <w:rsid w:val="00D16030"/>
    <w:rsid w:val="00D16070"/>
    <w:rsid w:val="00D16322"/>
    <w:rsid w:val="00D16542"/>
    <w:rsid w:val="00D1662E"/>
    <w:rsid w:val="00D16652"/>
    <w:rsid w:val="00D16691"/>
    <w:rsid w:val="00D16764"/>
    <w:rsid w:val="00D167CE"/>
    <w:rsid w:val="00D16882"/>
    <w:rsid w:val="00D16886"/>
    <w:rsid w:val="00D16AEA"/>
    <w:rsid w:val="00D16B71"/>
    <w:rsid w:val="00D16C3F"/>
    <w:rsid w:val="00D16CA7"/>
    <w:rsid w:val="00D16EBC"/>
    <w:rsid w:val="00D16F08"/>
    <w:rsid w:val="00D1702F"/>
    <w:rsid w:val="00D173A3"/>
    <w:rsid w:val="00D17585"/>
    <w:rsid w:val="00D178D4"/>
    <w:rsid w:val="00D17BA9"/>
    <w:rsid w:val="00D17C54"/>
    <w:rsid w:val="00D17C89"/>
    <w:rsid w:val="00D17C9A"/>
    <w:rsid w:val="00D17D0E"/>
    <w:rsid w:val="00D17E1B"/>
    <w:rsid w:val="00D17EB9"/>
    <w:rsid w:val="00D17F58"/>
    <w:rsid w:val="00D17FD0"/>
    <w:rsid w:val="00D2003B"/>
    <w:rsid w:val="00D20053"/>
    <w:rsid w:val="00D2008C"/>
    <w:rsid w:val="00D204EF"/>
    <w:rsid w:val="00D204F8"/>
    <w:rsid w:val="00D20562"/>
    <w:rsid w:val="00D205CB"/>
    <w:rsid w:val="00D205F3"/>
    <w:rsid w:val="00D2066C"/>
    <w:rsid w:val="00D20955"/>
    <w:rsid w:val="00D20A4E"/>
    <w:rsid w:val="00D20F1C"/>
    <w:rsid w:val="00D20F86"/>
    <w:rsid w:val="00D2102A"/>
    <w:rsid w:val="00D21076"/>
    <w:rsid w:val="00D21170"/>
    <w:rsid w:val="00D212AD"/>
    <w:rsid w:val="00D212DB"/>
    <w:rsid w:val="00D2150C"/>
    <w:rsid w:val="00D21593"/>
    <w:rsid w:val="00D2184F"/>
    <w:rsid w:val="00D21851"/>
    <w:rsid w:val="00D2188E"/>
    <w:rsid w:val="00D218D5"/>
    <w:rsid w:val="00D21A09"/>
    <w:rsid w:val="00D21E45"/>
    <w:rsid w:val="00D21E55"/>
    <w:rsid w:val="00D21FC7"/>
    <w:rsid w:val="00D2201E"/>
    <w:rsid w:val="00D220B2"/>
    <w:rsid w:val="00D223BB"/>
    <w:rsid w:val="00D22431"/>
    <w:rsid w:val="00D2254D"/>
    <w:rsid w:val="00D225CA"/>
    <w:rsid w:val="00D22760"/>
    <w:rsid w:val="00D227B9"/>
    <w:rsid w:val="00D2297E"/>
    <w:rsid w:val="00D22A74"/>
    <w:rsid w:val="00D22B9B"/>
    <w:rsid w:val="00D22E36"/>
    <w:rsid w:val="00D22EA5"/>
    <w:rsid w:val="00D22F48"/>
    <w:rsid w:val="00D22FDC"/>
    <w:rsid w:val="00D2307C"/>
    <w:rsid w:val="00D23088"/>
    <w:rsid w:val="00D23152"/>
    <w:rsid w:val="00D23491"/>
    <w:rsid w:val="00D23532"/>
    <w:rsid w:val="00D23614"/>
    <w:rsid w:val="00D23667"/>
    <w:rsid w:val="00D23726"/>
    <w:rsid w:val="00D2373A"/>
    <w:rsid w:val="00D2379D"/>
    <w:rsid w:val="00D237CB"/>
    <w:rsid w:val="00D23870"/>
    <w:rsid w:val="00D23AB9"/>
    <w:rsid w:val="00D23D27"/>
    <w:rsid w:val="00D23DA4"/>
    <w:rsid w:val="00D23E90"/>
    <w:rsid w:val="00D240BC"/>
    <w:rsid w:val="00D241EE"/>
    <w:rsid w:val="00D242D7"/>
    <w:rsid w:val="00D24371"/>
    <w:rsid w:val="00D2439C"/>
    <w:rsid w:val="00D244EF"/>
    <w:rsid w:val="00D245D3"/>
    <w:rsid w:val="00D246E3"/>
    <w:rsid w:val="00D248BB"/>
    <w:rsid w:val="00D24A4C"/>
    <w:rsid w:val="00D24AB3"/>
    <w:rsid w:val="00D24AF5"/>
    <w:rsid w:val="00D24B16"/>
    <w:rsid w:val="00D24B78"/>
    <w:rsid w:val="00D24E76"/>
    <w:rsid w:val="00D24F6D"/>
    <w:rsid w:val="00D2503D"/>
    <w:rsid w:val="00D254E0"/>
    <w:rsid w:val="00D255CE"/>
    <w:rsid w:val="00D255E7"/>
    <w:rsid w:val="00D25730"/>
    <w:rsid w:val="00D25816"/>
    <w:rsid w:val="00D2582B"/>
    <w:rsid w:val="00D25AF7"/>
    <w:rsid w:val="00D25AFB"/>
    <w:rsid w:val="00D25B3A"/>
    <w:rsid w:val="00D25B4C"/>
    <w:rsid w:val="00D25BBC"/>
    <w:rsid w:val="00D25C91"/>
    <w:rsid w:val="00D25D76"/>
    <w:rsid w:val="00D26085"/>
    <w:rsid w:val="00D26096"/>
    <w:rsid w:val="00D261CB"/>
    <w:rsid w:val="00D26308"/>
    <w:rsid w:val="00D2639E"/>
    <w:rsid w:val="00D2668B"/>
    <w:rsid w:val="00D26783"/>
    <w:rsid w:val="00D26CCB"/>
    <w:rsid w:val="00D26FA2"/>
    <w:rsid w:val="00D27233"/>
    <w:rsid w:val="00D274BC"/>
    <w:rsid w:val="00D2767D"/>
    <w:rsid w:val="00D276E1"/>
    <w:rsid w:val="00D277C7"/>
    <w:rsid w:val="00D2784B"/>
    <w:rsid w:val="00D279F1"/>
    <w:rsid w:val="00D27A16"/>
    <w:rsid w:val="00D27D3A"/>
    <w:rsid w:val="00D27E2A"/>
    <w:rsid w:val="00D27E60"/>
    <w:rsid w:val="00D27EDC"/>
    <w:rsid w:val="00D27EEE"/>
    <w:rsid w:val="00D27FF8"/>
    <w:rsid w:val="00D3002D"/>
    <w:rsid w:val="00D302F8"/>
    <w:rsid w:val="00D305B6"/>
    <w:rsid w:val="00D305BF"/>
    <w:rsid w:val="00D30665"/>
    <w:rsid w:val="00D3073A"/>
    <w:rsid w:val="00D30791"/>
    <w:rsid w:val="00D308E2"/>
    <w:rsid w:val="00D309C0"/>
    <w:rsid w:val="00D30EB5"/>
    <w:rsid w:val="00D30F67"/>
    <w:rsid w:val="00D30FE4"/>
    <w:rsid w:val="00D311AD"/>
    <w:rsid w:val="00D311AF"/>
    <w:rsid w:val="00D3146F"/>
    <w:rsid w:val="00D3179A"/>
    <w:rsid w:val="00D31909"/>
    <w:rsid w:val="00D3195C"/>
    <w:rsid w:val="00D31A0B"/>
    <w:rsid w:val="00D31A5F"/>
    <w:rsid w:val="00D31B3D"/>
    <w:rsid w:val="00D31E39"/>
    <w:rsid w:val="00D31EF4"/>
    <w:rsid w:val="00D3217A"/>
    <w:rsid w:val="00D321D1"/>
    <w:rsid w:val="00D322C3"/>
    <w:rsid w:val="00D3267A"/>
    <w:rsid w:val="00D327BE"/>
    <w:rsid w:val="00D327E8"/>
    <w:rsid w:val="00D3282F"/>
    <w:rsid w:val="00D328F5"/>
    <w:rsid w:val="00D32B4B"/>
    <w:rsid w:val="00D32B8B"/>
    <w:rsid w:val="00D32D85"/>
    <w:rsid w:val="00D32F77"/>
    <w:rsid w:val="00D32FEA"/>
    <w:rsid w:val="00D3306C"/>
    <w:rsid w:val="00D330D9"/>
    <w:rsid w:val="00D332EF"/>
    <w:rsid w:val="00D333B9"/>
    <w:rsid w:val="00D333C9"/>
    <w:rsid w:val="00D335BC"/>
    <w:rsid w:val="00D3367A"/>
    <w:rsid w:val="00D337F7"/>
    <w:rsid w:val="00D33BBC"/>
    <w:rsid w:val="00D33BC5"/>
    <w:rsid w:val="00D33C5E"/>
    <w:rsid w:val="00D340F9"/>
    <w:rsid w:val="00D34113"/>
    <w:rsid w:val="00D34185"/>
    <w:rsid w:val="00D34191"/>
    <w:rsid w:val="00D341CF"/>
    <w:rsid w:val="00D34289"/>
    <w:rsid w:val="00D34406"/>
    <w:rsid w:val="00D344A5"/>
    <w:rsid w:val="00D34712"/>
    <w:rsid w:val="00D3486C"/>
    <w:rsid w:val="00D34A23"/>
    <w:rsid w:val="00D34B81"/>
    <w:rsid w:val="00D34BF4"/>
    <w:rsid w:val="00D34C0F"/>
    <w:rsid w:val="00D34C38"/>
    <w:rsid w:val="00D34D5E"/>
    <w:rsid w:val="00D34DAA"/>
    <w:rsid w:val="00D34E5F"/>
    <w:rsid w:val="00D35021"/>
    <w:rsid w:val="00D3509F"/>
    <w:rsid w:val="00D3516D"/>
    <w:rsid w:val="00D3524E"/>
    <w:rsid w:val="00D3536A"/>
    <w:rsid w:val="00D3548F"/>
    <w:rsid w:val="00D3555F"/>
    <w:rsid w:val="00D3559F"/>
    <w:rsid w:val="00D35685"/>
    <w:rsid w:val="00D356F5"/>
    <w:rsid w:val="00D35820"/>
    <w:rsid w:val="00D35895"/>
    <w:rsid w:val="00D35B78"/>
    <w:rsid w:val="00D35BEE"/>
    <w:rsid w:val="00D35C8A"/>
    <w:rsid w:val="00D35E7B"/>
    <w:rsid w:val="00D35F22"/>
    <w:rsid w:val="00D35F84"/>
    <w:rsid w:val="00D3624D"/>
    <w:rsid w:val="00D3630A"/>
    <w:rsid w:val="00D3658C"/>
    <w:rsid w:val="00D3663B"/>
    <w:rsid w:val="00D3669A"/>
    <w:rsid w:val="00D36712"/>
    <w:rsid w:val="00D3676C"/>
    <w:rsid w:val="00D3690B"/>
    <w:rsid w:val="00D36926"/>
    <w:rsid w:val="00D369A5"/>
    <w:rsid w:val="00D369A9"/>
    <w:rsid w:val="00D36AE3"/>
    <w:rsid w:val="00D36B27"/>
    <w:rsid w:val="00D36C06"/>
    <w:rsid w:val="00D36F89"/>
    <w:rsid w:val="00D3705F"/>
    <w:rsid w:val="00D370D6"/>
    <w:rsid w:val="00D370EB"/>
    <w:rsid w:val="00D372C0"/>
    <w:rsid w:val="00D37398"/>
    <w:rsid w:val="00D373A0"/>
    <w:rsid w:val="00D37555"/>
    <w:rsid w:val="00D37719"/>
    <w:rsid w:val="00D37759"/>
    <w:rsid w:val="00D377A2"/>
    <w:rsid w:val="00D378B9"/>
    <w:rsid w:val="00D378D5"/>
    <w:rsid w:val="00D379A7"/>
    <w:rsid w:val="00D37AF2"/>
    <w:rsid w:val="00D37B3C"/>
    <w:rsid w:val="00D37CF9"/>
    <w:rsid w:val="00D37F05"/>
    <w:rsid w:val="00D4021B"/>
    <w:rsid w:val="00D402EE"/>
    <w:rsid w:val="00D40415"/>
    <w:rsid w:val="00D40444"/>
    <w:rsid w:val="00D40486"/>
    <w:rsid w:val="00D404AD"/>
    <w:rsid w:val="00D404D2"/>
    <w:rsid w:val="00D40520"/>
    <w:rsid w:val="00D40703"/>
    <w:rsid w:val="00D40781"/>
    <w:rsid w:val="00D407B4"/>
    <w:rsid w:val="00D40921"/>
    <w:rsid w:val="00D40992"/>
    <w:rsid w:val="00D40B43"/>
    <w:rsid w:val="00D40C92"/>
    <w:rsid w:val="00D40D57"/>
    <w:rsid w:val="00D40FB6"/>
    <w:rsid w:val="00D40FF4"/>
    <w:rsid w:val="00D4177B"/>
    <w:rsid w:val="00D41833"/>
    <w:rsid w:val="00D41964"/>
    <w:rsid w:val="00D41C2A"/>
    <w:rsid w:val="00D41D41"/>
    <w:rsid w:val="00D41DC3"/>
    <w:rsid w:val="00D41DD5"/>
    <w:rsid w:val="00D41E60"/>
    <w:rsid w:val="00D420B0"/>
    <w:rsid w:val="00D42118"/>
    <w:rsid w:val="00D422A6"/>
    <w:rsid w:val="00D422D1"/>
    <w:rsid w:val="00D422FD"/>
    <w:rsid w:val="00D42351"/>
    <w:rsid w:val="00D42508"/>
    <w:rsid w:val="00D427A2"/>
    <w:rsid w:val="00D42938"/>
    <w:rsid w:val="00D42960"/>
    <w:rsid w:val="00D42E0C"/>
    <w:rsid w:val="00D42EB8"/>
    <w:rsid w:val="00D42F12"/>
    <w:rsid w:val="00D42F45"/>
    <w:rsid w:val="00D42FEA"/>
    <w:rsid w:val="00D42FF9"/>
    <w:rsid w:val="00D43333"/>
    <w:rsid w:val="00D4335F"/>
    <w:rsid w:val="00D4340F"/>
    <w:rsid w:val="00D43477"/>
    <w:rsid w:val="00D435E3"/>
    <w:rsid w:val="00D43ADC"/>
    <w:rsid w:val="00D43B66"/>
    <w:rsid w:val="00D43E33"/>
    <w:rsid w:val="00D43ED4"/>
    <w:rsid w:val="00D43EF6"/>
    <w:rsid w:val="00D43F2D"/>
    <w:rsid w:val="00D43FCB"/>
    <w:rsid w:val="00D44066"/>
    <w:rsid w:val="00D442A6"/>
    <w:rsid w:val="00D44371"/>
    <w:rsid w:val="00D444E1"/>
    <w:rsid w:val="00D446F4"/>
    <w:rsid w:val="00D44838"/>
    <w:rsid w:val="00D4489D"/>
    <w:rsid w:val="00D448A4"/>
    <w:rsid w:val="00D4492F"/>
    <w:rsid w:val="00D44965"/>
    <w:rsid w:val="00D44B8C"/>
    <w:rsid w:val="00D44DFC"/>
    <w:rsid w:val="00D44F08"/>
    <w:rsid w:val="00D45030"/>
    <w:rsid w:val="00D451A4"/>
    <w:rsid w:val="00D45360"/>
    <w:rsid w:val="00D45754"/>
    <w:rsid w:val="00D457CE"/>
    <w:rsid w:val="00D45958"/>
    <w:rsid w:val="00D45A04"/>
    <w:rsid w:val="00D45C5E"/>
    <w:rsid w:val="00D45E15"/>
    <w:rsid w:val="00D45F89"/>
    <w:rsid w:val="00D46202"/>
    <w:rsid w:val="00D465A7"/>
    <w:rsid w:val="00D4660A"/>
    <w:rsid w:val="00D4664D"/>
    <w:rsid w:val="00D46669"/>
    <w:rsid w:val="00D4666B"/>
    <w:rsid w:val="00D467CC"/>
    <w:rsid w:val="00D468EE"/>
    <w:rsid w:val="00D46937"/>
    <w:rsid w:val="00D469E6"/>
    <w:rsid w:val="00D46A50"/>
    <w:rsid w:val="00D46CDF"/>
    <w:rsid w:val="00D46D7A"/>
    <w:rsid w:val="00D46E0C"/>
    <w:rsid w:val="00D46E4F"/>
    <w:rsid w:val="00D46E7D"/>
    <w:rsid w:val="00D46EEE"/>
    <w:rsid w:val="00D46F1F"/>
    <w:rsid w:val="00D46FE6"/>
    <w:rsid w:val="00D46FF9"/>
    <w:rsid w:val="00D47091"/>
    <w:rsid w:val="00D4721C"/>
    <w:rsid w:val="00D4722C"/>
    <w:rsid w:val="00D47425"/>
    <w:rsid w:val="00D474FF"/>
    <w:rsid w:val="00D475E7"/>
    <w:rsid w:val="00D47604"/>
    <w:rsid w:val="00D47778"/>
    <w:rsid w:val="00D47944"/>
    <w:rsid w:val="00D47AF3"/>
    <w:rsid w:val="00D47B48"/>
    <w:rsid w:val="00D47B5D"/>
    <w:rsid w:val="00D47C51"/>
    <w:rsid w:val="00D47C76"/>
    <w:rsid w:val="00D47D81"/>
    <w:rsid w:val="00D47E39"/>
    <w:rsid w:val="00D47F48"/>
    <w:rsid w:val="00D50025"/>
    <w:rsid w:val="00D5026A"/>
    <w:rsid w:val="00D502FC"/>
    <w:rsid w:val="00D50570"/>
    <w:rsid w:val="00D5057D"/>
    <w:rsid w:val="00D50829"/>
    <w:rsid w:val="00D50844"/>
    <w:rsid w:val="00D50894"/>
    <w:rsid w:val="00D508B5"/>
    <w:rsid w:val="00D50B12"/>
    <w:rsid w:val="00D50B13"/>
    <w:rsid w:val="00D50BAB"/>
    <w:rsid w:val="00D50CA0"/>
    <w:rsid w:val="00D50CBF"/>
    <w:rsid w:val="00D50D7A"/>
    <w:rsid w:val="00D50F7C"/>
    <w:rsid w:val="00D510C1"/>
    <w:rsid w:val="00D511C5"/>
    <w:rsid w:val="00D5138A"/>
    <w:rsid w:val="00D513BB"/>
    <w:rsid w:val="00D5151B"/>
    <w:rsid w:val="00D5156B"/>
    <w:rsid w:val="00D51576"/>
    <w:rsid w:val="00D515FD"/>
    <w:rsid w:val="00D51930"/>
    <w:rsid w:val="00D51989"/>
    <w:rsid w:val="00D51A72"/>
    <w:rsid w:val="00D51A82"/>
    <w:rsid w:val="00D51AC2"/>
    <w:rsid w:val="00D51ADA"/>
    <w:rsid w:val="00D51AFA"/>
    <w:rsid w:val="00D51C09"/>
    <w:rsid w:val="00D51C3D"/>
    <w:rsid w:val="00D51C89"/>
    <w:rsid w:val="00D51DAC"/>
    <w:rsid w:val="00D51DBB"/>
    <w:rsid w:val="00D51E55"/>
    <w:rsid w:val="00D51FED"/>
    <w:rsid w:val="00D52148"/>
    <w:rsid w:val="00D521E2"/>
    <w:rsid w:val="00D5233B"/>
    <w:rsid w:val="00D52424"/>
    <w:rsid w:val="00D5242B"/>
    <w:rsid w:val="00D52447"/>
    <w:rsid w:val="00D5255E"/>
    <w:rsid w:val="00D5286C"/>
    <w:rsid w:val="00D52B5D"/>
    <w:rsid w:val="00D52C19"/>
    <w:rsid w:val="00D52DDD"/>
    <w:rsid w:val="00D52E47"/>
    <w:rsid w:val="00D52EB0"/>
    <w:rsid w:val="00D52F72"/>
    <w:rsid w:val="00D530BA"/>
    <w:rsid w:val="00D53145"/>
    <w:rsid w:val="00D5323D"/>
    <w:rsid w:val="00D532DB"/>
    <w:rsid w:val="00D533D4"/>
    <w:rsid w:val="00D53479"/>
    <w:rsid w:val="00D534F8"/>
    <w:rsid w:val="00D535AD"/>
    <w:rsid w:val="00D536E2"/>
    <w:rsid w:val="00D537B3"/>
    <w:rsid w:val="00D539E3"/>
    <w:rsid w:val="00D53AD4"/>
    <w:rsid w:val="00D53B11"/>
    <w:rsid w:val="00D53C77"/>
    <w:rsid w:val="00D53CC4"/>
    <w:rsid w:val="00D53D48"/>
    <w:rsid w:val="00D53D6F"/>
    <w:rsid w:val="00D53F0F"/>
    <w:rsid w:val="00D53F31"/>
    <w:rsid w:val="00D5401F"/>
    <w:rsid w:val="00D5410B"/>
    <w:rsid w:val="00D54185"/>
    <w:rsid w:val="00D54330"/>
    <w:rsid w:val="00D543D1"/>
    <w:rsid w:val="00D543D5"/>
    <w:rsid w:val="00D54685"/>
    <w:rsid w:val="00D54709"/>
    <w:rsid w:val="00D54AC0"/>
    <w:rsid w:val="00D54C2A"/>
    <w:rsid w:val="00D54C37"/>
    <w:rsid w:val="00D54C49"/>
    <w:rsid w:val="00D54CA3"/>
    <w:rsid w:val="00D54CB4"/>
    <w:rsid w:val="00D54D0E"/>
    <w:rsid w:val="00D54E54"/>
    <w:rsid w:val="00D5505C"/>
    <w:rsid w:val="00D552BF"/>
    <w:rsid w:val="00D555AB"/>
    <w:rsid w:val="00D556B2"/>
    <w:rsid w:val="00D557AA"/>
    <w:rsid w:val="00D557C8"/>
    <w:rsid w:val="00D5583D"/>
    <w:rsid w:val="00D55897"/>
    <w:rsid w:val="00D559E0"/>
    <w:rsid w:val="00D55AA0"/>
    <w:rsid w:val="00D55AD5"/>
    <w:rsid w:val="00D55B53"/>
    <w:rsid w:val="00D55DFC"/>
    <w:rsid w:val="00D55F50"/>
    <w:rsid w:val="00D561CD"/>
    <w:rsid w:val="00D562DD"/>
    <w:rsid w:val="00D563AC"/>
    <w:rsid w:val="00D56524"/>
    <w:rsid w:val="00D56582"/>
    <w:rsid w:val="00D566B5"/>
    <w:rsid w:val="00D56728"/>
    <w:rsid w:val="00D56742"/>
    <w:rsid w:val="00D5688E"/>
    <w:rsid w:val="00D56944"/>
    <w:rsid w:val="00D5697B"/>
    <w:rsid w:val="00D56995"/>
    <w:rsid w:val="00D56B5F"/>
    <w:rsid w:val="00D56BF6"/>
    <w:rsid w:val="00D5743B"/>
    <w:rsid w:val="00D574D3"/>
    <w:rsid w:val="00D57521"/>
    <w:rsid w:val="00D57780"/>
    <w:rsid w:val="00D5792B"/>
    <w:rsid w:val="00D579C8"/>
    <w:rsid w:val="00D579CA"/>
    <w:rsid w:val="00D579FD"/>
    <w:rsid w:val="00D57A8A"/>
    <w:rsid w:val="00D57C02"/>
    <w:rsid w:val="00D60093"/>
    <w:rsid w:val="00D600E0"/>
    <w:rsid w:val="00D60199"/>
    <w:rsid w:val="00D602E7"/>
    <w:rsid w:val="00D602F4"/>
    <w:rsid w:val="00D604AF"/>
    <w:rsid w:val="00D60856"/>
    <w:rsid w:val="00D60CD4"/>
    <w:rsid w:val="00D60D63"/>
    <w:rsid w:val="00D60E97"/>
    <w:rsid w:val="00D60E98"/>
    <w:rsid w:val="00D61121"/>
    <w:rsid w:val="00D614BB"/>
    <w:rsid w:val="00D61526"/>
    <w:rsid w:val="00D6153E"/>
    <w:rsid w:val="00D61744"/>
    <w:rsid w:val="00D617D0"/>
    <w:rsid w:val="00D6184C"/>
    <w:rsid w:val="00D61AFB"/>
    <w:rsid w:val="00D61C4D"/>
    <w:rsid w:val="00D61EE2"/>
    <w:rsid w:val="00D62095"/>
    <w:rsid w:val="00D62119"/>
    <w:rsid w:val="00D6229B"/>
    <w:rsid w:val="00D622E5"/>
    <w:rsid w:val="00D622F3"/>
    <w:rsid w:val="00D623BF"/>
    <w:rsid w:val="00D6250E"/>
    <w:rsid w:val="00D62536"/>
    <w:rsid w:val="00D62547"/>
    <w:rsid w:val="00D62552"/>
    <w:rsid w:val="00D625DC"/>
    <w:rsid w:val="00D626A3"/>
    <w:rsid w:val="00D6294C"/>
    <w:rsid w:val="00D629E8"/>
    <w:rsid w:val="00D62AEB"/>
    <w:rsid w:val="00D62DDC"/>
    <w:rsid w:val="00D62EBB"/>
    <w:rsid w:val="00D62F47"/>
    <w:rsid w:val="00D630C7"/>
    <w:rsid w:val="00D63102"/>
    <w:rsid w:val="00D63373"/>
    <w:rsid w:val="00D635E5"/>
    <w:rsid w:val="00D63611"/>
    <w:rsid w:val="00D63631"/>
    <w:rsid w:val="00D6365C"/>
    <w:rsid w:val="00D63795"/>
    <w:rsid w:val="00D637D9"/>
    <w:rsid w:val="00D63834"/>
    <w:rsid w:val="00D63889"/>
    <w:rsid w:val="00D63907"/>
    <w:rsid w:val="00D63954"/>
    <w:rsid w:val="00D63D7E"/>
    <w:rsid w:val="00D63E14"/>
    <w:rsid w:val="00D63E6A"/>
    <w:rsid w:val="00D63FF5"/>
    <w:rsid w:val="00D64002"/>
    <w:rsid w:val="00D64005"/>
    <w:rsid w:val="00D64038"/>
    <w:rsid w:val="00D641A8"/>
    <w:rsid w:val="00D641DB"/>
    <w:rsid w:val="00D642BD"/>
    <w:rsid w:val="00D64678"/>
    <w:rsid w:val="00D646D6"/>
    <w:rsid w:val="00D646FA"/>
    <w:rsid w:val="00D6477D"/>
    <w:rsid w:val="00D64AA5"/>
    <w:rsid w:val="00D64B2E"/>
    <w:rsid w:val="00D64B9C"/>
    <w:rsid w:val="00D64BCF"/>
    <w:rsid w:val="00D64E37"/>
    <w:rsid w:val="00D64F45"/>
    <w:rsid w:val="00D651A9"/>
    <w:rsid w:val="00D651CD"/>
    <w:rsid w:val="00D651E4"/>
    <w:rsid w:val="00D65336"/>
    <w:rsid w:val="00D653DF"/>
    <w:rsid w:val="00D65449"/>
    <w:rsid w:val="00D6555F"/>
    <w:rsid w:val="00D65814"/>
    <w:rsid w:val="00D65908"/>
    <w:rsid w:val="00D65969"/>
    <w:rsid w:val="00D659A4"/>
    <w:rsid w:val="00D65ABF"/>
    <w:rsid w:val="00D65C68"/>
    <w:rsid w:val="00D65E6B"/>
    <w:rsid w:val="00D65E8F"/>
    <w:rsid w:val="00D6603A"/>
    <w:rsid w:val="00D660D0"/>
    <w:rsid w:val="00D66327"/>
    <w:rsid w:val="00D66623"/>
    <w:rsid w:val="00D666E1"/>
    <w:rsid w:val="00D66858"/>
    <w:rsid w:val="00D66AEA"/>
    <w:rsid w:val="00D66C85"/>
    <w:rsid w:val="00D6703D"/>
    <w:rsid w:val="00D670C3"/>
    <w:rsid w:val="00D67104"/>
    <w:rsid w:val="00D674E4"/>
    <w:rsid w:val="00D675B9"/>
    <w:rsid w:val="00D675D0"/>
    <w:rsid w:val="00D67762"/>
    <w:rsid w:val="00D6778B"/>
    <w:rsid w:val="00D67929"/>
    <w:rsid w:val="00D67976"/>
    <w:rsid w:val="00D67A9F"/>
    <w:rsid w:val="00D67B30"/>
    <w:rsid w:val="00D67E7C"/>
    <w:rsid w:val="00D70036"/>
    <w:rsid w:val="00D700A7"/>
    <w:rsid w:val="00D700CE"/>
    <w:rsid w:val="00D70292"/>
    <w:rsid w:val="00D70327"/>
    <w:rsid w:val="00D70528"/>
    <w:rsid w:val="00D7079A"/>
    <w:rsid w:val="00D707E3"/>
    <w:rsid w:val="00D70A11"/>
    <w:rsid w:val="00D70A47"/>
    <w:rsid w:val="00D70BB0"/>
    <w:rsid w:val="00D70DD9"/>
    <w:rsid w:val="00D70F39"/>
    <w:rsid w:val="00D70F46"/>
    <w:rsid w:val="00D713CA"/>
    <w:rsid w:val="00D714B1"/>
    <w:rsid w:val="00D714CF"/>
    <w:rsid w:val="00D7156B"/>
    <w:rsid w:val="00D715D7"/>
    <w:rsid w:val="00D71612"/>
    <w:rsid w:val="00D717BE"/>
    <w:rsid w:val="00D71ACE"/>
    <w:rsid w:val="00D71BC9"/>
    <w:rsid w:val="00D71C48"/>
    <w:rsid w:val="00D71DD3"/>
    <w:rsid w:val="00D71E4A"/>
    <w:rsid w:val="00D71E7D"/>
    <w:rsid w:val="00D71EE1"/>
    <w:rsid w:val="00D71EF4"/>
    <w:rsid w:val="00D71F7B"/>
    <w:rsid w:val="00D71FF3"/>
    <w:rsid w:val="00D722FC"/>
    <w:rsid w:val="00D724ED"/>
    <w:rsid w:val="00D726A3"/>
    <w:rsid w:val="00D726F7"/>
    <w:rsid w:val="00D728D1"/>
    <w:rsid w:val="00D72BED"/>
    <w:rsid w:val="00D72CE3"/>
    <w:rsid w:val="00D72F17"/>
    <w:rsid w:val="00D73238"/>
    <w:rsid w:val="00D73246"/>
    <w:rsid w:val="00D73273"/>
    <w:rsid w:val="00D7332C"/>
    <w:rsid w:val="00D733A9"/>
    <w:rsid w:val="00D734FC"/>
    <w:rsid w:val="00D735E3"/>
    <w:rsid w:val="00D736A6"/>
    <w:rsid w:val="00D73888"/>
    <w:rsid w:val="00D73A7D"/>
    <w:rsid w:val="00D73AB9"/>
    <w:rsid w:val="00D73B6E"/>
    <w:rsid w:val="00D73DC0"/>
    <w:rsid w:val="00D73E4B"/>
    <w:rsid w:val="00D73E77"/>
    <w:rsid w:val="00D73F68"/>
    <w:rsid w:val="00D73F8C"/>
    <w:rsid w:val="00D74206"/>
    <w:rsid w:val="00D742A2"/>
    <w:rsid w:val="00D7433F"/>
    <w:rsid w:val="00D7435A"/>
    <w:rsid w:val="00D74360"/>
    <w:rsid w:val="00D74546"/>
    <w:rsid w:val="00D745C6"/>
    <w:rsid w:val="00D746F4"/>
    <w:rsid w:val="00D74A25"/>
    <w:rsid w:val="00D74B5D"/>
    <w:rsid w:val="00D74C4F"/>
    <w:rsid w:val="00D74D03"/>
    <w:rsid w:val="00D74D59"/>
    <w:rsid w:val="00D74DE3"/>
    <w:rsid w:val="00D74EFC"/>
    <w:rsid w:val="00D74F53"/>
    <w:rsid w:val="00D74F83"/>
    <w:rsid w:val="00D750FB"/>
    <w:rsid w:val="00D7511F"/>
    <w:rsid w:val="00D75286"/>
    <w:rsid w:val="00D75572"/>
    <w:rsid w:val="00D75646"/>
    <w:rsid w:val="00D75751"/>
    <w:rsid w:val="00D758B7"/>
    <w:rsid w:val="00D75942"/>
    <w:rsid w:val="00D75A22"/>
    <w:rsid w:val="00D75AC1"/>
    <w:rsid w:val="00D75BC1"/>
    <w:rsid w:val="00D75D07"/>
    <w:rsid w:val="00D75E21"/>
    <w:rsid w:val="00D760C6"/>
    <w:rsid w:val="00D760F3"/>
    <w:rsid w:val="00D761A4"/>
    <w:rsid w:val="00D76401"/>
    <w:rsid w:val="00D76516"/>
    <w:rsid w:val="00D765DA"/>
    <w:rsid w:val="00D76A0F"/>
    <w:rsid w:val="00D76A4B"/>
    <w:rsid w:val="00D76D10"/>
    <w:rsid w:val="00D76FC0"/>
    <w:rsid w:val="00D77124"/>
    <w:rsid w:val="00D7721C"/>
    <w:rsid w:val="00D7731D"/>
    <w:rsid w:val="00D773A3"/>
    <w:rsid w:val="00D773BC"/>
    <w:rsid w:val="00D77471"/>
    <w:rsid w:val="00D774F5"/>
    <w:rsid w:val="00D775A5"/>
    <w:rsid w:val="00D775BD"/>
    <w:rsid w:val="00D775C6"/>
    <w:rsid w:val="00D775EF"/>
    <w:rsid w:val="00D775F3"/>
    <w:rsid w:val="00D776D7"/>
    <w:rsid w:val="00D777EA"/>
    <w:rsid w:val="00D77B45"/>
    <w:rsid w:val="00D77C8B"/>
    <w:rsid w:val="00D77CBC"/>
    <w:rsid w:val="00D77D48"/>
    <w:rsid w:val="00D77DCA"/>
    <w:rsid w:val="00D77DEF"/>
    <w:rsid w:val="00D77EF7"/>
    <w:rsid w:val="00D77FBF"/>
    <w:rsid w:val="00D801C2"/>
    <w:rsid w:val="00D801F6"/>
    <w:rsid w:val="00D803E9"/>
    <w:rsid w:val="00D8046B"/>
    <w:rsid w:val="00D80792"/>
    <w:rsid w:val="00D807C0"/>
    <w:rsid w:val="00D808D9"/>
    <w:rsid w:val="00D80BD2"/>
    <w:rsid w:val="00D80C59"/>
    <w:rsid w:val="00D80D23"/>
    <w:rsid w:val="00D80E56"/>
    <w:rsid w:val="00D810DD"/>
    <w:rsid w:val="00D81113"/>
    <w:rsid w:val="00D812E0"/>
    <w:rsid w:val="00D81446"/>
    <w:rsid w:val="00D8144F"/>
    <w:rsid w:val="00D8152D"/>
    <w:rsid w:val="00D815D2"/>
    <w:rsid w:val="00D8162C"/>
    <w:rsid w:val="00D8172F"/>
    <w:rsid w:val="00D8186C"/>
    <w:rsid w:val="00D818ED"/>
    <w:rsid w:val="00D81A4B"/>
    <w:rsid w:val="00D81C25"/>
    <w:rsid w:val="00D81CF9"/>
    <w:rsid w:val="00D81D63"/>
    <w:rsid w:val="00D81D66"/>
    <w:rsid w:val="00D820DC"/>
    <w:rsid w:val="00D8211D"/>
    <w:rsid w:val="00D8218B"/>
    <w:rsid w:val="00D823F0"/>
    <w:rsid w:val="00D82755"/>
    <w:rsid w:val="00D82772"/>
    <w:rsid w:val="00D82923"/>
    <w:rsid w:val="00D82A8C"/>
    <w:rsid w:val="00D82AE0"/>
    <w:rsid w:val="00D82C16"/>
    <w:rsid w:val="00D82F9F"/>
    <w:rsid w:val="00D82FD0"/>
    <w:rsid w:val="00D8303A"/>
    <w:rsid w:val="00D833EE"/>
    <w:rsid w:val="00D8341C"/>
    <w:rsid w:val="00D8345A"/>
    <w:rsid w:val="00D83495"/>
    <w:rsid w:val="00D83575"/>
    <w:rsid w:val="00D835B2"/>
    <w:rsid w:val="00D8364E"/>
    <w:rsid w:val="00D8365F"/>
    <w:rsid w:val="00D83775"/>
    <w:rsid w:val="00D837C7"/>
    <w:rsid w:val="00D83871"/>
    <w:rsid w:val="00D839D1"/>
    <w:rsid w:val="00D83CD9"/>
    <w:rsid w:val="00D83CE2"/>
    <w:rsid w:val="00D83D06"/>
    <w:rsid w:val="00D8402A"/>
    <w:rsid w:val="00D84162"/>
    <w:rsid w:val="00D84212"/>
    <w:rsid w:val="00D84230"/>
    <w:rsid w:val="00D84558"/>
    <w:rsid w:val="00D84650"/>
    <w:rsid w:val="00D8483C"/>
    <w:rsid w:val="00D8498C"/>
    <w:rsid w:val="00D84A49"/>
    <w:rsid w:val="00D84C7D"/>
    <w:rsid w:val="00D84DAB"/>
    <w:rsid w:val="00D84DDF"/>
    <w:rsid w:val="00D84EDF"/>
    <w:rsid w:val="00D85214"/>
    <w:rsid w:val="00D8527B"/>
    <w:rsid w:val="00D85293"/>
    <w:rsid w:val="00D8533C"/>
    <w:rsid w:val="00D853BA"/>
    <w:rsid w:val="00D8545F"/>
    <w:rsid w:val="00D8583A"/>
    <w:rsid w:val="00D85869"/>
    <w:rsid w:val="00D85A30"/>
    <w:rsid w:val="00D85BC3"/>
    <w:rsid w:val="00D85D5A"/>
    <w:rsid w:val="00D85DAB"/>
    <w:rsid w:val="00D85F4C"/>
    <w:rsid w:val="00D85F90"/>
    <w:rsid w:val="00D86044"/>
    <w:rsid w:val="00D86124"/>
    <w:rsid w:val="00D861A8"/>
    <w:rsid w:val="00D864CC"/>
    <w:rsid w:val="00D86526"/>
    <w:rsid w:val="00D865E2"/>
    <w:rsid w:val="00D86A35"/>
    <w:rsid w:val="00D86B1C"/>
    <w:rsid w:val="00D86BFF"/>
    <w:rsid w:val="00D86C9A"/>
    <w:rsid w:val="00D86D44"/>
    <w:rsid w:val="00D86FBF"/>
    <w:rsid w:val="00D870F2"/>
    <w:rsid w:val="00D871A3"/>
    <w:rsid w:val="00D871C4"/>
    <w:rsid w:val="00D87262"/>
    <w:rsid w:val="00D87289"/>
    <w:rsid w:val="00D87639"/>
    <w:rsid w:val="00D90008"/>
    <w:rsid w:val="00D9003A"/>
    <w:rsid w:val="00D900E1"/>
    <w:rsid w:val="00D9031D"/>
    <w:rsid w:val="00D903CE"/>
    <w:rsid w:val="00D906AA"/>
    <w:rsid w:val="00D9070C"/>
    <w:rsid w:val="00D9081B"/>
    <w:rsid w:val="00D909F6"/>
    <w:rsid w:val="00D90B2F"/>
    <w:rsid w:val="00D90C10"/>
    <w:rsid w:val="00D90DF3"/>
    <w:rsid w:val="00D91079"/>
    <w:rsid w:val="00D911BF"/>
    <w:rsid w:val="00D911CB"/>
    <w:rsid w:val="00D9123D"/>
    <w:rsid w:val="00D912FB"/>
    <w:rsid w:val="00D916C9"/>
    <w:rsid w:val="00D917EB"/>
    <w:rsid w:val="00D917EC"/>
    <w:rsid w:val="00D91842"/>
    <w:rsid w:val="00D91B76"/>
    <w:rsid w:val="00D91B9A"/>
    <w:rsid w:val="00D91C1D"/>
    <w:rsid w:val="00D91DFD"/>
    <w:rsid w:val="00D91E03"/>
    <w:rsid w:val="00D91E4C"/>
    <w:rsid w:val="00D921BC"/>
    <w:rsid w:val="00D924DC"/>
    <w:rsid w:val="00D924E8"/>
    <w:rsid w:val="00D9264F"/>
    <w:rsid w:val="00D92691"/>
    <w:rsid w:val="00D926AC"/>
    <w:rsid w:val="00D926B1"/>
    <w:rsid w:val="00D928EE"/>
    <w:rsid w:val="00D92966"/>
    <w:rsid w:val="00D92AAA"/>
    <w:rsid w:val="00D92B9C"/>
    <w:rsid w:val="00D92BD1"/>
    <w:rsid w:val="00D92D24"/>
    <w:rsid w:val="00D93029"/>
    <w:rsid w:val="00D93353"/>
    <w:rsid w:val="00D93373"/>
    <w:rsid w:val="00D9338E"/>
    <w:rsid w:val="00D93404"/>
    <w:rsid w:val="00D93450"/>
    <w:rsid w:val="00D9345A"/>
    <w:rsid w:val="00D934A2"/>
    <w:rsid w:val="00D93590"/>
    <w:rsid w:val="00D935A1"/>
    <w:rsid w:val="00D935BD"/>
    <w:rsid w:val="00D936FE"/>
    <w:rsid w:val="00D93BFB"/>
    <w:rsid w:val="00D93DD9"/>
    <w:rsid w:val="00D93E14"/>
    <w:rsid w:val="00D93E1D"/>
    <w:rsid w:val="00D93E81"/>
    <w:rsid w:val="00D93EEC"/>
    <w:rsid w:val="00D940D5"/>
    <w:rsid w:val="00D94195"/>
    <w:rsid w:val="00D9427D"/>
    <w:rsid w:val="00D9437A"/>
    <w:rsid w:val="00D943F0"/>
    <w:rsid w:val="00D94461"/>
    <w:rsid w:val="00D945B8"/>
    <w:rsid w:val="00D94648"/>
    <w:rsid w:val="00D9475F"/>
    <w:rsid w:val="00D9481B"/>
    <w:rsid w:val="00D949DC"/>
    <w:rsid w:val="00D94A6C"/>
    <w:rsid w:val="00D94B30"/>
    <w:rsid w:val="00D94B69"/>
    <w:rsid w:val="00D94C2C"/>
    <w:rsid w:val="00D94C58"/>
    <w:rsid w:val="00D94CD6"/>
    <w:rsid w:val="00D94D6E"/>
    <w:rsid w:val="00D94DEC"/>
    <w:rsid w:val="00D94ECF"/>
    <w:rsid w:val="00D9508F"/>
    <w:rsid w:val="00D952A8"/>
    <w:rsid w:val="00D957A2"/>
    <w:rsid w:val="00D9583E"/>
    <w:rsid w:val="00D95877"/>
    <w:rsid w:val="00D9597D"/>
    <w:rsid w:val="00D95BC6"/>
    <w:rsid w:val="00D95C36"/>
    <w:rsid w:val="00D95EE4"/>
    <w:rsid w:val="00D95F96"/>
    <w:rsid w:val="00D9605E"/>
    <w:rsid w:val="00D962AA"/>
    <w:rsid w:val="00D964D1"/>
    <w:rsid w:val="00D9671E"/>
    <w:rsid w:val="00D96D04"/>
    <w:rsid w:val="00D96D13"/>
    <w:rsid w:val="00D97273"/>
    <w:rsid w:val="00D9734C"/>
    <w:rsid w:val="00D97400"/>
    <w:rsid w:val="00D97454"/>
    <w:rsid w:val="00D97558"/>
    <w:rsid w:val="00D97750"/>
    <w:rsid w:val="00D97760"/>
    <w:rsid w:val="00D977FA"/>
    <w:rsid w:val="00D978F5"/>
    <w:rsid w:val="00D9798F"/>
    <w:rsid w:val="00D97AE8"/>
    <w:rsid w:val="00D97DE5"/>
    <w:rsid w:val="00D97DF7"/>
    <w:rsid w:val="00D97E16"/>
    <w:rsid w:val="00DA003A"/>
    <w:rsid w:val="00DA0122"/>
    <w:rsid w:val="00DA0163"/>
    <w:rsid w:val="00DA0228"/>
    <w:rsid w:val="00DA038D"/>
    <w:rsid w:val="00DA050F"/>
    <w:rsid w:val="00DA0788"/>
    <w:rsid w:val="00DA09EA"/>
    <w:rsid w:val="00DA0B23"/>
    <w:rsid w:val="00DA0C01"/>
    <w:rsid w:val="00DA0DB4"/>
    <w:rsid w:val="00DA0EE8"/>
    <w:rsid w:val="00DA0EED"/>
    <w:rsid w:val="00DA1140"/>
    <w:rsid w:val="00DA14B3"/>
    <w:rsid w:val="00DA1535"/>
    <w:rsid w:val="00DA1560"/>
    <w:rsid w:val="00DA16E4"/>
    <w:rsid w:val="00DA174F"/>
    <w:rsid w:val="00DA17B3"/>
    <w:rsid w:val="00DA1818"/>
    <w:rsid w:val="00DA1A22"/>
    <w:rsid w:val="00DA1CB6"/>
    <w:rsid w:val="00DA1D29"/>
    <w:rsid w:val="00DA1F38"/>
    <w:rsid w:val="00DA1FE6"/>
    <w:rsid w:val="00DA207E"/>
    <w:rsid w:val="00DA209F"/>
    <w:rsid w:val="00DA20D2"/>
    <w:rsid w:val="00DA220D"/>
    <w:rsid w:val="00DA22B6"/>
    <w:rsid w:val="00DA2352"/>
    <w:rsid w:val="00DA24CB"/>
    <w:rsid w:val="00DA25A8"/>
    <w:rsid w:val="00DA26D6"/>
    <w:rsid w:val="00DA2A5E"/>
    <w:rsid w:val="00DA2CBF"/>
    <w:rsid w:val="00DA2D8A"/>
    <w:rsid w:val="00DA2E13"/>
    <w:rsid w:val="00DA2EFF"/>
    <w:rsid w:val="00DA3020"/>
    <w:rsid w:val="00DA30DF"/>
    <w:rsid w:val="00DA31C1"/>
    <w:rsid w:val="00DA3207"/>
    <w:rsid w:val="00DA3348"/>
    <w:rsid w:val="00DA36A1"/>
    <w:rsid w:val="00DA36F0"/>
    <w:rsid w:val="00DA371E"/>
    <w:rsid w:val="00DA3824"/>
    <w:rsid w:val="00DA390F"/>
    <w:rsid w:val="00DA396B"/>
    <w:rsid w:val="00DA3B3E"/>
    <w:rsid w:val="00DA3B96"/>
    <w:rsid w:val="00DA3D70"/>
    <w:rsid w:val="00DA3E9C"/>
    <w:rsid w:val="00DA41B4"/>
    <w:rsid w:val="00DA4224"/>
    <w:rsid w:val="00DA42EA"/>
    <w:rsid w:val="00DA440D"/>
    <w:rsid w:val="00DA44E0"/>
    <w:rsid w:val="00DA4601"/>
    <w:rsid w:val="00DA46FE"/>
    <w:rsid w:val="00DA48CE"/>
    <w:rsid w:val="00DA4A43"/>
    <w:rsid w:val="00DA4A5A"/>
    <w:rsid w:val="00DA4A69"/>
    <w:rsid w:val="00DA4B0C"/>
    <w:rsid w:val="00DA4C3D"/>
    <w:rsid w:val="00DA507C"/>
    <w:rsid w:val="00DA50A1"/>
    <w:rsid w:val="00DA513B"/>
    <w:rsid w:val="00DA54FE"/>
    <w:rsid w:val="00DA5536"/>
    <w:rsid w:val="00DA55F6"/>
    <w:rsid w:val="00DA561C"/>
    <w:rsid w:val="00DA56BD"/>
    <w:rsid w:val="00DA57BA"/>
    <w:rsid w:val="00DA595F"/>
    <w:rsid w:val="00DA5982"/>
    <w:rsid w:val="00DA59CD"/>
    <w:rsid w:val="00DA5A4D"/>
    <w:rsid w:val="00DA5B4F"/>
    <w:rsid w:val="00DA5CED"/>
    <w:rsid w:val="00DA5E1B"/>
    <w:rsid w:val="00DA5EB6"/>
    <w:rsid w:val="00DA5EF2"/>
    <w:rsid w:val="00DA5F48"/>
    <w:rsid w:val="00DA5F80"/>
    <w:rsid w:val="00DA5FCC"/>
    <w:rsid w:val="00DA6054"/>
    <w:rsid w:val="00DA6335"/>
    <w:rsid w:val="00DA6424"/>
    <w:rsid w:val="00DA645A"/>
    <w:rsid w:val="00DA650F"/>
    <w:rsid w:val="00DA66C6"/>
    <w:rsid w:val="00DA6819"/>
    <w:rsid w:val="00DA6863"/>
    <w:rsid w:val="00DA6992"/>
    <w:rsid w:val="00DA6B24"/>
    <w:rsid w:val="00DA6BF0"/>
    <w:rsid w:val="00DA6EC3"/>
    <w:rsid w:val="00DA7299"/>
    <w:rsid w:val="00DA7477"/>
    <w:rsid w:val="00DA76B2"/>
    <w:rsid w:val="00DA76F7"/>
    <w:rsid w:val="00DA779A"/>
    <w:rsid w:val="00DA7957"/>
    <w:rsid w:val="00DA7BCB"/>
    <w:rsid w:val="00DA7C02"/>
    <w:rsid w:val="00DA7C1C"/>
    <w:rsid w:val="00DA7C21"/>
    <w:rsid w:val="00DA7C2C"/>
    <w:rsid w:val="00DA7CD8"/>
    <w:rsid w:val="00DA7E93"/>
    <w:rsid w:val="00DA7FC6"/>
    <w:rsid w:val="00DB011B"/>
    <w:rsid w:val="00DB0429"/>
    <w:rsid w:val="00DB05DC"/>
    <w:rsid w:val="00DB05EB"/>
    <w:rsid w:val="00DB06CE"/>
    <w:rsid w:val="00DB06EA"/>
    <w:rsid w:val="00DB0939"/>
    <w:rsid w:val="00DB0A2F"/>
    <w:rsid w:val="00DB0A30"/>
    <w:rsid w:val="00DB0AD7"/>
    <w:rsid w:val="00DB0BE1"/>
    <w:rsid w:val="00DB0C50"/>
    <w:rsid w:val="00DB0CC4"/>
    <w:rsid w:val="00DB0D5B"/>
    <w:rsid w:val="00DB0D65"/>
    <w:rsid w:val="00DB0D9A"/>
    <w:rsid w:val="00DB0E7F"/>
    <w:rsid w:val="00DB0EFA"/>
    <w:rsid w:val="00DB1048"/>
    <w:rsid w:val="00DB10F1"/>
    <w:rsid w:val="00DB13C7"/>
    <w:rsid w:val="00DB14FA"/>
    <w:rsid w:val="00DB169A"/>
    <w:rsid w:val="00DB175D"/>
    <w:rsid w:val="00DB1779"/>
    <w:rsid w:val="00DB1924"/>
    <w:rsid w:val="00DB1CF0"/>
    <w:rsid w:val="00DB1E61"/>
    <w:rsid w:val="00DB1EA1"/>
    <w:rsid w:val="00DB21FD"/>
    <w:rsid w:val="00DB2337"/>
    <w:rsid w:val="00DB2488"/>
    <w:rsid w:val="00DB2854"/>
    <w:rsid w:val="00DB292A"/>
    <w:rsid w:val="00DB2BCC"/>
    <w:rsid w:val="00DB2D17"/>
    <w:rsid w:val="00DB2D45"/>
    <w:rsid w:val="00DB2FE8"/>
    <w:rsid w:val="00DB301B"/>
    <w:rsid w:val="00DB32A9"/>
    <w:rsid w:val="00DB32C0"/>
    <w:rsid w:val="00DB3434"/>
    <w:rsid w:val="00DB34A0"/>
    <w:rsid w:val="00DB355B"/>
    <w:rsid w:val="00DB35DC"/>
    <w:rsid w:val="00DB362B"/>
    <w:rsid w:val="00DB390A"/>
    <w:rsid w:val="00DB3A16"/>
    <w:rsid w:val="00DB3C19"/>
    <w:rsid w:val="00DB3E3C"/>
    <w:rsid w:val="00DB3E5D"/>
    <w:rsid w:val="00DB3FBD"/>
    <w:rsid w:val="00DB4097"/>
    <w:rsid w:val="00DB412F"/>
    <w:rsid w:val="00DB418D"/>
    <w:rsid w:val="00DB4208"/>
    <w:rsid w:val="00DB4340"/>
    <w:rsid w:val="00DB4426"/>
    <w:rsid w:val="00DB442E"/>
    <w:rsid w:val="00DB4442"/>
    <w:rsid w:val="00DB44D3"/>
    <w:rsid w:val="00DB4530"/>
    <w:rsid w:val="00DB4538"/>
    <w:rsid w:val="00DB45A7"/>
    <w:rsid w:val="00DB45B0"/>
    <w:rsid w:val="00DB46CB"/>
    <w:rsid w:val="00DB4784"/>
    <w:rsid w:val="00DB48DF"/>
    <w:rsid w:val="00DB4C44"/>
    <w:rsid w:val="00DB4C73"/>
    <w:rsid w:val="00DB4E75"/>
    <w:rsid w:val="00DB51C2"/>
    <w:rsid w:val="00DB5228"/>
    <w:rsid w:val="00DB5385"/>
    <w:rsid w:val="00DB53A7"/>
    <w:rsid w:val="00DB546B"/>
    <w:rsid w:val="00DB5501"/>
    <w:rsid w:val="00DB56FB"/>
    <w:rsid w:val="00DB5767"/>
    <w:rsid w:val="00DB5864"/>
    <w:rsid w:val="00DB5BD5"/>
    <w:rsid w:val="00DB5C62"/>
    <w:rsid w:val="00DB5CD2"/>
    <w:rsid w:val="00DB5ECE"/>
    <w:rsid w:val="00DB608B"/>
    <w:rsid w:val="00DB6313"/>
    <w:rsid w:val="00DB638D"/>
    <w:rsid w:val="00DB68BF"/>
    <w:rsid w:val="00DB68DD"/>
    <w:rsid w:val="00DB69A7"/>
    <w:rsid w:val="00DB69B6"/>
    <w:rsid w:val="00DB6C25"/>
    <w:rsid w:val="00DB6C38"/>
    <w:rsid w:val="00DB6C9B"/>
    <w:rsid w:val="00DB702D"/>
    <w:rsid w:val="00DB70E2"/>
    <w:rsid w:val="00DB726B"/>
    <w:rsid w:val="00DB745B"/>
    <w:rsid w:val="00DB74BE"/>
    <w:rsid w:val="00DB750B"/>
    <w:rsid w:val="00DB76A5"/>
    <w:rsid w:val="00DB76E5"/>
    <w:rsid w:val="00DB7765"/>
    <w:rsid w:val="00DB77C2"/>
    <w:rsid w:val="00DB784D"/>
    <w:rsid w:val="00DB7B6F"/>
    <w:rsid w:val="00DB7DDC"/>
    <w:rsid w:val="00DC0095"/>
    <w:rsid w:val="00DC0652"/>
    <w:rsid w:val="00DC075C"/>
    <w:rsid w:val="00DC09B6"/>
    <w:rsid w:val="00DC0B76"/>
    <w:rsid w:val="00DC0D87"/>
    <w:rsid w:val="00DC0DE2"/>
    <w:rsid w:val="00DC0EC9"/>
    <w:rsid w:val="00DC1097"/>
    <w:rsid w:val="00DC1171"/>
    <w:rsid w:val="00DC119E"/>
    <w:rsid w:val="00DC143A"/>
    <w:rsid w:val="00DC1519"/>
    <w:rsid w:val="00DC168E"/>
    <w:rsid w:val="00DC1915"/>
    <w:rsid w:val="00DC19F6"/>
    <w:rsid w:val="00DC1D71"/>
    <w:rsid w:val="00DC1FAB"/>
    <w:rsid w:val="00DC2050"/>
    <w:rsid w:val="00DC223C"/>
    <w:rsid w:val="00DC236C"/>
    <w:rsid w:val="00DC25A3"/>
    <w:rsid w:val="00DC267A"/>
    <w:rsid w:val="00DC2747"/>
    <w:rsid w:val="00DC28E8"/>
    <w:rsid w:val="00DC296F"/>
    <w:rsid w:val="00DC2A85"/>
    <w:rsid w:val="00DC2BB1"/>
    <w:rsid w:val="00DC2E30"/>
    <w:rsid w:val="00DC2EBE"/>
    <w:rsid w:val="00DC3104"/>
    <w:rsid w:val="00DC31B0"/>
    <w:rsid w:val="00DC3226"/>
    <w:rsid w:val="00DC3338"/>
    <w:rsid w:val="00DC3370"/>
    <w:rsid w:val="00DC3499"/>
    <w:rsid w:val="00DC349E"/>
    <w:rsid w:val="00DC36A1"/>
    <w:rsid w:val="00DC38FA"/>
    <w:rsid w:val="00DC3A6D"/>
    <w:rsid w:val="00DC3B06"/>
    <w:rsid w:val="00DC3CE3"/>
    <w:rsid w:val="00DC3D21"/>
    <w:rsid w:val="00DC3FEC"/>
    <w:rsid w:val="00DC4036"/>
    <w:rsid w:val="00DC40EE"/>
    <w:rsid w:val="00DC44C2"/>
    <w:rsid w:val="00DC4744"/>
    <w:rsid w:val="00DC47A8"/>
    <w:rsid w:val="00DC47D8"/>
    <w:rsid w:val="00DC4909"/>
    <w:rsid w:val="00DC4B0D"/>
    <w:rsid w:val="00DC4B32"/>
    <w:rsid w:val="00DC4D0E"/>
    <w:rsid w:val="00DC4D7E"/>
    <w:rsid w:val="00DC4EC1"/>
    <w:rsid w:val="00DC50E0"/>
    <w:rsid w:val="00DC51AF"/>
    <w:rsid w:val="00DC53EC"/>
    <w:rsid w:val="00DC571E"/>
    <w:rsid w:val="00DC5A9C"/>
    <w:rsid w:val="00DC5B32"/>
    <w:rsid w:val="00DC5C67"/>
    <w:rsid w:val="00DC5E54"/>
    <w:rsid w:val="00DC610C"/>
    <w:rsid w:val="00DC616C"/>
    <w:rsid w:val="00DC6497"/>
    <w:rsid w:val="00DC650D"/>
    <w:rsid w:val="00DC667C"/>
    <w:rsid w:val="00DC68D4"/>
    <w:rsid w:val="00DC68D6"/>
    <w:rsid w:val="00DC68F5"/>
    <w:rsid w:val="00DC69C1"/>
    <w:rsid w:val="00DC6B4A"/>
    <w:rsid w:val="00DC6BF1"/>
    <w:rsid w:val="00DC6D45"/>
    <w:rsid w:val="00DC6DBF"/>
    <w:rsid w:val="00DC6DC5"/>
    <w:rsid w:val="00DC71BE"/>
    <w:rsid w:val="00DC71E3"/>
    <w:rsid w:val="00DC760C"/>
    <w:rsid w:val="00DC780B"/>
    <w:rsid w:val="00DC783B"/>
    <w:rsid w:val="00DC784F"/>
    <w:rsid w:val="00DC7AE4"/>
    <w:rsid w:val="00DC7B69"/>
    <w:rsid w:val="00DC7D60"/>
    <w:rsid w:val="00DC7FF2"/>
    <w:rsid w:val="00DD0025"/>
    <w:rsid w:val="00DD019A"/>
    <w:rsid w:val="00DD01F8"/>
    <w:rsid w:val="00DD024E"/>
    <w:rsid w:val="00DD0625"/>
    <w:rsid w:val="00DD0919"/>
    <w:rsid w:val="00DD097B"/>
    <w:rsid w:val="00DD09EA"/>
    <w:rsid w:val="00DD0A19"/>
    <w:rsid w:val="00DD0B00"/>
    <w:rsid w:val="00DD0B9D"/>
    <w:rsid w:val="00DD0C23"/>
    <w:rsid w:val="00DD0F2F"/>
    <w:rsid w:val="00DD10FE"/>
    <w:rsid w:val="00DD1448"/>
    <w:rsid w:val="00DD15DD"/>
    <w:rsid w:val="00DD1887"/>
    <w:rsid w:val="00DD1A55"/>
    <w:rsid w:val="00DD1CBE"/>
    <w:rsid w:val="00DD1DE9"/>
    <w:rsid w:val="00DD1EBC"/>
    <w:rsid w:val="00DD1EF9"/>
    <w:rsid w:val="00DD20E9"/>
    <w:rsid w:val="00DD20F8"/>
    <w:rsid w:val="00DD21E6"/>
    <w:rsid w:val="00DD23EE"/>
    <w:rsid w:val="00DD2488"/>
    <w:rsid w:val="00DD2564"/>
    <w:rsid w:val="00DD27C6"/>
    <w:rsid w:val="00DD28F9"/>
    <w:rsid w:val="00DD2967"/>
    <w:rsid w:val="00DD2ADF"/>
    <w:rsid w:val="00DD2B04"/>
    <w:rsid w:val="00DD2BD3"/>
    <w:rsid w:val="00DD2C2E"/>
    <w:rsid w:val="00DD2E77"/>
    <w:rsid w:val="00DD2F1D"/>
    <w:rsid w:val="00DD3034"/>
    <w:rsid w:val="00DD30A0"/>
    <w:rsid w:val="00DD30CF"/>
    <w:rsid w:val="00DD321F"/>
    <w:rsid w:val="00DD3229"/>
    <w:rsid w:val="00DD3345"/>
    <w:rsid w:val="00DD33A2"/>
    <w:rsid w:val="00DD3423"/>
    <w:rsid w:val="00DD344D"/>
    <w:rsid w:val="00DD3572"/>
    <w:rsid w:val="00DD38B0"/>
    <w:rsid w:val="00DD3918"/>
    <w:rsid w:val="00DD3984"/>
    <w:rsid w:val="00DD3CFE"/>
    <w:rsid w:val="00DD3DA2"/>
    <w:rsid w:val="00DD3E0E"/>
    <w:rsid w:val="00DD47A6"/>
    <w:rsid w:val="00DD49E5"/>
    <w:rsid w:val="00DD4A74"/>
    <w:rsid w:val="00DD4CEF"/>
    <w:rsid w:val="00DD4E57"/>
    <w:rsid w:val="00DD4ECB"/>
    <w:rsid w:val="00DD4F01"/>
    <w:rsid w:val="00DD4F74"/>
    <w:rsid w:val="00DD5071"/>
    <w:rsid w:val="00DD51F4"/>
    <w:rsid w:val="00DD51FE"/>
    <w:rsid w:val="00DD52F1"/>
    <w:rsid w:val="00DD5524"/>
    <w:rsid w:val="00DD56F9"/>
    <w:rsid w:val="00DD5AC7"/>
    <w:rsid w:val="00DD5F34"/>
    <w:rsid w:val="00DD5F63"/>
    <w:rsid w:val="00DD602D"/>
    <w:rsid w:val="00DD6172"/>
    <w:rsid w:val="00DD62E7"/>
    <w:rsid w:val="00DD6471"/>
    <w:rsid w:val="00DD6724"/>
    <w:rsid w:val="00DD67D8"/>
    <w:rsid w:val="00DD67DA"/>
    <w:rsid w:val="00DD68F7"/>
    <w:rsid w:val="00DD695A"/>
    <w:rsid w:val="00DD69B5"/>
    <w:rsid w:val="00DD6AA1"/>
    <w:rsid w:val="00DD6B89"/>
    <w:rsid w:val="00DD6C0A"/>
    <w:rsid w:val="00DD6F93"/>
    <w:rsid w:val="00DD6FC7"/>
    <w:rsid w:val="00DD70A8"/>
    <w:rsid w:val="00DD7188"/>
    <w:rsid w:val="00DD71EC"/>
    <w:rsid w:val="00DD7278"/>
    <w:rsid w:val="00DD72A1"/>
    <w:rsid w:val="00DD72CB"/>
    <w:rsid w:val="00DD7459"/>
    <w:rsid w:val="00DD76A5"/>
    <w:rsid w:val="00DD76E6"/>
    <w:rsid w:val="00DD77C8"/>
    <w:rsid w:val="00DD7951"/>
    <w:rsid w:val="00DD7A16"/>
    <w:rsid w:val="00DD7AC8"/>
    <w:rsid w:val="00DD7B9C"/>
    <w:rsid w:val="00DE029D"/>
    <w:rsid w:val="00DE0470"/>
    <w:rsid w:val="00DE0481"/>
    <w:rsid w:val="00DE0615"/>
    <w:rsid w:val="00DE067B"/>
    <w:rsid w:val="00DE07E9"/>
    <w:rsid w:val="00DE08B4"/>
    <w:rsid w:val="00DE08E4"/>
    <w:rsid w:val="00DE0BB5"/>
    <w:rsid w:val="00DE0BEC"/>
    <w:rsid w:val="00DE0C39"/>
    <w:rsid w:val="00DE0F09"/>
    <w:rsid w:val="00DE0FC7"/>
    <w:rsid w:val="00DE104A"/>
    <w:rsid w:val="00DE11C3"/>
    <w:rsid w:val="00DE14B1"/>
    <w:rsid w:val="00DE1584"/>
    <w:rsid w:val="00DE1771"/>
    <w:rsid w:val="00DE19A5"/>
    <w:rsid w:val="00DE1AD4"/>
    <w:rsid w:val="00DE1ADD"/>
    <w:rsid w:val="00DE1B63"/>
    <w:rsid w:val="00DE1BA3"/>
    <w:rsid w:val="00DE1FA2"/>
    <w:rsid w:val="00DE1FA6"/>
    <w:rsid w:val="00DE208E"/>
    <w:rsid w:val="00DE21A0"/>
    <w:rsid w:val="00DE22F0"/>
    <w:rsid w:val="00DE24BA"/>
    <w:rsid w:val="00DE287D"/>
    <w:rsid w:val="00DE2A44"/>
    <w:rsid w:val="00DE2B41"/>
    <w:rsid w:val="00DE2B98"/>
    <w:rsid w:val="00DE2D0C"/>
    <w:rsid w:val="00DE2E62"/>
    <w:rsid w:val="00DE2F78"/>
    <w:rsid w:val="00DE2FC4"/>
    <w:rsid w:val="00DE3143"/>
    <w:rsid w:val="00DE3352"/>
    <w:rsid w:val="00DE33A3"/>
    <w:rsid w:val="00DE347F"/>
    <w:rsid w:val="00DE36D7"/>
    <w:rsid w:val="00DE3735"/>
    <w:rsid w:val="00DE393A"/>
    <w:rsid w:val="00DE3ADD"/>
    <w:rsid w:val="00DE3C17"/>
    <w:rsid w:val="00DE3DBF"/>
    <w:rsid w:val="00DE404C"/>
    <w:rsid w:val="00DE4216"/>
    <w:rsid w:val="00DE4425"/>
    <w:rsid w:val="00DE446B"/>
    <w:rsid w:val="00DE4518"/>
    <w:rsid w:val="00DE463B"/>
    <w:rsid w:val="00DE4712"/>
    <w:rsid w:val="00DE47E1"/>
    <w:rsid w:val="00DE48BC"/>
    <w:rsid w:val="00DE499D"/>
    <w:rsid w:val="00DE4C03"/>
    <w:rsid w:val="00DE4CE5"/>
    <w:rsid w:val="00DE4EAB"/>
    <w:rsid w:val="00DE4FB8"/>
    <w:rsid w:val="00DE512D"/>
    <w:rsid w:val="00DE53B0"/>
    <w:rsid w:val="00DE53EF"/>
    <w:rsid w:val="00DE564B"/>
    <w:rsid w:val="00DE5657"/>
    <w:rsid w:val="00DE56C2"/>
    <w:rsid w:val="00DE57B1"/>
    <w:rsid w:val="00DE57B8"/>
    <w:rsid w:val="00DE58E7"/>
    <w:rsid w:val="00DE5987"/>
    <w:rsid w:val="00DE5C2B"/>
    <w:rsid w:val="00DE5D4D"/>
    <w:rsid w:val="00DE5D91"/>
    <w:rsid w:val="00DE5EA8"/>
    <w:rsid w:val="00DE5FD3"/>
    <w:rsid w:val="00DE60AA"/>
    <w:rsid w:val="00DE624C"/>
    <w:rsid w:val="00DE630B"/>
    <w:rsid w:val="00DE6336"/>
    <w:rsid w:val="00DE63F7"/>
    <w:rsid w:val="00DE6490"/>
    <w:rsid w:val="00DE64FB"/>
    <w:rsid w:val="00DE64FD"/>
    <w:rsid w:val="00DE670F"/>
    <w:rsid w:val="00DE682F"/>
    <w:rsid w:val="00DE6889"/>
    <w:rsid w:val="00DE68D2"/>
    <w:rsid w:val="00DE68D8"/>
    <w:rsid w:val="00DE68EA"/>
    <w:rsid w:val="00DE69FE"/>
    <w:rsid w:val="00DE6B74"/>
    <w:rsid w:val="00DE6BAD"/>
    <w:rsid w:val="00DE6C1B"/>
    <w:rsid w:val="00DE6D75"/>
    <w:rsid w:val="00DE6DB1"/>
    <w:rsid w:val="00DE6E3A"/>
    <w:rsid w:val="00DE6EF8"/>
    <w:rsid w:val="00DE70CC"/>
    <w:rsid w:val="00DE728A"/>
    <w:rsid w:val="00DE7432"/>
    <w:rsid w:val="00DE74A1"/>
    <w:rsid w:val="00DE74B3"/>
    <w:rsid w:val="00DE7734"/>
    <w:rsid w:val="00DE79CB"/>
    <w:rsid w:val="00DE7C1E"/>
    <w:rsid w:val="00DE7EBC"/>
    <w:rsid w:val="00DE7EDC"/>
    <w:rsid w:val="00DE7EE7"/>
    <w:rsid w:val="00DE7EEA"/>
    <w:rsid w:val="00DE7F37"/>
    <w:rsid w:val="00DE7FAD"/>
    <w:rsid w:val="00DF004D"/>
    <w:rsid w:val="00DF00BB"/>
    <w:rsid w:val="00DF0125"/>
    <w:rsid w:val="00DF0238"/>
    <w:rsid w:val="00DF0248"/>
    <w:rsid w:val="00DF0507"/>
    <w:rsid w:val="00DF0889"/>
    <w:rsid w:val="00DF0935"/>
    <w:rsid w:val="00DF0FC3"/>
    <w:rsid w:val="00DF1137"/>
    <w:rsid w:val="00DF11DB"/>
    <w:rsid w:val="00DF13AF"/>
    <w:rsid w:val="00DF13B5"/>
    <w:rsid w:val="00DF14B2"/>
    <w:rsid w:val="00DF14CA"/>
    <w:rsid w:val="00DF14F6"/>
    <w:rsid w:val="00DF150D"/>
    <w:rsid w:val="00DF181A"/>
    <w:rsid w:val="00DF1AB7"/>
    <w:rsid w:val="00DF1B00"/>
    <w:rsid w:val="00DF1DEA"/>
    <w:rsid w:val="00DF1EDB"/>
    <w:rsid w:val="00DF1FF5"/>
    <w:rsid w:val="00DF20CE"/>
    <w:rsid w:val="00DF22A8"/>
    <w:rsid w:val="00DF22B2"/>
    <w:rsid w:val="00DF259D"/>
    <w:rsid w:val="00DF2628"/>
    <w:rsid w:val="00DF26F0"/>
    <w:rsid w:val="00DF28E1"/>
    <w:rsid w:val="00DF2D29"/>
    <w:rsid w:val="00DF2DA8"/>
    <w:rsid w:val="00DF2E9C"/>
    <w:rsid w:val="00DF3186"/>
    <w:rsid w:val="00DF33B1"/>
    <w:rsid w:val="00DF33C8"/>
    <w:rsid w:val="00DF33EC"/>
    <w:rsid w:val="00DF3598"/>
    <w:rsid w:val="00DF36C6"/>
    <w:rsid w:val="00DF3701"/>
    <w:rsid w:val="00DF3703"/>
    <w:rsid w:val="00DF38AA"/>
    <w:rsid w:val="00DF3C1F"/>
    <w:rsid w:val="00DF3C91"/>
    <w:rsid w:val="00DF3E19"/>
    <w:rsid w:val="00DF3EDB"/>
    <w:rsid w:val="00DF401B"/>
    <w:rsid w:val="00DF404A"/>
    <w:rsid w:val="00DF4282"/>
    <w:rsid w:val="00DF4369"/>
    <w:rsid w:val="00DF4438"/>
    <w:rsid w:val="00DF4502"/>
    <w:rsid w:val="00DF467D"/>
    <w:rsid w:val="00DF4B84"/>
    <w:rsid w:val="00DF4C80"/>
    <w:rsid w:val="00DF4CC0"/>
    <w:rsid w:val="00DF4FE2"/>
    <w:rsid w:val="00DF5003"/>
    <w:rsid w:val="00DF50A1"/>
    <w:rsid w:val="00DF52D2"/>
    <w:rsid w:val="00DF5353"/>
    <w:rsid w:val="00DF5764"/>
    <w:rsid w:val="00DF5826"/>
    <w:rsid w:val="00DF59B2"/>
    <w:rsid w:val="00DF5BE4"/>
    <w:rsid w:val="00DF5E92"/>
    <w:rsid w:val="00DF6080"/>
    <w:rsid w:val="00DF61A1"/>
    <w:rsid w:val="00DF6310"/>
    <w:rsid w:val="00DF65C7"/>
    <w:rsid w:val="00DF663A"/>
    <w:rsid w:val="00DF66CB"/>
    <w:rsid w:val="00DF6723"/>
    <w:rsid w:val="00DF692D"/>
    <w:rsid w:val="00DF69A1"/>
    <w:rsid w:val="00DF6AD8"/>
    <w:rsid w:val="00DF6CF7"/>
    <w:rsid w:val="00DF6EAC"/>
    <w:rsid w:val="00DF71C8"/>
    <w:rsid w:val="00DF72B4"/>
    <w:rsid w:val="00DF7333"/>
    <w:rsid w:val="00DF74DF"/>
    <w:rsid w:val="00DF772D"/>
    <w:rsid w:val="00DF77E8"/>
    <w:rsid w:val="00DF7984"/>
    <w:rsid w:val="00DF7986"/>
    <w:rsid w:val="00DF7B04"/>
    <w:rsid w:val="00DF7C79"/>
    <w:rsid w:val="00DF7F31"/>
    <w:rsid w:val="00DF7F4C"/>
    <w:rsid w:val="00DF7F83"/>
    <w:rsid w:val="00DF7FBC"/>
    <w:rsid w:val="00E00148"/>
    <w:rsid w:val="00E00405"/>
    <w:rsid w:val="00E00512"/>
    <w:rsid w:val="00E00616"/>
    <w:rsid w:val="00E00899"/>
    <w:rsid w:val="00E00D74"/>
    <w:rsid w:val="00E00EDE"/>
    <w:rsid w:val="00E00FC4"/>
    <w:rsid w:val="00E010EC"/>
    <w:rsid w:val="00E01177"/>
    <w:rsid w:val="00E014DB"/>
    <w:rsid w:val="00E014E2"/>
    <w:rsid w:val="00E016E5"/>
    <w:rsid w:val="00E01E19"/>
    <w:rsid w:val="00E01E4C"/>
    <w:rsid w:val="00E01E77"/>
    <w:rsid w:val="00E01EFB"/>
    <w:rsid w:val="00E01F12"/>
    <w:rsid w:val="00E02059"/>
    <w:rsid w:val="00E02184"/>
    <w:rsid w:val="00E022FB"/>
    <w:rsid w:val="00E0297E"/>
    <w:rsid w:val="00E02AC1"/>
    <w:rsid w:val="00E02ACF"/>
    <w:rsid w:val="00E02D41"/>
    <w:rsid w:val="00E02EF6"/>
    <w:rsid w:val="00E0334D"/>
    <w:rsid w:val="00E03433"/>
    <w:rsid w:val="00E03647"/>
    <w:rsid w:val="00E03857"/>
    <w:rsid w:val="00E038BE"/>
    <w:rsid w:val="00E03917"/>
    <w:rsid w:val="00E03D9F"/>
    <w:rsid w:val="00E03F7B"/>
    <w:rsid w:val="00E03FB3"/>
    <w:rsid w:val="00E04295"/>
    <w:rsid w:val="00E042AD"/>
    <w:rsid w:val="00E04593"/>
    <w:rsid w:val="00E0478F"/>
    <w:rsid w:val="00E04851"/>
    <w:rsid w:val="00E048BB"/>
    <w:rsid w:val="00E04945"/>
    <w:rsid w:val="00E049E0"/>
    <w:rsid w:val="00E04AF6"/>
    <w:rsid w:val="00E04C86"/>
    <w:rsid w:val="00E04CD5"/>
    <w:rsid w:val="00E04CF1"/>
    <w:rsid w:val="00E05088"/>
    <w:rsid w:val="00E050B8"/>
    <w:rsid w:val="00E0512F"/>
    <w:rsid w:val="00E051BE"/>
    <w:rsid w:val="00E053BF"/>
    <w:rsid w:val="00E05596"/>
    <w:rsid w:val="00E05652"/>
    <w:rsid w:val="00E05A7A"/>
    <w:rsid w:val="00E05B34"/>
    <w:rsid w:val="00E05E1E"/>
    <w:rsid w:val="00E05E28"/>
    <w:rsid w:val="00E0603F"/>
    <w:rsid w:val="00E0604D"/>
    <w:rsid w:val="00E0615B"/>
    <w:rsid w:val="00E06264"/>
    <w:rsid w:val="00E062E2"/>
    <w:rsid w:val="00E06365"/>
    <w:rsid w:val="00E063CE"/>
    <w:rsid w:val="00E065D2"/>
    <w:rsid w:val="00E065DC"/>
    <w:rsid w:val="00E066C4"/>
    <w:rsid w:val="00E067F7"/>
    <w:rsid w:val="00E06946"/>
    <w:rsid w:val="00E06A33"/>
    <w:rsid w:val="00E06A76"/>
    <w:rsid w:val="00E06B13"/>
    <w:rsid w:val="00E06C3F"/>
    <w:rsid w:val="00E06DBC"/>
    <w:rsid w:val="00E07047"/>
    <w:rsid w:val="00E070A9"/>
    <w:rsid w:val="00E070CC"/>
    <w:rsid w:val="00E070CF"/>
    <w:rsid w:val="00E070F8"/>
    <w:rsid w:val="00E0714D"/>
    <w:rsid w:val="00E07553"/>
    <w:rsid w:val="00E07730"/>
    <w:rsid w:val="00E07A03"/>
    <w:rsid w:val="00E07A0F"/>
    <w:rsid w:val="00E07A7A"/>
    <w:rsid w:val="00E07C88"/>
    <w:rsid w:val="00E07D19"/>
    <w:rsid w:val="00E07D5A"/>
    <w:rsid w:val="00E07DCF"/>
    <w:rsid w:val="00E07E36"/>
    <w:rsid w:val="00E07E83"/>
    <w:rsid w:val="00E07F9B"/>
    <w:rsid w:val="00E1007E"/>
    <w:rsid w:val="00E10195"/>
    <w:rsid w:val="00E101C7"/>
    <w:rsid w:val="00E101EF"/>
    <w:rsid w:val="00E103DD"/>
    <w:rsid w:val="00E1060C"/>
    <w:rsid w:val="00E10B11"/>
    <w:rsid w:val="00E10B52"/>
    <w:rsid w:val="00E10BA1"/>
    <w:rsid w:val="00E10C59"/>
    <w:rsid w:val="00E10C6D"/>
    <w:rsid w:val="00E10F1F"/>
    <w:rsid w:val="00E1115F"/>
    <w:rsid w:val="00E11219"/>
    <w:rsid w:val="00E11286"/>
    <w:rsid w:val="00E112FA"/>
    <w:rsid w:val="00E114C2"/>
    <w:rsid w:val="00E114EE"/>
    <w:rsid w:val="00E11669"/>
    <w:rsid w:val="00E1168B"/>
    <w:rsid w:val="00E119EA"/>
    <w:rsid w:val="00E11A4A"/>
    <w:rsid w:val="00E11E73"/>
    <w:rsid w:val="00E11E8F"/>
    <w:rsid w:val="00E11EBD"/>
    <w:rsid w:val="00E120E8"/>
    <w:rsid w:val="00E12199"/>
    <w:rsid w:val="00E1219E"/>
    <w:rsid w:val="00E121C7"/>
    <w:rsid w:val="00E121DE"/>
    <w:rsid w:val="00E1221C"/>
    <w:rsid w:val="00E12393"/>
    <w:rsid w:val="00E123F8"/>
    <w:rsid w:val="00E124D5"/>
    <w:rsid w:val="00E12604"/>
    <w:rsid w:val="00E12698"/>
    <w:rsid w:val="00E1280F"/>
    <w:rsid w:val="00E12943"/>
    <w:rsid w:val="00E129A7"/>
    <w:rsid w:val="00E12A27"/>
    <w:rsid w:val="00E12A8C"/>
    <w:rsid w:val="00E12B01"/>
    <w:rsid w:val="00E12D4A"/>
    <w:rsid w:val="00E12DE6"/>
    <w:rsid w:val="00E12F70"/>
    <w:rsid w:val="00E13044"/>
    <w:rsid w:val="00E1307A"/>
    <w:rsid w:val="00E13162"/>
    <w:rsid w:val="00E13352"/>
    <w:rsid w:val="00E13826"/>
    <w:rsid w:val="00E138EE"/>
    <w:rsid w:val="00E13A25"/>
    <w:rsid w:val="00E13B09"/>
    <w:rsid w:val="00E13C95"/>
    <w:rsid w:val="00E13D4A"/>
    <w:rsid w:val="00E13E4A"/>
    <w:rsid w:val="00E13FBE"/>
    <w:rsid w:val="00E141F0"/>
    <w:rsid w:val="00E14202"/>
    <w:rsid w:val="00E142EC"/>
    <w:rsid w:val="00E1467E"/>
    <w:rsid w:val="00E14A02"/>
    <w:rsid w:val="00E14B97"/>
    <w:rsid w:val="00E14BBA"/>
    <w:rsid w:val="00E14BD6"/>
    <w:rsid w:val="00E14D78"/>
    <w:rsid w:val="00E14EFC"/>
    <w:rsid w:val="00E15134"/>
    <w:rsid w:val="00E1516A"/>
    <w:rsid w:val="00E15674"/>
    <w:rsid w:val="00E156DB"/>
    <w:rsid w:val="00E15AFE"/>
    <w:rsid w:val="00E15C23"/>
    <w:rsid w:val="00E15DA7"/>
    <w:rsid w:val="00E16080"/>
    <w:rsid w:val="00E16183"/>
    <w:rsid w:val="00E16195"/>
    <w:rsid w:val="00E16201"/>
    <w:rsid w:val="00E16213"/>
    <w:rsid w:val="00E16268"/>
    <w:rsid w:val="00E1638F"/>
    <w:rsid w:val="00E1640E"/>
    <w:rsid w:val="00E16688"/>
    <w:rsid w:val="00E1674B"/>
    <w:rsid w:val="00E167CF"/>
    <w:rsid w:val="00E16822"/>
    <w:rsid w:val="00E16AB6"/>
    <w:rsid w:val="00E16E74"/>
    <w:rsid w:val="00E16EFB"/>
    <w:rsid w:val="00E16F2A"/>
    <w:rsid w:val="00E16FEE"/>
    <w:rsid w:val="00E170F0"/>
    <w:rsid w:val="00E17332"/>
    <w:rsid w:val="00E174D5"/>
    <w:rsid w:val="00E1769E"/>
    <w:rsid w:val="00E17735"/>
    <w:rsid w:val="00E1783B"/>
    <w:rsid w:val="00E178BA"/>
    <w:rsid w:val="00E17916"/>
    <w:rsid w:val="00E179A4"/>
    <w:rsid w:val="00E179FC"/>
    <w:rsid w:val="00E17A1B"/>
    <w:rsid w:val="00E17B4F"/>
    <w:rsid w:val="00E17B98"/>
    <w:rsid w:val="00E17C64"/>
    <w:rsid w:val="00E17EB6"/>
    <w:rsid w:val="00E200CA"/>
    <w:rsid w:val="00E202E9"/>
    <w:rsid w:val="00E2038C"/>
    <w:rsid w:val="00E20509"/>
    <w:rsid w:val="00E20798"/>
    <w:rsid w:val="00E20A81"/>
    <w:rsid w:val="00E20B8F"/>
    <w:rsid w:val="00E20BD1"/>
    <w:rsid w:val="00E20D17"/>
    <w:rsid w:val="00E20DF0"/>
    <w:rsid w:val="00E2107C"/>
    <w:rsid w:val="00E21098"/>
    <w:rsid w:val="00E2110E"/>
    <w:rsid w:val="00E2118D"/>
    <w:rsid w:val="00E21192"/>
    <w:rsid w:val="00E21205"/>
    <w:rsid w:val="00E21330"/>
    <w:rsid w:val="00E215C0"/>
    <w:rsid w:val="00E21667"/>
    <w:rsid w:val="00E21ED7"/>
    <w:rsid w:val="00E21F29"/>
    <w:rsid w:val="00E220A8"/>
    <w:rsid w:val="00E22253"/>
    <w:rsid w:val="00E22683"/>
    <w:rsid w:val="00E22751"/>
    <w:rsid w:val="00E22780"/>
    <w:rsid w:val="00E22C61"/>
    <w:rsid w:val="00E22CD7"/>
    <w:rsid w:val="00E22F35"/>
    <w:rsid w:val="00E2308C"/>
    <w:rsid w:val="00E230F5"/>
    <w:rsid w:val="00E23108"/>
    <w:rsid w:val="00E23193"/>
    <w:rsid w:val="00E23247"/>
    <w:rsid w:val="00E23285"/>
    <w:rsid w:val="00E232F7"/>
    <w:rsid w:val="00E23554"/>
    <w:rsid w:val="00E23632"/>
    <w:rsid w:val="00E2386F"/>
    <w:rsid w:val="00E2389A"/>
    <w:rsid w:val="00E23AAE"/>
    <w:rsid w:val="00E23D94"/>
    <w:rsid w:val="00E23EE4"/>
    <w:rsid w:val="00E23F50"/>
    <w:rsid w:val="00E2428B"/>
    <w:rsid w:val="00E2431A"/>
    <w:rsid w:val="00E2452D"/>
    <w:rsid w:val="00E247B4"/>
    <w:rsid w:val="00E247F6"/>
    <w:rsid w:val="00E24891"/>
    <w:rsid w:val="00E24DDD"/>
    <w:rsid w:val="00E24E41"/>
    <w:rsid w:val="00E24EF1"/>
    <w:rsid w:val="00E25034"/>
    <w:rsid w:val="00E25193"/>
    <w:rsid w:val="00E252BF"/>
    <w:rsid w:val="00E25386"/>
    <w:rsid w:val="00E253C7"/>
    <w:rsid w:val="00E2544F"/>
    <w:rsid w:val="00E25548"/>
    <w:rsid w:val="00E255ED"/>
    <w:rsid w:val="00E258B7"/>
    <w:rsid w:val="00E2593B"/>
    <w:rsid w:val="00E259D5"/>
    <w:rsid w:val="00E25A45"/>
    <w:rsid w:val="00E25B53"/>
    <w:rsid w:val="00E25B97"/>
    <w:rsid w:val="00E25F90"/>
    <w:rsid w:val="00E25FE2"/>
    <w:rsid w:val="00E2602D"/>
    <w:rsid w:val="00E2610C"/>
    <w:rsid w:val="00E263BC"/>
    <w:rsid w:val="00E266B8"/>
    <w:rsid w:val="00E2672E"/>
    <w:rsid w:val="00E2679F"/>
    <w:rsid w:val="00E267D4"/>
    <w:rsid w:val="00E26925"/>
    <w:rsid w:val="00E269C0"/>
    <w:rsid w:val="00E26ADC"/>
    <w:rsid w:val="00E26E74"/>
    <w:rsid w:val="00E26F18"/>
    <w:rsid w:val="00E26FAC"/>
    <w:rsid w:val="00E27037"/>
    <w:rsid w:val="00E27074"/>
    <w:rsid w:val="00E2726D"/>
    <w:rsid w:val="00E272DD"/>
    <w:rsid w:val="00E27347"/>
    <w:rsid w:val="00E27453"/>
    <w:rsid w:val="00E274E1"/>
    <w:rsid w:val="00E27558"/>
    <w:rsid w:val="00E27560"/>
    <w:rsid w:val="00E275CB"/>
    <w:rsid w:val="00E276CA"/>
    <w:rsid w:val="00E2785D"/>
    <w:rsid w:val="00E2786A"/>
    <w:rsid w:val="00E278C2"/>
    <w:rsid w:val="00E278D5"/>
    <w:rsid w:val="00E279A2"/>
    <w:rsid w:val="00E27AD5"/>
    <w:rsid w:val="00E27B0B"/>
    <w:rsid w:val="00E27BA1"/>
    <w:rsid w:val="00E27E95"/>
    <w:rsid w:val="00E27FF0"/>
    <w:rsid w:val="00E300C0"/>
    <w:rsid w:val="00E301CD"/>
    <w:rsid w:val="00E3025B"/>
    <w:rsid w:val="00E308A4"/>
    <w:rsid w:val="00E30960"/>
    <w:rsid w:val="00E30B2F"/>
    <w:rsid w:val="00E30BA1"/>
    <w:rsid w:val="00E30BCF"/>
    <w:rsid w:val="00E30C78"/>
    <w:rsid w:val="00E30DB7"/>
    <w:rsid w:val="00E30E19"/>
    <w:rsid w:val="00E30ED8"/>
    <w:rsid w:val="00E3109F"/>
    <w:rsid w:val="00E3116D"/>
    <w:rsid w:val="00E311D5"/>
    <w:rsid w:val="00E3123A"/>
    <w:rsid w:val="00E31377"/>
    <w:rsid w:val="00E31599"/>
    <w:rsid w:val="00E315B3"/>
    <w:rsid w:val="00E315CF"/>
    <w:rsid w:val="00E3161D"/>
    <w:rsid w:val="00E317A4"/>
    <w:rsid w:val="00E31B26"/>
    <w:rsid w:val="00E31B33"/>
    <w:rsid w:val="00E31B7A"/>
    <w:rsid w:val="00E31BDF"/>
    <w:rsid w:val="00E31F50"/>
    <w:rsid w:val="00E32318"/>
    <w:rsid w:val="00E3232D"/>
    <w:rsid w:val="00E3234C"/>
    <w:rsid w:val="00E324FA"/>
    <w:rsid w:val="00E325E7"/>
    <w:rsid w:val="00E327CE"/>
    <w:rsid w:val="00E3299B"/>
    <w:rsid w:val="00E32A99"/>
    <w:rsid w:val="00E32ABD"/>
    <w:rsid w:val="00E3310B"/>
    <w:rsid w:val="00E3328A"/>
    <w:rsid w:val="00E33295"/>
    <w:rsid w:val="00E333AE"/>
    <w:rsid w:val="00E335A2"/>
    <w:rsid w:val="00E336E3"/>
    <w:rsid w:val="00E33D33"/>
    <w:rsid w:val="00E33D9E"/>
    <w:rsid w:val="00E340C2"/>
    <w:rsid w:val="00E3428D"/>
    <w:rsid w:val="00E34326"/>
    <w:rsid w:val="00E344A3"/>
    <w:rsid w:val="00E34814"/>
    <w:rsid w:val="00E34847"/>
    <w:rsid w:val="00E3489A"/>
    <w:rsid w:val="00E34CFA"/>
    <w:rsid w:val="00E34D0B"/>
    <w:rsid w:val="00E34D35"/>
    <w:rsid w:val="00E34E00"/>
    <w:rsid w:val="00E351E5"/>
    <w:rsid w:val="00E35487"/>
    <w:rsid w:val="00E35551"/>
    <w:rsid w:val="00E3559C"/>
    <w:rsid w:val="00E356DA"/>
    <w:rsid w:val="00E357D1"/>
    <w:rsid w:val="00E35AF9"/>
    <w:rsid w:val="00E35B7D"/>
    <w:rsid w:val="00E35BB7"/>
    <w:rsid w:val="00E35CAF"/>
    <w:rsid w:val="00E35DF0"/>
    <w:rsid w:val="00E35E49"/>
    <w:rsid w:val="00E35E4F"/>
    <w:rsid w:val="00E35E8C"/>
    <w:rsid w:val="00E35EDB"/>
    <w:rsid w:val="00E36133"/>
    <w:rsid w:val="00E36220"/>
    <w:rsid w:val="00E36425"/>
    <w:rsid w:val="00E364CB"/>
    <w:rsid w:val="00E3661E"/>
    <w:rsid w:val="00E36639"/>
    <w:rsid w:val="00E368F6"/>
    <w:rsid w:val="00E36910"/>
    <w:rsid w:val="00E369A8"/>
    <w:rsid w:val="00E36A3A"/>
    <w:rsid w:val="00E36BCB"/>
    <w:rsid w:val="00E36BFF"/>
    <w:rsid w:val="00E36C28"/>
    <w:rsid w:val="00E36D98"/>
    <w:rsid w:val="00E36E0B"/>
    <w:rsid w:val="00E36E1A"/>
    <w:rsid w:val="00E36E81"/>
    <w:rsid w:val="00E370A2"/>
    <w:rsid w:val="00E37137"/>
    <w:rsid w:val="00E3732D"/>
    <w:rsid w:val="00E37420"/>
    <w:rsid w:val="00E37472"/>
    <w:rsid w:val="00E37662"/>
    <w:rsid w:val="00E37729"/>
    <w:rsid w:val="00E3774F"/>
    <w:rsid w:val="00E377A7"/>
    <w:rsid w:val="00E377DF"/>
    <w:rsid w:val="00E37872"/>
    <w:rsid w:val="00E379BF"/>
    <w:rsid w:val="00E37A2D"/>
    <w:rsid w:val="00E37C2C"/>
    <w:rsid w:val="00E37DDB"/>
    <w:rsid w:val="00E400D9"/>
    <w:rsid w:val="00E401B8"/>
    <w:rsid w:val="00E401D7"/>
    <w:rsid w:val="00E401FF"/>
    <w:rsid w:val="00E40400"/>
    <w:rsid w:val="00E40449"/>
    <w:rsid w:val="00E408C5"/>
    <w:rsid w:val="00E40939"/>
    <w:rsid w:val="00E409AA"/>
    <w:rsid w:val="00E40C0E"/>
    <w:rsid w:val="00E40C35"/>
    <w:rsid w:val="00E41377"/>
    <w:rsid w:val="00E41398"/>
    <w:rsid w:val="00E416A2"/>
    <w:rsid w:val="00E416A6"/>
    <w:rsid w:val="00E41718"/>
    <w:rsid w:val="00E41AE6"/>
    <w:rsid w:val="00E41CF8"/>
    <w:rsid w:val="00E41E52"/>
    <w:rsid w:val="00E41E6A"/>
    <w:rsid w:val="00E41E90"/>
    <w:rsid w:val="00E41FDE"/>
    <w:rsid w:val="00E42160"/>
    <w:rsid w:val="00E421DE"/>
    <w:rsid w:val="00E4235A"/>
    <w:rsid w:val="00E423A3"/>
    <w:rsid w:val="00E4253F"/>
    <w:rsid w:val="00E42578"/>
    <w:rsid w:val="00E4257E"/>
    <w:rsid w:val="00E4260E"/>
    <w:rsid w:val="00E42705"/>
    <w:rsid w:val="00E42757"/>
    <w:rsid w:val="00E42841"/>
    <w:rsid w:val="00E428CB"/>
    <w:rsid w:val="00E429CE"/>
    <w:rsid w:val="00E42B70"/>
    <w:rsid w:val="00E42BBA"/>
    <w:rsid w:val="00E42CF6"/>
    <w:rsid w:val="00E42D58"/>
    <w:rsid w:val="00E42F4B"/>
    <w:rsid w:val="00E42FAB"/>
    <w:rsid w:val="00E43131"/>
    <w:rsid w:val="00E4316E"/>
    <w:rsid w:val="00E43279"/>
    <w:rsid w:val="00E43487"/>
    <w:rsid w:val="00E43A18"/>
    <w:rsid w:val="00E43C94"/>
    <w:rsid w:val="00E43CE8"/>
    <w:rsid w:val="00E44083"/>
    <w:rsid w:val="00E440F3"/>
    <w:rsid w:val="00E44111"/>
    <w:rsid w:val="00E442C4"/>
    <w:rsid w:val="00E442ED"/>
    <w:rsid w:val="00E443CD"/>
    <w:rsid w:val="00E4440B"/>
    <w:rsid w:val="00E44548"/>
    <w:rsid w:val="00E4486A"/>
    <w:rsid w:val="00E44B01"/>
    <w:rsid w:val="00E44BB5"/>
    <w:rsid w:val="00E44C42"/>
    <w:rsid w:val="00E44C70"/>
    <w:rsid w:val="00E44D11"/>
    <w:rsid w:val="00E450BF"/>
    <w:rsid w:val="00E452BA"/>
    <w:rsid w:val="00E453E2"/>
    <w:rsid w:val="00E454CF"/>
    <w:rsid w:val="00E45560"/>
    <w:rsid w:val="00E455B3"/>
    <w:rsid w:val="00E455EC"/>
    <w:rsid w:val="00E455F2"/>
    <w:rsid w:val="00E45661"/>
    <w:rsid w:val="00E456F5"/>
    <w:rsid w:val="00E45739"/>
    <w:rsid w:val="00E4575C"/>
    <w:rsid w:val="00E458AB"/>
    <w:rsid w:val="00E458F6"/>
    <w:rsid w:val="00E459EA"/>
    <w:rsid w:val="00E45AE7"/>
    <w:rsid w:val="00E45C25"/>
    <w:rsid w:val="00E45CC0"/>
    <w:rsid w:val="00E45E10"/>
    <w:rsid w:val="00E4609F"/>
    <w:rsid w:val="00E4620D"/>
    <w:rsid w:val="00E46403"/>
    <w:rsid w:val="00E467BB"/>
    <w:rsid w:val="00E46920"/>
    <w:rsid w:val="00E46A11"/>
    <w:rsid w:val="00E46A7F"/>
    <w:rsid w:val="00E46CF3"/>
    <w:rsid w:val="00E47005"/>
    <w:rsid w:val="00E4730A"/>
    <w:rsid w:val="00E47514"/>
    <w:rsid w:val="00E4761F"/>
    <w:rsid w:val="00E4767E"/>
    <w:rsid w:val="00E4790F"/>
    <w:rsid w:val="00E479D1"/>
    <w:rsid w:val="00E47AD1"/>
    <w:rsid w:val="00E47C8A"/>
    <w:rsid w:val="00E47D21"/>
    <w:rsid w:val="00E50175"/>
    <w:rsid w:val="00E504A3"/>
    <w:rsid w:val="00E505E7"/>
    <w:rsid w:val="00E5067D"/>
    <w:rsid w:val="00E50778"/>
    <w:rsid w:val="00E508C1"/>
    <w:rsid w:val="00E50A41"/>
    <w:rsid w:val="00E50A74"/>
    <w:rsid w:val="00E50A7E"/>
    <w:rsid w:val="00E50B55"/>
    <w:rsid w:val="00E50CD1"/>
    <w:rsid w:val="00E50D6C"/>
    <w:rsid w:val="00E50EB0"/>
    <w:rsid w:val="00E50F6F"/>
    <w:rsid w:val="00E510E8"/>
    <w:rsid w:val="00E510F4"/>
    <w:rsid w:val="00E51280"/>
    <w:rsid w:val="00E5136C"/>
    <w:rsid w:val="00E51377"/>
    <w:rsid w:val="00E5138F"/>
    <w:rsid w:val="00E514FB"/>
    <w:rsid w:val="00E51507"/>
    <w:rsid w:val="00E518C3"/>
    <w:rsid w:val="00E51980"/>
    <w:rsid w:val="00E519AA"/>
    <w:rsid w:val="00E51C6A"/>
    <w:rsid w:val="00E51CD0"/>
    <w:rsid w:val="00E51CF3"/>
    <w:rsid w:val="00E51D40"/>
    <w:rsid w:val="00E51D6E"/>
    <w:rsid w:val="00E51EBE"/>
    <w:rsid w:val="00E51F68"/>
    <w:rsid w:val="00E51FA2"/>
    <w:rsid w:val="00E5222F"/>
    <w:rsid w:val="00E52404"/>
    <w:rsid w:val="00E524E0"/>
    <w:rsid w:val="00E52526"/>
    <w:rsid w:val="00E52628"/>
    <w:rsid w:val="00E526F4"/>
    <w:rsid w:val="00E52936"/>
    <w:rsid w:val="00E529BC"/>
    <w:rsid w:val="00E52ADA"/>
    <w:rsid w:val="00E52B2D"/>
    <w:rsid w:val="00E52B99"/>
    <w:rsid w:val="00E52BB4"/>
    <w:rsid w:val="00E52C56"/>
    <w:rsid w:val="00E52D45"/>
    <w:rsid w:val="00E531F8"/>
    <w:rsid w:val="00E53496"/>
    <w:rsid w:val="00E534AA"/>
    <w:rsid w:val="00E535D4"/>
    <w:rsid w:val="00E5361C"/>
    <w:rsid w:val="00E537A9"/>
    <w:rsid w:val="00E5381F"/>
    <w:rsid w:val="00E53AE1"/>
    <w:rsid w:val="00E53CB5"/>
    <w:rsid w:val="00E53D04"/>
    <w:rsid w:val="00E53DC1"/>
    <w:rsid w:val="00E53E3C"/>
    <w:rsid w:val="00E53FFF"/>
    <w:rsid w:val="00E54214"/>
    <w:rsid w:val="00E54381"/>
    <w:rsid w:val="00E5438A"/>
    <w:rsid w:val="00E543D7"/>
    <w:rsid w:val="00E5441E"/>
    <w:rsid w:val="00E54433"/>
    <w:rsid w:val="00E544AD"/>
    <w:rsid w:val="00E544BD"/>
    <w:rsid w:val="00E5454A"/>
    <w:rsid w:val="00E54650"/>
    <w:rsid w:val="00E54797"/>
    <w:rsid w:val="00E547E2"/>
    <w:rsid w:val="00E5485D"/>
    <w:rsid w:val="00E54937"/>
    <w:rsid w:val="00E549CF"/>
    <w:rsid w:val="00E54AC2"/>
    <w:rsid w:val="00E54C57"/>
    <w:rsid w:val="00E54DD9"/>
    <w:rsid w:val="00E54EAA"/>
    <w:rsid w:val="00E54EAC"/>
    <w:rsid w:val="00E54EDE"/>
    <w:rsid w:val="00E54F13"/>
    <w:rsid w:val="00E54F34"/>
    <w:rsid w:val="00E550BB"/>
    <w:rsid w:val="00E554D2"/>
    <w:rsid w:val="00E5577B"/>
    <w:rsid w:val="00E55859"/>
    <w:rsid w:val="00E558E9"/>
    <w:rsid w:val="00E55A5D"/>
    <w:rsid w:val="00E55A8B"/>
    <w:rsid w:val="00E55BFA"/>
    <w:rsid w:val="00E55C6A"/>
    <w:rsid w:val="00E55F97"/>
    <w:rsid w:val="00E561FC"/>
    <w:rsid w:val="00E562EF"/>
    <w:rsid w:val="00E564ED"/>
    <w:rsid w:val="00E564EE"/>
    <w:rsid w:val="00E56509"/>
    <w:rsid w:val="00E56559"/>
    <w:rsid w:val="00E56592"/>
    <w:rsid w:val="00E56649"/>
    <w:rsid w:val="00E56749"/>
    <w:rsid w:val="00E56775"/>
    <w:rsid w:val="00E5695A"/>
    <w:rsid w:val="00E569F6"/>
    <w:rsid w:val="00E56AF4"/>
    <w:rsid w:val="00E56BF6"/>
    <w:rsid w:val="00E56CA1"/>
    <w:rsid w:val="00E56F84"/>
    <w:rsid w:val="00E57017"/>
    <w:rsid w:val="00E5705A"/>
    <w:rsid w:val="00E570A5"/>
    <w:rsid w:val="00E571D9"/>
    <w:rsid w:val="00E57502"/>
    <w:rsid w:val="00E575BF"/>
    <w:rsid w:val="00E5773E"/>
    <w:rsid w:val="00E579AB"/>
    <w:rsid w:val="00E579AE"/>
    <w:rsid w:val="00E57AB6"/>
    <w:rsid w:val="00E57B16"/>
    <w:rsid w:val="00E57BC4"/>
    <w:rsid w:val="00E57EE3"/>
    <w:rsid w:val="00E6001D"/>
    <w:rsid w:val="00E6020C"/>
    <w:rsid w:val="00E602BF"/>
    <w:rsid w:val="00E602FA"/>
    <w:rsid w:val="00E60427"/>
    <w:rsid w:val="00E60638"/>
    <w:rsid w:val="00E607FA"/>
    <w:rsid w:val="00E6089E"/>
    <w:rsid w:val="00E60AE1"/>
    <w:rsid w:val="00E60B34"/>
    <w:rsid w:val="00E60F7B"/>
    <w:rsid w:val="00E61145"/>
    <w:rsid w:val="00E611CB"/>
    <w:rsid w:val="00E611F3"/>
    <w:rsid w:val="00E61251"/>
    <w:rsid w:val="00E61276"/>
    <w:rsid w:val="00E612B2"/>
    <w:rsid w:val="00E615C1"/>
    <w:rsid w:val="00E619DC"/>
    <w:rsid w:val="00E61BF0"/>
    <w:rsid w:val="00E61D0A"/>
    <w:rsid w:val="00E61ED4"/>
    <w:rsid w:val="00E61F36"/>
    <w:rsid w:val="00E62056"/>
    <w:rsid w:val="00E621F2"/>
    <w:rsid w:val="00E62257"/>
    <w:rsid w:val="00E6233E"/>
    <w:rsid w:val="00E62515"/>
    <w:rsid w:val="00E62535"/>
    <w:rsid w:val="00E62576"/>
    <w:rsid w:val="00E626FE"/>
    <w:rsid w:val="00E6280D"/>
    <w:rsid w:val="00E6296E"/>
    <w:rsid w:val="00E629D8"/>
    <w:rsid w:val="00E629E8"/>
    <w:rsid w:val="00E62E23"/>
    <w:rsid w:val="00E62F5A"/>
    <w:rsid w:val="00E63054"/>
    <w:rsid w:val="00E630DF"/>
    <w:rsid w:val="00E632BC"/>
    <w:rsid w:val="00E632EA"/>
    <w:rsid w:val="00E63328"/>
    <w:rsid w:val="00E6358D"/>
    <w:rsid w:val="00E635BC"/>
    <w:rsid w:val="00E63676"/>
    <w:rsid w:val="00E636BA"/>
    <w:rsid w:val="00E636BF"/>
    <w:rsid w:val="00E636CA"/>
    <w:rsid w:val="00E638D8"/>
    <w:rsid w:val="00E639BC"/>
    <w:rsid w:val="00E639F6"/>
    <w:rsid w:val="00E63A55"/>
    <w:rsid w:val="00E63B10"/>
    <w:rsid w:val="00E63DB9"/>
    <w:rsid w:val="00E63DE1"/>
    <w:rsid w:val="00E640A1"/>
    <w:rsid w:val="00E64261"/>
    <w:rsid w:val="00E642D8"/>
    <w:rsid w:val="00E642EA"/>
    <w:rsid w:val="00E64305"/>
    <w:rsid w:val="00E6453D"/>
    <w:rsid w:val="00E64653"/>
    <w:rsid w:val="00E64BAC"/>
    <w:rsid w:val="00E64EA9"/>
    <w:rsid w:val="00E65220"/>
    <w:rsid w:val="00E6523B"/>
    <w:rsid w:val="00E652A0"/>
    <w:rsid w:val="00E65478"/>
    <w:rsid w:val="00E65491"/>
    <w:rsid w:val="00E654CA"/>
    <w:rsid w:val="00E656E8"/>
    <w:rsid w:val="00E65719"/>
    <w:rsid w:val="00E6588E"/>
    <w:rsid w:val="00E658B1"/>
    <w:rsid w:val="00E658E2"/>
    <w:rsid w:val="00E65C1D"/>
    <w:rsid w:val="00E65CC9"/>
    <w:rsid w:val="00E65F6C"/>
    <w:rsid w:val="00E65FF4"/>
    <w:rsid w:val="00E66011"/>
    <w:rsid w:val="00E66114"/>
    <w:rsid w:val="00E6627A"/>
    <w:rsid w:val="00E66354"/>
    <w:rsid w:val="00E66374"/>
    <w:rsid w:val="00E6639F"/>
    <w:rsid w:val="00E665CF"/>
    <w:rsid w:val="00E66637"/>
    <w:rsid w:val="00E6668F"/>
    <w:rsid w:val="00E66779"/>
    <w:rsid w:val="00E667B9"/>
    <w:rsid w:val="00E66829"/>
    <w:rsid w:val="00E668D1"/>
    <w:rsid w:val="00E6693E"/>
    <w:rsid w:val="00E66970"/>
    <w:rsid w:val="00E66A62"/>
    <w:rsid w:val="00E66B4D"/>
    <w:rsid w:val="00E66FE2"/>
    <w:rsid w:val="00E67158"/>
    <w:rsid w:val="00E67159"/>
    <w:rsid w:val="00E6740C"/>
    <w:rsid w:val="00E67602"/>
    <w:rsid w:val="00E67607"/>
    <w:rsid w:val="00E677BE"/>
    <w:rsid w:val="00E67954"/>
    <w:rsid w:val="00E67C09"/>
    <w:rsid w:val="00E67C92"/>
    <w:rsid w:val="00E67D26"/>
    <w:rsid w:val="00E70014"/>
    <w:rsid w:val="00E700E8"/>
    <w:rsid w:val="00E702D7"/>
    <w:rsid w:val="00E703DD"/>
    <w:rsid w:val="00E70597"/>
    <w:rsid w:val="00E7059C"/>
    <w:rsid w:val="00E707E2"/>
    <w:rsid w:val="00E709E5"/>
    <w:rsid w:val="00E70B27"/>
    <w:rsid w:val="00E70D44"/>
    <w:rsid w:val="00E70DB3"/>
    <w:rsid w:val="00E70DC5"/>
    <w:rsid w:val="00E70ECB"/>
    <w:rsid w:val="00E711D4"/>
    <w:rsid w:val="00E7124C"/>
    <w:rsid w:val="00E712CE"/>
    <w:rsid w:val="00E71480"/>
    <w:rsid w:val="00E7187B"/>
    <w:rsid w:val="00E719DF"/>
    <w:rsid w:val="00E71AC8"/>
    <w:rsid w:val="00E71B98"/>
    <w:rsid w:val="00E71DF9"/>
    <w:rsid w:val="00E71E6F"/>
    <w:rsid w:val="00E720C0"/>
    <w:rsid w:val="00E72136"/>
    <w:rsid w:val="00E721E3"/>
    <w:rsid w:val="00E723E8"/>
    <w:rsid w:val="00E7257D"/>
    <w:rsid w:val="00E7270A"/>
    <w:rsid w:val="00E7286F"/>
    <w:rsid w:val="00E728D3"/>
    <w:rsid w:val="00E729B5"/>
    <w:rsid w:val="00E729F4"/>
    <w:rsid w:val="00E72B2F"/>
    <w:rsid w:val="00E72B94"/>
    <w:rsid w:val="00E72FBC"/>
    <w:rsid w:val="00E731D5"/>
    <w:rsid w:val="00E73291"/>
    <w:rsid w:val="00E733FD"/>
    <w:rsid w:val="00E73437"/>
    <w:rsid w:val="00E73524"/>
    <w:rsid w:val="00E736F4"/>
    <w:rsid w:val="00E737B1"/>
    <w:rsid w:val="00E73B8E"/>
    <w:rsid w:val="00E73BE3"/>
    <w:rsid w:val="00E73C65"/>
    <w:rsid w:val="00E73D3F"/>
    <w:rsid w:val="00E73DD4"/>
    <w:rsid w:val="00E73E3F"/>
    <w:rsid w:val="00E73FC2"/>
    <w:rsid w:val="00E7419D"/>
    <w:rsid w:val="00E744A3"/>
    <w:rsid w:val="00E74573"/>
    <w:rsid w:val="00E74650"/>
    <w:rsid w:val="00E746C3"/>
    <w:rsid w:val="00E746CD"/>
    <w:rsid w:val="00E74799"/>
    <w:rsid w:val="00E748C4"/>
    <w:rsid w:val="00E7495C"/>
    <w:rsid w:val="00E74AD1"/>
    <w:rsid w:val="00E74D89"/>
    <w:rsid w:val="00E74E01"/>
    <w:rsid w:val="00E74E41"/>
    <w:rsid w:val="00E74F59"/>
    <w:rsid w:val="00E74F6C"/>
    <w:rsid w:val="00E74FF4"/>
    <w:rsid w:val="00E752D4"/>
    <w:rsid w:val="00E7534C"/>
    <w:rsid w:val="00E75358"/>
    <w:rsid w:val="00E75437"/>
    <w:rsid w:val="00E754F1"/>
    <w:rsid w:val="00E7561A"/>
    <w:rsid w:val="00E75902"/>
    <w:rsid w:val="00E75B13"/>
    <w:rsid w:val="00E75C08"/>
    <w:rsid w:val="00E75D5F"/>
    <w:rsid w:val="00E75E31"/>
    <w:rsid w:val="00E75E55"/>
    <w:rsid w:val="00E75FCE"/>
    <w:rsid w:val="00E7626A"/>
    <w:rsid w:val="00E76341"/>
    <w:rsid w:val="00E76501"/>
    <w:rsid w:val="00E76572"/>
    <w:rsid w:val="00E765C0"/>
    <w:rsid w:val="00E76762"/>
    <w:rsid w:val="00E76B5F"/>
    <w:rsid w:val="00E76D1C"/>
    <w:rsid w:val="00E76E17"/>
    <w:rsid w:val="00E76E89"/>
    <w:rsid w:val="00E76E98"/>
    <w:rsid w:val="00E76EAD"/>
    <w:rsid w:val="00E76F12"/>
    <w:rsid w:val="00E76FE8"/>
    <w:rsid w:val="00E76FFD"/>
    <w:rsid w:val="00E77192"/>
    <w:rsid w:val="00E771C5"/>
    <w:rsid w:val="00E7741D"/>
    <w:rsid w:val="00E77442"/>
    <w:rsid w:val="00E77454"/>
    <w:rsid w:val="00E77504"/>
    <w:rsid w:val="00E7790D"/>
    <w:rsid w:val="00E7798D"/>
    <w:rsid w:val="00E77AF9"/>
    <w:rsid w:val="00E77C66"/>
    <w:rsid w:val="00E77EFE"/>
    <w:rsid w:val="00E80305"/>
    <w:rsid w:val="00E803FE"/>
    <w:rsid w:val="00E80512"/>
    <w:rsid w:val="00E8083E"/>
    <w:rsid w:val="00E80943"/>
    <w:rsid w:val="00E809CB"/>
    <w:rsid w:val="00E809D3"/>
    <w:rsid w:val="00E80AD2"/>
    <w:rsid w:val="00E80B26"/>
    <w:rsid w:val="00E80BCC"/>
    <w:rsid w:val="00E80C1E"/>
    <w:rsid w:val="00E80F43"/>
    <w:rsid w:val="00E810BE"/>
    <w:rsid w:val="00E81251"/>
    <w:rsid w:val="00E81287"/>
    <w:rsid w:val="00E812D2"/>
    <w:rsid w:val="00E812E7"/>
    <w:rsid w:val="00E81590"/>
    <w:rsid w:val="00E81596"/>
    <w:rsid w:val="00E817F7"/>
    <w:rsid w:val="00E818D8"/>
    <w:rsid w:val="00E818EB"/>
    <w:rsid w:val="00E819D1"/>
    <w:rsid w:val="00E81AD8"/>
    <w:rsid w:val="00E81C60"/>
    <w:rsid w:val="00E81D20"/>
    <w:rsid w:val="00E81D83"/>
    <w:rsid w:val="00E81F17"/>
    <w:rsid w:val="00E81F3F"/>
    <w:rsid w:val="00E82118"/>
    <w:rsid w:val="00E822CF"/>
    <w:rsid w:val="00E82442"/>
    <w:rsid w:val="00E8247F"/>
    <w:rsid w:val="00E8283D"/>
    <w:rsid w:val="00E82B03"/>
    <w:rsid w:val="00E82CAF"/>
    <w:rsid w:val="00E82D03"/>
    <w:rsid w:val="00E82D66"/>
    <w:rsid w:val="00E82D77"/>
    <w:rsid w:val="00E82E51"/>
    <w:rsid w:val="00E82EF6"/>
    <w:rsid w:val="00E8327D"/>
    <w:rsid w:val="00E835ED"/>
    <w:rsid w:val="00E8360B"/>
    <w:rsid w:val="00E83757"/>
    <w:rsid w:val="00E838BE"/>
    <w:rsid w:val="00E838FA"/>
    <w:rsid w:val="00E83916"/>
    <w:rsid w:val="00E83920"/>
    <w:rsid w:val="00E83956"/>
    <w:rsid w:val="00E8395B"/>
    <w:rsid w:val="00E839D8"/>
    <w:rsid w:val="00E83AC8"/>
    <w:rsid w:val="00E83C33"/>
    <w:rsid w:val="00E83CA3"/>
    <w:rsid w:val="00E83D01"/>
    <w:rsid w:val="00E83D0B"/>
    <w:rsid w:val="00E83D79"/>
    <w:rsid w:val="00E83E56"/>
    <w:rsid w:val="00E83E8E"/>
    <w:rsid w:val="00E83F47"/>
    <w:rsid w:val="00E841C3"/>
    <w:rsid w:val="00E84292"/>
    <w:rsid w:val="00E84414"/>
    <w:rsid w:val="00E84435"/>
    <w:rsid w:val="00E8453B"/>
    <w:rsid w:val="00E845A5"/>
    <w:rsid w:val="00E845E0"/>
    <w:rsid w:val="00E8476D"/>
    <w:rsid w:val="00E849F9"/>
    <w:rsid w:val="00E849FD"/>
    <w:rsid w:val="00E84BA1"/>
    <w:rsid w:val="00E84FC3"/>
    <w:rsid w:val="00E8505D"/>
    <w:rsid w:val="00E85084"/>
    <w:rsid w:val="00E850DF"/>
    <w:rsid w:val="00E85108"/>
    <w:rsid w:val="00E8521F"/>
    <w:rsid w:val="00E8534E"/>
    <w:rsid w:val="00E8541D"/>
    <w:rsid w:val="00E8545F"/>
    <w:rsid w:val="00E855A9"/>
    <w:rsid w:val="00E8569B"/>
    <w:rsid w:val="00E8592C"/>
    <w:rsid w:val="00E8593A"/>
    <w:rsid w:val="00E85A79"/>
    <w:rsid w:val="00E85A99"/>
    <w:rsid w:val="00E85ABE"/>
    <w:rsid w:val="00E85C1B"/>
    <w:rsid w:val="00E85DDD"/>
    <w:rsid w:val="00E86267"/>
    <w:rsid w:val="00E8645E"/>
    <w:rsid w:val="00E86480"/>
    <w:rsid w:val="00E864B5"/>
    <w:rsid w:val="00E86519"/>
    <w:rsid w:val="00E86566"/>
    <w:rsid w:val="00E86649"/>
    <w:rsid w:val="00E86699"/>
    <w:rsid w:val="00E866ED"/>
    <w:rsid w:val="00E86786"/>
    <w:rsid w:val="00E867CC"/>
    <w:rsid w:val="00E8680C"/>
    <w:rsid w:val="00E86BCC"/>
    <w:rsid w:val="00E86D40"/>
    <w:rsid w:val="00E86EDE"/>
    <w:rsid w:val="00E86F06"/>
    <w:rsid w:val="00E870BD"/>
    <w:rsid w:val="00E87137"/>
    <w:rsid w:val="00E87195"/>
    <w:rsid w:val="00E872CA"/>
    <w:rsid w:val="00E872CD"/>
    <w:rsid w:val="00E872DB"/>
    <w:rsid w:val="00E8752F"/>
    <w:rsid w:val="00E87633"/>
    <w:rsid w:val="00E8763D"/>
    <w:rsid w:val="00E8783D"/>
    <w:rsid w:val="00E87856"/>
    <w:rsid w:val="00E8796E"/>
    <w:rsid w:val="00E87A71"/>
    <w:rsid w:val="00E87AEF"/>
    <w:rsid w:val="00E87BE7"/>
    <w:rsid w:val="00E87C8D"/>
    <w:rsid w:val="00E87CF1"/>
    <w:rsid w:val="00E87D11"/>
    <w:rsid w:val="00E87D8F"/>
    <w:rsid w:val="00E9007E"/>
    <w:rsid w:val="00E900E1"/>
    <w:rsid w:val="00E90347"/>
    <w:rsid w:val="00E903B1"/>
    <w:rsid w:val="00E904F7"/>
    <w:rsid w:val="00E905EA"/>
    <w:rsid w:val="00E906C0"/>
    <w:rsid w:val="00E907B4"/>
    <w:rsid w:val="00E90980"/>
    <w:rsid w:val="00E90D1D"/>
    <w:rsid w:val="00E90DE3"/>
    <w:rsid w:val="00E911DA"/>
    <w:rsid w:val="00E9120A"/>
    <w:rsid w:val="00E9123A"/>
    <w:rsid w:val="00E913F3"/>
    <w:rsid w:val="00E9142C"/>
    <w:rsid w:val="00E91509"/>
    <w:rsid w:val="00E9161C"/>
    <w:rsid w:val="00E917F0"/>
    <w:rsid w:val="00E91869"/>
    <w:rsid w:val="00E91883"/>
    <w:rsid w:val="00E91A60"/>
    <w:rsid w:val="00E91B1E"/>
    <w:rsid w:val="00E91C93"/>
    <w:rsid w:val="00E92486"/>
    <w:rsid w:val="00E92749"/>
    <w:rsid w:val="00E927B6"/>
    <w:rsid w:val="00E9288A"/>
    <w:rsid w:val="00E92958"/>
    <w:rsid w:val="00E92C8F"/>
    <w:rsid w:val="00E930A4"/>
    <w:rsid w:val="00E93158"/>
    <w:rsid w:val="00E931D7"/>
    <w:rsid w:val="00E932B4"/>
    <w:rsid w:val="00E932B7"/>
    <w:rsid w:val="00E935FD"/>
    <w:rsid w:val="00E93619"/>
    <w:rsid w:val="00E939C6"/>
    <w:rsid w:val="00E939FC"/>
    <w:rsid w:val="00E93C00"/>
    <w:rsid w:val="00E93C17"/>
    <w:rsid w:val="00E93C5B"/>
    <w:rsid w:val="00E93C65"/>
    <w:rsid w:val="00E93C6A"/>
    <w:rsid w:val="00E93E7D"/>
    <w:rsid w:val="00E9407D"/>
    <w:rsid w:val="00E940BC"/>
    <w:rsid w:val="00E940DC"/>
    <w:rsid w:val="00E94202"/>
    <w:rsid w:val="00E9444F"/>
    <w:rsid w:val="00E944E3"/>
    <w:rsid w:val="00E945D8"/>
    <w:rsid w:val="00E945F3"/>
    <w:rsid w:val="00E94747"/>
    <w:rsid w:val="00E9483F"/>
    <w:rsid w:val="00E94907"/>
    <w:rsid w:val="00E949BB"/>
    <w:rsid w:val="00E94CBE"/>
    <w:rsid w:val="00E95047"/>
    <w:rsid w:val="00E95076"/>
    <w:rsid w:val="00E950A8"/>
    <w:rsid w:val="00E950D8"/>
    <w:rsid w:val="00E95264"/>
    <w:rsid w:val="00E952D1"/>
    <w:rsid w:val="00E953DC"/>
    <w:rsid w:val="00E954A0"/>
    <w:rsid w:val="00E954B6"/>
    <w:rsid w:val="00E9567C"/>
    <w:rsid w:val="00E9575E"/>
    <w:rsid w:val="00E9577A"/>
    <w:rsid w:val="00E9591B"/>
    <w:rsid w:val="00E9597A"/>
    <w:rsid w:val="00E95AC6"/>
    <w:rsid w:val="00E95D4A"/>
    <w:rsid w:val="00E95DA6"/>
    <w:rsid w:val="00E95FA4"/>
    <w:rsid w:val="00E95FCF"/>
    <w:rsid w:val="00E960D0"/>
    <w:rsid w:val="00E960F4"/>
    <w:rsid w:val="00E96374"/>
    <w:rsid w:val="00E9638D"/>
    <w:rsid w:val="00E96660"/>
    <w:rsid w:val="00E969FA"/>
    <w:rsid w:val="00E96DAB"/>
    <w:rsid w:val="00E96E7B"/>
    <w:rsid w:val="00E96F75"/>
    <w:rsid w:val="00E970E1"/>
    <w:rsid w:val="00E971D6"/>
    <w:rsid w:val="00E975B8"/>
    <w:rsid w:val="00E97613"/>
    <w:rsid w:val="00E97784"/>
    <w:rsid w:val="00E97803"/>
    <w:rsid w:val="00E97831"/>
    <w:rsid w:val="00E97D83"/>
    <w:rsid w:val="00E97E83"/>
    <w:rsid w:val="00E97F58"/>
    <w:rsid w:val="00E97F5A"/>
    <w:rsid w:val="00EA028C"/>
    <w:rsid w:val="00EA0345"/>
    <w:rsid w:val="00EA05FB"/>
    <w:rsid w:val="00EA06B9"/>
    <w:rsid w:val="00EA0723"/>
    <w:rsid w:val="00EA074A"/>
    <w:rsid w:val="00EA0A8A"/>
    <w:rsid w:val="00EA0B24"/>
    <w:rsid w:val="00EA0C7B"/>
    <w:rsid w:val="00EA0D61"/>
    <w:rsid w:val="00EA124A"/>
    <w:rsid w:val="00EA14C5"/>
    <w:rsid w:val="00EA15BD"/>
    <w:rsid w:val="00EA1624"/>
    <w:rsid w:val="00EA1646"/>
    <w:rsid w:val="00EA16D7"/>
    <w:rsid w:val="00EA193C"/>
    <w:rsid w:val="00EA19BC"/>
    <w:rsid w:val="00EA1A4C"/>
    <w:rsid w:val="00EA1A9D"/>
    <w:rsid w:val="00EA1CD9"/>
    <w:rsid w:val="00EA1DCC"/>
    <w:rsid w:val="00EA1E58"/>
    <w:rsid w:val="00EA1E61"/>
    <w:rsid w:val="00EA20A5"/>
    <w:rsid w:val="00EA221B"/>
    <w:rsid w:val="00EA238C"/>
    <w:rsid w:val="00EA238E"/>
    <w:rsid w:val="00EA2622"/>
    <w:rsid w:val="00EA268D"/>
    <w:rsid w:val="00EA26EC"/>
    <w:rsid w:val="00EA2863"/>
    <w:rsid w:val="00EA2A1D"/>
    <w:rsid w:val="00EA2B19"/>
    <w:rsid w:val="00EA3214"/>
    <w:rsid w:val="00EA3229"/>
    <w:rsid w:val="00EA326C"/>
    <w:rsid w:val="00EA33F9"/>
    <w:rsid w:val="00EA37D5"/>
    <w:rsid w:val="00EA3CF8"/>
    <w:rsid w:val="00EA3EB8"/>
    <w:rsid w:val="00EA4076"/>
    <w:rsid w:val="00EA40BB"/>
    <w:rsid w:val="00EA411A"/>
    <w:rsid w:val="00EA4124"/>
    <w:rsid w:val="00EA419F"/>
    <w:rsid w:val="00EA41E7"/>
    <w:rsid w:val="00EA4208"/>
    <w:rsid w:val="00EA430B"/>
    <w:rsid w:val="00EA4736"/>
    <w:rsid w:val="00EA4778"/>
    <w:rsid w:val="00EA4C81"/>
    <w:rsid w:val="00EA4C9B"/>
    <w:rsid w:val="00EA4CB7"/>
    <w:rsid w:val="00EA4F96"/>
    <w:rsid w:val="00EA50A8"/>
    <w:rsid w:val="00EA50B0"/>
    <w:rsid w:val="00EA50B1"/>
    <w:rsid w:val="00EA530E"/>
    <w:rsid w:val="00EA5332"/>
    <w:rsid w:val="00EA5692"/>
    <w:rsid w:val="00EA5A34"/>
    <w:rsid w:val="00EA5B91"/>
    <w:rsid w:val="00EA5CA3"/>
    <w:rsid w:val="00EA5CAA"/>
    <w:rsid w:val="00EA5E3F"/>
    <w:rsid w:val="00EA6002"/>
    <w:rsid w:val="00EA6020"/>
    <w:rsid w:val="00EA6552"/>
    <w:rsid w:val="00EA668E"/>
    <w:rsid w:val="00EA669E"/>
    <w:rsid w:val="00EA681A"/>
    <w:rsid w:val="00EA6918"/>
    <w:rsid w:val="00EA69D2"/>
    <w:rsid w:val="00EA6AE0"/>
    <w:rsid w:val="00EA6B84"/>
    <w:rsid w:val="00EA6CAB"/>
    <w:rsid w:val="00EA6D8E"/>
    <w:rsid w:val="00EA6E8F"/>
    <w:rsid w:val="00EA7076"/>
    <w:rsid w:val="00EA7189"/>
    <w:rsid w:val="00EA71FB"/>
    <w:rsid w:val="00EA7257"/>
    <w:rsid w:val="00EA7339"/>
    <w:rsid w:val="00EA7372"/>
    <w:rsid w:val="00EA7398"/>
    <w:rsid w:val="00EA74CC"/>
    <w:rsid w:val="00EA758C"/>
    <w:rsid w:val="00EA7699"/>
    <w:rsid w:val="00EA76FB"/>
    <w:rsid w:val="00EA7761"/>
    <w:rsid w:val="00EA78D0"/>
    <w:rsid w:val="00EA7979"/>
    <w:rsid w:val="00EA7A81"/>
    <w:rsid w:val="00EA7C42"/>
    <w:rsid w:val="00EA7EB9"/>
    <w:rsid w:val="00EB007E"/>
    <w:rsid w:val="00EB01C6"/>
    <w:rsid w:val="00EB0220"/>
    <w:rsid w:val="00EB044E"/>
    <w:rsid w:val="00EB05CC"/>
    <w:rsid w:val="00EB0842"/>
    <w:rsid w:val="00EB08A4"/>
    <w:rsid w:val="00EB09A9"/>
    <w:rsid w:val="00EB0A02"/>
    <w:rsid w:val="00EB0A10"/>
    <w:rsid w:val="00EB0AC4"/>
    <w:rsid w:val="00EB0AE8"/>
    <w:rsid w:val="00EB0C29"/>
    <w:rsid w:val="00EB1203"/>
    <w:rsid w:val="00EB138F"/>
    <w:rsid w:val="00EB15E5"/>
    <w:rsid w:val="00EB174F"/>
    <w:rsid w:val="00EB18FD"/>
    <w:rsid w:val="00EB19F8"/>
    <w:rsid w:val="00EB1A95"/>
    <w:rsid w:val="00EB1C4C"/>
    <w:rsid w:val="00EB1FD6"/>
    <w:rsid w:val="00EB208F"/>
    <w:rsid w:val="00EB214D"/>
    <w:rsid w:val="00EB236F"/>
    <w:rsid w:val="00EB2384"/>
    <w:rsid w:val="00EB23F3"/>
    <w:rsid w:val="00EB248A"/>
    <w:rsid w:val="00EB27E5"/>
    <w:rsid w:val="00EB2B39"/>
    <w:rsid w:val="00EB2C0A"/>
    <w:rsid w:val="00EB2D52"/>
    <w:rsid w:val="00EB2D5A"/>
    <w:rsid w:val="00EB2D60"/>
    <w:rsid w:val="00EB3088"/>
    <w:rsid w:val="00EB31F0"/>
    <w:rsid w:val="00EB329F"/>
    <w:rsid w:val="00EB32B6"/>
    <w:rsid w:val="00EB33F5"/>
    <w:rsid w:val="00EB3446"/>
    <w:rsid w:val="00EB345E"/>
    <w:rsid w:val="00EB36CE"/>
    <w:rsid w:val="00EB37D6"/>
    <w:rsid w:val="00EB39BA"/>
    <w:rsid w:val="00EB3BE2"/>
    <w:rsid w:val="00EB3E0A"/>
    <w:rsid w:val="00EB4028"/>
    <w:rsid w:val="00EB415C"/>
    <w:rsid w:val="00EB425A"/>
    <w:rsid w:val="00EB4585"/>
    <w:rsid w:val="00EB458C"/>
    <w:rsid w:val="00EB45E2"/>
    <w:rsid w:val="00EB497F"/>
    <w:rsid w:val="00EB4B24"/>
    <w:rsid w:val="00EB5181"/>
    <w:rsid w:val="00EB51BE"/>
    <w:rsid w:val="00EB5264"/>
    <w:rsid w:val="00EB52CD"/>
    <w:rsid w:val="00EB554E"/>
    <w:rsid w:val="00EB599A"/>
    <w:rsid w:val="00EB5A34"/>
    <w:rsid w:val="00EB5A87"/>
    <w:rsid w:val="00EB5B67"/>
    <w:rsid w:val="00EB5BF6"/>
    <w:rsid w:val="00EB5CB5"/>
    <w:rsid w:val="00EB5CF3"/>
    <w:rsid w:val="00EB5DD8"/>
    <w:rsid w:val="00EB5DDE"/>
    <w:rsid w:val="00EB5E5D"/>
    <w:rsid w:val="00EB6213"/>
    <w:rsid w:val="00EB6235"/>
    <w:rsid w:val="00EB65B6"/>
    <w:rsid w:val="00EB6636"/>
    <w:rsid w:val="00EB66AD"/>
    <w:rsid w:val="00EB6812"/>
    <w:rsid w:val="00EB6B71"/>
    <w:rsid w:val="00EB6B89"/>
    <w:rsid w:val="00EB6C77"/>
    <w:rsid w:val="00EB6D43"/>
    <w:rsid w:val="00EB6F1B"/>
    <w:rsid w:val="00EB70DE"/>
    <w:rsid w:val="00EB714B"/>
    <w:rsid w:val="00EB7184"/>
    <w:rsid w:val="00EB722E"/>
    <w:rsid w:val="00EB788E"/>
    <w:rsid w:val="00EB792C"/>
    <w:rsid w:val="00EB7930"/>
    <w:rsid w:val="00EB7A03"/>
    <w:rsid w:val="00EB7D3E"/>
    <w:rsid w:val="00EB7DF3"/>
    <w:rsid w:val="00EB7E7E"/>
    <w:rsid w:val="00EC0215"/>
    <w:rsid w:val="00EC055B"/>
    <w:rsid w:val="00EC0568"/>
    <w:rsid w:val="00EC0595"/>
    <w:rsid w:val="00EC06FF"/>
    <w:rsid w:val="00EC078D"/>
    <w:rsid w:val="00EC0929"/>
    <w:rsid w:val="00EC096A"/>
    <w:rsid w:val="00EC0A0F"/>
    <w:rsid w:val="00EC0AE6"/>
    <w:rsid w:val="00EC0D1E"/>
    <w:rsid w:val="00EC0DFB"/>
    <w:rsid w:val="00EC0EF8"/>
    <w:rsid w:val="00EC1152"/>
    <w:rsid w:val="00EC1210"/>
    <w:rsid w:val="00EC122A"/>
    <w:rsid w:val="00EC13DC"/>
    <w:rsid w:val="00EC1406"/>
    <w:rsid w:val="00EC155D"/>
    <w:rsid w:val="00EC15D1"/>
    <w:rsid w:val="00EC15E1"/>
    <w:rsid w:val="00EC16E4"/>
    <w:rsid w:val="00EC17D5"/>
    <w:rsid w:val="00EC17E7"/>
    <w:rsid w:val="00EC19D4"/>
    <w:rsid w:val="00EC19F8"/>
    <w:rsid w:val="00EC1AE1"/>
    <w:rsid w:val="00EC1AFC"/>
    <w:rsid w:val="00EC1BC1"/>
    <w:rsid w:val="00EC1F05"/>
    <w:rsid w:val="00EC1F32"/>
    <w:rsid w:val="00EC1FCF"/>
    <w:rsid w:val="00EC2447"/>
    <w:rsid w:val="00EC24A2"/>
    <w:rsid w:val="00EC2545"/>
    <w:rsid w:val="00EC2569"/>
    <w:rsid w:val="00EC2648"/>
    <w:rsid w:val="00EC2837"/>
    <w:rsid w:val="00EC2A5B"/>
    <w:rsid w:val="00EC2B90"/>
    <w:rsid w:val="00EC2C34"/>
    <w:rsid w:val="00EC2D34"/>
    <w:rsid w:val="00EC2EEE"/>
    <w:rsid w:val="00EC2FC1"/>
    <w:rsid w:val="00EC2FFD"/>
    <w:rsid w:val="00EC320A"/>
    <w:rsid w:val="00EC326E"/>
    <w:rsid w:val="00EC33F7"/>
    <w:rsid w:val="00EC377B"/>
    <w:rsid w:val="00EC3798"/>
    <w:rsid w:val="00EC3950"/>
    <w:rsid w:val="00EC39BD"/>
    <w:rsid w:val="00EC3A1C"/>
    <w:rsid w:val="00EC3AFD"/>
    <w:rsid w:val="00EC3B08"/>
    <w:rsid w:val="00EC3C0D"/>
    <w:rsid w:val="00EC408D"/>
    <w:rsid w:val="00EC40AB"/>
    <w:rsid w:val="00EC43E9"/>
    <w:rsid w:val="00EC443A"/>
    <w:rsid w:val="00EC461A"/>
    <w:rsid w:val="00EC4628"/>
    <w:rsid w:val="00EC4859"/>
    <w:rsid w:val="00EC495D"/>
    <w:rsid w:val="00EC49E6"/>
    <w:rsid w:val="00EC4AAF"/>
    <w:rsid w:val="00EC4B1F"/>
    <w:rsid w:val="00EC4C3F"/>
    <w:rsid w:val="00EC4CC6"/>
    <w:rsid w:val="00EC4E5E"/>
    <w:rsid w:val="00EC507B"/>
    <w:rsid w:val="00EC529A"/>
    <w:rsid w:val="00EC5327"/>
    <w:rsid w:val="00EC5330"/>
    <w:rsid w:val="00EC5492"/>
    <w:rsid w:val="00EC55FD"/>
    <w:rsid w:val="00EC57B2"/>
    <w:rsid w:val="00EC5921"/>
    <w:rsid w:val="00EC5AA4"/>
    <w:rsid w:val="00EC5CA4"/>
    <w:rsid w:val="00EC5D73"/>
    <w:rsid w:val="00EC5F08"/>
    <w:rsid w:val="00EC5FA6"/>
    <w:rsid w:val="00EC615E"/>
    <w:rsid w:val="00EC6294"/>
    <w:rsid w:val="00EC6589"/>
    <w:rsid w:val="00EC65F3"/>
    <w:rsid w:val="00EC66D1"/>
    <w:rsid w:val="00EC6711"/>
    <w:rsid w:val="00EC6839"/>
    <w:rsid w:val="00EC68E6"/>
    <w:rsid w:val="00EC68F3"/>
    <w:rsid w:val="00EC6907"/>
    <w:rsid w:val="00EC6A6E"/>
    <w:rsid w:val="00EC6D7D"/>
    <w:rsid w:val="00EC704B"/>
    <w:rsid w:val="00EC768B"/>
    <w:rsid w:val="00EC7A6A"/>
    <w:rsid w:val="00EC7ABA"/>
    <w:rsid w:val="00EC7B6F"/>
    <w:rsid w:val="00EC7B99"/>
    <w:rsid w:val="00EC7C73"/>
    <w:rsid w:val="00EC7CAC"/>
    <w:rsid w:val="00EC7D16"/>
    <w:rsid w:val="00EC7D51"/>
    <w:rsid w:val="00EC7EC6"/>
    <w:rsid w:val="00ED00DC"/>
    <w:rsid w:val="00ED02DF"/>
    <w:rsid w:val="00ED0311"/>
    <w:rsid w:val="00ED0837"/>
    <w:rsid w:val="00ED0933"/>
    <w:rsid w:val="00ED0A4E"/>
    <w:rsid w:val="00ED0AE0"/>
    <w:rsid w:val="00ED0B3A"/>
    <w:rsid w:val="00ED0C6C"/>
    <w:rsid w:val="00ED0D9E"/>
    <w:rsid w:val="00ED0ED6"/>
    <w:rsid w:val="00ED0F18"/>
    <w:rsid w:val="00ED0FA1"/>
    <w:rsid w:val="00ED10EB"/>
    <w:rsid w:val="00ED10F0"/>
    <w:rsid w:val="00ED1226"/>
    <w:rsid w:val="00ED123E"/>
    <w:rsid w:val="00ED1427"/>
    <w:rsid w:val="00ED1488"/>
    <w:rsid w:val="00ED150D"/>
    <w:rsid w:val="00ED15DD"/>
    <w:rsid w:val="00ED1732"/>
    <w:rsid w:val="00ED1ACC"/>
    <w:rsid w:val="00ED1B5D"/>
    <w:rsid w:val="00ED1C76"/>
    <w:rsid w:val="00ED1CAA"/>
    <w:rsid w:val="00ED1DE7"/>
    <w:rsid w:val="00ED1E56"/>
    <w:rsid w:val="00ED204F"/>
    <w:rsid w:val="00ED20B9"/>
    <w:rsid w:val="00ED22F8"/>
    <w:rsid w:val="00ED25EE"/>
    <w:rsid w:val="00ED26E2"/>
    <w:rsid w:val="00ED2766"/>
    <w:rsid w:val="00ED2A9A"/>
    <w:rsid w:val="00ED2B2F"/>
    <w:rsid w:val="00ED2B92"/>
    <w:rsid w:val="00ED2CCF"/>
    <w:rsid w:val="00ED2CD0"/>
    <w:rsid w:val="00ED2DC0"/>
    <w:rsid w:val="00ED2E0E"/>
    <w:rsid w:val="00ED2FAE"/>
    <w:rsid w:val="00ED2FEF"/>
    <w:rsid w:val="00ED314B"/>
    <w:rsid w:val="00ED31AC"/>
    <w:rsid w:val="00ED323E"/>
    <w:rsid w:val="00ED33A4"/>
    <w:rsid w:val="00ED33CF"/>
    <w:rsid w:val="00ED34A6"/>
    <w:rsid w:val="00ED355A"/>
    <w:rsid w:val="00ED3571"/>
    <w:rsid w:val="00ED372E"/>
    <w:rsid w:val="00ED383E"/>
    <w:rsid w:val="00ED388A"/>
    <w:rsid w:val="00ED3CFC"/>
    <w:rsid w:val="00ED3D72"/>
    <w:rsid w:val="00ED3EEF"/>
    <w:rsid w:val="00ED4022"/>
    <w:rsid w:val="00ED4026"/>
    <w:rsid w:val="00ED41EE"/>
    <w:rsid w:val="00ED430C"/>
    <w:rsid w:val="00ED437A"/>
    <w:rsid w:val="00ED438E"/>
    <w:rsid w:val="00ED43FF"/>
    <w:rsid w:val="00ED4427"/>
    <w:rsid w:val="00ED47CA"/>
    <w:rsid w:val="00ED4A56"/>
    <w:rsid w:val="00ED4BED"/>
    <w:rsid w:val="00ED4CDF"/>
    <w:rsid w:val="00ED4D4A"/>
    <w:rsid w:val="00ED4E8D"/>
    <w:rsid w:val="00ED4E9E"/>
    <w:rsid w:val="00ED4EEE"/>
    <w:rsid w:val="00ED50EF"/>
    <w:rsid w:val="00ED53B2"/>
    <w:rsid w:val="00ED54F3"/>
    <w:rsid w:val="00ED5510"/>
    <w:rsid w:val="00ED5528"/>
    <w:rsid w:val="00ED562C"/>
    <w:rsid w:val="00ED562F"/>
    <w:rsid w:val="00ED563C"/>
    <w:rsid w:val="00ED5700"/>
    <w:rsid w:val="00ED571F"/>
    <w:rsid w:val="00ED58BA"/>
    <w:rsid w:val="00ED5961"/>
    <w:rsid w:val="00ED5A15"/>
    <w:rsid w:val="00ED5B37"/>
    <w:rsid w:val="00ED5B9D"/>
    <w:rsid w:val="00ED5C3E"/>
    <w:rsid w:val="00ED5D0C"/>
    <w:rsid w:val="00ED5D52"/>
    <w:rsid w:val="00ED5DFE"/>
    <w:rsid w:val="00ED5E1A"/>
    <w:rsid w:val="00ED5E49"/>
    <w:rsid w:val="00ED5F29"/>
    <w:rsid w:val="00ED5F5A"/>
    <w:rsid w:val="00ED5F9E"/>
    <w:rsid w:val="00ED5FE0"/>
    <w:rsid w:val="00ED603E"/>
    <w:rsid w:val="00ED60CC"/>
    <w:rsid w:val="00ED6198"/>
    <w:rsid w:val="00ED61EA"/>
    <w:rsid w:val="00ED6218"/>
    <w:rsid w:val="00ED641A"/>
    <w:rsid w:val="00ED65D9"/>
    <w:rsid w:val="00ED663E"/>
    <w:rsid w:val="00ED6996"/>
    <w:rsid w:val="00ED71AF"/>
    <w:rsid w:val="00ED73B8"/>
    <w:rsid w:val="00ED7424"/>
    <w:rsid w:val="00ED7710"/>
    <w:rsid w:val="00ED77BC"/>
    <w:rsid w:val="00ED77BE"/>
    <w:rsid w:val="00ED782A"/>
    <w:rsid w:val="00ED7AAD"/>
    <w:rsid w:val="00ED7CE3"/>
    <w:rsid w:val="00ED7D07"/>
    <w:rsid w:val="00ED7EB1"/>
    <w:rsid w:val="00ED7EBC"/>
    <w:rsid w:val="00ED7EF9"/>
    <w:rsid w:val="00ED7F73"/>
    <w:rsid w:val="00ED7F9B"/>
    <w:rsid w:val="00EE0289"/>
    <w:rsid w:val="00EE0365"/>
    <w:rsid w:val="00EE0459"/>
    <w:rsid w:val="00EE0504"/>
    <w:rsid w:val="00EE050D"/>
    <w:rsid w:val="00EE08A8"/>
    <w:rsid w:val="00EE0C33"/>
    <w:rsid w:val="00EE0CBD"/>
    <w:rsid w:val="00EE0CED"/>
    <w:rsid w:val="00EE0DBC"/>
    <w:rsid w:val="00EE0F0C"/>
    <w:rsid w:val="00EE0F47"/>
    <w:rsid w:val="00EE1181"/>
    <w:rsid w:val="00EE126D"/>
    <w:rsid w:val="00EE1333"/>
    <w:rsid w:val="00EE135F"/>
    <w:rsid w:val="00EE1506"/>
    <w:rsid w:val="00EE1933"/>
    <w:rsid w:val="00EE1A58"/>
    <w:rsid w:val="00EE1A9F"/>
    <w:rsid w:val="00EE1BC9"/>
    <w:rsid w:val="00EE1F69"/>
    <w:rsid w:val="00EE20C4"/>
    <w:rsid w:val="00EE20D1"/>
    <w:rsid w:val="00EE21E5"/>
    <w:rsid w:val="00EE2285"/>
    <w:rsid w:val="00EE23C0"/>
    <w:rsid w:val="00EE241A"/>
    <w:rsid w:val="00EE244B"/>
    <w:rsid w:val="00EE2500"/>
    <w:rsid w:val="00EE260D"/>
    <w:rsid w:val="00EE2673"/>
    <w:rsid w:val="00EE26E8"/>
    <w:rsid w:val="00EE2904"/>
    <w:rsid w:val="00EE294F"/>
    <w:rsid w:val="00EE2A7F"/>
    <w:rsid w:val="00EE2C88"/>
    <w:rsid w:val="00EE2DAF"/>
    <w:rsid w:val="00EE2DE5"/>
    <w:rsid w:val="00EE302B"/>
    <w:rsid w:val="00EE3260"/>
    <w:rsid w:val="00EE32BF"/>
    <w:rsid w:val="00EE343B"/>
    <w:rsid w:val="00EE34C4"/>
    <w:rsid w:val="00EE3507"/>
    <w:rsid w:val="00EE368F"/>
    <w:rsid w:val="00EE3D00"/>
    <w:rsid w:val="00EE3D04"/>
    <w:rsid w:val="00EE3E03"/>
    <w:rsid w:val="00EE3E4A"/>
    <w:rsid w:val="00EE4001"/>
    <w:rsid w:val="00EE4019"/>
    <w:rsid w:val="00EE40AC"/>
    <w:rsid w:val="00EE41F3"/>
    <w:rsid w:val="00EE460F"/>
    <w:rsid w:val="00EE4884"/>
    <w:rsid w:val="00EE4909"/>
    <w:rsid w:val="00EE4A3A"/>
    <w:rsid w:val="00EE4B0F"/>
    <w:rsid w:val="00EE4B42"/>
    <w:rsid w:val="00EE4CF3"/>
    <w:rsid w:val="00EE4E3A"/>
    <w:rsid w:val="00EE4ECD"/>
    <w:rsid w:val="00EE4F8D"/>
    <w:rsid w:val="00EE501E"/>
    <w:rsid w:val="00EE5148"/>
    <w:rsid w:val="00EE514E"/>
    <w:rsid w:val="00EE52CB"/>
    <w:rsid w:val="00EE5492"/>
    <w:rsid w:val="00EE55A2"/>
    <w:rsid w:val="00EE561D"/>
    <w:rsid w:val="00EE593D"/>
    <w:rsid w:val="00EE5974"/>
    <w:rsid w:val="00EE5A63"/>
    <w:rsid w:val="00EE5D94"/>
    <w:rsid w:val="00EE5EE2"/>
    <w:rsid w:val="00EE61AC"/>
    <w:rsid w:val="00EE6227"/>
    <w:rsid w:val="00EE6393"/>
    <w:rsid w:val="00EE639C"/>
    <w:rsid w:val="00EE63F8"/>
    <w:rsid w:val="00EE662C"/>
    <w:rsid w:val="00EE66F8"/>
    <w:rsid w:val="00EE67B5"/>
    <w:rsid w:val="00EE692B"/>
    <w:rsid w:val="00EE69BA"/>
    <w:rsid w:val="00EE6A8E"/>
    <w:rsid w:val="00EE6B3E"/>
    <w:rsid w:val="00EE6B4E"/>
    <w:rsid w:val="00EE6B6E"/>
    <w:rsid w:val="00EE6BD9"/>
    <w:rsid w:val="00EE6DCD"/>
    <w:rsid w:val="00EE6F7C"/>
    <w:rsid w:val="00EE710A"/>
    <w:rsid w:val="00EE71C4"/>
    <w:rsid w:val="00EE73EA"/>
    <w:rsid w:val="00EE7443"/>
    <w:rsid w:val="00EE744E"/>
    <w:rsid w:val="00EE76B9"/>
    <w:rsid w:val="00EE77D9"/>
    <w:rsid w:val="00EE78A7"/>
    <w:rsid w:val="00EE7B3F"/>
    <w:rsid w:val="00EE7F97"/>
    <w:rsid w:val="00EF0118"/>
    <w:rsid w:val="00EF0271"/>
    <w:rsid w:val="00EF04A6"/>
    <w:rsid w:val="00EF04DE"/>
    <w:rsid w:val="00EF05EB"/>
    <w:rsid w:val="00EF0613"/>
    <w:rsid w:val="00EF0633"/>
    <w:rsid w:val="00EF0705"/>
    <w:rsid w:val="00EF074B"/>
    <w:rsid w:val="00EF0886"/>
    <w:rsid w:val="00EF08E9"/>
    <w:rsid w:val="00EF0BB3"/>
    <w:rsid w:val="00EF0BBF"/>
    <w:rsid w:val="00EF0DA8"/>
    <w:rsid w:val="00EF0FA3"/>
    <w:rsid w:val="00EF10B1"/>
    <w:rsid w:val="00EF10CD"/>
    <w:rsid w:val="00EF1226"/>
    <w:rsid w:val="00EF133A"/>
    <w:rsid w:val="00EF192B"/>
    <w:rsid w:val="00EF1AE3"/>
    <w:rsid w:val="00EF1B76"/>
    <w:rsid w:val="00EF1CBA"/>
    <w:rsid w:val="00EF1DCB"/>
    <w:rsid w:val="00EF1EE7"/>
    <w:rsid w:val="00EF244D"/>
    <w:rsid w:val="00EF2541"/>
    <w:rsid w:val="00EF2546"/>
    <w:rsid w:val="00EF2588"/>
    <w:rsid w:val="00EF259A"/>
    <w:rsid w:val="00EF25D9"/>
    <w:rsid w:val="00EF262B"/>
    <w:rsid w:val="00EF2876"/>
    <w:rsid w:val="00EF29CD"/>
    <w:rsid w:val="00EF2A4E"/>
    <w:rsid w:val="00EF2AE2"/>
    <w:rsid w:val="00EF2B46"/>
    <w:rsid w:val="00EF2D2E"/>
    <w:rsid w:val="00EF2EAE"/>
    <w:rsid w:val="00EF308A"/>
    <w:rsid w:val="00EF30BB"/>
    <w:rsid w:val="00EF30E6"/>
    <w:rsid w:val="00EF3117"/>
    <w:rsid w:val="00EF3373"/>
    <w:rsid w:val="00EF3385"/>
    <w:rsid w:val="00EF3464"/>
    <w:rsid w:val="00EF34C2"/>
    <w:rsid w:val="00EF356F"/>
    <w:rsid w:val="00EF35AB"/>
    <w:rsid w:val="00EF35D2"/>
    <w:rsid w:val="00EF3656"/>
    <w:rsid w:val="00EF375B"/>
    <w:rsid w:val="00EF377A"/>
    <w:rsid w:val="00EF383B"/>
    <w:rsid w:val="00EF3B74"/>
    <w:rsid w:val="00EF3BE5"/>
    <w:rsid w:val="00EF3C6A"/>
    <w:rsid w:val="00EF3D09"/>
    <w:rsid w:val="00EF3D32"/>
    <w:rsid w:val="00EF3E72"/>
    <w:rsid w:val="00EF3F52"/>
    <w:rsid w:val="00EF41DE"/>
    <w:rsid w:val="00EF42EC"/>
    <w:rsid w:val="00EF453B"/>
    <w:rsid w:val="00EF456E"/>
    <w:rsid w:val="00EF45B7"/>
    <w:rsid w:val="00EF4985"/>
    <w:rsid w:val="00EF4997"/>
    <w:rsid w:val="00EF4A0C"/>
    <w:rsid w:val="00EF4AA8"/>
    <w:rsid w:val="00EF4D28"/>
    <w:rsid w:val="00EF4DF2"/>
    <w:rsid w:val="00EF4F1A"/>
    <w:rsid w:val="00EF5058"/>
    <w:rsid w:val="00EF5112"/>
    <w:rsid w:val="00EF53C1"/>
    <w:rsid w:val="00EF5605"/>
    <w:rsid w:val="00EF5807"/>
    <w:rsid w:val="00EF58E2"/>
    <w:rsid w:val="00EF5A7A"/>
    <w:rsid w:val="00EF5B1A"/>
    <w:rsid w:val="00EF5B3A"/>
    <w:rsid w:val="00EF5C6B"/>
    <w:rsid w:val="00EF5C6C"/>
    <w:rsid w:val="00EF5CCA"/>
    <w:rsid w:val="00EF5DD4"/>
    <w:rsid w:val="00EF5E15"/>
    <w:rsid w:val="00EF5FD5"/>
    <w:rsid w:val="00EF6011"/>
    <w:rsid w:val="00EF60DC"/>
    <w:rsid w:val="00EF614C"/>
    <w:rsid w:val="00EF640A"/>
    <w:rsid w:val="00EF64CC"/>
    <w:rsid w:val="00EF6554"/>
    <w:rsid w:val="00EF6600"/>
    <w:rsid w:val="00EF6742"/>
    <w:rsid w:val="00EF68C9"/>
    <w:rsid w:val="00EF6AF3"/>
    <w:rsid w:val="00EF6E7E"/>
    <w:rsid w:val="00EF6F9E"/>
    <w:rsid w:val="00EF7001"/>
    <w:rsid w:val="00EF7072"/>
    <w:rsid w:val="00EF719B"/>
    <w:rsid w:val="00EF71A5"/>
    <w:rsid w:val="00EF71BF"/>
    <w:rsid w:val="00EF72F4"/>
    <w:rsid w:val="00EF7379"/>
    <w:rsid w:val="00EF758F"/>
    <w:rsid w:val="00EF759F"/>
    <w:rsid w:val="00EF7619"/>
    <w:rsid w:val="00EF7745"/>
    <w:rsid w:val="00EF7763"/>
    <w:rsid w:val="00EF77EE"/>
    <w:rsid w:val="00EF7969"/>
    <w:rsid w:val="00EF7A63"/>
    <w:rsid w:val="00EF7D83"/>
    <w:rsid w:val="00EF7E7E"/>
    <w:rsid w:val="00EF7EC9"/>
    <w:rsid w:val="00EF7F46"/>
    <w:rsid w:val="00EF7F7F"/>
    <w:rsid w:val="00F0018A"/>
    <w:rsid w:val="00F00449"/>
    <w:rsid w:val="00F00600"/>
    <w:rsid w:val="00F006DB"/>
    <w:rsid w:val="00F009A8"/>
    <w:rsid w:val="00F00A57"/>
    <w:rsid w:val="00F00B64"/>
    <w:rsid w:val="00F00C32"/>
    <w:rsid w:val="00F00CFD"/>
    <w:rsid w:val="00F00D04"/>
    <w:rsid w:val="00F00FAD"/>
    <w:rsid w:val="00F01063"/>
    <w:rsid w:val="00F01172"/>
    <w:rsid w:val="00F01177"/>
    <w:rsid w:val="00F0132A"/>
    <w:rsid w:val="00F0143E"/>
    <w:rsid w:val="00F01484"/>
    <w:rsid w:val="00F014DE"/>
    <w:rsid w:val="00F016B3"/>
    <w:rsid w:val="00F017F9"/>
    <w:rsid w:val="00F01950"/>
    <w:rsid w:val="00F01BDB"/>
    <w:rsid w:val="00F02299"/>
    <w:rsid w:val="00F0250A"/>
    <w:rsid w:val="00F02639"/>
    <w:rsid w:val="00F027FE"/>
    <w:rsid w:val="00F02850"/>
    <w:rsid w:val="00F02B2E"/>
    <w:rsid w:val="00F02BA6"/>
    <w:rsid w:val="00F02C60"/>
    <w:rsid w:val="00F02EC7"/>
    <w:rsid w:val="00F02FF1"/>
    <w:rsid w:val="00F030D4"/>
    <w:rsid w:val="00F030F8"/>
    <w:rsid w:val="00F0372C"/>
    <w:rsid w:val="00F037AB"/>
    <w:rsid w:val="00F037D0"/>
    <w:rsid w:val="00F03A2D"/>
    <w:rsid w:val="00F03D49"/>
    <w:rsid w:val="00F03D55"/>
    <w:rsid w:val="00F0412A"/>
    <w:rsid w:val="00F041C1"/>
    <w:rsid w:val="00F041E2"/>
    <w:rsid w:val="00F04296"/>
    <w:rsid w:val="00F04392"/>
    <w:rsid w:val="00F04439"/>
    <w:rsid w:val="00F0451A"/>
    <w:rsid w:val="00F04851"/>
    <w:rsid w:val="00F04873"/>
    <w:rsid w:val="00F04AB4"/>
    <w:rsid w:val="00F04AF0"/>
    <w:rsid w:val="00F04B70"/>
    <w:rsid w:val="00F04B78"/>
    <w:rsid w:val="00F04D5D"/>
    <w:rsid w:val="00F04D60"/>
    <w:rsid w:val="00F04DAD"/>
    <w:rsid w:val="00F04DD8"/>
    <w:rsid w:val="00F04E21"/>
    <w:rsid w:val="00F04E33"/>
    <w:rsid w:val="00F04E57"/>
    <w:rsid w:val="00F04EA2"/>
    <w:rsid w:val="00F04EAE"/>
    <w:rsid w:val="00F04F4F"/>
    <w:rsid w:val="00F050E8"/>
    <w:rsid w:val="00F052F0"/>
    <w:rsid w:val="00F05457"/>
    <w:rsid w:val="00F0549B"/>
    <w:rsid w:val="00F05580"/>
    <w:rsid w:val="00F05723"/>
    <w:rsid w:val="00F05A9D"/>
    <w:rsid w:val="00F05C76"/>
    <w:rsid w:val="00F05D7B"/>
    <w:rsid w:val="00F05E7E"/>
    <w:rsid w:val="00F0600F"/>
    <w:rsid w:val="00F06010"/>
    <w:rsid w:val="00F061E5"/>
    <w:rsid w:val="00F062F1"/>
    <w:rsid w:val="00F064F2"/>
    <w:rsid w:val="00F065F3"/>
    <w:rsid w:val="00F06698"/>
    <w:rsid w:val="00F066D5"/>
    <w:rsid w:val="00F068BC"/>
    <w:rsid w:val="00F06B81"/>
    <w:rsid w:val="00F06BA6"/>
    <w:rsid w:val="00F06CB6"/>
    <w:rsid w:val="00F06D69"/>
    <w:rsid w:val="00F06E20"/>
    <w:rsid w:val="00F06E35"/>
    <w:rsid w:val="00F06ED9"/>
    <w:rsid w:val="00F07279"/>
    <w:rsid w:val="00F0733D"/>
    <w:rsid w:val="00F0765E"/>
    <w:rsid w:val="00F0775B"/>
    <w:rsid w:val="00F078AA"/>
    <w:rsid w:val="00F078BC"/>
    <w:rsid w:val="00F07905"/>
    <w:rsid w:val="00F07A40"/>
    <w:rsid w:val="00F07B64"/>
    <w:rsid w:val="00F07C5D"/>
    <w:rsid w:val="00F07ED8"/>
    <w:rsid w:val="00F07EFB"/>
    <w:rsid w:val="00F07F9E"/>
    <w:rsid w:val="00F07FCF"/>
    <w:rsid w:val="00F100B3"/>
    <w:rsid w:val="00F101E5"/>
    <w:rsid w:val="00F1036B"/>
    <w:rsid w:val="00F1037C"/>
    <w:rsid w:val="00F103C1"/>
    <w:rsid w:val="00F1049F"/>
    <w:rsid w:val="00F10618"/>
    <w:rsid w:val="00F107DC"/>
    <w:rsid w:val="00F1080F"/>
    <w:rsid w:val="00F10846"/>
    <w:rsid w:val="00F10D04"/>
    <w:rsid w:val="00F10D50"/>
    <w:rsid w:val="00F10D60"/>
    <w:rsid w:val="00F10FC9"/>
    <w:rsid w:val="00F11128"/>
    <w:rsid w:val="00F111D4"/>
    <w:rsid w:val="00F112A5"/>
    <w:rsid w:val="00F1134D"/>
    <w:rsid w:val="00F113E9"/>
    <w:rsid w:val="00F11404"/>
    <w:rsid w:val="00F115BE"/>
    <w:rsid w:val="00F118C1"/>
    <w:rsid w:val="00F11AB9"/>
    <w:rsid w:val="00F11B03"/>
    <w:rsid w:val="00F12266"/>
    <w:rsid w:val="00F1239A"/>
    <w:rsid w:val="00F1258B"/>
    <w:rsid w:val="00F12621"/>
    <w:rsid w:val="00F1284F"/>
    <w:rsid w:val="00F128AA"/>
    <w:rsid w:val="00F12A01"/>
    <w:rsid w:val="00F12AED"/>
    <w:rsid w:val="00F12B23"/>
    <w:rsid w:val="00F12D3F"/>
    <w:rsid w:val="00F12FC7"/>
    <w:rsid w:val="00F13237"/>
    <w:rsid w:val="00F132EE"/>
    <w:rsid w:val="00F137A0"/>
    <w:rsid w:val="00F137F7"/>
    <w:rsid w:val="00F13A23"/>
    <w:rsid w:val="00F13ACE"/>
    <w:rsid w:val="00F13D8A"/>
    <w:rsid w:val="00F13DAA"/>
    <w:rsid w:val="00F13EF3"/>
    <w:rsid w:val="00F14029"/>
    <w:rsid w:val="00F140B5"/>
    <w:rsid w:val="00F14216"/>
    <w:rsid w:val="00F143A8"/>
    <w:rsid w:val="00F14550"/>
    <w:rsid w:val="00F14572"/>
    <w:rsid w:val="00F14743"/>
    <w:rsid w:val="00F14923"/>
    <w:rsid w:val="00F1499F"/>
    <w:rsid w:val="00F14D0C"/>
    <w:rsid w:val="00F151DE"/>
    <w:rsid w:val="00F1526B"/>
    <w:rsid w:val="00F15718"/>
    <w:rsid w:val="00F15894"/>
    <w:rsid w:val="00F15907"/>
    <w:rsid w:val="00F15D37"/>
    <w:rsid w:val="00F15D52"/>
    <w:rsid w:val="00F15E59"/>
    <w:rsid w:val="00F15FAA"/>
    <w:rsid w:val="00F161BA"/>
    <w:rsid w:val="00F162DD"/>
    <w:rsid w:val="00F168D4"/>
    <w:rsid w:val="00F16932"/>
    <w:rsid w:val="00F16A83"/>
    <w:rsid w:val="00F16ADA"/>
    <w:rsid w:val="00F16DB0"/>
    <w:rsid w:val="00F16E8B"/>
    <w:rsid w:val="00F17009"/>
    <w:rsid w:val="00F1707B"/>
    <w:rsid w:val="00F1752B"/>
    <w:rsid w:val="00F17898"/>
    <w:rsid w:val="00F17991"/>
    <w:rsid w:val="00F17AA7"/>
    <w:rsid w:val="00F17B25"/>
    <w:rsid w:val="00F17D75"/>
    <w:rsid w:val="00F17E52"/>
    <w:rsid w:val="00F17F55"/>
    <w:rsid w:val="00F20279"/>
    <w:rsid w:val="00F2045C"/>
    <w:rsid w:val="00F205F4"/>
    <w:rsid w:val="00F20661"/>
    <w:rsid w:val="00F207E2"/>
    <w:rsid w:val="00F2083A"/>
    <w:rsid w:val="00F20877"/>
    <w:rsid w:val="00F208FA"/>
    <w:rsid w:val="00F209D9"/>
    <w:rsid w:val="00F209DC"/>
    <w:rsid w:val="00F20A2B"/>
    <w:rsid w:val="00F20B00"/>
    <w:rsid w:val="00F20B3E"/>
    <w:rsid w:val="00F20CA4"/>
    <w:rsid w:val="00F20FFB"/>
    <w:rsid w:val="00F21109"/>
    <w:rsid w:val="00F211B0"/>
    <w:rsid w:val="00F21354"/>
    <w:rsid w:val="00F21429"/>
    <w:rsid w:val="00F2155F"/>
    <w:rsid w:val="00F215EB"/>
    <w:rsid w:val="00F2166B"/>
    <w:rsid w:val="00F21788"/>
    <w:rsid w:val="00F2180F"/>
    <w:rsid w:val="00F218E8"/>
    <w:rsid w:val="00F2199B"/>
    <w:rsid w:val="00F21BFF"/>
    <w:rsid w:val="00F21CD8"/>
    <w:rsid w:val="00F21E07"/>
    <w:rsid w:val="00F21E7E"/>
    <w:rsid w:val="00F21F16"/>
    <w:rsid w:val="00F22060"/>
    <w:rsid w:val="00F22072"/>
    <w:rsid w:val="00F22295"/>
    <w:rsid w:val="00F222A7"/>
    <w:rsid w:val="00F222C6"/>
    <w:rsid w:val="00F222F6"/>
    <w:rsid w:val="00F223C5"/>
    <w:rsid w:val="00F223E1"/>
    <w:rsid w:val="00F226BB"/>
    <w:rsid w:val="00F22737"/>
    <w:rsid w:val="00F22A87"/>
    <w:rsid w:val="00F22A93"/>
    <w:rsid w:val="00F22B28"/>
    <w:rsid w:val="00F22B80"/>
    <w:rsid w:val="00F22D55"/>
    <w:rsid w:val="00F22EDE"/>
    <w:rsid w:val="00F2313E"/>
    <w:rsid w:val="00F231C9"/>
    <w:rsid w:val="00F2327C"/>
    <w:rsid w:val="00F232D3"/>
    <w:rsid w:val="00F233B3"/>
    <w:rsid w:val="00F233B6"/>
    <w:rsid w:val="00F23415"/>
    <w:rsid w:val="00F23706"/>
    <w:rsid w:val="00F2385D"/>
    <w:rsid w:val="00F2395B"/>
    <w:rsid w:val="00F23A37"/>
    <w:rsid w:val="00F23ADC"/>
    <w:rsid w:val="00F23ADD"/>
    <w:rsid w:val="00F23B1D"/>
    <w:rsid w:val="00F23EE8"/>
    <w:rsid w:val="00F23F6C"/>
    <w:rsid w:val="00F240D7"/>
    <w:rsid w:val="00F24137"/>
    <w:rsid w:val="00F2426B"/>
    <w:rsid w:val="00F24395"/>
    <w:rsid w:val="00F243AA"/>
    <w:rsid w:val="00F243B9"/>
    <w:rsid w:val="00F243BE"/>
    <w:rsid w:val="00F243F3"/>
    <w:rsid w:val="00F245F3"/>
    <w:rsid w:val="00F24710"/>
    <w:rsid w:val="00F248F9"/>
    <w:rsid w:val="00F24943"/>
    <w:rsid w:val="00F24991"/>
    <w:rsid w:val="00F24B68"/>
    <w:rsid w:val="00F24C69"/>
    <w:rsid w:val="00F24C6B"/>
    <w:rsid w:val="00F24D86"/>
    <w:rsid w:val="00F24DA8"/>
    <w:rsid w:val="00F24EBB"/>
    <w:rsid w:val="00F25198"/>
    <w:rsid w:val="00F252DC"/>
    <w:rsid w:val="00F25552"/>
    <w:rsid w:val="00F255BC"/>
    <w:rsid w:val="00F2574D"/>
    <w:rsid w:val="00F258FF"/>
    <w:rsid w:val="00F25A27"/>
    <w:rsid w:val="00F25B5B"/>
    <w:rsid w:val="00F25BBA"/>
    <w:rsid w:val="00F25E37"/>
    <w:rsid w:val="00F25EA9"/>
    <w:rsid w:val="00F2610D"/>
    <w:rsid w:val="00F2614B"/>
    <w:rsid w:val="00F261D3"/>
    <w:rsid w:val="00F26202"/>
    <w:rsid w:val="00F26232"/>
    <w:rsid w:val="00F263C6"/>
    <w:rsid w:val="00F26562"/>
    <w:rsid w:val="00F265AC"/>
    <w:rsid w:val="00F26821"/>
    <w:rsid w:val="00F26852"/>
    <w:rsid w:val="00F269E6"/>
    <w:rsid w:val="00F26BDE"/>
    <w:rsid w:val="00F26D3C"/>
    <w:rsid w:val="00F26DA5"/>
    <w:rsid w:val="00F26E54"/>
    <w:rsid w:val="00F26F90"/>
    <w:rsid w:val="00F2700D"/>
    <w:rsid w:val="00F27702"/>
    <w:rsid w:val="00F277A7"/>
    <w:rsid w:val="00F277F3"/>
    <w:rsid w:val="00F27ABC"/>
    <w:rsid w:val="00F27ACA"/>
    <w:rsid w:val="00F27B24"/>
    <w:rsid w:val="00F27BB2"/>
    <w:rsid w:val="00F27CF1"/>
    <w:rsid w:val="00F27D80"/>
    <w:rsid w:val="00F27DB1"/>
    <w:rsid w:val="00F27FB1"/>
    <w:rsid w:val="00F3032E"/>
    <w:rsid w:val="00F30391"/>
    <w:rsid w:val="00F303E4"/>
    <w:rsid w:val="00F30487"/>
    <w:rsid w:val="00F304EA"/>
    <w:rsid w:val="00F305F1"/>
    <w:rsid w:val="00F307A8"/>
    <w:rsid w:val="00F307BC"/>
    <w:rsid w:val="00F30C59"/>
    <w:rsid w:val="00F30CE7"/>
    <w:rsid w:val="00F30CEC"/>
    <w:rsid w:val="00F30D28"/>
    <w:rsid w:val="00F312DA"/>
    <w:rsid w:val="00F312DF"/>
    <w:rsid w:val="00F31303"/>
    <w:rsid w:val="00F313C9"/>
    <w:rsid w:val="00F31630"/>
    <w:rsid w:val="00F316C8"/>
    <w:rsid w:val="00F31A72"/>
    <w:rsid w:val="00F31A97"/>
    <w:rsid w:val="00F31AC0"/>
    <w:rsid w:val="00F31D0F"/>
    <w:rsid w:val="00F31EE4"/>
    <w:rsid w:val="00F31F6C"/>
    <w:rsid w:val="00F31FB8"/>
    <w:rsid w:val="00F3207F"/>
    <w:rsid w:val="00F3223D"/>
    <w:rsid w:val="00F323A0"/>
    <w:rsid w:val="00F323C7"/>
    <w:rsid w:val="00F324AD"/>
    <w:rsid w:val="00F324C4"/>
    <w:rsid w:val="00F32610"/>
    <w:rsid w:val="00F328D1"/>
    <w:rsid w:val="00F329E1"/>
    <w:rsid w:val="00F32A4B"/>
    <w:rsid w:val="00F32BC8"/>
    <w:rsid w:val="00F32DF4"/>
    <w:rsid w:val="00F32EA2"/>
    <w:rsid w:val="00F32EE0"/>
    <w:rsid w:val="00F33282"/>
    <w:rsid w:val="00F3343D"/>
    <w:rsid w:val="00F334D2"/>
    <w:rsid w:val="00F334ED"/>
    <w:rsid w:val="00F336B4"/>
    <w:rsid w:val="00F33723"/>
    <w:rsid w:val="00F337B6"/>
    <w:rsid w:val="00F33846"/>
    <w:rsid w:val="00F33849"/>
    <w:rsid w:val="00F338A6"/>
    <w:rsid w:val="00F33AB1"/>
    <w:rsid w:val="00F33AB7"/>
    <w:rsid w:val="00F33E29"/>
    <w:rsid w:val="00F33E2E"/>
    <w:rsid w:val="00F33E65"/>
    <w:rsid w:val="00F34002"/>
    <w:rsid w:val="00F3400E"/>
    <w:rsid w:val="00F3401C"/>
    <w:rsid w:val="00F340DC"/>
    <w:rsid w:val="00F340EF"/>
    <w:rsid w:val="00F34200"/>
    <w:rsid w:val="00F3427B"/>
    <w:rsid w:val="00F3451E"/>
    <w:rsid w:val="00F348B9"/>
    <w:rsid w:val="00F348F6"/>
    <w:rsid w:val="00F34A02"/>
    <w:rsid w:val="00F34AB8"/>
    <w:rsid w:val="00F34BD4"/>
    <w:rsid w:val="00F34D3E"/>
    <w:rsid w:val="00F34F62"/>
    <w:rsid w:val="00F34FDB"/>
    <w:rsid w:val="00F351E9"/>
    <w:rsid w:val="00F35280"/>
    <w:rsid w:val="00F352A5"/>
    <w:rsid w:val="00F3539C"/>
    <w:rsid w:val="00F35412"/>
    <w:rsid w:val="00F35581"/>
    <w:rsid w:val="00F3589A"/>
    <w:rsid w:val="00F35A8B"/>
    <w:rsid w:val="00F35ADE"/>
    <w:rsid w:val="00F35B62"/>
    <w:rsid w:val="00F35BB0"/>
    <w:rsid w:val="00F35CFC"/>
    <w:rsid w:val="00F35D88"/>
    <w:rsid w:val="00F35E92"/>
    <w:rsid w:val="00F35F90"/>
    <w:rsid w:val="00F3606D"/>
    <w:rsid w:val="00F36113"/>
    <w:rsid w:val="00F3639C"/>
    <w:rsid w:val="00F363CE"/>
    <w:rsid w:val="00F363D3"/>
    <w:rsid w:val="00F36426"/>
    <w:rsid w:val="00F3642F"/>
    <w:rsid w:val="00F364A1"/>
    <w:rsid w:val="00F365C1"/>
    <w:rsid w:val="00F36658"/>
    <w:rsid w:val="00F367CB"/>
    <w:rsid w:val="00F367F3"/>
    <w:rsid w:val="00F36968"/>
    <w:rsid w:val="00F369B8"/>
    <w:rsid w:val="00F36C0C"/>
    <w:rsid w:val="00F36CC7"/>
    <w:rsid w:val="00F36CE3"/>
    <w:rsid w:val="00F36D96"/>
    <w:rsid w:val="00F36E82"/>
    <w:rsid w:val="00F3710D"/>
    <w:rsid w:val="00F371E8"/>
    <w:rsid w:val="00F3738B"/>
    <w:rsid w:val="00F37471"/>
    <w:rsid w:val="00F37581"/>
    <w:rsid w:val="00F37661"/>
    <w:rsid w:val="00F37674"/>
    <w:rsid w:val="00F378F6"/>
    <w:rsid w:val="00F37BF1"/>
    <w:rsid w:val="00F37C37"/>
    <w:rsid w:val="00F37EFB"/>
    <w:rsid w:val="00F4009D"/>
    <w:rsid w:val="00F400A9"/>
    <w:rsid w:val="00F402F6"/>
    <w:rsid w:val="00F40377"/>
    <w:rsid w:val="00F40457"/>
    <w:rsid w:val="00F4050E"/>
    <w:rsid w:val="00F4057E"/>
    <w:rsid w:val="00F4064F"/>
    <w:rsid w:val="00F40675"/>
    <w:rsid w:val="00F4071B"/>
    <w:rsid w:val="00F40874"/>
    <w:rsid w:val="00F40987"/>
    <w:rsid w:val="00F409CF"/>
    <w:rsid w:val="00F40ADF"/>
    <w:rsid w:val="00F40C9E"/>
    <w:rsid w:val="00F40DC5"/>
    <w:rsid w:val="00F40DE2"/>
    <w:rsid w:val="00F40E15"/>
    <w:rsid w:val="00F40E53"/>
    <w:rsid w:val="00F4149B"/>
    <w:rsid w:val="00F414A8"/>
    <w:rsid w:val="00F4155C"/>
    <w:rsid w:val="00F4161A"/>
    <w:rsid w:val="00F41697"/>
    <w:rsid w:val="00F41746"/>
    <w:rsid w:val="00F41A24"/>
    <w:rsid w:val="00F41A37"/>
    <w:rsid w:val="00F41A3D"/>
    <w:rsid w:val="00F41AB2"/>
    <w:rsid w:val="00F41BCD"/>
    <w:rsid w:val="00F41D0F"/>
    <w:rsid w:val="00F41EFA"/>
    <w:rsid w:val="00F41F45"/>
    <w:rsid w:val="00F41FE1"/>
    <w:rsid w:val="00F4209D"/>
    <w:rsid w:val="00F421CA"/>
    <w:rsid w:val="00F42260"/>
    <w:rsid w:val="00F42263"/>
    <w:rsid w:val="00F423A3"/>
    <w:rsid w:val="00F425A5"/>
    <w:rsid w:val="00F4291C"/>
    <w:rsid w:val="00F42939"/>
    <w:rsid w:val="00F4294F"/>
    <w:rsid w:val="00F429FF"/>
    <w:rsid w:val="00F42CEF"/>
    <w:rsid w:val="00F42D8A"/>
    <w:rsid w:val="00F42F50"/>
    <w:rsid w:val="00F43071"/>
    <w:rsid w:val="00F4309E"/>
    <w:rsid w:val="00F430C8"/>
    <w:rsid w:val="00F430CB"/>
    <w:rsid w:val="00F431A3"/>
    <w:rsid w:val="00F43278"/>
    <w:rsid w:val="00F432B4"/>
    <w:rsid w:val="00F43350"/>
    <w:rsid w:val="00F43612"/>
    <w:rsid w:val="00F4362B"/>
    <w:rsid w:val="00F43853"/>
    <w:rsid w:val="00F43DD8"/>
    <w:rsid w:val="00F43E67"/>
    <w:rsid w:val="00F4407E"/>
    <w:rsid w:val="00F441C3"/>
    <w:rsid w:val="00F44352"/>
    <w:rsid w:val="00F44614"/>
    <w:rsid w:val="00F4490C"/>
    <w:rsid w:val="00F44923"/>
    <w:rsid w:val="00F44AFA"/>
    <w:rsid w:val="00F44BE4"/>
    <w:rsid w:val="00F44D61"/>
    <w:rsid w:val="00F44F90"/>
    <w:rsid w:val="00F44FBE"/>
    <w:rsid w:val="00F45133"/>
    <w:rsid w:val="00F4515E"/>
    <w:rsid w:val="00F45292"/>
    <w:rsid w:val="00F452DD"/>
    <w:rsid w:val="00F45347"/>
    <w:rsid w:val="00F4549E"/>
    <w:rsid w:val="00F454CE"/>
    <w:rsid w:val="00F45682"/>
    <w:rsid w:val="00F456CB"/>
    <w:rsid w:val="00F456F4"/>
    <w:rsid w:val="00F4570E"/>
    <w:rsid w:val="00F45714"/>
    <w:rsid w:val="00F4586A"/>
    <w:rsid w:val="00F4586E"/>
    <w:rsid w:val="00F45A03"/>
    <w:rsid w:val="00F45A56"/>
    <w:rsid w:val="00F45AEA"/>
    <w:rsid w:val="00F45D04"/>
    <w:rsid w:val="00F45D21"/>
    <w:rsid w:val="00F45DAA"/>
    <w:rsid w:val="00F45E21"/>
    <w:rsid w:val="00F45E45"/>
    <w:rsid w:val="00F45E70"/>
    <w:rsid w:val="00F45E95"/>
    <w:rsid w:val="00F45E9F"/>
    <w:rsid w:val="00F460BC"/>
    <w:rsid w:val="00F46330"/>
    <w:rsid w:val="00F46435"/>
    <w:rsid w:val="00F467DD"/>
    <w:rsid w:val="00F46A2F"/>
    <w:rsid w:val="00F46AE1"/>
    <w:rsid w:val="00F46B67"/>
    <w:rsid w:val="00F46C44"/>
    <w:rsid w:val="00F46D71"/>
    <w:rsid w:val="00F46DFF"/>
    <w:rsid w:val="00F46E23"/>
    <w:rsid w:val="00F46E94"/>
    <w:rsid w:val="00F46E9A"/>
    <w:rsid w:val="00F47161"/>
    <w:rsid w:val="00F4729A"/>
    <w:rsid w:val="00F473AD"/>
    <w:rsid w:val="00F473BD"/>
    <w:rsid w:val="00F4763B"/>
    <w:rsid w:val="00F47641"/>
    <w:rsid w:val="00F476B0"/>
    <w:rsid w:val="00F476C8"/>
    <w:rsid w:val="00F476FE"/>
    <w:rsid w:val="00F47872"/>
    <w:rsid w:val="00F47916"/>
    <w:rsid w:val="00F4792E"/>
    <w:rsid w:val="00F47A0C"/>
    <w:rsid w:val="00F47A18"/>
    <w:rsid w:val="00F47A1F"/>
    <w:rsid w:val="00F47A23"/>
    <w:rsid w:val="00F47B71"/>
    <w:rsid w:val="00F47B8A"/>
    <w:rsid w:val="00F47C3B"/>
    <w:rsid w:val="00F47D98"/>
    <w:rsid w:val="00F47DAA"/>
    <w:rsid w:val="00F47FA7"/>
    <w:rsid w:val="00F50341"/>
    <w:rsid w:val="00F503B8"/>
    <w:rsid w:val="00F50462"/>
    <w:rsid w:val="00F505D4"/>
    <w:rsid w:val="00F50713"/>
    <w:rsid w:val="00F50842"/>
    <w:rsid w:val="00F50AB4"/>
    <w:rsid w:val="00F50C5B"/>
    <w:rsid w:val="00F50C9B"/>
    <w:rsid w:val="00F50D12"/>
    <w:rsid w:val="00F50D8A"/>
    <w:rsid w:val="00F50D8E"/>
    <w:rsid w:val="00F50F56"/>
    <w:rsid w:val="00F50FCE"/>
    <w:rsid w:val="00F51002"/>
    <w:rsid w:val="00F510DC"/>
    <w:rsid w:val="00F51103"/>
    <w:rsid w:val="00F51410"/>
    <w:rsid w:val="00F51744"/>
    <w:rsid w:val="00F51790"/>
    <w:rsid w:val="00F51793"/>
    <w:rsid w:val="00F51A35"/>
    <w:rsid w:val="00F51A58"/>
    <w:rsid w:val="00F51AA7"/>
    <w:rsid w:val="00F51AAD"/>
    <w:rsid w:val="00F51B65"/>
    <w:rsid w:val="00F51B93"/>
    <w:rsid w:val="00F51C00"/>
    <w:rsid w:val="00F51CD6"/>
    <w:rsid w:val="00F51D76"/>
    <w:rsid w:val="00F51E1A"/>
    <w:rsid w:val="00F51E63"/>
    <w:rsid w:val="00F51E7B"/>
    <w:rsid w:val="00F51F3B"/>
    <w:rsid w:val="00F52043"/>
    <w:rsid w:val="00F5213D"/>
    <w:rsid w:val="00F522D1"/>
    <w:rsid w:val="00F523C4"/>
    <w:rsid w:val="00F52486"/>
    <w:rsid w:val="00F527F0"/>
    <w:rsid w:val="00F5298A"/>
    <w:rsid w:val="00F529A9"/>
    <w:rsid w:val="00F53004"/>
    <w:rsid w:val="00F5305F"/>
    <w:rsid w:val="00F530EF"/>
    <w:rsid w:val="00F5313A"/>
    <w:rsid w:val="00F531B1"/>
    <w:rsid w:val="00F531E1"/>
    <w:rsid w:val="00F53229"/>
    <w:rsid w:val="00F5334F"/>
    <w:rsid w:val="00F5349A"/>
    <w:rsid w:val="00F534CB"/>
    <w:rsid w:val="00F536D3"/>
    <w:rsid w:val="00F539DB"/>
    <w:rsid w:val="00F53A5B"/>
    <w:rsid w:val="00F53C5A"/>
    <w:rsid w:val="00F53D8E"/>
    <w:rsid w:val="00F53F82"/>
    <w:rsid w:val="00F53FE7"/>
    <w:rsid w:val="00F5407C"/>
    <w:rsid w:val="00F5426F"/>
    <w:rsid w:val="00F5427C"/>
    <w:rsid w:val="00F5435B"/>
    <w:rsid w:val="00F543C0"/>
    <w:rsid w:val="00F54421"/>
    <w:rsid w:val="00F544D4"/>
    <w:rsid w:val="00F5469C"/>
    <w:rsid w:val="00F546A7"/>
    <w:rsid w:val="00F547B8"/>
    <w:rsid w:val="00F549BF"/>
    <w:rsid w:val="00F54ADE"/>
    <w:rsid w:val="00F54AE1"/>
    <w:rsid w:val="00F54B77"/>
    <w:rsid w:val="00F54C02"/>
    <w:rsid w:val="00F54D4E"/>
    <w:rsid w:val="00F54D69"/>
    <w:rsid w:val="00F54EEC"/>
    <w:rsid w:val="00F551D4"/>
    <w:rsid w:val="00F55452"/>
    <w:rsid w:val="00F555CA"/>
    <w:rsid w:val="00F555CC"/>
    <w:rsid w:val="00F556F9"/>
    <w:rsid w:val="00F556FD"/>
    <w:rsid w:val="00F55710"/>
    <w:rsid w:val="00F55724"/>
    <w:rsid w:val="00F55805"/>
    <w:rsid w:val="00F55917"/>
    <w:rsid w:val="00F5598E"/>
    <w:rsid w:val="00F55DA7"/>
    <w:rsid w:val="00F55E86"/>
    <w:rsid w:val="00F5611A"/>
    <w:rsid w:val="00F5620A"/>
    <w:rsid w:val="00F5624E"/>
    <w:rsid w:val="00F562BE"/>
    <w:rsid w:val="00F56324"/>
    <w:rsid w:val="00F56471"/>
    <w:rsid w:val="00F56677"/>
    <w:rsid w:val="00F56811"/>
    <w:rsid w:val="00F56997"/>
    <w:rsid w:val="00F569DC"/>
    <w:rsid w:val="00F56A41"/>
    <w:rsid w:val="00F56AEA"/>
    <w:rsid w:val="00F56D2B"/>
    <w:rsid w:val="00F56DA5"/>
    <w:rsid w:val="00F56DC5"/>
    <w:rsid w:val="00F57001"/>
    <w:rsid w:val="00F5700C"/>
    <w:rsid w:val="00F57092"/>
    <w:rsid w:val="00F570A5"/>
    <w:rsid w:val="00F5711E"/>
    <w:rsid w:val="00F57266"/>
    <w:rsid w:val="00F572A4"/>
    <w:rsid w:val="00F57317"/>
    <w:rsid w:val="00F5735A"/>
    <w:rsid w:val="00F57619"/>
    <w:rsid w:val="00F576D0"/>
    <w:rsid w:val="00F576FA"/>
    <w:rsid w:val="00F57B2D"/>
    <w:rsid w:val="00F57C35"/>
    <w:rsid w:val="00F57D0F"/>
    <w:rsid w:val="00F57DE4"/>
    <w:rsid w:val="00F60093"/>
    <w:rsid w:val="00F605C3"/>
    <w:rsid w:val="00F6061B"/>
    <w:rsid w:val="00F6082C"/>
    <w:rsid w:val="00F6091D"/>
    <w:rsid w:val="00F60A24"/>
    <w:rsid w:val="00F60AE8"/>
    <w:rsid w:val="00F60D3E"/>
    <w:rsid w:val="00F60E37"/>
    <w:rsid w:val="00F60EB0"/>
    <w:rsid w:val="00F60F2C"/>
    <w:rsid w:val="00F6111A"/>
    <w:rsid w:val="00F6129A"/>
    <w:rsid w:val="00F61379"/>
    <w:rsid w:val="00F6153B"/>
    <w:rsid w:val="00F61578"/>
    <w:rsid w:val="00F61601"/>
    <w:rsid w:val="00F61660"/>
    <w:rsid w:val="00F616BE"/>
    <w:rsid w:val="00F61722"/>
    <w:rsid w:val="00F617BF"/>
    <w:rsid w:val="00F61BE1"/>
    <w:rsid w:val="00F61D71"/>
    <w:rsid w:val="00F61DE2"/>
    <w:rsid w:val="00F61E4E"/>
    <w:rsid w:val="00F61E51"/>
    <w:rsid w:val="00F61FB1"/>
    <w:rsid w:val="00F620B7"/>
    <w:rsid w:val="00F62244"/>
    <w:rsid w:val="00F622FC"/>
    <w:rsid w:val="00F624ED"/>
    <w:rsid w:val="00F6262A"/>
    <w:rsid w:val="00F62649"/>
    <w:rsid w:val="00F62691"/>
    <w:rsid w:val="00F6274F"/>
    <w:rsid w:val="00F628FC"/>
    <w:rsid w:val="00F62DB1"/>
    <w:rsid w:val="00F62E24"/>
    <w:rsid w:val="00F630A7"/>
    <w:rsid w:val="00F63405"/>
    <w:rsid w:val="00F63722"/>
    <w:rsid w:val="00F637B2"/>
    <w:rsid w:val="00F6382E"/>
    <w:rsid w:val="00F638A7"/>
    <w:rsid w:val="00F6394B"/>
    <w:rsid w:val="00F63A93"/>
    <w:rsid w:val="00F63AE5"/>
    <w:rsid w:val="00F63B46"/>
    <w:rsid w:val="00F63BC8"/>
    <w:rsid w:val="00F63C9C"/>
    <w:rsid w:val="00F63E16"/>
    <w:rsid w:val="00F63E64"/>
    <w:rsid w:val="00F63EFE"/>
    <w:rsid w:val="00F64115"/>
    <w:rsid w:val="00F64149"/>
    <w:rsid w:val="00F64457"/>
    <w:rsid w:val="00F64612"/>
    <w:rsid w:val="00F646CA"/>
    <w:rsid w:val="00F64818"/>
    <w:rsid w:val="00F6490C"/>
    <w:rsid w:val="00F6498C"/>
    <w:rsid w:val="00F64CFA"/>
    <w:rsid w:val="00F64D00"/>
    <w:rsid w:val="00F64EC5"/>
    <w:rsid w:val="00F64F26"/>
    <w:rsid w:val="00F64F57"/>
    <w:rsid w:val="00F65016"/>
    <w:rsid w:val="00F6503F"/>
    <w:rsid w:val="00F65047"/>
    <w:rsid w:val="00F65075"/>
    <w:rsid w:val="00F650E2"/>
    <w:rsid w:val="00F6514A"/>
    <w:rsid w:val="00F65405"/>
    <w:rsid w:val="00F656CA"/>
    <w:rsid w:val="00F656E0"/>
    <w:rsid w:val="00F65877"/>
    <w:rsid w:val="00F65B09"/>
    <w:rsid w:val="00F65B1B"/>
    <w:rsid w:val="00F65DB6"/>
    <w:rsid w:val="00F65DF3"/>
    <w:rsid w:val="00F65E05"/>
    <w:rsid w:val="00F65F3C"/>
    <w:rsid w:val="00F65F9A"/>
    <w:rsid w:val="00F66104"/>
    <w:rsid w:val="00F66108"/>
    <w:rsid w:val="00F6612E"/>
    <w:rsid w:val="00F661D2"/>
    <w:rsid w:val="00F66411"/>
    <w:rsid w:val="00F664C8"/>
    <w:rsid w:val="00F666DF"/>
    <w:rsid w:val="00F666E8"/>
    <w:rsid w:val="00F6674E"/>
    <w:rsid w:val="00F667E7"/>
    <w:rsid w:val="00F66818"/>
    <w:rsid w:val="00F66C99"/>
    <w:rsid w:val="00F66E4A"/>
    <w:rsid w:val="00F67192"/>
    <w:rsid w:val="00F673B0"/>
    <w:rsid w:val="00F673E5"/>
    <w:rsid w:val="00F67446"/>
    <w:rsid w:val="00F674E8"/>
    <w:rsid w:val="00F675E0"/>
    <w:rsid w:val="00F678C8"/>
    <w:rsid w:val="00F67A15"/>
    <w:rsid w:val="00F67A95"/>
    <w:rsid w:val="00F67E05"/>
    <w:rsid w:val="00F67E70"/>
    <w:rsid w:val="00F67E99"/>
    <w:rsid w:val="00F67EA8"/>
    <w:rsid w:val="00F67F13"/>
    <w:rsid w:val="00F702CC"/>
    <w:rsid w:val="00F703B2"/>
    <w:rsid w:val="00F703D1"/>
    <w:rsid w:val="00F705A3"/>
    <w:rsid w:val="00F705D6"/>
    <w:rsid w:val="00F70636"/>
    <w:rsid w:val="00F706F3"/>
    <w:rsid w:val="00F708F9"/>
    <w:rsid w:val="00F70B44"/>
    <w:rsid w:val="00F70D65"/>
    <w:rsid w:val="00F70E41"/>
    <w:rsid w:val="00F7101E"/>
    <w:rsid w:val="00F713A2"/>
    <w:rsid w:val="00F714C3"/>
    <w:rsid w:val="00F71714"/>
    <w:rsid w:val="00F7172C"/>
    <w:rsid w:val="00F7176D"/>
    <w:rsid w:val="00F71C12"/>
    <w:rsid w:val="00F71C17"/>
    <w:rsid w:val="00F71CEC"/>
    <w:rsid w:val="00F71FE0"/>
    <w:rsid w:val="00F72158"/>
    <w:rsid w:val="00F72205"/>
    <w:rsid w:val="00F722D4"/>
    <w:rsid w:val="00F72382"/>
    <w:rsid w:val="00F723F3"/>
    <w:rsid w:val="00F72515"/>
    <w:rsid w:val="00F72935"/>
    <w:rsid w:val="00F7295F"/>
    <w:rsid w:val="00F72B51"/>
    <w:rsid w:val="00F72C15"/>
    <w:rsid w:val="00F72C62"/>
    <w:rsid w:val="00F72C77"/>
    <w:rsid w:val="00F72D2E"/>
    <w:rsid w:val="00F72D6F"/>
    <w:rsid w:val="00F72D91"/>
    <w:rsid w:val="00F72F6A"/>
    <w:rsid w:val="00F73001"/>
    <w:rsid w:val="00F731A1"/>
    <w:rsid w:val="00F73301"/>
    <w:rsid w:val="00F73404"/>
    <w:rsid w:val="00F7357F"/>
    <w:rsid w:val="00F736D6"/>
    <w:rsid w:val="00F73B9F"/>
    <w:rsid w:val="00F73C1E"/>
    <w:rsid w:val="00F73C9A"/>
    <w:rsid w:val="00F73CB3"/>
    <w:rsid w:val="00F73CFC"/>
    <w:rsid w:val="00F73D10"/>
    <w:rsid w:val="00F73D7F"/>
    <w:rsid w:val="00F73F19"/>
    <w:rsid w:val="00F73F3A"/>
    <w:rsid w:val="00F740E1"/>
    <w:rsid w:val="00F7418B"/>
    <w:rsid w:val="00F7418E"/>
    <w:rsid w:val="00F741A0"/>
    <w:rsid w:val="00F7423C"/>
    <w:rsid w:val="00F7430D"/>
    <w:rsid w:val="00F7444F"/>
    <w:rsid w:val="00F74460"/>
    <w:rsid w:val="00F744A1"/>
    <w:rsid w:val="00F744FD"/>
    <w:rsid w:val="00F746A2"/>
    <w:rsid w:val="00F7472A"/>
    <w:rsid w:val="00F74793"/>
    <w:rsid w:val="00F74920"/>
    <w:rsid w:val="00F74A45"/>
    <w:rsid w:val="00F74ADB"/>
    <w:rsid w:val="00F74AF3"/>
    <w:rsid w:val="00F74B8E"/>
    <w:rsid w:val="00F74C3B"/>
    <w:rsid w:val="00F74D4E"/>
    <w:rsid w:val="00F74E04"/>
    <w:rsid w:val="00F74E22"/>
    <w:rsid w:val="00F74F56"/>
    <w:rsid w:val="00F74F59"/>
    <w:rsid w:val="00F7506F"/>
    <w:rsid w:val="00F75089"/>
    <w:rsid w:val="00F75188"/>
    <w:rsid w:val="00F75307"/>
    <w:rsid w:val="00F7534C"/>
    <w:rsid w:val="00F755A2"/>
    <w:rsid w:val="00F75742"/>
    <w:rsid w:val="00F75F25"/>
    <w:rsid w:val="00F75FDC"/>
    <w:rsid w:val="00F761B4"/>
    <w:rsid w:val="00F762F7"/>
    <w:rsid w:val="00F7639D"/>
    <w:rsid w:val="00F763FD"/>
    <w:rsid w:val="00F76479"/>
    <w:rsid w:val="00F7670C"/>
    <w:rsid w:val="00F76871"/>
    <w:rsid w:val="00F76957"/>
    <w:rsid w:val="00F76EF5"/>
    <w:rsid w:val="00F76F9E"/>
    <w:rsid w:val="00F77194"/>
    <w:rsid w:val="00F77411"/>
    <w:rsid w:val="00F7775E"/>
    <w:rsid w:val="00F777B8"/>
    <w:rsid w:val="00F777DA"/>
    <w:rsid w:val="00F777FA"/>
    <w:rsid w:val="00F778BF"/>
    <w:rsid w:val="00F77B4D"/>
    <w:rsid w:val="00F77C0E"/>
    <w:rsid w:val="00F77DB1"/>
    <w:rsid w:val="00F77DED"/>
    <w:rsid w:val="00F803BB"/>
    <w:rsid w:val="00F803F2"/>
    <w:rsid w:val="00F80416"/>
    <w:rsid w:val="00F8041E"/>
    <w:rsid w:val="00F807FE"/>
    <w:rsid w:val="00F8081D"/>
    <w:rsid w:val="00F80979"/>
    <w:rsid w:val="00F80D2D"/>
    <w:rsid w:val="00F80D3E"/>
    <w:rsid w:val="00F80D5C"/>
    <w:rsid w:val="00F80EB4"/>
    <w:rsid w:val="00F80F21"/>
    <w:rsid w:val="00F810B5"/>
    <w:rsid w:val="00F81240"/>
    <w:rsid w:val="00F81282"/>
    <w:rsid w:val="00F8128B"/>
    <w:rsid w:val="00F81361"/>
    <w:rsid w:val="00F8136E"/>
    <w:rsid w:val="00F819B1"/>
    <w:rsid w:val="00F819C3"/>
    <w:rsid w:val="00F81AE8"/>
    <w:rsid w:val="00F81B4B"/>
    <w:rsid w:val="00F81BE4"/>
    <w:rsid w:val="00F81D8B"/>
    <w:rsid w:val="00F81DC3"/>
    <w:rsid w:val="00F81DED"/>
    <w:rsid w:val="00F81F22"/>
    <w:rsid w:val="00F81FA4"/>
    <w:rsid w:val="00F81FC8"/>
    <w:rsid w:val="00F820AE"/>
    <w:rsid w:val="00F821A7"/>
    <w:rsid w:val="00F8224A"/>
    <w:rsid w:val="00F82280"/>
    <w:rsid w:val="00F82447"/>
    <w:rsid w:val="00F825BE"/>
    <w:rsid w:val="00F826AF"/>
    <w:rsid w:val="00F8274D"/>
    <w:rsid w:val="00F8288C"/>
    <w:rsid w:val="00F82A2C"/>
    <w:rsid w:val="00F82BBA"/>
    <w:rsid w:val="00F82C24"/>
    <w:rsid w:val="00F82E04"/>
    <w:rsid w:val="00F83099"/>
    <w:rsid w:val="00F831A5"/>
    <w:rsid w:val="00F83291"/>
    <w:rsid w:val="00F83AC2"/>
    <w:rsid w:val="00F83DAF"/>
    <w:rsid w:val="00F83EF5"/>
    <w:rsid w:val="00F83F12"/>
    <w:rsid w:val="00F83F80"/>
    <w:rsid w:val="00F8408A"/>
    <w:rsid w:val="00F8425C"/>
    <w:rsid w:val="00F842B1"/>
    <w:rsid w:val="00F845BF"/>
    <w:rsid w:val="00F8486B"/>
    <w:rsid w:val="00F84DA8"/>
    <w:rsid w:val="00F84F00"/>
    <w:rsid w:val="00F84FC4"/>
    <w:rsid w:val="00F8516E"/>
    <w:rsid w:val="00F85200"/>
    <w:rsid w:val="00F8522F"/>
    <w:rsid w:val="00F85288"/>
    <w:rsid w:val="00F85621"/>
    <w:rsid w:val="00F85920"/>
    <w:rsid w:val="00F85B90"/>
    <w:rsid w:val="00F85B94"/>
    <w:rsid w:val="00F85C9C"/>
    <w:rsid w:val="00F85DC3"/>
    <w:rsid w:val="00F861E8"/>
    <w:rsid w:val="00F86204"/>
    <w:rsid w:val="00F862B3"/>
    <w:rsid w:val="00F8681B"/>
    <w:rsid w:val="00F869A4"/>
    <w:rsid w:val="00F86A4D"/>
    <w:rsid w:val="00F86B26"/>
    <w:rsid w:val="00F86B45"/>
    <w:rsid w:val="00F86BB0"/>
    <w:rsid w:val="00F86BE5"/>
    <w:rsid w:val="00F86C30"/>
    <w:rsid w:val="00F8702B"/>
    <w:rsid w:val="00F87370"/>
    <w:rsid w:val="00F87480"/>
    <w:rsid w:val="00F87AC4"/>
    <w:rsid w:val="00F87B44"/>
    <w:rsid w:val="00F87DCC"/>
    <w:rsid w:val="00F87DD7"/>
    <w:rsid w:val="00F87EE7"/>
    <w:rsid w:val="00F87FF0"/>
    <w:rsid w:val="00F900D3"/>
    <w:rsid w:val="00F9038E"/>
    <w:rsid w:val="00F903F6"/>
    <w:rsid w:val="00F905F5"/>
    <w:rsid w:val="00F90849"/>
    <w:rsid w:val="00F9097D"/>
    <w:rsid w:val="00F90B49"/>
    <w:rsid w:val="00F90B7A"/>
    <w:rsid w:val="00F90BCE"/>
    <w:rsid w:val="00F90F7C"/>
    <w:rsid w:val="00F910FE"/>
    <w:rsid w:val="00F9125B"/>
    <w:rsid w:val="00F91288"/>
    <w:rsid w:val="00F912E0"/>
    <w:rsid w:val="00F9156A"/>
    <w:rsid w:val="00F91773"/>
    <w:rsid w:val="00F91868"/>
    <w:rsid w:val="00F91ADD"/>
    <w:rsid w:val="00F91E5D"/>
    <w:rsid w:val="00F91F57"/>
    <w:rsid w:val="00F91F73"/>
    <w:rsid w:val="00F921A4"/>
    <w:rsid w:val="00F922F1"/>
    <w:rsid w:val="00F92302"/>
    <w:rsid w:val="00F92423"/>
    <w:rsid w:val="00F92783"/>
    <w:rsid w:val="00F92840"/>
    <w:rsid w:val="00F928DD"/>
    <w:rsid w:val="00F92A16"/>
    <w:rsid w:val="00F92A68"/>
    <w:rsid w:val="00F92CA1"/>
    <w:rsid w:val="00F92F0F"/>
    <w:rsid w:val="00F92F3E"/>
    <w:rsid w:val="00F92FEE"/>
    <w:rsid w:val="00F93581"/>
    <w:rsid w:val="00F93739"/>
    <w:rsid w:val="00F938C9"/>
    <w:rsid w:val="00F939B2"/>
    <w:rsid w:val="00F93BAE"/>
    <w:rsid w:val="00F93C98"/>
    <w:rsid w:val="00F93EA6"/>
    <w:rsid w:val="00F93F69"/>
    <w:rsid w:val="00F93FBE"/>
    <w:rsid w:val="00F940C6"/>
    <w:rsid w:val="00F940E6"/>
    <w:rsid w:val="00F94169"/>
    <w:rsid w:val="00F9443F"/>
    <w:rsid w:val="00F944FA"/>
    <w:rsid w:val="00F94504"/>
    <w:rsid w:val="00F9473B"/>
    <w:rsid w:val="00F948AC"/>
    <w:rsid w:val="00F94902"/>
    <w:rsid w:val="00F949ED"/>
    <w:rsid w:val="00F94EB2"/>
    <w:rsid w:val="00F94F39"/>
    <w:rsid w:val="00F950A9"/>
    <w:rsid w:val="00F950CF"/>
    <w:rsid w:val="00F951DB"/>
    <w:rsid w:val="00F9552D"/>
    <w:rsid w:val="00F95566"/>
    <w:rsid w:val="00F955D2"/>
    <w:rsid w:val="00F956BA"/>
    <w:rsid w:val="00F957CC"/>
    <w:rsid w:val="00F95816"/>
    <w:rsid w:val="00F95A7F"/>
    <w:rsid w:val="00F95A9C"/>
    <w:rsid w:val="00F95AF9"/>
    <w:rsid w:val="00F95B8D"/>
    <w:rsid w:val="00F95CC3"/>
    <w:rsid w:val="00F95F6E"/>
    <w:rsid w:val="00F960BC"/>
    <w:rsid w:val="00F96143"/>
    <w:rsid w:val="00F962F2"/>
    <w:rsid w:val="00F96397"/>
    <w:rsid w:val="00F963CE"/>
    <w:rsid w:val="00F96406"/>
    <w:rsid w:val="00F96471"/>
    <w:rsid w:val="00F964EB"/>
    <w:rsid w:val="00F965D2"/>
    <w:rsid w:val="00F9676C"/>
    <w:rsid w:val="00F96808"/>
    <w:rsid w:val="00F96868"/>
    <w:rsid w:val="00F96B3A"/>
    <w:rsid w:val="00F96BF4"/>
    <w:rsid w:val="00F96C13"/>
    <w:rsid w:val="00F96E80"/>
    <w:rsid w:val="00F96FDA"/>
    <w:rsid w:val="00F97125"/>
    <w:rsid w:val="00F97445"/>
    <w:rsid w:val="00F974D0"/>
    <w:rsid w:val="00F975E8"/>
    <w:rsid w:val="00F9766A"/>
    <w:rsid w:val="00F97682"/>
    <w:rsid w:val="00F976BD"/>
    <w:rsid w:val="00F97A01"/>
    <w:rsid w:val="00F97A84"/>
    <w:rsid w:val="00F97E19"/>
    <w:rsid w:val="00FA010D"/>
    <w:rsid w:val="00FA0137"/>
    <w:rsid w:val="00FA01A6"/>
    <w:rsid w:val="00FA0223"/>
    <w:rsid w:val="00FA041B"/>
    <w:rsid w:val="00FA045F"/>
    <w:rsid w:val="00FA0520"/>
    <w:rsid w:val="00FA052F"/>
    <w:rsid w:val="00FA05A5"/>
    <w:rsid w:val="00FA069C"/>
    <w:rsid w:val="00FA073F"/>
    <w:rsid w:val="00FA077B"/>
    <w:rsid w:val="00FA0794"/>
    <w:rsid w:val="00FA0998"/>
    <w:rsid w:val="00FA09FD"/>
    <w:rsid w:val="00FA0C70"/>
    <w:rsid w:val="00FA0CE7"/>
    <w:rsid w:val="00FA0E61"/>
    <w:rsid w:val="00FA10D3"/>
    <w:rsid w:val="00FA1388"/>
    <w:rsid w:val="00FA150D"/>
    <w:rsid w:val="00FA1547"/>
    <w:rsid w:val="00FA1B57"/>
    <w:rsid w:val="00FA1BBF"/>
    <w:rsid w:val="00FA1EB9"/>
    <w:rsid w:val="00FA1EC8"/>
    <w:rsid w:val="00FA1FDE"/>
    <w:rsid w:val="00FA1FE7"/>
    <w:rsid w:val="00FA2086"/>
    <w:rsid w:val="00FA20EA"/>
    <w:rsid w:val="00FA2123"/>
    <w:rsid w:val="00FA22AA"/>
    <w:rsid w:val="00FA22AC"/>
    <w:rsid w:val="00FA22CF"/>
    <w:rsid w:val="00FA23A1"/>
    <w:rsid w:val="00FA2448"/>
    <w:rsid w:val="00FA244C"/>
    <w:rsid w:val="00FA24D9"/>
    <w:rsid w:val="00FA24FA"/>
    <w:rsid w:val="00FA25A4"/>
    <w:rsid w:val="00FA25AF"/>
    <w:rsid w:val="00FA26D5"/>
    <w:rsid w:val="00FA28AC"/>
    <w:rsid w:val="00FA291F"/>
    <w:rsid w:val="00FA2A21"/>
    <w:rsid w:val="00FA2BA7"/>
    <w:rsid w:val="00FA2C7C"/>
    <w:rsid w:val="00FA2C9D"/>
    <w:rsid w:val="00FA2CD2"/>
    <w:rsid w:val="00FA30F9"/>
    <w:rsid w:val="00FA3155"/>
    <w:rsid w:val="00FA33C3"/>
    <w:rsid w:val="00FA33C5"/>
    <w:rsid w:val="00FA3447"/>
    <w:rsid w:val="00FA34CE"/>
    <w:rsid w:val="00FA394E"/>
    <w:rsid w:val="00FA39B7"/>
    <w:rsid w:val="00FA3A9C"/>
    <w:rsid w:val="00FA3AE9"/>
    <w:rsid w:val="00FA3BDD"/>
    <w:rsid w:val="00FA3C62"/>
    <w:rsid w:val="00FA3E4E"/>
    <w:rsid w:val="00FA3F03"/>
    <w:rsid w:val="00FA3F17"/>
    <w:rsid w:val="00FA3F44"/>
    <w:rsid w:val="00FA40C9"/>
    <w:rsid w:val="00FA40DE"/>
    <w:rsid w:val="00FA4101"/>
    <w:rsid w:val="00FA4133"/>
    <w:rsid w:val="00FA4526"/>
    <w:rsid w:val="00FA4559"/>
    <w:rsid w:val="00FA47BD"/>
    <w:rsid w:val="00FA4AD4"/>
    <w:rsid w:val="00FA4BC2"/>
    <w:rsid w:val="00FA4CE1"/>
    <w:rsid w:val="00FA4D65"/>
    <w:rsid w:val="00FA52E2"/>
    <w:rsid w:val="00FA533F"/>
    <w:rsid w:val="00FA562A"/>
    <w:rsid w:val="00FA56DA"/>
    <w:rsid w:val="00FA57C8"/>
    <w:rsid w:val="00FA57D0"/>
    <w:rsid w:val="00FA5AFC"/>
    <w:rsid w:val="00FA5B5B"/>
    <w:rsid w:val="00FA5BA6"/>
    <w:rsid w:val="00FA5DA9"/>
    <w:rsid w:val="00FA5DC4"/>
    <w:rsid w:val="00FA5EC5"/>
    <w:rsid w:val="00FA5F19"/>
    <w:rsid w:val="00FA5F46"/>
    <w:rsid w:val="00FA6190"/>
    <w:rsid w:val="00FA620A"/>
    <w:rsid w:val="00FA6234"/>
    <w:rsid w:val="00FA62B4"/>
    <w:rsid w:val="00FA6603"/>
    <w:rsid w:val="00FA6830"/>
    <w:rsid w:val="00FA688F"/>
    <w:rsid w:val="00FA69B3"/>
    <w:rsid w:val="00FA6CA7"/>
    <w:rsid w:val="00FA6CE1"/>
    <w:rsid w:val="00FA6F53"/>
    <w:rsid w:val="00FA6FA4"/>
    <w:rsid w:val="00FA6FF7"/>
    <w:rsid w:val="00FA711C"/>
    <w:rsid w:val="00FA71DD"/>
    <w:rsid w:val="00FA7410"/>
    <w:rsid w:val="00FA744B"/>
    <w:rsid w:val="00FA762B"/>
    <w:rsid w:val="00FA7A62"/>
    <w:rsid w:val="00FA7A93"/>
    <w:rsid w:val="00FA7AA1"/>
    <w:rsid w:val="00FA7B0F"/>
    <w:rsid w:val="00FA7B1C"/>
    <w:rsid w:val="00FA7CDE"/>
    <w:rsid w:val="00FA7D3D"/>
    <w:rsid w:val="00FB01F8"/>
    <w:rsid w:val="00FB051C"/>
    <w:rsid w:val="00FB05B0"/>
    <w:rsid w:val="00FB0718"/>
    <w:rsid w:val="00FB07D2"/>
    <w:rsid w:val="00FB0829"/>
    <w:rsid w:val="00FB0906"/>
    <w:rsid w:val="00FB0967"/>
    <w:rsid w:val="00FB0AC9"/>
    <w:rsid w:val="00FB0CE4"/>
    <w:rsid w:val="00FB0F45"/>
    <w:rsid w:val="00FB0F89"/>
    <w:rsid w:val="00FB11BF"/>
    <w:rsid w:val="00FB1417"/>
    <w:rsid w:val="00FB14D6"/>
    <w:rsid w:val="00FB183B"/>
    <w:rsid w:val="00FB1BCD"/>
    <w:rsid w:val="00FB1BCE"/>
    <w:rsid w:val="00FB1D2A"/>
    <w:rsid w:val="00FB1EDC"/>
    <w:rsid w:val="00FB1F46"/>
    <w:rsid w:val="00FB204C"/>
    <w:rsid w:val="00FB207F"/>
    <w:rsid w:val="00FB2128"/>
    <w:rsid w:val="00FB220A"/>
    <w:rsid w:val="00FB2222"/>
    <w:rsid w:val="00FB255F"/>
    <w:rsid w:val="00FB25CB"/>
    <w:rsid w:val="00FB271D"/>
    <w:rsid w:val="00FB280A"/>
    <w:rsid w:val="00FB284B"/>
    <w:rsid w:val="00FB2941"/>
    <w:rsid w:val="00FB2943"/>
    <w:rsid w:val="00FB2BD1"/>
    <w:rsid w:val="00FB2C6F"/>
    <w:rsid w:val="00FB2C80"/>
    <w:rsid w:val="00FB2CB7"/>
    <w:rsid w:val="00FB2CF8"/>
    <w:rsid w:val="00FB2D43"/>
    <w:rsid w:val="00FB3012"/>
    <w:rsid w:val="00FB3069"/>
    <w:rsid w:val="00FB307A"/>
    <w:rsid w:val="00FB30AF"/>
    <w:rsid w:val="00FB3538"/>
    <w:rsid w:val="00FB356B"/>
    <w:rsid w:val="00FB3592"/>
    <w:rsid w:val="00FB36C2"/>
    <w:rsid w:val="00FB3787"/>
    <w:rsid w:val="00FB38D6"/>
    <w:rsid w:val="00FB3AD3"/>
    <w:rsid w:val="00FB3ADC"/>
    <w:rsid w:val="00FB3C9D"/>
    <w:rsid w:val="00FB3CFB"/>
    <w:rsid w:val="00FB3D05"/>
    <w:rsid w:val="00FB3DD2"/>
    <w:rsid w:val="00FB40A5"/>
    <w:rsid w:val="00FB40F2"/>
    <w:rsid w:val="00FB41B5"/>
    <w:rsid w:val="00FB4205"/>
    <w:rsid w:val="00FB43D1"/>
    <w:rsid w:val="00FB43F3"/>
    <w:rsid w:val="00FB4405"/>
    <w:rsid w:val="00FB44FE"/>
    <w:rsid w:val="00FB47CE"/>
    <w:rsid w:val="00FB4A23"/>
    <w:rsid w:val="00FB4BE3"/>
    <w:rsid w:val="00FB4E12"/>
    <w:rsid w:val="00FB5064"/>
    <w:rsid w:val="00FB5115"/>
    <w:rsid w:val="00FB514A"/>
    <w:rsid w:val="00FB5161"/>
    <w:rsid w:val="00FB5348"/>
    <w:rsid w:val="00FB53B5"/>
    <w:rsid w:val="00FB5493"/>
    <w:rsid w:val="00FB54A6"/>
    <w:rsid w:val="00FB570E"/>
    <w:rsid w:val="00FB5A87"/>
    <w:rsid w:val="00FB5AC1"/>
    <w:rsid w:val="00FB5D21"/>
    <w:rsid w:val="00FB5DFD"/>
    <w:rsid w:val="00FB5E66"/>
    <w:rsid w:val="00FB6186"/>
    <w:rsid w:val="00FB61CD"/>
    <w:rsid w:val="00FB63ED"/>
    <w:rsid w:val="00FB65E6"/>
    <w:rsid w:val="00FB6635"/>
    <w:rsid w:val="00FB66E5"/>
    <w:rsid w:val="00FB6760"/>
    <w:rsid w:val="00FB6796"/>
    <w:rsid w:val="00FB68D1"/>
    <w:rsid w:val="00FB69DA"/>
    <w:rsid w:val="00FB6B2A"/>
    <w:rsid w:val="00FB6B70"/>
    <w:rsid w:val="00FB6F45"/>
    <w:rsid w:val="00FB6F95"/>
    <w:rsid w:val="00FB705F"/>
    <w:rsid w:val="00FB70BE"/>
    <w:rsid w:val="00FB72CD"/>
    <w:rsid w:val="00FB7451"/>
    <w:rsid w:val="00FB766D"/>
    <w:rsid w:val="00FB76ED"/>
    <w:rsid w:val="00FB7715"/>
    <w:rsid w:val="00FB7888"/>
    <w:rsid w:val="00FB797B"/>
    <w:rsid w:val="00FB7B23"/>
    <w:rsid w:val="00FB7C30"/>
    <w:rsid w:val="00FB7E46"/>
    <w:rsid w:val="00FB7E6F"/>
    <w:rsid w:val="00FB7F9F"/>
    <w:rsid w:val="00FC04AE"/>
    <w:rsid w:val="00FC0531"/>
    <w:rsid w:val="00FC05B0"/>
    <w:rsid w:val="00FC07F7"/>
    <w:rsid w:val="00FC08B5"/>
    <w:rsid w:val="00FC094B"/>
    <w:rsid w:val="00FC09F7"/>
    <w:rsid w:val="00FC0AC5"/>
    <w:rsid w:val="00FC0BC1"/>
    <w:rsid w:val="00FC0BC6"/>
    <w:rsid w:val="00FC0D85"/>
    <w:rsid w:val="00FC0E52"/>
    <w:rsid w:val="00FC0E86"/>
    <w:rsid w:val="00FC0EA9"/>
    <w:rsid w:val="00FC114D"/>
    <w:rsid w:val="00FC124D"/>
    <w:rsid w:val="00FC1365"/>
    <w:rsid w:val="00FC139F"/>
    <w:rsid w:val="00FC1547"/>
    <w:rsid w:val="00FC155E"/>
    <w:rsid w:val="00FC1579"/>
    <w:rsid w:val="00FC1770"/>
    <w:rsid w:val="00FC1781"/>
    <w:rsid w:val="00FC1914"/>
    <w:rsid w:val="00FC1A80"/>
    <w:rsid w:val="00FC1B2F"/>
    <w:rsid w:val="00FC24E7"/>
    <w:rsid w:val="00FC26D9"/>
    <w:rsid w:val="00FC2856"/>
    <w:rsid w:val="00FC287D"/>
    <w:rsid w:val="00FC2A03"/>
    <w:rsid w:val="00FC2B2F"/>
    <w:rsid w:val="00FC2B4F"/>
    <w:rsid w:val="00FC2B9C"/>
    <w:rsid w:val="00FC2E1F"/>
    <w:rsid w:val="00FC2E59"/>
    <w:rsid w:val="00FC2F0B"/>
    <w:rsid w:val="00FC336F"/>
    <w:rsid w:val="00FC3416"/>
    <w:rsid w:val="00FC3578"/>
    <w:rsid w:val="00FC3697"/>
    <w:rsid w:val="00FC37AB"/>
    <w:rsid w:val="00FC3A14"/>
    <w:rsid w:val="00FC3ED7"/>
    <w:rsid w:val="00FC40EF"/>
    <w:rsid w:val="00FC443C"/>
    <w:rsid w:val="00FC449F"/>
    <w:rsid w:val="00FC46C9"/>
    <w:rsid w:val="00FC4760"/>
    <w:rsid w:val="00FC498B"/>
    <w:rsid w:val="00FC4A58"/>
    <w:rsid w:val="00FC4A6A"/>
    <w:rsid w:val="00FC4A94"/>
    <w:rsid w:val="00FC4C8F"/>
    <w:rsid w:val="00FC4EEA"/>
    <w:rsid w:val="00FC5054"/>
    <w:rsid w:val="00FC5263"/>
    <w:rsid w:val="00FC5441"/>
    <w:rsid w:val="00FC5640"/>
    <w:rsid w:val="00FC56C0"/>
    <w:rsid w:val="00FC5785"/>
    <w:rsid w:val="00FC5817"/>
    <w:rsid w:val="00FC58B9"/>
    <w:rsid w:val="00FC5A9D"/>
    <w:rsid w:val="00FC5B6C"/>
    <w:rsid w:val="00FC5C60"/>
    <w:rsid w:val="00FC5F06"/>
    <w:rsid w:val="00FC605A"/>
    <w:rsid w:val="00FC60D2"/>
    <w:rsid w:val="00FC6118"/>
    <w:rsid w:val="00FC6178"/>
    <w:rsid w:val="00FC6205"/>
    <w:rsid w:val="00FC641F"/>
    <w:rsid w:val="00FC6435"/>
    <w:rsid w:val="00FC6622"/>
    <w:rsid w:val="00FC67B4"/>
    <w:rsid w:val="00FC695E"/>
    <w:rsid w:val="00FC6B34"/>
    <w:rsid w:val="00FC6B76"/>
    <w:rsid w:val="00FC6E71"/>
    <w:rsid w:val="00FC712C"/>
    <w:rsid w:val="00FC7278"/>
    <w:rsid w:val="00FC7565"/>
    <w:rsid w:val="00FC768B"/>
    <w:rsid w:val="00FC77B4"/>
    <w:rsid w:val="00FC77DD"/>
    <w:rsid w:val="00FC7A00"/>
    <w:rsid w:val="00FC7A86"/>
    <w:rsid w:val="00FC7ACA"/>
    <w:rsid w:val="00FC7D90"/>
    <w:rsid w:val="00FC7DFD"/>
    <w:rsid w:val="00FC7E83"/>
    <w:rsid w:val="00FD0141"/>
    <w:rsid w:val="00FD0226"/>
    <w:rsid w:val="00FD0357"/>
    <w:rsid w:val="00FD03BC"/>
    <w:rsid w:val="00FD0566"/>
    <w:rsid w:val="00FD0642"/>
    <w:rsid w:val="00FD06B3"/>
    <w:rsid w:val="00FD07A2"/>
    <w:rsid w:val="00FD0806"/>
    <w:rsid w:val="00FD0871"/>
    <w:rsid w:val="00FD0A10"/>
    <w:rsid w:val="00FD0D03"/>
    <w:rsid w:val="00FD0E69"/>
    <w:rsid w:val="00FD0FC6"/>
    <w:rsid w:val="00FD123B"/>
    <w:rsid w:val="00FD13AB"/>
    <w:rsid w:val="00FD141C"/>
    <w:rsid w:val="00FD177A"/>
    <w:rsid w:val="00FD1A04"/>
    <w:rsid w:val="00FD1AE1"/>
    <w:rsid w:val="00FD1C74"/>
    <w:rsid w:val="00FD1D4B"/>
    <w:rsid w:val="00FD1D9C"/>
    <w:rsid w:val="00FD1DBB"/>
    <w:rsid w:val="00FD1DBF"/>
    <w:rsid w:val="00FD1FE1"/>
    <w:rsid w:val="00FD2054"/>
    <w:rsid w:val="00FD2135"/>
    <w:rsid w:val="00FD2187"/>
    <w:rsid w:val="00FD222E"/>
    <w:rsid w:val="00FD22C3"/>
    <w:rsid w:val="00FD2300"/>
    <w:rsid w:val="00FD2331"/>
    <w:rsid w:val="00FD2415"/>
    <w:rsid w:val="00FD2472"/>
    <w:rsid w:val="00FD2635"/>
    <w:rsid w:val="00FD271D"/>
    <w:rsid w:val="00FD2BFE"/>
    <w:rsid w:val="00FD2C9E"/>
    <w:rsid w:val="00FD2E0B"/>
    <w:rsid w:val="00FD2FA0"/>
    <w:rsid w:val="00FD3202"/>
    <w:rsid w:val="00FD3275"/>
    <w:rsid w:val="00FD376B"/>
    <w:rsid w:val="00FD3893"/>
    <w:rsid w:val="00FD396A"/>
    <w:rsid w:val="00FD3B34"/>
    <w:rsid w:val="00FD3D1C"/>
    <w:rsid w:val="00FD3D95"/>
    <w:rsid w:val="00FD3E43"/>
    <w:rsid w:val="00FD3E46"/>
    <w:rsid w:val="00FD3FE5"/>
    <w:rsid w:val="00FD41D8"/>
    <w:rsid w:val="00FD42CD"/>
    <w:rsid w:val="00FD4328"/>
    <w:rsid w:val="00FD4629"/>
    <w:rsid w:val="00FD4820"/>
    <w:rsid w:val="00FD48F8"/>
    <w:rsid w:val="00FD4B74"/>
    <w:rsid w:val="00FD4BC2"/>
    <w:rsid w:val="00FD4CC4"/>
    <w:rsid w:val="00FD4DCB"/>
    <w:rsid w:val="00FD4EAB"/>
    <w:rsid w:val="00FD4F21"/>
    <w:rsid w:val="00FD50D7"/>
    <w:rsid w:val="00FD5176"/>
    <w:rsid w:val="00FD5177"/>
    <w:rsid w:val="00FD51AF"/>
    <w:rsid w:val="00FD5208"/>
    <w:rsid w:val="00FD5278"/>
    <w:rsid w:val="00FD52AD"/>
    <w:rsid w:val="00FD536E"/>
    <w:rsid w:val="00FD53A9"/>
    <w:rsid w:val="00FD543E"/>
    <w:rsid w:val="00FD55A9"/>
    <w:rsid w:val="00FD55D6"/>
    <w:rsid w:val="00FD5707"/>
    <w:rsid w:val="00FD5811"/>
    <w:rsid w:val="00FD593F"/>
    <w:rsid w:val="00FD59BB"/>
    <w:rsid w:val="00FD5AD8"/>
    <w:rsid w:val="00FD5CA0"/>
    <w:rsid w:val="00FD5D63"/>
    <w:rsid w:val="00FD5E2F"/>
    <w:rsid w:val="00FD609F"/>
    <w:rsid w:val="00FD62C1"/>
    <w:rsid w:val="00FD62F4"/>
    <w:rsid w:val="00FD63BB"/>
    <w:rsid w:val="00FD64E4"/>
    <w:rsid w:val="00FD663F"/>
    <w:rsid w:val="00FD666C"/>
    <w:rsid w:val="00FD6897"/>
    <w:rsid w:val="00FD6921"/>
    <w:rsid w:val="00FD6923"/>
    <w:rsid w:val="00FD6BFB"/>
    <w:rsid w:val="00FD6D19"/>
    <w:rsid w:val="00FD6D3E"/>
    <w:rsid w:val="00FD6DB2"/>
    <w:rsid w:val="00FD6DC3"/>
    <w:rsid w:val="00FD6FF8"/>
    <w:rsid w:val="00FD71F2"/>
    <w:rsid w:val="00FD73E8"/>
    <w:rsid w:val="00FD7565"/>
    <w:rsid w:val="00FD7597"/>
    <w:rsid w:val="00FD79BC"/>
    <w:rsid w:val="00FD7A48"/>
    <w:rsid w:val="00FD7CE0"/>
    <w:rsid w:val="00FD7D6E"/>
    <w:rsid w:val="00FD7EFD"/>
    <w:rsid w:val="00FE0007"/>
    <w:rsid w:val="00FE00EA"/>
    <w:rsid w:val="00FE0100"/>
    <w:rsid w:val="00FE018C"/>
    <w:rsid w:val="00FE01FF"/>
    <w:rsid w:val="00FE0475"/>
    <w:rsid w:val="00FE04AB"/>
    <w:rsid w:val="00FE0570"/>
    <w:rsid w:val="00FE05DD"/>
    <w:rsid w:val="00FE0A8E"/>
    <w:rsid w:val="00FE0C11"/>
    <w:rsid w:val="00FE0C59"/>
    <w:rsid w:val="00FE1091"/>
    <w:rsid w:val="00FE10BD"/>
    <w:rsid w:val="00FE14D2"/>
    <w:rsid w:val="00FE15AF"/>
    <w:rsid w:val="00FE15B4"/>
    <w:rsid w:val="00FE16F2"/>
    <w:rsid w:val="00FE17C0"/>
    <w:rsid w:val="00FE17CC"/>
    <w:rsid w:val="00FE18BA"/>
    <w:rsid w:val="00FE18D7"/>
    <w:rsid w:val="00FE18FB"/>
    <w:rsid w:val="00FE1A19"/>
    <w:rsid w:val="00FE1B94"/>
    <w:rsid w:val="00FE1BFE"/>
    <w:rsid w:val="00FE1DB7"/>
    <w:rsid w:val="00FE21F7"/>
    <w:rsid w:val="00FE26C8"/>
    <w:rsid w:val="00FE289F"/>
    <w:rsid w:val="00FE292C"/>
    <w:rsid w:val="00FE2931"/>
    <w:rsid w:val="00FE2AB7"/>
    <w:rsid w:val="00FE2BEC"/>
    <w:rsid w:val="00FE2D24"/>
    <w:rsid w:val="00FE2DA8"/>
    <w:rsid w:val="00FE2DBF"/>
    <w:rsid w:val="00FE319E"/>
    <w:rsid w:val="00FE3216"/>
    <w:rsid w:val="00FE334E"/>
    <w:rsid w:val="00FE3514"/>
    <w:rsid w:val="00FE3602"/>
    <w:rsid w:val="00FE3709"/>
    <w:rsid w:val="00FE38A4"/>
    <w:rsid w:val="00FE3A15"/>
    <w:rsid w:val="00FE3B1A"/>
    <w:rsid w:val="00FE3EF0"/>
    <w:rsid w:val="00FE40A3"/>
    <w:rsid w:val="00FE41D3"/>
    <w:rsid w:val="00FE420C"/>
    <w:rsid w:val="00FE4303"/>
    <w:rsid w:val="00FE4393"/>
    <w:rsid w:val="00FE43F0"/>
    <w:rsid w:val="00FE442B"/>
    <w:rsid w:val="00FE448A"/>
    <w:rsid w:val="00FE45FA"/>
    <w:rsid w:val="00FE46B8"/>
    <w:rsid w:val="00FE478B"/>
    <w:rsid w:val="00FE4891"/>
    <w:rsid w:val="00FE4896"/>
    <w:rsid w:val="00FE4993"/>
    <w:rsid w:val="00FE4A69"/>
    <w:rsid w:val="00FE4B7E"/>
    <w:rsid w:val="00FE4B8E"/>
    <w:rsid w:val="00FE4BAE"/>
    <w:rsid w:val="00FE4BC9"/>
    <w:rsid w:val="00FE4C7C"/>
    <w:rsid w:val="00FE4D2B"/>
    <w:rsid w:val="00FE5032"/>
    <w:rsid w:val="00FE5043"/>
    <w:rsid w:val="00FE5245"/>
    <w:rsid w:val="00FE52BF"/>
    <w:rsid w:val="00FE551E"/>
    <w:rsid w:val="00FE587E"/>
    <w:rsid w:val="00FE58D4"/>
    <w:rsid w:val="00FE5AC8"/>
    <w:rsid w:val="00FE5AF0"/>
    <w:rsid w:val="00FE5BC0"/>
    <w:rsid w:val="00FE5C9B"/>
    <w:rsid w:val="00FE5EC2"/>
    <w:rsid w:val="00FE60A1"/>
    <w:rsid w:val="00FE60CB"/>
    <w:rsid w:val="00FE6108"/>
    <w:rsid w:val="00FE6148"/>
    <w:rsid w:val="00FE6590"/>
    <w:rsid w:val="00FE66E9"/>
    <w:rsid w:val="00FE6815"/>
    <w:rsid w:val="00FE68C3"/>
    <w:rsid w:val="00FE698C"/>
    <w:rsid w:val="00FE6A6A"/>
    <w:rsid w:val="00FE6CED"/>
    <w:rsid w:val="00FE6EDC"/>
    <w:rsid w:val="00FE6EEC"/>
    <w:rsid w:val="00FE6F22"/>
    <w:rsid w:val="00FE71B4"/>
    <w:rsid w:val="00FE71EE"/>
    <w:rsid w:val="00FE72BD"/>
    <w:rsid w:val="00FE7398"/>
    <w:rsid w:val="00FE7747"/>
    <w:rsid w:val="00FE7979"/>
    <w:rsid w:val="00FE79EE"/>
    <w:rsid w:val="00FE7A92"/>
    <w:rsid w:val="00FE7BBC"/>
    <w:rsid w:val="00FE7DDB"/>
    <w:rsid w:val="00FE7DFC"/>
    <w:rsid w:val="00FE7E1D"/>
    <w:rsid w:val="00FF02D4"/>
    <w:rsid w:val="00FF085B"/>
    <w:rsid w:val="00FF085C"/>
    <w:rsid w:val="00FF0A40"/>
    <w:rsid w:val="00FF0A43"/>
    <w:rsid w:val="00FF0CEE"/>
    <w:rsid w:val="00FF0E1E"/>
    <w:rsid w:val="00FF0E4A"/>
    <w:rsid w:val="00FF0E6B"/>
    <w:rsid w:val="00FF0E70"/>
    <w:rsid w:val="00FF1014"/>
    <w:rsid w:val="00FF1133"/>
    <w:rsid w:val="00FF12D0"/>
    <w:rsid w:val="00FF138E"/>
    <w:rsid w:val="00FF1757"/>
    <w:rsid w:val="00FF176A"/>
    <w:rsid w:val="00FF1848"/>
    <w:rsid w:val="00FF18E4"/>
    <w:rsid w:val="00FF19FD"/>
    <w:rsid w:val="00FF1A41"/>
    <w:rsid w:val="00FF1A62"/>
    <w:rsid w:val="00FF1BBB"/>
    <w:rsid w:val="00FF1C2C"/>
    <w:rsid w:val="00FF1C83"/>
    <w:rsid w:val="00FF1DBB"/>
    <w:rsid w:val="00FF1DC9"/>
    <w:rsid w:val="00FF1F62"/>
    <w:rsid w:val="00FF2030"/>
    <w:rsid w:val="00FF228A"/>
    <w:rsid w:val="00FF23E3"/>
    <w:rsid w:val="00FF24BC"/>
    <w:rsid w:val="00FF253E"/>
    <w:rsid w:val="00FF261D"/>
    <w:rsid w:val="00FF2886"/>
    <w:rsid w:val="00FF2B4B"/>
    <w:rsid w:val="00FF2BAA"/>
    <w:rsid w:val="00FF2BB4"/>
    <w:rsid w:val="00FF2C3D"/>
    <w:rsid w:val="00FF319D"/>
    <w:rsid w:val="00FF31FD"/>
    <w:rsid w:val="00FF3294"/>
    <w:rsid w:val="00FF329F"/>
    <w:rsid w:val="00FF32BA"/>
    <w:rsid w:val="00FF3327"/>
    <w:rsid w:val="00FF33B3"/>
    <w:rsid w:val="00FF3517"/>
    <w:rsid w:val="00FF3536"/>
    <w:rsid w:val="00FF3596"/>
    <w:rsid w:val="00FF3670"/>
    <w:rsid w:val="00FF36B2"/>
    <w:rsid w:val="00FF3AAC"/>
    <w:rsid w:val="00FF3F75"/>
    <w:rsid w:val="00FF4238"/>
    <w:rsid w:val="00FF42A9"/>
    <w:rsid w:val="00FF42DF"/>
    <w:rsid w:val="00FF4306"/>
    <w:rsid w:val="00FF4636"/>
    <w:rsid w:val="00FF465B"/>
    <w:rsid w:val="00FF46E3"/>
    <w:rsid w:val="00FF485F"/>
    <w:rsid w:val="00FF48CD"/>
    <w:rsid w:val="00FF48DD"/>
    <w:rsid w:val="00FF49D6"/>
    <w:rsid w:val="00FF4A60"/>
    <w:rsid w:val="00FF4ACD"/>
    <w:rsid w:val="00FF4BE7"/>
    <w:rsid w:val="00FF4F1C"/>
    <w:rsid w:val="00FF5470"/>
    <w:rsid w:val="00FF5482"/>
    <w:rsid w:val="00FF54D7"/>
    <w:rsid w:val="00FF54E7"/>
    <w:rsid w:val="00FF55B3"/>
    <w:rsid w:val="00FF578C"/>
    <w:rsid w:val="00FF584E"/>
    <w:rsid w:val="00FF5994"/>
    <w:rsid w:val="00FF5A95"/>
    <w:rsid w:val="00FF5AC0"/>
    <w:rsid w:val="00FF5DA6"/>
    <w:rsid w:val="00FF5F02"/>
    <w:rsid w:val="00FF60EF"/>
    <w:rsid w:val="00FF61D6"/>
    <w:rsid w:val="00FF654D"/>
    <w:rsid w:val="00FF65E1"/>
    <w:rsid w:val="00FF6719"/>
    <w:rsid w:val="00FF67B5"/>
    <w:rsid w:val="00FF6B37"/>
    <w:rsid w:val="00FF6B5D"/>
    <w:rsid w:val="00FF6C1D"/>
    <w:rsid w:val="00FF6E50"/>
    <w:rsid w:val="00FF6EBB"/>
    <w:rsid w:val="00FF710D"/>
    <w:rsid w:val="00FF72EA"/>
    <w:rsid w:val="00FF7410"/>
    <w:rsid w:val="00FF7584"/>
    <w:rsid w:val="00FF783B"/>
    <w:rsid w:val="00FF784A"/>
    <w:rsid w:val="00FF7894"/>
    <w:rsid w:val="00FF7AAD"/>
    <w:rsid w:val="00FF7B43"/>
    <w:rsid w:val="00FF7C5E"/>
    <w:rsid w:val="00FF7D56"/>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37" fillcolor="none [3200]" strokecolor="none [3212]">
      <v:fill color="none [3200]"/>
      <v:stroke color="none [3212]" weight="0"/>
      <v:shadow type="perspective" color="none [1601]" opacity=".5" offset="1pt" offset2="-1pt"/>
      <o:colormru v:ext="edit" colors="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nhideWhenUsed="0" w:qFormat="1"/>
    <w:lsdException w:name="heading 6" w:semiHidden="0" w:uiPriority="0" w:unhideWhenUsed="0" w:qFormat="1"/>
    <w:lsdException w:name="heading 7" w:locked="0" w:semiHidden="0" w:uiPriority="0" w:unhideWhenUsed="0" w:qFormat="1"/>
    <w:lsdException w:name="heading 8" w:semiHidden="0" w:uiPriority="0" w:unhideWhenUsed="0" w:qFormat="1"/>
    <w:lsdException w:name="heading 9" w:semiHidden="0" w:uiPriority="0" w:unhideWhenUsed="0" w:qFormat="1"/>
    <w:lsdException w:name="index 1" w:locked="0"/>
    <w:lsdException w:name="index 2" w:locked="0" w:uiPriority="0"/>
    <w:lsdException w:name="index 3" w:locked="0" w:uiPriority="0"/>
    <w:lsdException w:name="index 4" w:locked="0" w:uiPriority="0"/>
    <w:lsdException w:name="index 5" w:locked="0" w:uiPriority="0"/>
    <w:lsdException w:name="index 6" w:locked="0" w:uiPriority="0"/>
    <w:lsdException w:name="index 7" w:locked="0" w:uiPriority="0"/>
    <w:lsdException w:name="index 8" w:locked="0" w:uiPriority="0"/>
    <w:lsdException w:name="index 9" w:locked="0" w:uiPriority="0"/>
    <w:lsdException w:name="toc 1" w:locked="0" w:uiPriority="39"/>
    <w:lsdException w:name="toc 2" w:locked="0" w:uiPriority="39"/>
    <w:lsdException w:name="toc 3" w:locked="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annotation text" w:locked="0" w:uiPriority="0"/>
    <w:lsdException w:name="header" w:locked="0"/>
    <w:lsdException w:name="footer" w:locked="0" w:qFormat="1"/>
    <w:lsdException w:name="index heading" w:locked="0" w:uiPriority="0"/>
    <w:lsdException w:name="caption" w:locked="0" w:uiPriority="0" w:unhideWhenUsed="0" w:qFormat="1"/>
    <w:lsdException w:name="table of figures" w:locked="0"/>
    <w:lsdException w:name="annotation reference" w:locked="0"/>
    <w:lsdException w:name="page number" w:semiHidden="0" w:unhideWhenUsed="0"/>
    <w:lsdException w:name="endnote reference" w:locked="0"/>
    <w:lsdException w:name="endnote text" w:locked="0" w:uiPriority="0"/>
    <w:lsdException w:name="toa heading" w:locked="0" w:uiPriority="0"/>
    <w:lsdException w:name="List Number" w:uiPriority="0" w:qFormat="1"/>
    <w:lsdException w:name="Title" w:semiHidden="0" w:uiPriority="0" w:unhideWhenUsed="0" w:qFormat="1"/>
    <w:lsdException w:name="Default Paragraph Font" w:locked="0" w:uiPriority="1"/>
    <w:lsdException w:name="Subtitle" w:semiHidden="0" w:uiPriority="0" w:unhideWhenUsed="0"/>
    <w:lsdException w:name="Hyperlink" w:locked="0"/>
    <w:lsdException w:name="Strong" w:semiHidden="0" w:uiPriority="22" w:unhideWhenUsed="0" w:qFormat="1"/>
    <w:lsdException w:name="Emphasis" w:semiHidden="0" w:uiPriority="20" w:unhideWhenUsed="0" w:qFormat="1"/>
    <w:lsdException w:name="Plain Text" w:locked="0" w:uiPriority="0"/>
    <w:lsdException w:name="HTML Top of Form" w:locked="0"/>
    <w:lsdException w:name="HTML Bottom of Form" w:locked="0"/>
    <w:lsdException w:name="Normal (Web)" w:locked="0"/>
    <w:lsdException w:name="Normal Table" w:locked="0"/>
    <w:lsdException w:name="annotation subject" w:locked="0" w:uiPriority="0"/>
    <w:lsdException w:name="No List" w:locked="0"/>
    <w:lsdException w:name="Table Simple 1" w:locked="0" w:uiPriority="0"/>
    <w:lsdException w:name="Balloon Text" w:locked="0"/>
    <w:lsdException w:name="Table Grid" w:locked="0" w:semiHidden="0" w:uiPriority="59" w:unhideWhenUsed="0"/>
    <w:lsdException w:name="Placeholder Text" w:locked="0"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0" w:unhideWhenUsed="0"/>
    <w:lsdException w:name="List Paragraph" w:semiHidden="0" w:uiPriority="34" w:unhideWhenUsed="0" w:qFormat="1"/>
    <w:lsdException w:name="Quote" w:locked="0"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normal)"/>
    <w:qFormat/>
    <w:rsid w:val="004A6E26"/>
    <w:pPr>
      <w:spacing w:after="220" w:line="280" w:lineRule="atLeast"/>
    </w:pPr>
    <w:rPr>
      <w:rFonts w:ascii="Times New Roman" w:hAnsi="Times New Roman"/>
      <w:sz w:val="22"/>
      <w:lang w:val="en-GB" w:eastAsia="en-US"/>
    </w:rPr>
  </w:style>
  <w:style w:type="paragraph" w:styleId="Heading1">
    <w:name w:val="heading 1"/>
    <w:basedOn w:val="Normal"/>
    <w:next w:val="Normal"/>
    <w:link w:val="Heading1Char"/>
    <w:qFormat/>
    <w:rsid w:val="00EB65B6"/>
    <w:pPr>
      <w:keepNext/>
      <w:numPr>
        <w:numId w:val="7"/>
      </w:numPr>
      <w:spacing w:after="300" w:line="240" w:lineRule="auto"/>
      <w:outlineLvl w:val="0"/>
    </w:pPr>
    <w:rPr>
      <w:rFonts w:ascii="Tahoma" w:hAnsi="Tahoma"/>
      <w:b/>
      <w:color w:val="000033"/>
      <w:kern w:val="28"/>
      <w:sz w:val="40"/>
    </w:rPr>
  </w:style>
  <w:style w:type="paragraph" w:styleId="Heading2">
    <w:name w:val="heading 2"/>
    <w:basedOn w:val="Normal"/>
    <w:next w:val="Normal"/>
    <w:link w:val="Heading2Char"/>
    <w:autoRedefine/>
    <w:qFormat/>
    <w:rsid w:val="005D0466"/>
    <w:pPr>
      <w:keepNext/>
      <w:numPr>
        <w:ilvl w:val="1"/>
        <w:numId w:val="7"/>
      </w:numPr>
      <w:spacing w:before="480" w:after="240" w:line="240" w:lineRule="auto"/>
      <w:ind w:left="720"/>
      <w:outlineLvl w:val="1"/>
    </w:pPr>
    <w:rPr>
      <w:rFonts w:ascii="Arial" w:hAnsi="Arial" w:cs="Arial"/>
      <w:b/>
      <w:color w:val="000033"/>
      <w:sz w:val="26"/>
      <w:szCs w:val="22"/>
    </w:rPr>
  </w:style>
  <w:style w:type="paragraph" w:styleId="Heading3">
    <w:name w:val="heading 3"/>
    <w:basedOn w:val="Normal"/>
    <w:next w:val="Normal"/>
    <w:link w:val="Heading3Char"/>
    <w:autoRedefine/>
    <w:qFormat/>
    <w:rsid w:val="0009345D"/>
    <w:pPr>
      <w:keepNext/>
      <w:numPr>
        <w:ilvl w:val="2"/>
        <w:numId w:val="7"/>
      </w:numPr>
      <w:spacing w:before="240" w:after="240" w:line="240" w:lineRule="auto"/>
      <w:ind w:left="720"/>
      <w:outlineLvl w:val="2"/>
    </w:pPr>
    <w:rPr>
      <w:rFonts w:ascii="Arial" w:hAnsi="Arial" w:cs="Arial"/>
      <w:b/>
      <w:color w:val="000033"/>
    </w:rPr>
  </w:style>
  <w:style w:type="paragraph" w:styleId="Heading4">
    <w:name w:val="heading 4"/>
    <w:basedOn w:val="Normal"/>
    <w:next w:val="Normal"/>
    <w:link w:val="Heading4Char"/>
    <w:qFormat/>
    <w:rsid w:val="002E7DBF"/>
    <w:pPr>
      <w:keepNext/>
      <w:spacing w:after="120" w:line="240" w:lineRule="auto"/>
      <w:outlineLvl w:val="3"/>
    </w:pPr>
    <w:rPr>
      <w:b/>
      <w:sz w:val="24"/>
    </w:rPr>
  </w:style>
  <w:style w:type="paragraph" w:styleId="Heading5">
    <w:name w:val="heading 5"/>
    <w:basedOn w:val="Normal"/>
    <w:next w:val="Normal"/>
    <w:link w:val="Heading5Char"/>
    <w:uiPriority w:val="99"/>
    <w:qFormat/>
    <w:locked/>
    <w:rsid w:val="00924F40"/>
    <w:pPr>
      <w:keepNext/>
      <w:spacing w:before="60" w:after="60" w:line="240" w:lineRule="auto"/>
      <w:outlineLvl w:val="4"/>
    </w:pPr>
    <w:rPr>
      <w:i/>
      <w:sz w:val="24"/>
    </w:rPr>
  </w:style>
  <w:style w:type="paragraph" w:styleId="Heading6">
    <w:name w:val="heading 6"/>
    <w:basedOn w:val="Normal"/>
    <w:next w:val="Normal"/>
    <w:link w:val="Heading6Char"/>
    <w:semiHidden/>
    <w:qFormat/>
    <w:locked/>
    <w:rsid w:val="00924F40"/>
    <w:pPr>
      <w:spacing w:before="240" w:after="60" w:line="240" w:lineRule="auto"/>
      <w:outlineLvl w:val="5"/>
    </w:pPr>
    <w:rPr>
      <w:bCs/>
      <w:i/>
      <w:color w:val="7F7F7F" w:themeColor="text1" w:themeTint="80"/>
      <w:szCs w:val="22"/>
    </w:rPr>
  </w:style>
  <w:style w:type="paragraph" w:styleId="Heading7">
    <w:name w:val="heading 7"/>
    <w:aliases w:val="Appendix"/>
    <w:basedOn w:val="Normal"/>
    <w:next w:val="Normal"/>
    <w:link w:val="Heading7Char"/>
    <w:semiHidden/>
    <w:qFormat/>
    <w:locked/>
    <w:rsid w:val="00924F40"/>
    <w:pPr>
      <w:spacing w:before="240" w:after="60" w:line="240" w:lineRule="auto"/>
      <w:outlineLvl w:val="6"/>
    </w:pPr>
    <w:rPr>
      <w:b/>
      <w:sz w:val="24"/>
      <w:szCs w:val="24"/>
      <w:lang w:val="en-AU" w:eastAsia="en-AU"/>
    </w:rPr>
  </w:style>
  <w:style w:type="paragraph" w:styleId="Heading8">
    <w:name w:val="heading 8"/>
    <w:basedOn w:val="Normal"/>
    <w:next w:val="Normal"/>
    <w:link w:val="Heading8Char"/>
    <w:semiHidden/>
    <w:qFormat/>
    <w:locked/>
    <w:rsid w:val="00924F40"/>
    <w:pPr>
      <w:spacing w:before="240" w:after="60"/>
      <w:outlineLvl w:val="7"/>
    </w:pPr>
    <w:rPr>
      <w:rFonts w:ascii="Arial" w:hAnsi="Arial"/>
      <w:i/>
      <w:sz w:val="20"/>
      <w:lang w:val="en-AU" w:eastAsia="en-AU"/>
    </w:rPr>
  </w:style>
  <w:style w:type="paragraph" w:styleId="Heading9">
    <w:name w:val="heading 9"/>
    <w:basedOn w:val="Normal"/>
    <w:next w:val="Normal"/>
    <w:link w:val="Heading9Char"/>
    <w:semiHidden/>
    <w:qFormat/>
    <w:locked/>
    <w:rsid w:val="00924F40"/>
    <w:pPr>
      <w:spacing w:before="240" w:after="60"/>
      <w:outlineLvl w:val="8"/>
    </w:pPr>
    <w:rPr>
      <w:rFonts w:ascii="Arial" w:hAnsi="Arial"/>
      <w:b/>
      <w:i/>
      <w:sz w:val="1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B65B6"/>
    <w:rPr>
      <w:rFonts w:ascii="Tahoma" w:hAnsi="Tahoma"/>
      <w:b/>
      <w:color w:val="000033"/>
      <w:kern w:val="28"/>
      <w:sz w:val="40"/>
      <w:lang w:val="en-GB" w:eastAsia="en-US"/>
    </w:rPr>
  </w:style>
  <w:style w:type="character" w:customStyle="1" w:styleId="Heading2Char">
    <w:name w:val="Heading 2 Char"/>
    <w:link w:val="Heading2"/>
    <w:locked/>
    <w:rsid w:val="005D0466"/>
    <w:rPr>
      <w:rFonts w:ascii="Arial" w:hAnsi="Arial" w:cs="Arial"/>
      <w:b/>
      <w:color w:val="000033"/>
      <w:sz w:val="26"/>
      <w:szCs w:val="22"/>
      <w:lang w:val="en-GB" w:eastAsia="en-US"/>
    </w:rPr>
  </w:style>
  <w:style w:type="character" w:customStyle="1" w:styleId="Heading3Char">
    <w:name w:val="Heading 3 Char"/>
    <w:link w:val="Heading3"/>
    <w:locked/>
    <w:rsid w:val="0009345D"/>
    <w:rPr>
      <w:rFonts w:ascii="Arial" w:hAnsi="Arial" w:cs="Arial"/>
      <w:b/>
      <w:color w:val="000033"/>
      <w:sz w:val="22"/>
      <w:lang w:val="en-GB" w:eastAsia="en-US"/>
    </w:rPr>
  </w:style>
  <w:style w:type="character" w:customStyle="1" w:styleId="Heading4Char">
    <w:name w:val="Heading 4 Char"/>
    <w:link w:val="Heading4"/>
    <w:locked/>
    <w:rsid w:val="002E7DBF"/>
    <w:rPr>
      <w:rFonts w:ascii="Times New Roman" w:hAnsi="Times New Roman"/>
      <w:b/>
      <w:sz w:val="24"/>
      <w:lang w:val="en-GB" w:eastAsia="en-US"/>
    </w:rPr>
  </w:style>
  <w:style w:type="character" w:customStyle="1" w:styleId="Heading5Char">
    <w:name w:val="Heading 5 Char"/>
    <w:link w:val="Heading5"/>
    <w:uiPriority w:val="99"/>
    <w:locked/>
    <w:rsid w:val="009852DB"/>
    <w:rPr>
      <w:rFonts w:ascii="Times New Roman" w:hAnsi="Times New Roman"/>
      <w:i/>
      <w:sz w:val="24"/>
      <w:lang w:val="en-GB" w:eastAsia="en-US"/>
    </w:rPr>
  </w:style>
  <w:style w:type="character" w:customStyle="1" w:styleId="Heading6Char">
    <w:name w:val="Heading 6 Char"/>
    <w:link w:val="Heading6"/>
    <w:semiHidden/>
    <w:locked/>
    <w:rsid w:val="009852DB"/>
    <w:rPr>
      <w:rFonts w:ascii="Times New Roman" w:hAnsi="Times New Roman"/>
      <w:bCs/>
      <w:i/>
      <w:color w:val="7F7F7F" w:themeColor="text1" w:themeTint="80"/>
      <w:sz w:val="22"/>
      <w:szCs w:val="22"/>
      <w:lang w:val="en-GB" w:eastAsia="en-US"/>
    </w:rPr>
  </w:style>
  <w:style w:type="character" w:customStyle="1" w:styleId="Heading7Char">
    <w:name w:val="Heading 7 Char"/>
    <w:aliases w:val="Appendix Char"/>
    <w:link w:val="Heading7"/>
    <w:semiHidden/>
    <w:locked/>
    <w:rsid w:val="009852DB"/>
    <w:rPr>
      <w:rFonts w:ascii="Times New Roman" w:hAnsi="Times New Roman"/>
      <w:b/>
      <w:sz w:val="24"/>
      <w:szCs w:val="24"/>
    </w:rPr>
  </w:style>
  <w:style w:type="character" w:customStyle="1" w:styleId="Heading8Char">
    <w:name w:val="Heading 8 Char"/>
    <w:link w:val="Heading8"/>
    <w:semiHidden/>
    <w:locked/>
    <w:rsid w:val="009852DB"/>
    <w:rPr>
      <w:rFonts w:ascii="Arial" w:hAnsi="Arial"/>
      <w:i/>
    </w:rPr>
  </w:style>
  <w:style w:type="character" w:customStyle="1" w:styleId="Heading9Char">
    <w:name w:val="Heading 9 Char"/>
    <w:link w:val="Heading9"/>
    <w:semiHidden/>
    <w:locked/>
    <w:rsid w:val="009852DB"/>
    <w:rPr>
      <w:rFonts w:ascii="Arial" w:hAnsi="Arial"/>
      <w:b/>
      <w:i/>
      <w:sz w:val="18"/>
    </w:rPr>
  </w:style>
  <w:style w:type="paragraph" w:customStyle="1" w:styleId="FigureName">
    <w:name w:val="Figure Name"/>
    <w:basedOn w:val="TableName"/>
    <w:next w:val="Normal"/>
    <w:qFormat/>
    <w:rsid w:val="00F7639D"/>
  </w:style>
  <w:style w:type="paragraph" w:customStyle="1" w:styleId="TableName">
    <w:name w:val="Table Name"/>
    <w:basedOn w:val="TableTextLeft"/>
    <w:link w:val="TableNameChar"/>
    <w:qFormat/>
    <w:rsid w:val="00F7639D"/>
    <w:pPr>
      <w:spacing w:before="120" w:after="120"/>
      <w:ind w:left="1080" w:hanging="1080"/>
    </w:pPr>
    <w:rPr>
      <w:b/>
      <w:sz w:val="20"/>
    </w:rPr>
  </w:style>
  <w:style w:type="paragraph" w:customStyle="1" w:styleId="TableTextLeft">
    <w:name w:val="Table Text Left"/>
    <w:uiPriority w:val="99"/>
    <w:qFormat/>
    <w:rsid w:val="008A6CA2"/>
    <w:pPr>
      <w:spacing w:before="40" w:after="40"/>
    </w:pPr>
    <w:rPr>
      <w:rFonts w:ascii="Arial Narrow" w:hAnsi="Arial Narrow"/>
      <w:sz w:val="18"/>
      <w:lang w:val="en-GB" w:eastAsia="en-US"/>
    </w:rPr>
  </w:style>
  <w:style w:type="character" w:customStyle="1" w:styleId="TableNameChar">
    <w:name w:val="Table Name Char"/>
    <w:link w:val="TableName"/>
    <w:locked/>
    <w:rsid w:val="008D7FA3"/>
    <w:rPr>
      <w:rFonts w:ascii="Arial Narrow" w:hAnsi="Arial Narrow" w:cs="Times New Roman"/>
      <w:b/>
    </w:rPr>
  </w:style>
  <w:style w:type="paragraph" w:styleId="Footer">
    <w:name w:val="footer"/>
    <w:aliases w:val="Footer (page number)"/>
    <w:basedOn w:val="Normal"/>
    <w:link w:val="FooterChar"/>
    <w:uiPriority w:val="99"/>
    <w:qFormat/>
    <w:rsid w:val="00280AFD"/>
    <w:pPr>
      <w:tabs>
        <w:tab w:val="right" w:pos="8732"/>
      </w:tabs>
      <w:spacing w:after="0" w:line="240" w:lineRule="atLeast"/>
    </w:pPr>
    <w:rPr>
      <w:i/>
      <w:color w:val="808080"/>
      <w:sz w:val="18"/>
    </w:rPr>
  </w:style>
  <w:style w:type="character" w:customStyle="1" w:styleId="FooterChar">
    <w:name w:val="Footer Char"/>
    <w:aliases w:val="Footer (page number) Char"/>
    <w:link w:val="Footer"/>
    <w:uiPriority w:val="99"/>
    <w:locked/>
    <w:rsid w:val="00280AFD"/>
    <w:rPr>
      <w:rFonts w:ascii="Times New Roman" w:hAnsi="Times New Roman"/>
      <w:i/>
      <w:color w:val="808080"/>
      <w:sz w:val="18"/>
      <w:lang w:val="en-GB" w:eastAsia="en-US"/>
    </w:rPr>
  </w:style>
  <w:style w:type="paragraph" w:customStyle="1" w:styleId="HeadingAppendix1">
    <w:name w:val="Heading Appendix 1"/>
    <w:basedOn w:val="Heading1"/>
    <w:qFormat/>
    <w:rsid w:val="000A4D58"/>
    <w:pPr>
      <w:numPr>
        <w:numId w:val="6"/>
      </w:numPr>
      <w:tabs>
        <w:tab w:val="left" w:pos="2693"/>
      </w:tabs>
    </w:pPr>
  </w:style>
  <w:style w:type="paragraph" w:styleId="FootnoteText">
    <w:name w:val="footnote text"/>
    <w:aliases w:val="Footnote,(NECG) Footnote Text,Footnote Text Char2,(NECG) Footnote Text Char,Footnote Text Char1 Char1"/>
    <w:basedOn w:val="Normal"/>
    <w:link w:val="FootnoteTextChar"/>
    <w:uiPriority w:val="99"/>
    <w:qFormat/>
    <w:rsid w:val="00847798"/>
    <w:pPr>
      <w:overflowPunct w:val="0"/>
      <w:autoSpaceDE w:val="0"/>
      <w:autoSpaceDN w:val="0"/>
      <w:adjustRightInd w:val="0"/>
      <w:spacing w:after="120" w:line="240" w:lineRule="auto"/>
      <w:textAlignment w:val="baseline"/>
    </w:pPr>
    <w:rPr>
      <w:sz w:val="18"/>
      <w:szCs w:val="18"/>
      <w:lang w:val="en-AU"/>
    </w:rPr>
  </w:style>
  <w:style w:type="character" w:customStyle="1" w:styleId="FootnoteTextChar">
    <w:name w:val="Footnote Text Char"/>
    <w:aliases w:val="Footnote Char,(NECG) Footnote Text Char1,Footnote Text Char2 Char,(NECG) Footnote Text Char Char,Footnote Text Char1 Char1 Char"/>
    <w:link w:val="FootnoteText"/>
    <w:uiPriority w:val="99"/>
    <w:locked/>
    <w:rsid w:val="00847798"/>
    <w:rPr>
      <w:rFonts w:ascii="Times New Roman" w:hAnsi="Times New Roman"/>
      <w:sz w:val="18"/>
      <w:szCs w:val="18"/>
      <w:lang w:eastAsia="en-US"/>
    </w:rPr>
  </w:style>
  <w:style w:type="paragraph" w:styleId="TableofFigures">
    <w:name w:val="table of figures"/>
    <w:basedOn w:val="Normal"/>
    <w:next w:val="Normal"/>
    <w:uiPriority w:val="99"/>
    <w:rsid w:val="00874740"/>
    <w:pPr>
      <w:tabs>
        <w:tab w:val="left" w:pos="1418"/>
        <w:tab w:val="right" w:pos="7655"/>
      </w:tabs>
      <w:ind w:left="1418" w:right="1418" w:hanging="1418"/>
    </w:pPr>
    <w:rPr>
      <w:noProof/>
    </w:rPr>
  </w:style>
  <w:style w:type="paragraph" w:styleId="TOC3">
    <w:name w:val="toc 3"/>
    <w:basedOn w:val="TOC2"/>
    <w:next w:val="Normal"/>
    <w:autoRedefine/>
    <w:uiPriority w:val="39"/>
    <w:rsid w:val="00F7639D"/>
    <w:pPr>
      <w:tabs>
        <w:tab w:val="left" w:pos="1800"/>
      </w:tabs>
      <w:ind w:left="1800"/>
    </w:pPr>
  </w:style>
  <w:style w:type="paragraph" w:styleId="TOC2">
    <w:name w:val="toc 2"/>
    <w:basedOn w:val="TOC1"/>
    <w:next w:val="Normal"/>
    <w:uiPriority w:val="39"/>
    <w:rsid w:val="00F7639D"/>
    <w:pPr>
      <w:tabs>
        <w:tab w:val="clear" w:pos="360"/>
        <w:tab w:val="left" w:pos="1080"/>
      </w:tabs>
      <w:spacing w:before="60" w:after="0"/>
      <w:ind w:left="1080" w:hanging="720"/>
    </w:pPr>
    <w:rPr>
      <w:b w:val="0"/>
    </w:rPr>
  </w:style>
  <w:style w:type="paragraph" w:styleId="TOC1">
    <w:name w:val="toc 1"/>
    <w:basedOn w:val="Normal"/>
    <w:next w:val="Normal"/>
    <w:uiPriority w:val="39"/>
    <w:rsid w:val="00CF6CC5"/>
    <w:pPr>
      <w:tabs>
        <w:tab w:val="left" w:pos="360"/>
        <w:tab w:val="right" w:pos="7655"/>
      </w:tabs>
      <w:spacing w:before="360" w:after="60" w:line="240" w:lineRule="auto"/>
      <w:ind w:left="357" w:right="1134" w:hanging="357"/>
    </w:pPr>
    <w:rPr>
      <w:b/>
      <w:noProof/>
      <w:szCs w:val="40"/>
    </w:rPr>
  </w:style>
  <w:style w:type="paragraph" w:styleId="Quote">
    <w:name w:val="Quote"/>
    <w:basedOn w:val="Normal"/>
    <w:link w:val="QuoteChar"/>
    <w:uiPriority w:val="99"/>
    <w:qFormat/>
    <w:rsid w:val="00924F40"/>
    <w:pPr>
      <w:spacing w:line="240" w:lineRule="atLeast"/>
      <w:ind w:left="360" w:right="360"/>
    </w:pPr>
    <w:rPr>
      <w:sz w:val="20"/>
      <w:lang w:val="en-AU" w:eastAsia="en-AU"/>
    </w:rPr>
  </w:style>
  <w:style w:type="character" w:customStyle="1" w:styleId="QuoteChar">
    <w:name w:val="Quote Char"/>
    <w:link w:val="Quote"/>
    <w:uiPriority w:val="99"/>
    <w:locked/>
    <w:rsid w:val="00924F40"/>
    <w:rPr>
      <w:rFonts w:ascii="Times New Roman" w:hAnsi="Times New Roman" w:cs="Times New Roman"/>
    </w:rPr>
  </w:style>
  <w:style w:type="paragraph" w:customStyle="1" w:styleId="Bullet">
    <w:name w:val="Bullet"/>
    <w:basedOn w:val="Normal"/>
    <w:link w:val="BulletChar"/>
    <w:qFormat/>
    <w:rsid w:val="008B275E"/>
    <w:pPr>
      <w:spacing w:after="100"/>
    </w:pPr>
  </w:style>
  <w:style w:type="character" w:customStyle="1" w:styleId="BulletChar">
    <w:name w:val="Bullet Char"/>
    <w:link w:val="Bullet"/>
    <w:locked/>
    <w:rsid w:val="008B275E"/>
    <w:rPr>
      <w:rFonts w:ascii="Times New Roman" w:hAnsi="Times New Roman"/>
      <w:sz w:val="22"/>
      <w:lang w:val="en-GB" w:eastAsia="en-US"/>
    </w:rPr>
  </w:style>
  <w:style w:type="paragraph" w:customStyle="1" w:styleId="Heading1a">
    <w:name w:val="Heading 1a"/>
    <w:basedOn w:val="Heading1"/>
    <w:rsid w:val="000A4D58"/>
    <w:pPr>
      <w:numPr>
        <w:numId w:val="0"/>
      </w:numPr>
    </w:pPr>
    <w:rPr>
      <w:lang w:val="en-AU"/>
    </w:rPr>
  </w:style>
  <w:style w:type="paragraph" w:customStyle="1" w:styleId="TableHeadingLeft">
    <w:name w:val="Table Heading Left"/>
    <w:basedOn w:val="TableTextLeft"/>
    <w:uiPriority w:val="99"/>
    <w:rsid w:val="0025119B"/>
    <w:rPr>
      <w:b/>
    </w:rPr>
  </w:style>
  <w:style w:type="paragraph" w:customStyle="1" w:styleId="TableNotes">
    <w:name w:val="Table Notes"/>
    <w:basedOn w:val="TableTextLeft"/>
    <w:rsid w:val="00F7639D"/>
    <w:pPr>
      <w:keepLines/>
      <w:spacing w:before="60" w:after="0"/>
    </w:pPr>
    <w:rPr>
      <w:sz w:val="16"/>
    </w:rPr>
  </w:style>
  <w:style w:type="paragraph" w:customStyle="1" w:styleId="BulletLast">
    <w:name w:val="Bullet Last"/>
    <w:basedOn w:val="Normal"/>
    <w:qFormat/>
    <w:rsid w:val="008B275E"/>
    <w:pPr>
      <w:numPr>
        <w:numId w:val="5"/>
      </w:numPr>
      <w:ind w:left="681" w:hanging="397"/>
    </w:pPr>
  </w:style>
  <w:style w:type="paragraph" w:customStyle="1" w:styleId="TableBullet">
    <w:name w:val="Table Bullet"/>
    <w:basedOn w:val="TableTextLeft"/>
    <w:uiPriority w:val="99"/>
    <w:rsid w:val="00F7639D"/>
    <w:pPr>
      <w:numPr>
        <w:numId w:val="2"/>
      </w:numPr>
      <w:tabs>
        <w:tab w:val="left" w:pos="216"/>
      </w:tabs>
    </w:pPr>
  </w:style>
  <w:style w:type="paragraph" w:customStyle="1" w:styleId="TableNotesHanging">
    <w:name w:val="Table Notes Hanging"/>
    <w:basedOn w:val="TableNotes"/>
    <w:uiPriority w:val="99"/>
    <w:rsid w:val="00857C3E"/>
    <w:pPr>
      <w:ind w:left="737" w:hanging="737"/>
    </w:pPr>
  </w:style>
  <w:style w:type="character" w:styleId="Hyperlink">
    <w:name w:val="Hyperlink"/>
    <w:uiPriority w:val="99"/>
    <w:rsid w:val="00F7639D"/>
    <w:rPr>
      <w:rFonts w:ascii="Times New Roman" w:hAnsi="Times New Roman" w:cs="Times New Roman"/>
      <w:color w:val="000000"/>
      <w:sz w:val="22"/>
      <w:u w:val="none"/>
    </w:rPr>
  </w:style>
  <w:style w:type="paragraph" w:customStyle="1" w:styleId="TableNotesHangingLast">
    <w:name w:val="Table Notes Hanging Last"/>
    <w:basedOn w:val="TableNotesHanging"/>
    <w:uiPriority w:val="99"/>
    <w:rsid w:val="00857C3E"/>
    <w:pPr>
      <w:spacing w:after="320"/>
    </w:pPr>
  </w:style>
  <w:style w:type="paragraph" w:customStyle="1" w:styleId="TableNotesLast">
    <w:name w:val="Table Notes Last"/>
    <w:basedOn w:val="TableNotes"/>
    <w:rsid w:val="00F7639D"/>
    <w:pPr>
      <w:spacing w:after="320"/>
    </w:pPr>
  </w:style>
  <w:style w:type="paragraph" w:styleId="CommentText">
    <w:name w:val="annotation text"/>
    <w:basedOn w:val="Normal"/>
    <w:link w:val="CommentTextChar"/>
    <w:semiHidden/>
    <w:locked/>
    <w:rsid w:val="00474ECC"/>
    <w:rPr>
      <w:sz w:val="24"/>
      <w:szCs w:val="24"/>
    </w:rPr>
  </w:style>
  <w:style w:type="character" w:customStyle="1" w:styleId="CommentTextChar">
    <w:name w:val="Comment Text Char"/>
    <w:link w:val="CommentText"/>
    <w:semiHidden/>
    <w:locked/>
    <w:rsid w:val="00474ECC"/>
    <w:rPr>
      <w:rFonts w:ascii="Times New Roman" w:hAnsi="Times New Roman" w:cs="Times New Roman"/>
      <w:sz w:val="24"/>
      <w:szCs w:val="24"/>
    </w:rPr>
  </w:style>
  <w:style w:type="paragraph" w:styleId="CommentSubject">
    <w:name w:val="annotation subject"/>
    <w:basedOn w:val="CommentText"/>
    <w:next w:val="CommentText"/>
    <w:link w:val="CommentSubjectChar"/>
    <w:semiHidden/>
    <w:locked/>
    <w:rsid w:val="00474ECC"/>
    <w:rPr>
      <w:sz w:val="22"/>
      <w:szCs w:val="20"/>
    </w:rPr>
  </w:style>
  <w:style w:type="character" w:customStyle="1" w:styleId="CommentSubjectChar">
    <w:name w:val="Comment Subject Char"/>
    <w:basedOn w:val="CommentTextChar"/>
    <w:link w:val="CommentSubject"/>
    <w:semiHidden/>
    <w:locked/>
    <w:rsid w:val="00474ECC"/>
    <w:rPr>
      <w:rFonts w:ascii="Times New Roman" w:hAnsi="Times New Roman" w:cs="Times New Roman"/>
      <w:sz w:val="24"/>
      <w:szCs w:val="24"/>
    </w:rPr>
  </w:style>
  <w:style w:type="paragraph" w:styleId="EndnoteText">
    <w:name w:val="endnote text"/>
    <w:basedOn w:val="Normal"/>
    <w:link w:val="EndnoteTextChar"/>
    <w:semiHidden/>
    <w:locked/>
    <w:rsid w:val="00474ECC"/>
    <w:rPr>
      <w:sz w:val="20"/>
    </w:rPr>
  </w:style>
  <w:style w:type="character" w:customStyle="1" w:styleId="EndnoteTextChar">
    <w:name w:val="Endnote Text Char"/>
    <w:link w:val="EndnoteText"/>
    <w:semiHidden/>
    <w:locked/>
    <w:rsid w:val="00474ECC"/>
    <w:rPr>
      <w:rFonts w:ascii="Times New Roman" w:hAnsi="Times New Roman" w:cs="Times New Roman"/>
    </w:rPr>
  </w:style>
  <w:style w:type="paragraph" w:styleId="Index1">
    <w:name w:val="index 1"/>
    <w:basedOn w:val="Normal"/>
    <w:next w:val="Normal"/>
    <w:autoRedefine/>
    <w:uiPriority w:val="99"/>
    <w:semiHidden/>
    <w:locked/>
    <w:rsid w:val="00474ECC"/>
    <w:pPr>
      <w:ind w:left="220" w:hanging="220"/>
    </w:pPr>
  </w:style>
  <w:style w:type="paragraph" w:styleId="Index2">
    <w:name w:val="index 2"/>
    <w:basedOn w:val="Normal"/>
    <w:next w:val="Normal"/>
    <w:autoRedefine/>
    <w:semiHidden/>
    <w:locked/>
    <w:rsid w:val="00474ECC"/>
    <w:pPr>
      <w:ind w:left="440" w:hanging="220"/>
    </w:pPr>
  </w:style>
  <w:style w:type="paragraph" w:styleId="Index3">
    <w:name w:val="index 3"/>
    <w:basedOn w:val="Normal"/>
    <w:next w:val="Normal"/>
    <w:autoRedefine/>
    <w:semiHidden/>
    <w:locked/>
    <w:rsid w:val="00474ECC"/>
    <w:pPr>
      <w:ind w:left="660" w:hanging="220"/>
    </w:pPr>
  </w:style>
  <w:style w:type="paragraph" w:styleId="Index4">
    <w:name w:val="index 4"/>
    <w:basedOn w:val="Normal"/>
    <w:next w:val="Normal"/>
    <w:autoRedefine/>
    <w:semiHidden/>
    <w:locked/>
    <w:rsid w:val="00474ECC"/>
    <w:pPr>
      <w:ind w:left="880" w:hanging="220"/>
    </w:pPr>
  </w:style>
  <w:style w:type="paragraph" w:styleId="Index5">
    <w:name w:val="index 5"/>
    <w:basedOn w:val="Normal"/>
    <w:next w:val="Normal"/>
    <w:autoRedefine/>
    <w:semiHidden/>
    <w:locked/>
    <w:rsid w:val="00474ECC"/>
    <w:pPr>
      <w:ind w:left="1100" w:hanging="220"/>
    </w:pPr>
  </w:style>
  <w:style w:type="paragraph" w:styleId="Index6">
    <w:name w:val="index 6"/>
    <w:basedOn w:val="Normal"/>
    <w:next w:val="Normal"/>
    <w:autoRedefine/>
    <w:semiHidden/>
    <w:locked/>
    <w:rsid w:val="00474ECC"/>
    <w:pPr>
      <w:ind w:left="1320" w:hanging="220"/>
    </w:pPr>
  </w:style>
  <w:style w:type="paragraph" w:styleId="Index7">
    <w:name w:val="index 7"/>
    <w:basedOn w:val="Normal"/>
    <w:next w:val="Normal"/>
    <w:autoRedefine/>
    <w:semiHidden/>
    <w:locked/>
    <w:rsid w:val="00474ECC"/>
    <w:pPr>
      <w:ind w:left="1540" w:hanging="220"/>
    </w:pPr>
  </w:style>
  <w:style w:type="paragraph" w:styleId="Index8">
    <w:name w:val="index 8"/>
    <w:basedOn w:val="Normal"/>
    <w:next w:val="Normal"/>
    <w:autoRedefine/>
    <w:semiHidden/>
    <w:locked/>
    <w:rsid w:val="00474ECC"/>
    <w:pPr>
      <w:ind w:left="1760" w:hanging="220"/>
    </w:pPr>
  </w:style>
  <w:style w:type="paragraph" w:styleId="Index9">
    <w:name w:val="index 9"/>
    <w:basedOn w:val="Normal"/>
    <w:next w:val="Normal"/>
    <w:autoRedefine/>
    <w:semiHidden/>
    <w:locked/>
    <w:rsid w:val="00474ECC"/>
    <w:pPr>
      <w:ind w:left="1980" w:hanging="220"/>
    </w:pPr>
  </w:style>
  <w:style w:type="paragraph" w:styleId="IndexHeading">
    <w:name w:val="index heading"/>
    <w:basedOn w:val="Normal"/>
    <w:next w:val="Index1"/>
    <w:semiHidden/>
    <w:locked/>
    <w:rsid w:val="00474ECC"/>
    <w:rPr>
      <w:rFonts w:ascii="Arial" w:hAnsi="Arial" w:cs="Arial"/>
      <w:b/>
      <w:bCs/>
    </w:rPr>
  </w:style>
  <w:style w:type="paragraph" w:styleId="Caption">
    <w:name w:val="caption"/>
    <w:basedOn w:val="Normal"/>
    <w:next w:val="Normal"/>
    <w:semiHidden/>
    <w:qFormat/>
    <w:locked/>
    <w:rsid w:val="00C768A3"/>
    <w:pPr>
      <w:spacing w:after="200" w:line="240" w:lineRule="auto"/>
    </w:pPr>
    <w:rPr>
      <w:b/>
      <w:bCs/>
      <w:color w:val="4F81BD" w:themeColor="accent1"/>
      <w:sz w:val="18"/>
      <w:szCs w:val="18"/>
    </w:rPr>
  </w:style>
  <w:style w:type="paragraph" w:styleId="TOAHeading">
    <w:name w:val="toa heading"/>
    <w:basedOn w:val="Normal"/>
    <w:next w:val="Normal"/>
    <w:semiHidden/>
    <w:locked/>
    <w:rsid w:val="00474ECC"/>
    <w:pPr>
      <w:spacing w:before="120"/>
    </w:pPr>
    <w:rPr>
      <w:rFonts w:ascii="Arial" w:hAnsi="Arial" w:cs="Arial"/>
      <w:b/>
      <w:bCs/>
      <w:sz w:val="24"/>
      <w:szCs w:val="24"/>
    </w:rPr>
  </w:style>
  <w:style w:type="paragraph" w:customStyle="1" w:styleId="QuoteBullet">
    <w:name w:val="Quote Bullet"/>
    <w:basedOn w:val="Quote"/>
    <w:uiPriority w:val="99"/>
    <w:qFormat/>
    <w:rsid w:val="00F7639D"/>
    <w:pPr>
      <w:numPr>
        <w:numId w:val="3"/>
      </w:numPr>
      <w:ind w:left="714" w:right="357" w:hanging="357"/>
    </w:pPr>
  </w:style>
  <w:style w:type="paragraph" w:customStyle="1" w:styleId="References">
    <w:name w:val="References"/>
    <w:basedOn w:val="Normal"/>
    <w:qFormat/>
    <w:rsid w:val="00F24C6B"/>
    <w:pPr>
      <w:ind w:left="567" w:hanging="567"/>
    </w:pPr>
    <w:rPr>
      <w:szCs w:val="24"/>
    </w:rPr>
  </w:style>
  <w:style w:type="table" w:styleId="TableGrid">
    <w:name w:val="Table Grid"/>
    <w:basedOn w:val="TableNormal"/>
    <w:uiPriority w:val="59"/>
    <w:locked/>
    <w:rsid w:val="00474ECC"/>
    <w:pPr>
      <w:spacing w:after="220" w:line="280" w:lineRule="atLeast"/>
    </w:pPr>
    <w:rPr>
      <w:rFonts w:ascii="Times New Roman" w:eastAsia="SimSu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semiHidden/>
    <w:rsid w:val="00474ECC"/>
    <w:rPr>
      <w:rFonts w:ascii="Times New Roman" w:eastAsia="SimSun" w:hAnsi="Times New Roman"/>
      <w:sz w:val="22"/>
      <w:lang w:val="en-GB" w:eastAsia="en-US"/>
    </w:rPr>
  </w:style>
  <w:style w:type="table" w:customStyle="1" w:styleId="Style1">
    <w:name w:val="Style1"/>
    <w:locked/>
    <w:rsid w:val="00474ECC"/>
    <w:rPr>
      <w:rFonts w:ascii="Arial Narrow" w:eastAsia="SimSun" w:hAnsi="Arial Narrow"/>
      <w:sz w:val="18"/>
    </w:rPr>
    <w:tblPr>
      <w:tblInd w:w="0" w:type="dxa"/>
      <w:tblBorders>
        <w:top w:val="single" w:sz="8" w:space="0" w:color="333399"/>
        <w:bottom w:val="single" w:sz="8" w:space="0" w:color="333399"/>
      </w:tblBorders>
      <w:tblCellMar>
        <w:top w:w="0" w:type="dxa"/>
        <w:left w:w="108" w:type="dxa"/>
        <w:bottom w:w="0" w:type="dxa"/>
        <w:right w:w="108" w:type="dxa"/>
      </w:tblCellMar>
    </w:tblPr>
  </w:style>
  <w:style w:type="paragraph" w:styleId="PlainText">
    <w:name w:val="Plain Text"/>
    <w:basedOn w:val="Normal"/>
    <w:link w:val="PlainTextChar"/>
    <w:semiHidden/>
    <w:locked/>
    <w:rsid w:val="00474ECC"/>
    <w:rPr>
      <w:rFonts w:ascii="Consolas" w:hAnsi="Consolas"/>
      <w:sz w:val="21"/>
      <w:szCs w:val="21"/>
    </w:rPr>
  </w:style>
  <w:style w:type="character" w:customStyle="1" w:styleId="PlainTextChar">
    <w:name w:val="Plain Text Char"/>
    <w:link w:val="PlainText"/>
    <w:semiHidden/>
    <w:locked/>
    <w:rsid w:val="00474ECC"/>
    <w:rPr>
      <w:rFonts w:ascii="Consolas" w:hAnsi="Consolas" w:cs="Times New Roman"/>
      <w:sz w:val="21"/>
      <w:szCs w:val="21"/>
    </w:rPr>
  </w:style>
  <w:style w:type="table" w:customStyle="1" w:styleId="icrctable">
    <w:name w:val="icrc table"/>
    <w:basedOn w:val="TableSimple1"/>
    <w:locked/>
    <w:rsid w:val="00F7639D"/>
    <w:rPr>
      <w:rFonts w:ascii="Arial Narrow" w:hAnsi="Arial Narrow"/>
      <w:sz w:val="18"/>
      <w:lang w:val="en-US" w:eastAsia="en-US"/>
    </w:rPr>
    <w:tblPr>
      <w:tblInd w:w="0" w:type="dxa"/>
      <w:tblBorders>
        <w:top w:val="single" w:sz="8" w:space="0" w:color="333399"/>
        <w:bottom w:val="single" w:sz="8" w:space="0" w:color="333399"/>
      </w:tblBorders>
      <w:tblCellMar>
        <w:top w:w="0" w:type="dxa"/>
        <w:left w:w="108" w:type="dxa"/>
        <w:bottom w:w="0" w:type="dxa"/>
        <w:right w:w="108" w:type="dxa"/>
      </w:tblCellMar>
    </w:tblPr>
    <w:tblStylePr w:type="firstRow">
      <w:rPr>
        <w:rFonts w:cs="Times New Roman"/>
      </w:rPr>
      <w:tblPr/>
      <w:tcPr>
        <w:tcBorders>
          <w:bottom w:val="single" w:sz="4" w:space="0" w:color="333399"/>
          <w:tl2br w:val="none" w:sz="0" w:space="0" w:color="auto"/>
          <w:tr2bl w:val="none" w:sz="0" w:space="0" w:color="auto"/>
        </w:tcBorders>
        <w:shd w:val="clear" w:color="auto" w:fill="auto"/>
      </w:tcPr>
    </w:tblStylePr>
    <w:tblStylePr w:type="lastRow">
      <w:rPr>
        <w:rFonts w:cs="Times New Roman"/>
      </w:rPr>
      <w:tblPr/>
      <w:tcPr>
        <w:tcBorders>
          <w:top w:val="single" w:sz="4" w:space="0" w:color="333399"/>
          <w:tl2br w:val="none" w:sz="0" w:space="0" w:color="auto"/>
          <w:tr2bl w:val="none" w:sz="0" w:space="0" w:color="auto"/>
        </w:tcBorders>
        <w:shd w:val="clear" w:color="auto" w:fill="auto"/>
      </w:tcPr>
    </w:tblStylePr>
  </w:style>
  <w:style w:type="table" w:styleId="TableSimple1">
    <w:name w:val="Table Simple 1"/>
    <w:basedOn w:val="TableNormal"/>
    <w:locked/>
    <w:rsid w:val="00F7639D"/>
    <w:pPr>
      <w:spacing w:after="220" w:line="280" w:lineRule="atLeast"/>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Headerodd">
    <w:name w:val="Header (odd)"/>
    <w:basedOn w:val="Normal"/>
    <w:rsid w:val="006D6B12"/>
    <w:pPr>
      <w:spacing w:after="0"/>
      <w:jc w:val="right"/>
    </w:pPr>
    <w:rPr>
      <w:i/>
      <w:color w:val="808080"/>
      <w:sz w:val="18"/>
      <w:szCs w:val="18"/>
    </w:rPr>
  </w:style>
  <w:style w:type="paragraph" w:customStyle="1" w:styleId="Headereven">
    <w:name w:val="Header (even)"/>
    <w:basedOn w:val="Headerodd"/>
    <w:rsid w:val="006D6B12"/>
    <w:pPr>
      <w:jc w:val="left"/>
    </w:pPr>
  </w:style>
  <w:style w:type="table" w:customStyle="1" w:styleId="ICRC">
    <w:name w:val="ICRC"/>
    <w:locked/>
    <w:rsid w:val="00474ECC"/>
    <w:rPr>
      <w:rFonts w:ascii="Arial Narrow" w:hAnsi="Arial Narrow"/>
      <w:sz w:val="18"/>
    </w:rPr>
    <w:tblPr>
      <w:tblInd w:w="0" w:type="dxa"/>
      <w:tblBorders>
        <w:bottom w:val="single" w:sz="12" w:space="0" w:color="333399"/>
      </w:tblBorders>
      <w:tblCellMar>
        <w:top w:w="0" w:type="dxa"/>
        <w:left w:w="108" w:type="dxa"/>
        <w:bottom w:w="0" w:type="dxa"/>
        <w:right w:w="108" w:type="dxa"/>
      </w:tblCellMar>
    </w:tblPr>
  </w:style>
  <w:style w:type="paragraph" w:customStyle="1" w:styleId="FigureText">
    <w:name w:val="Figure Text"/>
    <w:basedOn w:val="Normal"/>
    <w:qFormat/>
    <w:rsid w:val="00F7639D"/>
    <w:pPr>
      <w:spacing w:after="0" w:line="240" w:lineRule="auto"/>
    </w:pPr>
    <w:rPr>
      <w:rFonts w:ascii="Arial" w:hAnsi="Arial"/>
      <w:sz w:val="16"/>
    </w:rPr>
  </w:style>
  <w:style w:type="character" w:styleId="EndnoteReference">
    <w:name w:val="endnote reference"/>
    <w:uiPriority w:val="99"/>
    <w:semiHidden/>
    <w:unhideWhenUsed/>
    <w:locked/>
    <w:rsid w:val="001609AB"/>
    <w:rPr>
      <w:vertAlign w:val="superscript"/>
    </w:rPr>
  </w:style>
  <w:style w:type="paragraph" w:styleId="BalloonText">
    <w:name w:val="Balloon Text"/>
    <w:basedOn w:val="Normal"/>
    <w:link w:val="BalloonTextChar"/>
    <w:uiPriority w:val="99"/>
    <w:semiHidden/>
    <w:unhideWhenUsed/>
    <w:locked/>
    <w:rsid w:val="005F1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14B"/>
    <w:rPr>
      <w:rFonts w:ascii="Tahoma" w:hAnsi="Tahoma" w:cs="Tahoma"/>
      <w:sz w:val="16"/>
      <w:szCs w:val="16"/>
      <w:lang w:val="en-GB" w:eastAsia="en-US"/>
    </w:rPr>
  </w:style>
  <w:style w:type="character" w:styleId="CommentReference">
    <w:name w:val="annotation reference"/>
    <w:basedOn w:val="DefaultParagraphFont"/>
    <w:uiPriority w:val="99"/>
    <w:semiHidden/>
    <w:unhideWhenUsed/>
    <w:locked/>
    <w:rsid w:val="0031462D"/>
    <w:rPr>
      <w:sz w:val="16"/>
      <w:szCs w:val="16"/>
    </w:rPr>
  </w:style>
  <w:style w:type="character" w:styleId="PlaceholderText">
    <w:name w:val="Placeholder Text"/>
    <w:basedOn w:val="DefaultParagraphFont"/>
    <w:uiPriority w:val="99"/>
    <w:semiHidden/>
    <w:locked/>
    <w:rsid w:val="0074389C"/>
    <w:rPr>
      <w:color w:val="808080"/>
    </w:rPr>
  </w:style>
  <w:style w:type="paragraph" w:customStyle="1" w:styleId="HeadingPart">
    <w:name w:val="Heading Part"/>
    <w:basedOn w:val="Heading1"/>
    <w:qFormat/>
    <w:rsid w:val="000A4D58"/>
    <w:pPr>
      <w:numPr>
        <w:numId w:val="4"/>
      </w:numPr>
      <w:tabs>
        <w:tab w:val="left" w:pos="1843"/>
      </w:tabs>
    </w:pPr>
  </w:style>
  <w:style w:type="character" w:styleId="FootnoteReference">
    <w:name w:val="footnote reference"/>
    <w:aliases w:val="(NECG) Footnote Reference"/>
    <w:basedOn w:val="DefaultParagraphFont"/>
    <w:uiPriority w:val="99"/>
    <w:unhideWhenUsed/>
    <w:rsid w:val="00FE0570"/>
    <w:rPr>
      <w:vertAlign w:val="superscript"/>
    </w:rPr>
  </w:style>
  <w:style w:type="character" w:customStyle="1" w:styleId="Italic">
    <w:name w:val="Italic"/>
    <w:basedOn w:val="DefaultParagraphFont"/>
    <w:uiPriority w:val="1"/>
    <w:qFormat/>
    <w:rsid w:val="00F24C6B"/>
    <w:rPr>
      <w:i/>
    </w:rPr>
  </w:style>
  <w:style w:type="character" w:customStyle="1" w:styleId="HighlightYellow">
    <w:name w:val="Highlight Yellow"/>
    <w:basedOn w:val="DefaultParagraphFont"/>
    <w:uiPriority w:val="1"/>
    <w:qFormat/>
    <w:rsid w:val="00A75C51"/>
    <w:rPr>
      <w:sz w:val="22"/>
      <w:szCs w:val="24"/>
      <w:bdr w:val="none" w:sz="0" w:space="0" w:color="auto"/>
      <w:shd w:val="clear" w:color="auto" w:fill="FFFF00"/>
    </w:rPr>
  </w:style>
  <w:style w:type="character" w:customStyle="1" w:styleId="HighlightGreen">
    <w:name w:val="Highlight Green"/>
    <w:basedOn w:val="HighlightYellow"/>
    <w:uiPriority w:val="1"/>
    <w:qFormat/>
    <w:rsid w:val="00FF5F02"/>
    <w:rPr>
      <w:sz w:val="22"/>
      <w:szCs w:val="24"/>
      <w:bdr w:val="none" w:sz="0" w:space="0" w:color="auto"/>
      <w:shd w:val="clear" w:color="auto" w:fill="92D050"/>
    </w:rPr>
  </w:style>
  <w:style w:type="character" w:customStyle="1" w:styleId="HighlightBlue">
    <w:name w:val="Highlight Blue"/>
    <w:basedOn w:val="HighlightGreen"/>
    <w:uiPriority w:val="1"/>
    <w:qFormat/>
    <w:rsid w:val="00FF5F02"/>
    <w:rPr>
      <w:sz w:val="22"/>
      <w:szCs w:val="24"/>
      <w:bdr w:val="none" w:sz="0" w:space="0" w:color="auto"/>
      <w:shd w:val="clear" w:color="auto" w:fill="00B0F0"/>
    </w:rPr>
  </w:style>
  <w:style w:type="character" w:customStyle="1" w:styleId="Bold">
    <w:name w:val="Bold"/>
    <w:basedOn w:val="DefaultParagraphFont"/>
    <w:qFormat/>
    <w:rsid w:val="00FB72CD"/>
    <w:rPr>
      <w:rFonts w:eastAsia="SimSun"/>
      <w:b/>
      <w:lang w:val="en-AU"/>
    </w:rPr>
  </w:style>
  <w:style w:type="paragraph" w:customStyle="1" w:styleId="Heading50">
    <w:name w:val="Heading 5^"/>
    <w:basedOn w:val="Heading5"/>
    <w:link w:val="Heading5Char0"/>
    <w:qFormat/>
    <w:rsid w:val="001822C4"/>
    <w:pPr>
      <w:spacing w:before="0" w:after="120"/>
    </w:pPr>
    <w:rPr>
      <w:szCs w:val="24"/>
      <w:lang w:val="en-AU"/>
    </w:rPr>
  </w:style>
  <w:style w:type="character" w:customStyle="1" w:styleId="Heading5Char0">
    <w:name w:val="Heading 5^ Char"/>
    <w:basedOn w:val="Heading5Char"/>
    <w:link w:val="Heading50"/>
    <w:rsid w:val="001822C4"/>
    <w:rPr>
      <w:rFonts w:ascii="Times New Roman" w:hAnsi="Times New Roman"/>
      <w:i/>
      <w:sz w:val="24"/>
      <w:szCs w:val="24"/>
      <w:lang w:val="en-GB" w:eastAsia="en-US"/>
    </w:rPr>
  </w:style>
  <w:style w:type="paragraph" w:customStyle="1" w:styleId="QuoteListnumber">
    <w:name w:val="Quote List (number)"/>
    <w:basedOn w:val="Normal"/>
    <w:rsid w:val="005566BA"/>
    <w:rPr>
      <w:sz w:val="20"/>
    </w:rPr>
  </w:style>
  <w:style w:type="paragraph" w:customStyle="1" w:styleId="TableHeadingRight">
    <w:name w:val="Table Heading Right"/>
    <w:basedOn w:val="TableHeadingLeft"/>
    <w:qFormat/>
    <w:rsid w:val="00280AFD"/>
    <w:pPr>
      <w:jc w:val="right"/>
    </w:pPr>
  </w:style>
  <w:style w:type="paragraph" w:customStyle="1" w:styleId="TableTextRight">
    <w:name w:val="Table Text Right"/>
    <w:basedOn w:val="TableTextLeft"/>
    <w:qFormat/>
    <w:rsid w:val="008A6CA2"/>
    <w:pPr>
      <w:jc w:val="right"/>
    </w:pPr>
  </w:style>
  <w:style w:type="paragraph" w:customStyle="1" w:styleId="HeadingAppendix2">
    <w:name w:val="Heading Appendix 2"/>
    <w:basedOn w:val="Heading2"/>
    <w:qFormat/>
    <w:rsid w:val="00D42FF9"/>
    <w:pPr>
      <w:numPr>
        <w:numId w:val="6"/>
      </w:numPr>
    </w:pPr>
  </w:style>
  <w:style w:type="paragraph" w:customStyle="1" w:styleId="HeadingAppendix3">
    <w:name w:val="Heading Appendix 3"/>
    <w:basedOn w:val="Heading3"/>
    <w:qFormat/>
    <w:rsid w:val="00D42FF9"/>
    <w:pPr>
      <w:numPr>
        <w:numId w:val="6"/>
      </w:numPr>
    </w:pPr>
  </w:style>
  <w:style w:type="paragraph" w:styleId="DocumentMap">
    <w:name w:val="Document Map"/>
    <w:basedOn w:val="Normal"/>
    <w:link w:val="DocumentMapChar"/>
    <w:uiPriority w:val="99"/>
    <w:semiHidden/>
    <w:unhideWhenUsed/>
    <w:locked/>
    <w:rsid w:val="00E258B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258B7"/>
    <w:rPr>
      <w:rFonts w:ascii="Tahoma" w:hAnsi="Tahoma" w:cs="Tahoma"/>
      <w:sz w:val="16"/>
      <w:szCs w:val="16"/>
      <w:lang w:val="en-GB" w:eastAsia="en-US"/>
    </w:rPr>
  </w:style>
  <w:style w:type="paragraph" w:customStyle="1" w:styleId="QuoteListletter">
    <w:name w:val="Quote List (letter)"/>
    <w:basedOn w:val="QuoteListnumber"/>
    <w:qFormat/>
    <w:rsid w:val="005566BA"/>
    <w:pPr>
      <w:numPr>
        <w:ilvl w:val="1"/>
      </w:numPr>
    </w:pPr>
  </w:style>
  <w:style w:type="character" w:styleId="Emphasis">
    <w:name w:val="Emphasis"/>
    <w:basedOn w:val="DefaultParagraphFont"/>
    <w:uiPriority w:val="20"/>
    <w:qFormat/>
    <w:locked/>
    <w:rsid w:val="00F4763B"/>
    <w:rPr>
      <w:i/>
      <w:iCs/>
    </w:rPr>
  </w:style>
  <w:style w:type="paragraph" w:customStyle="1" w:styleId="Equation">
    <w:name w:val="Equation"/>
    <w:basedOn w:val="EquationVariables"/>
    <w:uiPriority w:val="99"/>
    <w:qFormat/>
    <w:rsid w:val="00F7295F"/>
    <w:pPr>
      <w:tabs>
        <w:tab w:val="clear" w:pos="1985"/>
      </w:tabs>
      <w:ind w:left="1418" w:firstLine="0"/>
    </w:pPr>
  </w:style>
  <w:style w:type="paragraph" w:customStyle="1" w:styleId="EquationVariables">
    <w:name w:val="Equation Variables"/>
    <w:basedOn w:val="Normal"/>
    <w:qFormat/>
    <w:rsid w:val="00F7295F"/>
    <w:pPr>
      <w:tabs>
        <w:tab w:val="left" w:pos="1985"/>
      </w:tabs>
      <w:ind w:left="2552" w:hanging="1134"/>
    </w:pPr>
  </w:style>
  <w:style w:type="paragraph" w:customStyle="1" w:styleId="HeadingAppendix">
    <w:name w:val="Heading Appendix"/>
    <w:basedOn w:val="Heading1"/>
    <w:uiPriority w:val="99"/>
    <w:locked/>
    <w:rsid w:val="006E1C49"/>
    <w:pPr>
      <w:numPr>
        <w:numId w:val="0"/>
      </w:numPr>
      <w:tabs>
        <w:tab w:val="left" w:pos="2693"/>
      </w:tabs>
      <w:ind w:left="2693" w:hanging="2693"/>
    </w:pPr>
  </w:style>
  <w:style w:type="paragraph" w:customStyle="1" w:styleId="Bodybulletintro">
    <w:name w:val="Body (bullet intro)"/>
    <w:basedOn w:val="Normal"/>
    <w:qFormat/>
    <w:rsid w:val="00C47CD1"/>
    <w:pPr>
      <w:keepNext/>
      <w:spacing w:after="100"/>
    </w:pPr>
  </w:style>
  <w:style w:type="paragraph" w:customStyle="1" w:styleId="Bodytableoutro">
    <w:name w:val="Body (table outro)"/>
    <w:basedOn w:val="Normal"/>
    <w:qFormat/>
    <w:rsid w:val="00814952"/>
    <w:pPr>
      <w:spacing w:before="220"/>
    </w:pPr>
  </w:style>
  <w:style w:type="paragraph" w:customStyle="1" w:styleId="TableTextLeftIndent">
    <w:name w:val="Table Text Left Indent"/>
    <w:basedOn w:val="TableTextLeft"/>
    <w:qFormat/>
    <w:rsid w:val="008A6CA2"/>
    <w:pPr>
      <w:ind w:left="170"/>
    </w:pPr>
    <w:rPr>
      <w:lang w:val="en-AU" w:eastAsia="en-AU"/>
    </w:rPr>
  </w:style>
  <w:style w:type="paragraph" w:customStyle="1" w:styleId="ToRName">
    <w:name w:val="ToR Name"/>
    <w:basedOn w:val="Normal"/>
    <w:uiPriority w:val="99"/>
    <w:rsid w:val="001A0127"/>
    <w:pPr>
      <w:tabs>
        <w:tab w:val="left" w:pos="2400"/>
        <w:tab w:val="left" w:pos="2880"/>
      </w:tabs>
      <w:spacing w:before="1220" w:after="100" w:line="240" w:lineRule="auto"/>
    </w:pPr>
    <w:rPr>
      <w:rFonts w:ascii="Arial" w:eastAsia="Times New Roman" w:hAnsi="Arial"/>
      <w:b/>
      <w:sz w:val="40"/>
      <w:lang w:val="en-AU"/>
    </w:rPr>
  </w:style>
  <w:style w:type="paragraph" w:customStyle="1" w:styleId="ToRCoverActs">
    <w:name w:val="ToR Cover Acts"/>
    <w:basedOn w:val="Normal"/>
    <w:uiPriority w:val="99"/>
    <w:rsid w:val="001A0127"/>
    <w:pPr>
      <w:tabs>
        <w:tab w:val="left" w:pos="2600"/>
      </w:tabs>
      <w:spacing w:before="200" w:after="60" w:line="240" w:lineRule="auto"/>
      <w:jc w:val="both"/>
    </w:pPr>
    <w:rPr>
      <w:rFonts w:ascii="Arial" w:eastAsia="Times New Roman" w:hAnsi="Arial"/>
      <w:b/>
      <w:sz w:val="24"/>
      <w:lang w:val="en-AU"/>
    </w:rPr>
  </w:style>
  <w:style w:type="paragraph" w:customStyle="1" w:styleId="CoverReport">
    <w:name w:val="Cover Report"/>
    <w:basedOn w:val="Normal"/>
    <w:qFormat/>
    <w:rsid w:val="00287869"/>
    <w:pPr>
      <w:spacing w:after="80"/>
      <w:ind w:left="142" w:right="98"/>
      <w:jc w:val="right"/>
    </w:pPr>
    <w:rPr>
      <w:rFonts w:ascii="Arial" w:hAnsi="Arial"/>
      <w:bCs/>
      <w:sz w:val="36"/>
      <w:szCs w:val="36"/>
      <w:lang w:val="en-AU"/>
    </w:rPr>
  </w:style>
  <w:style w:type="paragraph" w:customStyle="1" w:styleId="CoverInquiry">
    <w:name w:val="Cover Inquiry"/>
    <w:basedOn w:val="Normal"/>
    <w:qFormat/>
    <w:rsid w:val="00287869"/>
    <w:pPr>
      <w:ind w:left="142" w:right="98"/>
      <w:jc w:val="right"/>
    </w:pPr>
    <w:rPr>
      <w:rFonts w:ascii="Arial" w:hAnsi="Arial" w:cs="Arial"/>
      <w:b/>
      <w:color w:val="000033"/>
      <w:sz w:val="48"/>
      <w:szCs w:val="48"/>
    </w:rPr>
  </w:style>
  <w:style w:type="paragraph" w:customStyle="1" w:styleId="CoverReportNumMonth">
    <w:name w:val="Cover ReportNum &amp; Month"/>
    <w:basedOn w:val="Normal"/>
    <w:qFormat/>
    <w:rsid w:val="00287869"/>
    <w:pPr>
      <w:ind w:left="142" w:right="98"/>
      <w:jc w:val="right"/>
    </w:pPr>
    <w:rPr>
      <w:rFonts w:ascii="Arial" w:hAnsi="Arial"/>
      <w:b/>
      <w:sz w:val="24"/>
      <w:lang w:val="en-AU"/>
    </w:rPr>
  </w:style>
  <w:style w:type="character" w:customStyle="1" w:styleId="charBoldItals">
    <w:name w:val="charBoldItals"/>
    <w:basedOn w:val="DefaultParagraphFont"/>
    <w:uiPriority w:val="99"/>
    <w:rsid w:val="00DC784F"/>
    <w:rPr>
      <w:rFonts w:cs="Times New Roman"/>
      <w:b/>
      <w:bCs/>
      <w:i/>
      <w:iCs/>
    </w:rPr>
  </w:style>
  <w:style w:type="paragraph" w:customStyle="1" w:styleId="Apara">
    <w:name w:val="A para"/>
    <w:basedOn w:val="Normal"/>
    <w:uiPriority w:val="99"/>
    <w:rsid w:val="00DC784F"/>
    <w:pPr>
      <w:tabs>
        <w:tab w:val="right" w:pos="1400"/>
        <w:tab w:val="left" w:pos="1600"/>
      </w:tabs>
      <w:spacing w:before="80" w:after="60" w:line="240" w:lineRule="auto"/>
      <w:ind w:left="1600" w:hanging="1600"/>
      <w:jc w:val="both"/>
      <w:outlineLvl w:val="6"/>
    </w:pPr>
    <w:rPr>
      <w:rFonts w:eastAsia="Times New Roman"/>
      <w:sz w:val="24"/>
      <w:lang w:val="en-AU"/>
    </w:rPr>
  </w:style>
  <w:style w:type="paragraph" w:customStyle="1" w:styleId="AH5Sec">
    <w:name w:val="A H5 Sec"/>
    <w:basedOn w:val="Normal"/>
    <w:next w:val="Normal"/>
    <w:uiPriority w:val="99"/>
    <w:rsid w:val="00DC784F"/>
    <w:pPr>
      <w:keepNext/>
      <w:tabs>
        <w:tab w:val="left" w:pos="1100"/>
      </w:tabs>
      <w:spacing w:before="180" w:after="60" w:line="240" w:lineRule="auto"/>
      <w:ind w:left="1100" w:hanging="1100"/>
      <w:outlineLvl w:val="4"/>
    </w:pPr>
    <w:rPr>
      <w:rFonts w:ascii="Arial" w:eastAsia="Times New Roman" w:hAnsi="Arial"/>
      <w:b/>
      <w:sz w:val="24"/>
      <w:lang w:val="en-AU"/>
    </w:rPr>
  </w:style>
  <w:style w:type="paragraph" w:customStyle="1" w:styleId="Amain">
    <w:name w:val="A main"/>
    <w:basedOn w:val="Normal"/>
    <w:uiPriority w:val="99"/>
    <w:rsid w:val="00DC784F"/>
    <w:pPr>
      <w:tabs>
        <w:tab w:val="right" w:pos="900"/>
        <w:tab w:val="left" w:pos="1100"/>
      </w:tabs>
      <w:spacing w:before="80" w:after="60" w:line="240" w:lineRule="auto"/>
      <w:ind w:left="1100" w:hanging="1100"/>
      <w:jc w:val="both"/>
      <w:outlineLvl w:val="5"/>
    </w:pPr>
    <w:rPr>
      <w:rFonts w:eastAsia="Times New Roman"/>
      <w:sz w:val="24"/>
      <w:lang w:val="en-AU"/>
    </w:rPr>
  </w:style>
  <w:style w:type="paragraph" w:customStyle="1" w:styleId="aNote">
    <w:name w:val="aNote"/>
    <w:basedOn w:val="Normal"/>
    <w:uiPriority w:val="99"/>
    <w:rsid w:val="00DC784F"/>
    <w:pPr>
      <w:spacing w:before="80" w:after="60" w:line="240" w:lineRule="auto"/>
      <w:ind w:left="1900" w:hanging="800"/>
      <w:jc w:val="both"/>
    </w:pPr>
    <w:rPr>
      <w:rFonts w:eastAsia="Times New Roman"/>
      <w:sz w:val="20"/>
      <w:lang w:val="en-AU"/>
    </w:rPr>
  </w:style>
  <w:style w:type="character" w:customStyle="1" w:styleId="CharSectNo">
    <w:name w:val="CharSectNo"/>
    <w:basedOn w:val="DefaultParagraphFont"/>
    <w:uiPriority w:val="99"/>
    <w:rsid w:val="00DC784F"/>
    <w:rPr>
      <w:rFonts w:cs="Times New Roman"/>
    </w:rPr>
  </w:style>
  <w:style w:type="paragraph" w:styleId="ListParagraph">
    <w:name w:val="List Paragraph"/>
    <w:basedOn w:val="Normal"/>
    <w:uiPriority w:val="34"/>
    <w:qFormat/>
    <w:locked/>
    <w:rsid w:val="00DC784F"/>
    <w:pPr>
      <w:spacing w:after="200" w:line="276" w:lineRule="auto"/>
      <w:ind w:left="720"/>
      <w:contextualSpacing/>
    </w:pPr>
    <w:rPr>
      <w:rFonts w:eastAsia="PMingLiU"/>
      <w:szCs w:val="22"/>
      <w:lang w:eastAsia="zh-TW"/>
    </w:rPr>
  </w:style>
  <w:style w:type="paragraph" w:styleId="Header">
    <w:name w:val="header"/>
    <w:aliases w:val="Even header (essay title)"/>
    <w:basedOn w:val="Headereven"/>
    <w:link w:val="HeaderChar"/>
    <w:uiPriority w:val="99"/>
    <w:unhideWhenUsed/>
    <w:rsid w:val="00B1531E"/>
  </w:style>
  <w:style w:type="character" w:customStyle="1" w:styleId="HeaderChar">
    <w:name w:val="Header Char"/>
    <w:aliases w:val="Even header (essay title) Char"/>
    <w:basedOn w:val="DefaultParagraphFont"/>
    <w:link w:val="Header"/>
    <w:uiPriority w:val="99"/>
    <w:rsid w:val="00B1531E"/>
    <w:rPr>
      <w:rFonts w:ascii="Times New Roman" w:hAnsi="Times New Roman"/>
      <w:i/>
      <w:color w:val="808080"/>
      <w:sz w:val="18"/>
      <w:szCs w:val="18"/>
      <w:lang w:val="en-GB" w:eastAsia="en-US"/>
    </w:rPr>
  </w:style>
  <w:style w:type="character" w:styleId="HTMLCite">
    <w:name w:val="HTML Cite"/>
    <w:basedOn w:val="DefaultParagraphFont"/>
    <w:uiPriority w:val="99"/>
    <w:semiHidden/>
    <w:unhideWhenUsed/>
    <w:locked/>
    <w:rsid w:val="00542849"/>
    <w:rPr>
      <w:i/>
      <w:iCs/>
    </w:rPr>
  </w:style>
  <w:style w:type="paragraph" w:styleId="NormalWeb">
    <w:name w:val="Normal (Web)"/>
    <w:basedOn w:val="Normal"/>
    <w:uiPriority w:val="99"/>
    <w:semiHidden/>
    <w:unhideWhenUsed/>
    <w:rsid w:val="004C5B61"/>
    <w:pPr>
      <w:spacing w:before="100" w:beforeAutospacing="1" w:after="100" w:afterAutospacing="1" w:line="240" w:lineRule="auto"/>
    </w:pPr>
    <w:rPr>
      <w:rFonts w:eastAsiaTheme="minorEastAsia"/>
      <w:sz w:val="24"/>
      <w:szCs w:val="24"/>
      <w:lang w:val="en-AU" w:eastAsia="en-AU"/>
    </w:rPr>
  </w:style>
  <w:style w:type="paragraph" w:customStyle="1" w:styleId="Billname">
    <w:name w:val="Billname"/>
    <w:basedOn w:val="Normal"/>
    <w:rsid w:val="00E96374"/>
    <w:pPr>
      <w:tabs>
        <w:tab w:val="left" w:pos="2400"/>
        <w:tab w:val="left" w:pos="2880"/>
      </w:tabs>
      <w:spacing w:before="1220" w:after="100" w:line="240" w:lineRule="auto"/>
    </w:pPr>
    <w:rPr>
      <w:rFonts w:ascii="Arial" w:eastAsia="Times New Roman" w:hAnsi="Arial"/>
      <w:b/>
      <w:sz w:val="40"/>
      <w:lang w:val="en-AU"/>
    </w:rPr>
  </w:style>
  <w:style w:type="paragraph" w:customStyle="1" w:styleId="N-line3">
    <w:name w:val="N-line3"/>
    <w:basedOn w:val="Normal"/>
    <w:next w:val="Normal"/>
    <w:rsid w:val="00E96374"/>
    <w:pPr>
      <w:pBdr>
        <w:bottom w:val="single" w:sz="12" w:space="1" w:color="auto"/>
      </w:pBdr>
      <w:spacing w:after="0" w:line="240" w:lineRule="auto"/>
      <w:jc w:val="both"/>
    </w:pPr>
    <w:rPr>
      <w:rFonts w:eastAsia="Times New Roman"/>
      <w:sz w:val="24"/>
      <w:lang w:val="en-AU"/>
    </w:rPr>
  </w:style>
  <w:style w:type="paragraph" w:customStyle="1" w:styleId="madeunder">
    <w:name w:val="made under"/>
    <w:basedOn w:val="Normal"/>
    <w:rsid w:val="00E96374"/>
    <w:pPr>
      <w:spacing w:before="180" w:after="60" w:line="240" w:lineRule="auto"/>
      <w:jc w:val="both"/>
    </w:pPr>
    <w:rPr>
      <w:rFonts w:eastAsia="Times New Roman"/>
      <w:sz w:val="24"/>
      <w:lang w:val="en-AU"/>
    </w:rPr>
  </w:style>
  <w:style w:type="paragraph" w:customStyle="1" w:styleId="CoverActName">
    <w:name w:val="CoverActName"/>
    <w:basedOn w:val="Normal"/>
    <w:rsid w:val="00E96374"/>
    <w:pPr>
      <w:tabs>
        <w:tab w:val="left" w:pos="2600"/>
      </w:tabs>
      <w:spacing w:before="200" w:after="60" w:line="240" w:lineRule="auto"/>
      <w:jc w:val="both"/>
    </w:pPr>
    <w:rPr>
      <w:rFonts w:ascii="Arial" w:eastAsia="Times New Roman" w:hAnsi="Arial"/>
      <w:b/>
      <w:sz w:val="24"/>
      <w:lang w:val="en-AU"/>
    </w:rPr>
  </w:style>
  <w:style w:type="paragraph" w:styleId="TOCHeading">
    <w:name w:val="TOC Heading"/>
    <w:basedOn w:val="Heading1"/>
    <w:next w:val="Normal"/>
    <w:uiPriority w:val="39"/>
    <w:semiHidden/>
    <w:unhideWhenUsed/>
    <w:qFormat/>
    <w:locked/>
    <w:rsid w:val="006477A0"/>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TOC4">
    <w:name w:val="toc 4"/>
    <w:basedOn w:val="Normal"/>
    <w:next w:val="Normal"/>
    <w:autoRedefine/>
    <w:uiPriority w:val="39"/>
    <w:unhideWhenUsed/>
    <w:locked/>
    <w:rsid w:val="006477A0"/>
    <w:pPr>
      <w:spacing w:after="100" w:line="276" w:lineRule="auto"/>
      <w:ind w:left="660"/>
    </w:pPr>
    <w:rPr>
      <w:rFonts w:asciiTheme="minorHAnsi" w:eastAsiaTheme="minorEastAsia" w:hAnsiTheme="minorHAnsi" w:cstheme="minorBidi"/>
      <w:szCs w:val="22"/>
      <w:lang w:val="en-AU" w:eastAsia="en-AU"/>
    </w:rPr>
  </w:style>
  <w:style w:type="paragraph" w:styleId="TOC5">
    <w:name w:val="toc 5"/>
    <w:basedOn w:val="Normal"/>
    <w:next w:val="Normal"/>
    <w:autoRedefine/>
    <w:uiPriority w:val="39"/>
    <w:unhideWhenUsed/>
    <w:locked/>
    <w:rsid w:val="006477A0"/>
    <w:pPr>
      <w:spacing w:after="100" w:line="276" w:lineRule="auto"/>
      <w:ind w:left="880"/>
    </w:pPr>
    <w:rPr>
      <w:rFonts w:asciiTheme="minorHAnsi" w:eastAsiaTheme="minorEastAsia" w:hAnsiTheme="minorHAnsi" w:cstheme="minorBidi"/>
      <w:szCs w:val="22"/>
      <w:lang w:val="en-AU" w:eastAsia="en-AU"/>
    </w:rPr>
  </w:style>
  <w:style w:type="paragraph" w:styleId="TOC6">
    <w:name w:val="toc 6"/>
    <w:basedOn w:val="Normal"/>
    <w:next w:val="Normal"/>
    <w:autoRedefine/>
    <w:uiPriority w:val="39"/>
    <w:unhideWhenUsed/>
    <w:locked/>
    <w:rsid w:val="006477A0"/>
    <w:pPr>
      <w:spacing w:after="100" w:line="276" w:lineRule="auto"/>
      <w:ind w:left="1100"/>
    </w:pPr>
    <w:rPr>
      <w:rFonts w:asciiTheme="minorHAnsi" w:eastAsiaTheme="minorEastAsia" w:hAnsiTheme="minorHAnsi" w:cstheme="minorBidi"/>
      <w:szCs w:val="22"/>
      <w:lang w:val="en-AU" w:eastAsia="en-AU"/>
    </w:rPr>
  </w:style>
  <w:style w:type="paragraph" w:styleId="TOC7">
    <w:name w:val="toc 7"/>
    <w:basedOn w:val="Normal"/>
    <w:next w:val="Normal"/>
    <w:autoRedefine/>
    <w:uiPriority w:val="39"/>
    <w:unhideWhenUsed/>
    <w:locked/>
    <w:rsid w:val="006477A0"/>
    <w:pPr>
      <w:spacing w:after="100" w:line="276" w:lineRule="auto"/>
      <w:ind w:left="1320"/>
    </w:pPr>
    <w:rPr>
      <w:rFonts w:asciiTheme="minorHAnsi" w:eastAsiaTheme="minorEastAsia" w:hAnsiTheme="minorHAnsi" w:cstheme="minorBidi"/>
      <w:szCs w:val="22"/>
      <w:lang w:val="en-AU" w:eastAsia="en-AU"/>
    </w:rPr>
  </w:style>
  <w:style w:type="paragraph" w:styleId="TOC8">
    <w:name w:val="toc 8"/>
    <w:basedOn w:val="Normal"/>
    <w:next w:val="Normal"/>
    <w:autoRedefine/>
    <w:uiPriority w:val="39"/>
    <w:unhideWhenUsed/>
    <w:locked/>
    <w:rsid w:val="006477A0"/>
    <w:pPr>
      <w:spacing w:after="100" w:line="276" w:lineRule="auto"/>
      <w:ind w:left="1540"/>
    </w:pPr>
    <w:rPr>
      <w:rFonts w:asciiTheme="minorHAnsi" w:eastAsiaTheme="minorEastAsia" w:hAnsiTheme="minorHAnsi" w:cstheme="minorBidi"/>
      <w:szCs w:val="22"/>
      <w:lang w:val="en-AU" w:eastAsia="en-AU"/>
    </w:rPr>
  </w:style>
  <w:style w:type="paragraph" w:styleId="TOC9">
    <w:name w:val="toc 9"/>
    <w:basedOn w:val="Normal"/>
    <w:next w:val="Normal"/>
    <w:autoRedefine/>
    <w:uiPriority w:val="39"/>
    <w:unhideWhenUsed/>
    <w:locked/>
    <w:rsid w:val="006477A0"/>
    <w:pPr>
      <w:spacing w:after="100" w:line="276" w:lineRule="auto"/>
      <w:ind w:left="1760"/>
    </w:pPr>
    <w:rPr>
      <w:rFonts w:asciiTheme="minorHAnsi" w:eastAsiaTheme="minorEastAsia" w:hAnsiTheme="minorHAnsi" w:cstheme="minorBidi"/>
      <w:szCs w:val="22"/>
      <w:lang w:val="en-AU" w:eastAsia="en-AU"/>
    </w:rPr>
  </w:style>
  <w:style w:type="character" w:styleId="Strong">
    <w:name w:val="Strong"/>
    <w:basedOn w:val="DefaultParagraphFont"/>
    <w:uiPriority w:val="22"/>
    <w:qFormat/>
    <w:locked/>
    <w:rsid w:val="00FC0BC1"/>
    <w:rPr>
      <w:b/>
      <w:bCs/>
    </w:rPr>
  </w:style>
  <w:style w:type="paragraph" w:styleId="BodyText">
    <w:name w:val="Body Text"/>
    <w:basedOn w:val="Normal"/>
    <w:link w:val="BodyTextChar"/>
    <w:uiPriority w:val="99"/>
    <w:semiHidden/>
    <w:unhideWhenUsed/>
    <w:locked/>
    <w:rsid w:val="009F7536"/>
    <w:pPr>
      <w:spacing w:after="120"/>
    </w:pPr>
  </w:style>
  <w:style w:type="character" w:customStyle="1" w:styleId="BodyTextChar">
    <w:name w:val="Body Text Char"/>
    <w:basedOn w:val="DefaultParagraphFont"/>
    <w:link w:val="BodyText"/>
    <w:uiPriority w:val="99"/>
    <w:semiHidden/>
    <w:rsid w:val="009F7536"/>
    <w:rPr>
      <w:rFonts w:ascii="Times New Roman" w:hAnsi="Times New Roman"/>
      <w:sz w:val="22"/>
      <w:lang w:val="en-GB" w:eastAsia="en-US"/>
    </w:rPr>
  </w:style>
  <w:style w:type="character" w:styleId="FollowedHyperlink">
    <w:name w:val="FollowedHyperlink"/>
    <w:basedOn w:val="DefaultParagraphFont"/>
    <w:uiPriority w:val="99"/>
    <w:semiHidden/>
    <w:unhideWhenUsed/>
    <w:locked/>
    <w:rsid w:val="00DD695A"/>
    <w:rPr>
      <w:color w:val="800080" w:themeColor="followedHyperlink"/>
      <w:u w:val="single"/>
    </w:rPr>
  </w:style>
  <w:style w:type="paragraph" w:customStyle="1" w:styleId="Heading2a">
    <w:name w:val="Heading 2a"/>
    <w:basedOn w:val="Heading2"/>
    <w:next w:val="BodyText"/>
    <w:uiPriority w:val="99"/>
    <w:qFormat/>
    <w:rsid w:val="006A781F"/>
    <w:pPr>
      <w:numPr>
        <w:ilvl w:val="0"/>
        <w:numId w:val="0"/>
      </w:numPr>
    </w:pPr>
  </w:style>
  <w:style w:type="paragraph" w:customStyle="1" w:styleId="Heading3a">
    <w:name w:val="Heading 3a"/>
    <w:basedOn w:val="Heading3"/>
    <w:next w:val="BodyText"/>
    <w:qFormat/>
    <w:rsid w:val="006A781F"/>
    <w:pPr>
      <w:numPr>
        <w:ilvl w:val="0"/>
        <w:numId w:val="0"/>
      </w:numPr>
    </w:pPr>
  </w:style>
  <w:style w:type="paragraph" w:styleId="Title">
    <w:name w:val="Title"/>
    <w:basedOn w:val="Normal"/>
    <w:next w:val="Normal"/>
    <w:link w:val="TitleChar"/>
    <w:qFormat/>
    <w:locked/>
    <w:rsid w:val="00091A4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rsid w:val="00091A4A"/>
    <w:rPr>
      <w:rFonts w:eastAsia="Times New Roman"/>
      <w:color w:val="17365D"/>
      <w:spacing w:val="5"/>
      <w:kern w:val="28"/>
      <w:sz w:val="52"/>
      <w:szCs w:val="52"/>
      <w:lang w:val="en-GB" w:eastAsia="en-US"/>
    </w:rPr>
  </w:style>
  <w:style w:type="paragraph" w:customStyle="1" w:styleId="Epigraph">
    <w:name w:val="Epigraph"/>
    <w:basedOn w:val="Normal"/>
    <w:next w:val="Normal"/>
    <w:qFormat/>
    <w:locked/>
    <w:rsid w:val="00091A4A"/>
    <w:rPr>
      <w:i/>
    </w:rPr>
  </w:style>
  <w:style w:type="paragraph" w:customStyle="1" w:styleId="Oddheaderauthorname">
    <w:name w:val="Odd header (author name)"/>
    <w:basedOn w:val="Header"/>
    <w:qFormat/>
    <w:locked/>
    <w:rsid w:val="00091A4A"/>
    <w:pPr>
      <w:jc w:val="right"/>
    </w:pPr>
  </w:style>
  <w:style w:type="paragraph" w:customStyle="1" w:styleId="Tabletext">
    <w:name w:val="Table text"/>
    <w:locked/>
    <w:rsid w:val="00091A4A"/>
    <w:pPr>
      <w:spacing w:before="60" w:after="60" w:line="240" w:lineRule="exact"/>
    </w:pPr>
    <w:rPr>
      <w:rFonts w:ascii="Arial" w:eastAsia="Calibri" w:hAnsi="Arial"/>
      <w:szCs w:val="22"/>
      <w:lang w:val="en-GB" w:eastAsia="en-US"/>
    </w:rPr>
  </w:style>
  <w:style w:type="paragraph" w:customStyle="1" w:styleId="Boxtext">
    <w:name w:val="Box text"/>
    <w:basedOn w:val="Normal"/>
    <w:next w:val="Normal"/>
    <w:qFormat/>
    <w:locked/>
    <w:rsid w:val="00091A4A"/>
    <w:pPr>
      <w:shd w:val="pct10" w:color="auto" w:fill="auto"/>
    </w:pPr>
    <w:rPr>
      <w:sz w:val="20"/>
    </w:rPr>
  </w:style>
  <w:style w:type="paragraph" w:styleId="ListNumber">
    <w:name w:val="List Number"/>
    <w:basedOn w:val="Normal"/>
    <w:qFormat/>
    <w:locked/>
    <w:rsid w:val="00B4242A"/>
    <w:pPr>
      <w:numPr>
        <w:numId w:val="32"/>
      </w:numPr>
    </w:pPr>
  </w:style>
  <w:style w:type="paragraph" w:customStyle="1" w:styleId="LetteredList">
    <w:name w:val="Lettered List"/>
    <w:basedOn w:val="Bullet"/>
    <w:qFormat/>
    <w:rsid w:val="009A7020"/>
    <w:pPr>
      <w:numPr>
        <w:numId w:val="1"/>
      </w:numPr>
    </w:pPr>
  </w:style>
  <w:style w:type="paragraph" w:customStyle="1" w:styleId="Bulletintro">
    <w:name w:val="Bullet intro"/>
    <w:basedOn w:val="Normal"/>
    <w:qFormat/>
    <w:rsid w:val="00E4257E"/>
    <w:pPr>
      <w:keepNext/>
      <w:spacing w:after="100"/>
    </w:pPr>
  </w:style>
  <w:style w:type="paragraph" w:styleId="BodyTextIndent">
    <w:name w:val="Body Text Indent"/>
    <w:basedOn w:val="Normal"/>
    <w:link w:val="BodyTextIndentChar"/>
    <w:uiPriority w:val="99"/>
    <w:semiHidden/>
    <w:unhideWhenUsed/>
    <w:locked/>
    <w:rsid w:val="0000019F"/>
    <w:pPr>
      <w:spacing w:after="120"/>
      <w:ind w:left="283"/>
    </w:pPr>
  </w:style>
  <w:style w:type="character" w:customStyle="1" w:styleId="BodyTextIndentChar">
    <w:name w:val="Body Text Indent Char"/>
    <w:basedOn w:val="DefaultParagraphFont"/>
    <w:link w:val="BodyTextIndent"/>
    <w:uiPriority w:val="99"/>
    <w:semiHidden/>
    <w:rsid w:val="0000019F"/>
    <w:rPr>
      <w:rFonts w:ascii="Times New Roman" w:hAnsi="Times New Roman"/>
      <w:sz w:val="22"/>
      <w:lang w:val="en-GB" w:eastAsia="en-US"/>
    </w:rPr>
  </w:style>
  <w:style w:type="paragraph" w:customStyle="1" w:styleId="Default">
    <w:name w:val="Default"/>
    <w:rsid w:val="00D04C76"/>
    <w:pPr>
      <w:autoSpaceDE w:val="0"/>
      <w:autoSpaceDN w:val="0"/>
      <w:adjustRightInd w:val="0"/>
    </w:pPr>
    <w:rPr>
      <w:rFonts w:ascii="Times New Roman" w:hAnsi="Times New Roman"/>
      <w:color w:val="000000"/>
      <w:sz w:val="24"/>
      <w:szCs w:val="24"/>
    </w:rPr>
  </w:style>
  <w:style w:type="paragraph" w:styleId="ListBullet">
    <w:name w:val="List Bullet"/>
    <w:basedOn w:val="Normal"/>
    <w:uiPriority w:val="99"/>
    <w:semiHidden/>
    <w:unhideWhenUsed/>
    <w:locked/>
    <w:rsid w:val="009948AA"/>
    <w:pPr>
      <w:numPr>
        <w:numId w:val="23"/>
      </w:numPr>
      <w:contextualSpacing/>
    </w:pPr>
  </w:style>
  <w:style w:type="character" w:customStyle="1" w:styleId="apple-converted-space">
    <w:name w:val="apple-converted-space"/>
    <w:basedOn w:val="DefaultParagraphFont"/>
    <w:rsid w:val="004F59FC"/>
  </w:style>
  <w:style w:type="paragraph" w:customStyle="1" w:styleId="EndNoteBibliographyTitle">
    <w:name w:val="EndNote Bibliography Title"/>
    <w:basedOn w:val="Normal"/>
    <w:link w:val="EndNoteBibliographyTitleChar"/>
    <w:rsid w:val="00874278"/>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874278"/>
    <w:rPr>
      <w:rFonts w:ascii="Times New Roman" w:hAnsi="Times New Roman"/>
      <w:noProof/>
      <w:sz w:val="22"/>
      <w:lang w:val="en-US" w:eastAsia="en-US"/>
    </w:rPr>
  </w:style>
  <w:style w:type="paragraph" w:customStyle="1" w:styleId="EndNoteBibliography">
    <w:name w:val="EndNote Bibliography"/>
    <w:basedOn w:val="Normal"/>
    <w:link w:val="EndNoteBibliographyChar"/>
    <w:rsid w:val="00874278"/>
    <w:pPr>
      <w:spacing w:line="240" w:lineRule="atLeast"/>
    </w:pPr>
    <w:rPr>
      <w:noProof/>
      <w:lang w:val="en-US"/>
    </w:rPr>
  </w:style>
  <w:style w:type="character" w:customStyle="1" w:styleId="EndNoteBibliographyChar">
    <w:name w:val="EndNote Bibliography Char"/>
    <w:basedOn w:val="DefaultParagraphFont"/>
    <w:link w:val="EndNoteBibliography"/>
    <w:rsid w:val="00874278"/>
    <w:rPr>
      <w:rFonts w:ascii="Times New Roman" w:hAnsi="Times New Roman"/>
      <w:noProof/>
      <w:sz w:val="22"/>
      <w:lang w:val="en-US" w:eastAsia="en-US"/>
    </w:rPr>
  </w:style>
  <w:style w:type="paragraph" w:customStyle="1" w:styleId="FigureName0">
    <w:name w:val="FigureName"/>
    <w:basedOn w:val="TableName0"/>
    <w:next w:val="Normal"/>
    <w:uiPriority w:val="99"/>
    <w:rsid w:val="00040925"/>
  </w:style>
  <w:style w:type="paragraph" w:customStyle="1" w:styleId="TableName0">
    <w:name w:val="TableName"/>
    <w:basedOn w:val="TableText0"/>
    <w:link w:val="TableNameChar0"/>
    <w:uiPriority w:val="99"/>
    <w:rsid w:val="00040925"/>
    <w:pPr>
      <w:spacing w:before="120" w:after="120"/>
      <w:ind w:left="1080" w:hanging="1080"/>
    </w:pPr>
    <w:rPr>
      <w:b/>
      <w:sz w:val="20"/>
    </w:rPr>
  </w:style>
  <w:style w:type="paragraph" w:customStyle="1" w:styleId="TableText0">
    <w:name w:val="TableText"/>
    <w:link w:val="TableTextChar2"/>
    <w:uiPriority w:val="99"/>
    <w:rsid w:val="00040925"/>
    <w:pPr>
      <w:keepNext/>
      <w:spacing w:before="40" w:after="40"/>
    </w:pPr>
    <w:rPr>
      <w:rFonts w:ascii="Arial Narrow" w:hAnsi="Arial Narrow"/>
      <w:sz w:val="18"/>
      <w:lang w:val="en-GB" w:eastAsia="en-US"/>
    </w:rPr>
  </w:style>
  <w:style w:type="character" w:customStyle="1" w:styleId="TableNameChar0">
    <w:name w:val="TableName Char"/>
    <w:link w:val="TableName0"/>
    <w:uiPriority w:val="99"/>
    <w:locked/>
    <w:rsid w:val="00040925"/>
    <w:rPr>
      <w:rFonts w:ascii="Arial Narrow" w:hAnsi="Arial Narrow"/>
      <w:b/>
      <w:lang w:val="en-GB" w:eastAsia="en-US"/>
    </w:rPr>
  </w:style>
  <w:style w:type="character" w:customStyle="1" w:styleId="BulletCharChar">
    <w:name w:val="Bullet Char Char"/>
    <w:uiPriority w:val="99"/>
    <w:locked/>
    <w:rsid w:val="00040925"/>
    <w:rPr>
      <w:rFonts w:ascii="Times New Roman" w:hAnsi="Times New Roman"/>
      <w:sz w:val="22"/>
      <w:lang w:val="en-GB" w:eastAsia="en-US"/>
    </w:rPr>
  </w:style>
  <w:style w:type="paragraph" w:customStyle="1" w:styleId="Dash">
    <w:name w:val="Dash"/>
    <w:basedOn w:val="Normal"/>
    <w:uiPriority w:val="99"/>
    <w:rsid w:val="00040925"/>
    <w:pPr>
      <w:numPr>
        <w:numId w:val="29"/>
      </w:numPr>
      <w:tabs>
        <w:tab w:val="num" w:pos="720"/>
      </w:tabs>
      <w:spacing w:after="100"/>
      <w:ind w:left="714" w:hanging="357"/>
    </w:pPr>
  </w:style>
  <w:style w:type="paragraph" w:customStyle="1" w:styleId="TableHeading">
    <w:name w:val="TableHeading"/>
    <w:basedOn w:val="TableText0"/>
    <w:uiPriority w:val="99"/>
    <w:rsid w:val="00040925"/>
    <w:rPr>
      <w:b/>
    </w:rPr>
  </w:style>
  <w:style w:type="paragraph" w:customStyle="1" w:styleId="TableNotesLast0">
    <w:name w:val="TableNotesLast"/>
    <w:basedOn w:val="Normal"/>
    <w:uiPriority w:val="99"/>
    <w:rsid w:val="00040925"/>
    <w:pPr>
      <w:keepLines/>
      <w:spacing w:before="60" w:line="240" w:lineRule="auto"/>
    </w:pPr>
    <w:rPr>
      <w:rFonts w:ascii="Arial Narrow" w:hAnsi="Arial Narrow"/>
      <w:sz w:val="16"/>
    </w:rPr>
  </w:style>
  <w:style w:type="paragraph" w:customStyle="1" w:styleId="BulletIntro0">
    <w:name w:val="BulletIntro"/>
    <w:basedOn w:val="Normal"/>
    <w:next w:val="Bullet"/>
    <w:uiPriority w:val="99"/>
    <w:rsid w:val="00040925"/>
    <w:pPr>
      <w:spacing w:after="100"/>
    </w:pPr>
  </w:style>
  <w:style w:type="paragraph" w:customStyle="1" w:styleId="BulletLast0">
    <w:name w:val="BulletLast"/>
    <w:basedOn w:val="Bullet"/>
    <w:next w:val="Normal"/>
    <w:link w:val="BulletLastChar"/>
    <w:rsid w:val="00040925"/>
    <w:pPr>
      <w:tabs>
        <w:tab w:val="num" w:pos="360"/>
      </w:tabs>
      <w:spacing w:after="220"/>
      <w:ind w:left="360"/>
    </w:pPr>
  </w:style>
  <w:style w:type="character" w:customStyle="1" w:styleId="BulletLastChar">
    <w:name w:val="BulletLast Char"/>
    <w:link w:val="BulletLast0"/>
    <w:locked/>
    <w:rsid w:val="00040925"/>
    <w:rPr>
      <w:rFonts w:ascii="Times New Roman" w:hAnsi="Times New Roman"/>
      <w:sz w:val="22"/>
      <w:lang w:val="en-GB" w:eastAsia="en-US"/>
    </w:rPr>
  </w:style>
  <w:style w:type="character" w:customStyle="1" w:styleId="TableTextChar2">
    <w:name w:val="TableText Char2"/>
    <w:link w:val="TableText0"/>
    <w:uiPriority w:val="99"/>
    <w:locked/>
    <w:rsid w:val="00040925"/>
    <w:rPr>
      <w:rFonts w:ascii="Arial Narrow" w:hAnsi="Arial Narrow"/>
      <w:sz w:val="18"/>
      <w:lang w:val="en-GB" w:eastAsia="en-US"/>
    </w:rPr>
  </w:style>
  <w:style w:type="paragraph" w:customStyle="1" w:styleId="FigureNotes">
    <w:name w:val="FigureNotes"/>
    <w:basedOn w:val="Normal"/>
    <w:uiPriority w:val="99"/>
    <w:rsid w:val="00040925"/>
    <w:rPr>
      <w:rFonts w:ascii="Arial Narrow" w:eastAsia="Times New Roman" w:hAnsi="Arial Narrow"/>
      <w:sz w:val="16"/>
      <w:lang w:val="en-AU"/>
    </w:rPr>
  </w:style>
  <w:style w:type="paragraph" w:customStyle="1" w:styleId="Note">
    <w:name w:val="Note"/>
    <w:basedOn w:val="Normal"/>
    <w:next w:val="Normal"/>
    <w:link w:val="NoteChar"/>
    <w:qFormat/>
    <w:rsid w:val="00F40C9E"/>
    <w:pPr>
      <w:spacing w:before="200" w:after="120" w:line="276" w:lineRule="auto"/>
    </w:pPr>
    <w:rPr>
      <w:rFonts w:ascii="Arial" w:eastAsiaTheme="minorHAnsi" w:hAnsi="Arial" w:cstheme="minorBidi"/>
      <w:i/>
      <w:sz w:val="16"/>
      <w:szCs w:val="16"/>
      <w:lang w:val="en-AU"/>
    </w:rPr>
  </w:style>
  <w:style w:type="character" w:customStyle="1" w:styleId="NoteChar">
    <w:name w:val="Note Char"/>
    <w:basedOn w:val="DefaultParagraphFont"/>
    <w:link w:val="Note"/>
    <w:rsid w:val="00F40C9E"/>
    <w:rPr>
      <w:rFonts w:ascii="Arial" w:eastAsiaTheme="minorHAnsi" w:hAnsi="Arial" w:cstheme="minorBidi"/>
      <w:i/>
      <w:sz w:val="16"/>
      <w:szCs w:val="16"/>
      <w:lang w:eastAsia="en-US"/>
    </w:rPr>
  </w:style>
  <w:style w:type="paragraph" w:customStyle="1" w:styleId="Bulletpoint">
    <w:name w:val="Bullet point"/>
    <w:basedOn w:val="ListBullet"/>
    <w:qFormat/>
    <w:rsid w:val="00F40C9E"/>
    <w:pPr>
      <w:numPr>
        <w:numId w:val="45"/>
      </w:numPr>
      <w:tabs>
        <w:tab w:val="left" w:pos="340"/>
      </w:tabs>
      <w:spacing w:before="120" w:after="0" w:line="276" w:lineRule="auto"/>
      <w:ind w:left="357" w:hanging="357"/>
      <w:contextualSpacing w:val="0"/>
    </w:pPr>
    <w:rPr>
      <w:rFonts w:ascii="Arial" w:eastAsiaTheme="minorHAnsi" w:hAnsi="Arial"/>
      <w:szCs w:val="22"/>
      <w:lang w:val="en-AU"/>
    </w:rPr>
  </w:style>
</w:styles>
</file>

<file path=word/webSettings.xml><?xml version="1.0" encoding="utf-8"?>
<w:webSettings xmlns:r="http://schemas.openxmlformats.org/officeDocument/2006/relationships" xmlns:w="http://schemas.openxmlformats.org/wordprocessingml/2006/main">
  <w:divs>
    <w:div w:id="34700683">
      <w:bodyDiv w:val="1"/>
      <w:marLeft w:val="0"/>
      <w:marRight w:val="0"/>
      <w:marTop w:val="0"/>
      <w:marBottom w:val="0"/>
      <w:divBdr>
        <w:top w:val="none" w:sz="0" w:space="0" w:color="auto"/>
        <w:left w:val="none" w:sz="0" w:space="0" w:color="auto"/>
        <w:bottom w:val="none" w:sz="0" w:space="0" w:color="auto"/>
        <w:right w:val="none" w:sz="0" w:space="0" w:color="auto"/>
      </w:divBdr>
    </w:div>
    <w:div w:id="36200897">
      <w:bodyDiv w:val="1"/>
      <w:marLeft w:val="0"/>
      <w:marRight w:val="0"/>
      <w:marTop w:val="0"/>
      <w:marBottom w:val="0"/>
      <w:divBdr>
        <w:top w:val="none" w:sz="0" w:space="0" w:color="auto"/>
        <w:left w:val="none" w:sz="0" w:space="0" w:color="auto"/>
        <w:bottom w:val="none" w:sz="0" w:space="0" w:color="auto"/>
        <w:right w:val="none" w:sz="0" w:space="0" w:color="auto"/>
      </w:divBdr>
    </w:div>
    <w:div w:id="56056138">
      <w:bodyDiv w:val="1"/>
      <w:marLeft w:val="0"/>
      <w:marRight w:val="0"/>
      <w:marTop w:val="0"/>
      <w:marBottom w:val="0"/>
      <w:divBdr>
        <w:top w:val="none" w:sz="0" w:space="0" w:color="auto"/>
        <w:left w:val="none" w:sz="0" w:space="0" w:color="auto"/>
        <w:bottom w:val="none" w:sz="0" w:space="0" w:color="auto"/>
        <w:right w:val="none" w:sz="0" w:space="0" w:color="auto"/>
      </w:divBdr>
    </w:div>
    <w:div w:id="76680751">
      <w:bodyDiv w:val="1"/>
      <w:marLeft w:val="0"/>
      <w:marRight w:val="0"/>
      <w:marTop w:val="0"/>
      <w:marBottom w:val="0"/>
      <w:divBdr>
        <w:top w:val="none" w:sz="0" w:space="0" w:color="auto"/>
        <w:left w:val="none" w:sz="0" w:space="0" w:color="auto"/>
        <w:bottom w:val="none" w:sz="0" w:space="0" w:color="auto"/>
        <w:right w:val="none" w:sz="0" w:space="0" w:color="auto"/>
      </w:divBdr>
    </w:div>
    <w:div w:id="106627916">
      <w:bodyDiv w:val="1"/>
      <w:marLeft w:val="0"/>
      <w:marRight w:val="0"/>
      <w:marTop w:val="0"/>
      <w:marBottom w:val="0"/>
      <w:divBdr>
        <w:top w:val="none" w:sz="0" w:space="0" w:color="auto"/>
        <w:left w:val="none" w:sz="0" w:space="0" w:color="auto"/>
        <w:bottom w:val="none" w:sz="0" w:space="0" w:color="auto"/>
        <w:right w:val="none" w:sz="0" w:space="0" w:color="auto"/>
      </w:divBdr>
    </w:div>
    <w:div w:id="108202664">
      <w:bodyDiv w:val="1"/>
      <w:marLeft w:val="0"/>
      <w:marRight w:val="0"/>
      <w:marTop w:val="0"/>
      <w:marBottom w:val="0"/>
      <w:divBdr>
        <w:top w:val="none" w:sz="0" w:space="0" w:color="auto"/>
        <w:left w:val="none" w:sz="0" w:space="0" w:color="auto"/>
        <w:bottom w:val="none" w:sz="0" w:space="0" w:color="auto"/>
        <w:right w:val="none" w:sz="0" w:space="0" w:color="auto"/>
      </w:divBdr>
    </w:div>
    <w:div w:id="108936832">
      <w:bodyDiv w:val="1"/>
      <w:marLeft w:val="0"/>
      <w:marRight w:val="0"/>
      <w:marTop w:val="0"/>
      <w:marBottom w:val="0"/>
      <w:divBdr>
        <w:top w:val="none" w:sz="0" w:space="0" w:color="auto"/>
        <w:left w:val="none" w:sz="0" w:space="0" w:color="auto"/>
        <w:bottom w:val="none" w:sz="0" w:space="0" w:color="auto"/>
        <w:right w:val="none" w:sz="0" w:space="0" w:color="auto"/>
      </w:divBdr>
    </w:div>
    <w:div w:id="122038974">
      <w:bodyDiv w:val="1"/>
      <w:marLeft w:val="0"/>
      <w:marRight w:val="0"/>
      <w:marTop w:val="0"/>
      <w:marBottom w:val="0"/>
      <w:divBdr>
        <w:top w:val="none" w:sz="0" w:space="0" w:color="auto"/>
        <w:left w:val="none" w:sz="0" w:space="0" w:color="auto"/>
        <w:bottom w:val="none" w:sz="0" w:space="0" w:color="auto"/>
        <w:right w:val="none" w:sz="0" w:space="0" w:color="auto"/>
      </w:divBdr>
    </w:div>
    <w:div w:id="140385871">
      <w:bodyDiv w:val="1"/>
      <w:marLeft w:val="0"/>
      <w:marRight w:val="0"/>
      <w:marTop w:val="0"/>
      <w:marBottom w:val="0"/>
      <w:divBdr>
        <w:top w:val="none" w:sz="0" w:space="0" w:color="auto"/>
        <w:left w:val="none" w:sz="0" w:space="0" w:color="auto"/>
        <w:bottom w:val="none" w:sz="0" w:space="0" w:color="auto"/>
        <w:right w:val="none" w:sz="0" w:space="0" w:color="auto"/>
      </w:divBdr>
    </w:div>
    <w:div w:id="161244282">
      <w:bodyDiv w:val="1"/>
      <w:marLeft w:val="0"/>
      <w:marRight w:val="0"/>
      <w:marTop w:val="0"/>
      <w:marBottom w:val="0"/>
      <w:divBdr>
        <w:top w:val="none" w:sz="0" w:space="0" w:color="auto"/>
        <w:left w:val="none" w:sz="0" w:space="0" w:color="auto"/>
        <w:bottom w:val="none" w:sz="0" w:space="0" w:color="auto"/>
        <w:right w:val="none" w:sz="0" w:space="0" w:color="auto"/>
      </w:divBdr>
    </w:div>
    <w:div w:id="162740996">
      <w:bodyDiv w:val="1"/>
      <w:marLeft w:val="0"/>
      <w:marRight w:val="0"/>
      <w:marTop w:val="0"/>
      <w:marBottom w:val="0"/>
      <w:divBdr>
        <w:top w:val="none" w:sz="0" w:space="0" w:color="auto"/>
        <w:left w:val="none" w:sz="0" w:space="0" w:color="auto"/>
        <w:bottom w:val="none" w:sz="0" w:space="0" w:color="auto"/>
        <w:right w:val="none" w:sz="0" w:space="0" w:color="auto"/>
      </w:divBdr>
    </w:div>
    <w:div w:id="188759178">
      <w:bodyDiv w:val="1"/>
      <w:marLeft w:val="0"/>
      <w:marRight w:val="0"/>
      <w:marTop w:val="0"/>
      <w:marBottom w:val="0"/>
      <w:divBdr>
        <w:top w:val="none" w:sz="0" w:space="0" w:color="auto"/>
        <w:left w:val="none" w:sz="0" w:space="0" w:color="auto"/>
        <w:bottom w:val="none" w:sz="0" w:space="0" w:color="auto"/>
        <w:right w:val="none" w:sz="0" w:space="0" w:color="auto"/>
      </w:divBdr>
    </w:div>
    <w:div w:id="206987498">
      <w:bodyDiv w:val="1"/>
      <w:marLeft w:val="0"/>
      <w:marRight w:val="0"/>
      <w:marTop w:val="0"/>
      <w:marBottom w:val="0"/>
      <w:divBdr>
        <w:top w:val="none" w:sz="0" w:space="0" w:color="auto"/>
        <w:left w:val="none" w:sz="0" w:space="0" w:color="auto"/>
        <w:bottom w:val="none" w:sz="0" w:space="0" w:color="auto"/>
        <w:right w:val="none" w:sz="0" w:space="0" w:color="auto"/>
      </w:divBdr>
    </w:div>
    <w:div w:id="232813655">
      <w:bodyDiv w:val="1"/>
      <w:marLeft w:val="0"/>
      <w:marRight w:val="0"/>
      <w:marTop w:val="0"/>
      <w:marBottom w:val="0"/>
      <w:divBdr>
        <w:top w:val="none" w:sz="0" w:space="0" w:color="auto"/>
        <w:left w:val="none" w:sz="0" w:space="0" w:color="auto"/>
        <w:bottom w:val="none" w:sz="0" w:space="0" w:color="auto"/>
        <w:right w:val="none" w:sz="0" w:space="0" w:color="auto"/>
      </w:divBdr>
    </w:div>
    <w:div w:id="240018996">
      <w:bodyDiv w:val="1"/>
      <w:marLeft w:val="0"/>
      <w:marRight w:val="0"/>
      <w:marTop w:val="0"/>
      <w:marBottom w:val="0"/>
      <w:divBdr>
        <w:top w:val="none" w:sz="0" w:space="0" w:color="auto"/>
        <w:left w:val="none" w:sz="0" w:space="0" w:color="auto"/>
        <w:bottom w:val="none" w:sz="0" w:space="0" w:color="auto"/>
        <w:right w:val="none" w:sz="0" w:space="0" w:color="auto"/>
      </w:divBdr>
    </w:div>
    <w:div w:id="268128040">
      <w:bodyDiv w:val="1"/>
      <w:marLeft w:val="0"/>
      <w:marRight w:val="0"/>
      <w:marTop w:val="0"/>
      <w:marBottom w:val="0"/>
      <w:divBdr>
        <w:top w:val="none" w:sz="0" w:space="0" w:color="auto"/>
        <w:left w:val="none" w:sz="0" w:space="0" w:color="auto"/>
        <w:bottom w:val="none" w:sz="0" w:space="0" w:color="auto"/>
        <w:right w:val="none" w:sz="0" w:space="0" w:color="auto"/>
      </w:divBdr>
    </w:div>
    <w:div w:id="272792016">
      <w:bodyDiv w:val="1"/>
      <w:marLeft w:val="0"/>
      <w:marRight w:val="0"/>
      <w:marTop w:val="0"/>
      <w:marBottom w:val="0"/>
      <w:divBdr>
        <w:top w:val="none" w:sz="0" w:space="0" w:color="auto"/>
        <w:left w:val="none" w:sz="0" w:space="0" w:color="auto"/>
        <w:bottom w:val="none" w:sz="0" w:space="0" w:color="auto"/>
        <w:right w:val="none" w:sz="0" w:space="0" w:color="auto"/>
      </w:divBdr>
    </w:div>
    <w:div w:id="274947626">
      <w:bodyDiv w:val="1"/>
      <w:marLeft w:val="0"/>
      <w:marRight w:val="0"/>
      <w:marTop w:val="0"/>
      <w:marBottom w:val="0"/>
      <w:divBdr>
        <w:top w:val="none" w:sz="0" w:space="0" w:color="auto"/>
        <w:left w:val="none" w:sz="0" w:space="0" w:color="auto"/>
        <w:bottom w:val="none" w:sz="0" w:space="0" w:color="auto"/>
        <w:right w:val="none" w:sz="0" w:space="0" w:color="auto"/>
      </w:divBdr>
    </w:div>
    <w:div w:id="287009554">
      <w:bodyDiv w:val="1"/>
      <w:marLeft w:val="0"/>
      <w:marRight w:val="0"/>
      <w:marTop w:val="0"/>
      <w:marBottom w:val="0"/>
      <w:divBdr>
        <w:top w:val="none" w:sz="0" w:space="0" w:color="auto"/>
        <w:left w:val="none" w:sz="0" w:space="0" w:color="auto"/>
        <w:bottom w:val="none" w:sz="0" w:space="0" w:color="auto"/>
        <w:right w:val="none" w:sz="0" w:space="0" w:color="auto"/>
      </w:divBdr>
    </w:div>
    <w:div w:id="302927545">
      <w:bodyDiv w:val="1"/>
      <w:marLeft w:val="0"/>
      <w:marRight w:val="0"/>
      <w:marTop w:val="0"/>
      <w:marBottom w:val="0"/>
      <w:divBdr>
        <w:top w:val="none" w:sz="0" w:space="0" w:color="auto"/>
        <w:left w:val="none" w:sz="0" w:space="0" w:color="auto"/>
        <w:bottom w:val="none" w:sz="0" w:space="0" w:color="auto"/>
        <w:right w:val="none" w:sz="0" w:space="0" w:color="auto"/>
      </w:divBdr>
      <w:divsChild>
        <w:div w:id="1875147875">
          <w:marLeft w:val="0"/>
          <w:marRight w:val="0"/>
          <w:marTop w:val="0"/>
          <w:marBottom w:val="0"/>
          <w:divBdr>
            <w:top w:val="none" w:sz="0" w:space="0" w:color="auto"/>
            <w:left w:val="none" w:sz="0" w:space="0" w:color="auto"/>
            <w:bottom w:val="none" w:sz="0" w:space="0" w:color="auto"/>
            <w:right w:val="none" w:sz="0" w:space="0" w:color="auto"/>
          </w:divBdr>
          <w:divsChild>
            <w:div w:id="19126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60557">
      <w:bodyDiv w:val="1"/>
      <w:marLeft w:val="0"/>
      <w:marRight w:val="0"/>
      <w:marTop w:val="0"/>
      <w:marBottom w:val="0"/>
      <w:divBdr>
        <w:top w:val="none" w:sz="0" w:space="0" w:color="auto"/>
        <w:left w:val="none" w:sz="0" w:space="0" w:color="auto"/>
        <w:bottom w:val="none" w:sz="0" w:space="0" w:color="auto"/>
        <w:right w:val="none" w:sz="0" w:space="0" w:color="auto"/>
      </w:divBdr>
    </w:div>
    <w:div w:id="321930817">
      <w:bodyDiv w:val="1"/>
      <w:marLeft w:val="0"/>
      <w:marRight w:val="0"/>
      <w:marTop w:val="0"/>
      <w:marBottom w:val="0"/>
      <w:divBdr>
        <w:top w:val="none" w:sz="0" w:space="0" w:color="auto"/>
        <w:left w:val="none" w:sz="0" w:space="0" w:color="auto"/>
        <w:bottom w:val="none" w:sz="0" w:space="0" w:color="auto"/>
        <w:right w:val="none" w:sz="0" w:space="0" w:color="auto"/>
      </w:divBdr>
    </w:div>
    <w:div w:id="323514219">
      <w:bodyDiv w:val="1"/>
      <w:marLeft w:val="0"/>
      <w:marRight w:val="0"/>
      <w:marTop w:val="0"/>
      <w:marBottom w:val="0"/>
      <w:divBdr>
        <w:top w:val="none" w:sz="0" w:space="0" w:color="auto"/>
        <w:left w:val="none" w:sz="0" w:space="0" w:color="auto"/>
        <w:bottom w:val="none" w:sz="0" w:space="0" w:color="auto"/>
        <w:right w:val="none" w:sz="0" w:space="0" w:color="auto"/>
      </w:divBdr>
    </w:div>
    <w:div w:id="330722445">
      <w:bodyDiv w:val="1"/>
      <w:marLeft w:val="0"/>
      <w:marRight w:val="0"/>
      <w:marTop w:val="0"/>
      <w:marBottom w:val="0"/>
      <w:divBdr>
        <w:top w:val="none" w:sz="0" w:space="0" w:color="auto"/>
        <w:left w:val="none" w:sz="0" w:space="0" w:color="auto"/>
        <w:bottom w:val="none" w:sz="0" w:space="0" w:color="auto"/>
        <w:right w:val="none" w:sz="0" w:space="0" w:color="auto"/>
      </w:divBdr>
    </w:div>
    <w:div w:id="331447694">
      <w:bodyDiv w:val="1"/>
      <w:marLeft w:val="0"/>
      <w:marRight w:val="0"/>
      <w:marTop w:val="0"/>
      <w:marBottom w:val="0"/>
      <w:divBdr>
        <w:top w:val="none" w:sz="0" w:space="0" w:color="auto"/>
        <w:left w:val="none" w:sz="0" w:space="0" w:color="auto"/>
        <w:bottom w:val="none" w:sz="0" w:space="0" w:color="auto"/>
        <w:right w:val="none" w:sz="0" w:space="0" w:color="auto"/>
      </w:divBdr>
    </w:div>
    <w:div w:id="333462946">
      <w:bodyDiv w:val="1"/>
      <w:marLeft w:val="0"/>
      <w:marRight w:val="0"/>
      <w:marTop w:val="0"/>
      <w:marBottom w:val="0"/>
      <w:divBdr>
        <w:top w:val="none" w:sz="0" w:space="0" w:color="auto"/>
        <w:left w:val="none" w:sz="0" w:space="0" w:color="auto"/>
        <w:bottom w:val="none" w:sz="0" w:space="0" w:color="auto"/>
        <w:right w:val="none" w:sz="0" w:space="0" w:color="auto"/>
      </w:divBdr>
    </w:div>
    <w:div w:id="337194333">
      <w:bodyDiv w:val="1"/>
      <w:marLeft w:val="0"/>
      <w:marRight w:val="0"/>
      <w:marTop w:val="0"/>
      <w:marBottom w:val="0"/>
      <w:divBdr>
        <w:top w:val="none" w:sz="0" w:space="0" w:color="auto"/>
        <w:left w:val="none" w:sz="0" w:space="0" w:color="auto"/>
        <w:bottom w:val="none" w:sz="0" w:space="0" w:color="auto"/>
        <w:right w:val="none" w:sz="0" w:space="0" w:color="auto"/>
      </w:divBdr>
    </w:div>
    <w:div w:id="337662165">
      <w:bodyDiv w:val="1"/>
      <w:marLeft w:val="0"/>
      <w:marRight w:val="0"/>
      <w:marTop w:val="0"/>
      <w:marBottom w:val="0"/>
      <w:divBdr>
        <w:top w:val="none" w:sz="0" w:space="0" w:color="auto"/>
        <w:left w:val="none" w:sz="0" w:space="0" w:color="auto"/>
        <w:bottom w:val="none" w:sz="0" w:space="0" w:color="auto"/>
        <w:right w:val="none" w:sz="0" w:space="0" w:color="auto"/>
      </w:divBdr>
    </w:div>
    <w:div w:id="339545424">
      <w:bodyDiv w:val="1"/>
      <w:marLeft w:val="0"/>
      <w:marRight w:val="0"/>
      <w:marTop w:val="0"/>
      <w:marBottom w:val="0"/>
      <w:divBdr>
        <w:top w:val="none" w:sz="0" w:space="0" w:color="auto"/>
        <w:left w:val="none" w:sz="0" w:space="0" w:color="auto"/>
        <w:bottom w:val="none" w:sz="0" w:space="0" w:color="auto"/>
        <w:right w:val="none" w:sz="0" w:space="0" w:color="auto"/>
      </w:divBdr>
    </w:div>
    <w:div w:id="350644214">
      <w:bodyDiv w:val="1"/>
      <w:marLeft w:val="0"/>
      <w:marRight w:val="0"/>
      <w:marTop w:val="0"/>
      <w:marBottom w:val="0"/>
      <w:divBdr>
        <w:top w:val="none" w:sz="0" w:space="0" w:color="auto"/>
        <w:left w:val="none" w:sz="0" w:space="0" w:color="auto"/>
        <w:bottom w:val="none" w:sz="0" w:space="0" w:color="auto"/>
        <w:right w:val="none" w:sz="0" w:space="0" w:color="auto"/>
      </w:divBdr>
    </w:div>
    <w:div w:id="352658110">
      <w:bodyDiv w:val="1"/>
      <w:marLeft w:val="0"/>
      <w:marRight w:val="0"/>
      <w:marTop w:val="0"/>
      <w:marBottom w:val="0"/>
      <w:divBdr>
        <w:top w:val="none" w:sz="0" w:space="0" w:color="auto"/>
        <w:left w:val="none" w:sz="0" w:space="0" w:color="auto"/>
        <w:bottom w:val="none" w:sz="0" w:space="0" w:color="auto"/>
        <w:right w:val="none" w:sz="0" w:space="0" w:color="auto"/>
      </w:divBdr>
    </w:div>
    <w:div w:id="362708820">
      <w:bodyDiv w:val="1"/>
      <w:marLeft w:val="0"/>
      <w:marRight w:val="0"/>
      <w:marTop w:val="0"/>
      <w:marBottom w:val="0"/>
      <w:divBdr>
        <w:top w:val="none" w:sz="0" w:space="0" w:color="auto"/>
        <w:left w:val="none" w:sz="0" w:space="0" w:color="auto"/>
        <w:bottom w:val="none" w:sz="0" w:space="0" w:color="auto"/>
        <w:right w:val="none" w:sz="0" w:space="0" w:color="auto"/>
      </w:divBdr>
      <w:divsChild>
        <w:div w:id="946079181">
          <w:marLeft w:val="0"/>
          <w:marRight w:val="0"/>
          <w:marTop w:val="0"/>
          <w:marBottom w:val="0"/>
          <w:divBdr>
            <w:top w:val="none" w:sz="0" w:space="0" w:color="auto"/>
            <w:left w:val="none" w:sz="0" w:space="0" w:color="auto"/>
            <w:bottom w:val="none" w:sz="0" w:space="0" w:color="auto"/>
            <w:right w:val="none" w:sz="0" w:space="0" w:color="auto"/>
          </w:divBdr>
          <w:divsChild>
            <w:div w:id="1527475269">
              <w:marLeft w:val="0"/>
              <w:marRight w:val="0"/>
              <w:marTop w:val="0"/>
              <w:marBottom w:val="0"/>
              <w:divBdr>
                <w:top w:val="none" w:sz="0" w:space="0" w:color="auto"/>
                <w:left w:val="none" w:sz="0" w:space="0" w:color="auto"/>
                <w:bottom w:val="none" w:sz="0" w:space="0" w:color="auto"/>
                <w:right w:val="none" w:sz="0" w:space="0" w:color="auto"/>
              </w:divBdr>
              <w:divsChild>
                <w:div w:id="1272778759">
                  <w:marLeft w:val="0"/>
                  <w:marRight w:val="0"/>
                  <w:marTop w:val="0"/>
                  <w:marBottom w:val="129"/>
                  <w:divBdr>
                    <w:top w:val="none" w:sz="0" w:space="0" w:color="auto"/>
                    <w:left w:val="none" w:sz="0" w:space="0" w:color="auto"/>
                    <w:bottom w:val="none" w:sz="0" w:space="0" w:color="auto"/>
                    <w:right w:val="none" w:sz="0" w:space="0" w:color="auto"/>
                  </w:divBdr>
                  <w:divsChild>
                    <w:div w:id="1636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798367">
      <w:bodyDiv w:val="1"/>
      <w:marLeft w:val="0"/>
      <w:marRight w:val="0"/>
      <w:marTop w:val="0"/>
      <w:marBottom w:val="0"/>
      <w:divBdr>
        <w:top w:val="none" w:sz="0" w:space="0" w:color="auto"/>
        <w:left w:val="none" w:sz="0" w:space="0" w:color="auto"/>
        <w:bottom w:val="none" w:sz="0" w:space="0" w:color="auto"/>
        <w:right w:val="none" w:sz="0" w:space="0" w:color="auto"/>
      </w:divBdr>
    </w:div>
    <w:div w:id="393897015">
      <w:bodyDiv w:val="1"/>
      <w:marLeft w:val="0"/>
      <w:marRight w:val="0"/>
      <w:marTop w:val="0"/>
      <w:marBottom w:val="0"/>
      <w:divBdr>
        <w:top w:val="none" w:sz="0" w:space="0" w:color="auto"/>
        <w:left w:val="none" w:sz="0" w:space="0" w:color="auto"/>
        <w:bottom w:val="none" w:sz="0" w:space="0" w:color="auto"/>
        <w:right w:val="none" w:sz="0" w:space="0" w:color="auto"/>
      </w:divBdr>
    </w:div>
    <w:div w:id="414279107">
      <w:bodyDiv w:val="1"/>
      <w:marLeft w:val="0"/>
      <w:marRight w:val="0"/>
      <w:marTop w:val="0"/>
      <w:marBottom w:val="0"/>
      <w:divBdr>
        <w:top w:val="none" w:sz="0" w:space="0" w:color="auto"/>
        <w:left w:val="none" w:sz="0" w:space="0" w:color="auto"/>
        <w:bottom w:val="none" w:sz="0" w:space="0" w:color="auto"/>
        <w:right w:val="none" w:sz="0" w:space="0" w:color="auto"/>
      </w:divBdr>
      <w:divsChild>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sChild>
                <w:div w:id="1100101900">
                  <w:marLeft w:val="0"/>
                  <w:marRight w:val="0"/>
                  <w:marTop w:val="0"/>
                  <w:marBottom w:val="129"/>
                  <w:divBdr>
                    <w:top w:val="none" w:sz="0" w:space="0" w:color="auto"/>
                    <w:left w:val="none" w:sz="0" w:space="0" w:color="auto"/>
                    <w:bottom w:val="none" w:sz="0" w:space="0" w:color="auto"/>
                    <w:right w:val="none" w:sz="0" w:space="0" w:color="auto"/>
                  </w:divBdr>
                  <w:divsChild>
                    <w:div w:id="9594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70134">
      <w:bodyDiv w:val="1"/>
      <w:marLeft w:val="0"/>
      <w:marRight w:val="0"/>
      <w:marTop w:val="0"/>
      <w:marBottom w:val="0"/>
      <w:divBdr>
        <w:top w:val="none" w:sz="0" w:space="0" w:color="auto"/>
        <w:left w:val="none" w:sz="0" w:space="0" w:color="auto"/>
        <w:bottom w:val="none" w:sz="0" w:space="0" w:color="auto"/>
        <w:right w:val="none" w:sz="0" w:space="0" w:color="auto"/>
      </w:divBdr>
      <w:divsChild>
        <w:div w:id="714811876">
          <w:marLeft w:val="0"/>
          <w:marRight w:val="0"/>
          <w:marTop w:val="0"/>
          <w:marBottom w:val="0"/>
          <w:divBdr>
            <w:top w:val="none" w:sz="0" w:space="0" w:color="auto"/>
            <w:left w:val="none" w:sz="0" w:space="0" w:color="auto"/>
            <w:bottom w:val="none" w:sz="0" w:space="0" w:color="auto"/>
            <w:right w:val="none" w:sz="0" w:space="0" w:color="auto"/>
          </w:divBdr>
          <w:divsChild>
            <w:div w:id="1025641637">
              <w:marLeft w:val="0"/>
              <w:marRight w:val="0"/>
              <w:marTop w:val="0"/>
              <w:marBottom w:val="0"/>
              <w:divBdr>
                <w:top w:val="none" w:sz="0" w:space="0" w:color="auto"/>
                <w:left w:val="none" w:sz="0" w:space="0" w:color="auto"/>
                <w:bottom w:val="none" w:sz="0" w:space="0" w:color="auto"/>
                <w:right w:val="none" w:sz="0" w:space="0" w:color="auto"/>
              </w:divBdr>
              <w:divsChild>
                <w:div w:id="1793014890">
                  <w:marLeft w:val="214"/>
                  <w:marRight w:val="0"/>
                  <w:marTop w:val="1457"/>
                  <w:marBottom w:val="0"/>
                  <w:divBdr>
                    <w:top w:val="none" w:sz="0" w:space="0" w:color="auto"/>
                    <w:left w:val="none" w:sz="0" w:space="0" w:color="auto"/>
                    <w:bottom w:val="none" w:sz="0" w:space="0" w:color="auto"/>
                    <w:right w:val="none" w:sz="0" w:space="0" w:color="auto"/>
                  </w:divBdr>
                </w:div>
              </w:divsChild>
            </w:div>
          </w:divsChild>
        </w:div>
      </w:divsChild>
    </w:div>
    <w:div w:id="418910522">
      <w:bodyDiv w:val="1"/>
      <w:marLeft w:val="0"/>
      <w:marRight w:val="0"/>
      <w:marTop w:val="0"/>
      <w:marBottom w:val="0"/>
      <w:divBdr>
        <w:top w:val="none" w:sz="0" w:space="0" w:color="auto"/>
        <w:left w:val="none" w:sz="0" w:space="0" w:color="auto"/>
        <w:bottom w:val="none" w:sz="0" w:space="0" w:color="auto"/>
        <w:right w:val="none" w:sz="0" w:space="0" w:color="auto"/>
      </w:divBdr>
    </w:div>
    <w:div w:id="429856465">
      <w:bodyDiv w:val="1"/>
      <w:marLeft w:val="0"/>
      <w:marRight w:val="0"/>
      <w:marTop w:val="0"/>
      <w:marBottom w:val="0"/>
      <w:divBdr>
        <w:top w:val="none" w:sz="0" w:space="0" w:color="auto"/>
        <w:left w:val="none" w:sz="0" w:space="0" w:color="auto"/>
        <w:bottom w:val="none" w:sz="0" w:space="0" w:color="auto"/>
        <w:right w:val="none" w:sz="0" w:space="0" w:color="auto"/>
      </w:divBdr>
    </w:div>
    <w:div w:id="438839691">
      <w:bodyDiv w:val="1"/>
      <w:marLeft w:val="0"/>
      <w:marRight w:val="0"/>
      <w:marTop w:val="0"/>
      <w:marBottom w:val="0"/>
      <w:divBdr>
        <w:top w:val="none" w:sz="0" w:space="0" w:color="auto"/>
        <w:left w:val="none" w:sz="0" w:space="0" w:color="auto"/>
        <w:bottom w:val="none" w:sz="0" w:space="0" w:color="auto"/>
        <w:right w:val="none" w:sz="0" w:space="0" w:color="auto"/>
      </w:divBdr>
    </w:div>
    <w:div w:id="445660680">
      <w:bodyDiv w:val="1"/>
      <w:marLeft w:val="0"/>
      <w:marRight w:val="0"/>
      <w:marTop w:val="0"/>
      <w:marBottom w:val="0"/>
      <w:divBdr>
        <w:top w:val="none" w:sz="0" w:space="0" w:color="auto"/>
        <w:left w:val="none" w:sz="0" w:space="0" w:color="auto"/>
        <w:bottom w:val="none" w:sz="0" w:space="0" w:color="auto"/>
        <w:right w:val="none" w:sz="0" w:space="0" w:color="auto"/>
      </w:divBdr>
    </w:div>
    <w:div w:id="464397798">
      <w:bodyDiv w:val="1"/>
      <w:marLeft w:val="0"/>
      <w:marRight w:val="0"/>
      <w:marTop w:val="0"/>
      <w:marBottom w:val="0"/>
      <w:divBdr>
        <w:top w:val="none" w:sz="0" w:space="0" w:color="auto"/>
        <w:left w:val="none" w:sz="0" w:space="0" w:color="auto"/>
        <w:bottom w:val="none" w:sz="0" w:space="0" w:color="auto"/>
        <w:right w:val="none" w:sz="0" w:space="0" w:color="auto"/>
      </w:divBdr>
    </w:div>
    <w:div w:id="465657628">
      <w:bodyDiv w:val="1"/>
      <w:marLeft w:val="0"/>
      <w:marRight w:val="0"/>
      <w:marTop w:val="0"/>
      <w:marBottom w:val="0"/>
      <w:divBdr>
        <w:top w:val="none" w:sz="0" w:space="0" w:color="auto"/>
        <w:left w:val="none" w:sz="0" w:space="0" w:color="auto"/>
        <w:bottom w:val="none" w:sz="0" w:space="0" w:color="auto"/>
        <w:right w:val="none" w:sz="0" w:space="0" w:color="auto"/>
      </w:divBdr>
    </w:div>
    <w:div w:id="472060248">
      <w:bodyDiv w:val="1"/>
      <w:marLeft w:val="0"/>
      <w:marRight w:val="0"/>
      <w:marTop w:val="0"/>
      <w:marBottom w:val="0"/>
      <w:divBdr>
        <w:top w:val="none" w:sz="0" w:space="0" w:color="auto"/>
        <w:left w:val="none" w:sz="0" w:space="0" w:color="auto"/>
        <w:bottom w:val="none" w:sz="0" w:space="0" w:color="auto"/>
        <w:right w:val="none" w:sz="0" w:space="0" w:color="auto"/>
      </w:divBdr>
    </w:div>
    <w:div w:id="472455727">
      <w:bodyDiv w:val="1"/>
      <w:marLeft w:val="0"/>
      <w:marRight w:val="0"/>
      <w:marTop w:val="0"/>
      <w:marBottom w:val="0"/>
      <w:divBdr>
        <w:top w:val="none" w:sz="0" w:space="0" w:color="auto"/>
        <w:left w:val="none" w:sz="0" w:space="0" w:color="auto"/>
        <w:bottom w:val="none" w:sz="0" w:space="0" w:color="auto"/>
        <w:right w:val="none" w:sz="0" w:space="0" w:color="auto"/>
      </w:divBdr>
      <w:divsChild>
        <w:div w:id="2113352405">
          <w:marLeft w:val="0"/>
          <w:marRight w:val="0"/>
          <w:marTop w:val="0"/>
          <w:marBottom w:val="0"/>
          <w:divBdr>
            <w:top w:val="none" w:sz="0" w:space="0" w:color="auto"/>
            <w:left w:val="none" w:sz="0" w:space="0" w:color="auto"/>
            <w:bottom w:val="none" w:sz="0" w:space="0" w:color="auto"/>
            <w:right w:val="none" w:sz="0" w:space="0" w:color="auto"/>
          </w:divBdr>
          <w:divsChild>
            <w:div w:id="2003393609">
              <w:marLeft w:val="0"/>
              <w:marRight w:val="0"/>
              <w:marTop w:val="0"/>
              <w:marBottom w:val="0"/>
              <w:divBdr>
                <w:top w:val="none" w:sz="0" w:space="0" w:color="auto"/>
                <w:left w:val="none" w:sz="0" w:space="0" w:color="auto"/>
                <w:bottom w:val="none" w:sz="0" w:space="0" w:color="auto"/>
                <w:right w:val="none" w:sz="0" w:space="0" w:color="auto"/>
              </w:divBdr>
              <w:divsChild>
                <w:div w:id="1017074213">
                  <w:marLeft w:val="0"/>
                  <w:marRight w:val="0"/>
                  <w:marTop w:val="0"/>
                  <w:marBottom w:val="129"/>
                  <w:divBdr>
                    <w:top w:val="none" w:sz="0" w:space="0" w:color="auto"/>
                    <w:left w:val="none" w:sz="0" w:space="0" w:color="auto"/>
                    <w:bottom w:val="none" w:sz="0" w:space="0" w:color="auto"/>
                    <w:right w:val="none" w:sz="0" w:space="0" w:color="auto"/>
                  </w:divBdr>
                  <w:divsChild>
                    <w:div w:id="39716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87483">
      <w:bodyDiv w:val="1"/>
      <w:marLeft w:val="0"/>
      <w:marRight w:val="0"/>
      <w:marTop w:val="0"/>
      <w:marBottom w:val="0"/>
      <w:divBdr>
        <w:top w:val="none" w:sz="0" w:space="0" w:color="auto"/>
        <w:left w:val="none" w:sz="0" w:space="0" w:color="auto"/>
        <w:bottom w:val="none" w:sz="0" w:space="0" w:color="auto"/>
        <w:right w:val="none" w:sz="0" w:space="0" w:color="auto"/>
      </w:divBdr>
    </w:div>
    <w:div w:id="496766986">
      <w:bodyDiv w:val="1"/>
      <w:marLeft w:val="0"/>
      <w:marRight w:val="0"/>
      <w:marTop w:val="0"/>
      <w:marBottom w:val="0"/>
      <w:divBdr>
        <w:top w:val="none" w:sz="0" w:space="0" w:color="auto"/>
        <w:left w:val="none" w:sz="0" w:space="0" w:color="auto"/>
        <w:bottom w:val="none" w:sz="0" w:space="0" w:color="auto"/>
        <w:right w:val="none" w:sz="0" w:space="0" w:color="auto"/>
      </w:divBdr>
    </w:div>
    <w:div w:id="498426966">
      <w:bodyDiv w:val="1"/>
      <w:marLeft w:val="0"/>
      <w:marRight w:val="0"/>
      <w:marTop w:val="0"/>
      <w:marBottom w:val="0"/>
      <w:divBdr>
        <w:top w:val="none" w:sz="0" w:space="0" w:color="auto"/>
        <w:left w:val="none" w:sz="0" w:space="0" w:color="auto"/>
        <w:bottom w:val="none" w:sz="0" w:space="0" w:color="auto"/>
        <w:right w:val="none" w:sz="0" w:space="0" w:color="auto"/>
      </w:divBdr>
    </w:div>
    <w:div w:id="509415589">
      <w:bodyDiv w:val="1"/>
      <w:marLeft w:val="0"/>
      <w:marRight w:val="0"/>
      <w:marTop w:val="0"/>
      <w:marBottom w:val="0"/>
      <w:divBdr>
        <w:top w:val="none" w:sz="0" w:space="0" w:color="auto"/>
        <w:left w:val="none" w:sz="0" w:space="0" w:color="auto"/>
        <w:bottom w:val="none" w:sz="0" w:space="0" w:color="auto"/>
        <w:right w:val="none" w:sz="0" w:space="0" w:color="auto"/>
      </w:divBdr>
    </w:div>
    <w:div w:id="512492938">
      <w:bodyDiv w:val="1"/>
      <w:marLeft w:val="0"/>
      <w:marRight w:val="0"/>
      <w:marTop w:val="0"/>
      <w:marBottom w:val="0"/>
      <w:divBdr>
        <w:top w:val="none" w:sz="0" w:space="0" w:color="auto"/>
        <w:left w:val="none" w:sz="0" w:space="0" w:color="auto"/>
        <w:bottom w:val="none" w:sz="0" w:space="0" w:color="auto"/>
        <w:right w:val="none" w:sz="0" w:space="0" w:color="auto"/>
      </w:divBdr>
    </w:div>
    <w:div w:id="518391351">
      <w:bodyDiv w:val="1"/>
      <w:marLeft w:val="0"/>
      <w:marRight w:val="0"/>
      <w:marTop w:val="0"/>
      <w:marBottom w:val="0"/>
      <w:divBdr>
        <w:top w:val="none" w:sz="0" w:space="0" w:color="auto"/>
        <w:left w:val="none" w:sz="0" w:space="0" w:color="auto"/>
        <w:bottom w:val="none" w:sz="0" w:space="0" w:color="auto"/>
        <w:right w:val="none" w:sz="0" w:space="0" w:color="auto"/>
      </w:divBdr>
    </w:div>
    <w:div w:id="546189717">
      <w:bodyDiv w:val="1"/>
      <w:marLeft w:val="0"/>
      <w:marRight w:val="0"/>
      <w:marTop w:val="0"/>
      <w:marBottom w:val="0"/>
      <w:divBdr>
        <w:top w:val="none" w:sz="0" w:space="0" w:color="auto"/>
        <w:left w:val="none" w:sz="0" w:space="0" w:color="auto"/>
        <w:bottom w:val="none" w:sz="0" w:space="0" w:color="auto"/>
        <w:right w:val="none" w:sz="0" w:space="0" w:color="auto"/>
      </w:divBdr>
    </w:div>
    <w:div w:id="549924482">
      <w:bodyDiv w:val="1"/>
      <w:marLeft w:val="0"/>
      <w:marRight w:val="0"/>
      <w:marTop w:val="0"/>
      <w:marBottom w:val="0"/>
      <w:divBdr>
        <w:top w:val="none" w:sz="0" w:space="0" w:color="auto"/>
        <w:left w:val="none" w:sz="0" w:space="0" w:color="auto"/>
        <w:bottom w:val="none" w:sz="0" w:space="0" w:color="auto"/>
        <w:right w:val="none" w:sz="0" w:space="0" w:color="auto"/>
      </w:divBdr>
    </w:div>
    <w:div w:id="552810018">
      <w:bodyDiv w:val="1"/>
      <w:marLeft w:val="0"/>
      <w:marRight w:val="0"/>
      <w:marTop w:val="0"/>
      <w:marBottom w:val="0"/>
      <w:divBdr>
        <w:top w:val="none" w:sz="0" w:space="0" w:color="auto"/>
        <w:left w:val="none" w:sz="0" w:space="0" w:color="auto"/>
        <w:bottom w:val="none" w:sz="0" w:space="0" w:color="auto"/>
        <w:right w:val="none" w:sz="0" w:space="0" w:color="auto"/>
      </w:divBdr>
    </w:div>
    <w:div w:id="557861112">
      <w:bodyDiv w:val="1"/>
      <w:marLeft w:val="0"/>
      <w:marRight w:val="0"/>
      <w:marTop w:val="0"/>
      <w:marBottom w:val="0"/>
      <w:divBdr>
        <w:top w:val="none" w:sz="0" w:space="0" w:color="auto"/>
        <w:left w:val="none" w:sz="0" w:space="0" w:color="auto"/>
        <w:bottom w:val="none" w:sz="0" w:space="0" w:color="auto"/>
        <w:right w:val="none" w:sz="0" w:space="0" w:color="auto"/>
      </w:divBdr>
    </w:div>
    <w:div w:id="563106227">
      <w:bodyDiv w:val="1"/>
      <w:marLeft w:val="0"/>
      <w:marRight w:val="0"/>
      <w:marTop w:val="0"/>
      <w:marBottom w:val="0"/>
      <w:divBdr>
        <w:top w:val="none" w:sz="0" w:space="0" w:color="auto"/>
        <w:left w:val="none" w:sz="0" w:space="0" w:color="auto"/>
        <w:bottom w:val="none" w:sz="0" w:space="0" w:color="auto"/>
        <w:right w:val="none" w:sz="0" w:space="0" w:color="auto"/>
      </w:divBdr>
    </w:div>
    <w:div w:id="602684812">
      <w:bodyDiv w:val="1"/>
      <w:marLeft w:val="0"/>
      <w:marRight w:val="0"/>
      <w:marTop w:val="0"/>
      <w:marBottom w:val="0"/>
      <w:divBdr>
        <w:top w:val="none" w:sz="0" w:space="0" w:color="auto"/>
        <w:left w:val="none" w:sz="0" w:space="0" w:color="auto"/>
        <w:bottom w:val="none" w:sz="0" w:space="0" w:color="auto"/>
        <w:right w:val="none" w:sz="0" w:space="0" w:color="auto"/>
      </w:divBdr>
    </w:div>
    <w:div w:id="612634001">
      <w:bodyDiv w:val="1"/>
      <w:marLeft w:val="0"/>
      <w:marRight w:val="0"/>
      <w:marTop w:val="0"/>
      <w:marBottom w:val="0"/>
      <w:divBdr>
        <w:top w:val="none" w:sz="0" w:space="0" w:color="auto"/>
        <w:left w:val="none" w:sz="0" w:space="0" w:color="auto"/>
        <w:bottom w:val="none" w:sz="0" w:space="0" w:color="auto"/>
        <w:right w:val="none" w:sz="0" w:space="0" w:color="auto"/>
      </w:divBdr>
    </w:div>
    <w:div w:id="613096929">
      <w:bodyDiv w:val="1"/>
      <w:marLeft w:val="0"/>
      <w:marRight w:val="0"/>
      <w:marTop w:val="0"/>
      <w:marBottom w:val="0"/>
      <w:divBdr>
        <w:top w:val="none" w:sz="0" w:space="0" w:color="auto"/>
        <w:left w:val="none" w:sz="0" w:space="0" w:color="auto"/>
        <w:bottom w:val="none" w:sz="0" w:space="0" w:color="auto"/>
        <w:right w:val="none" w:sz="0" w:space="0" w:color="auto"/>
      </w:divBdr>
    </w:div>
    <w:div w:id="627666094">
      <w:bodyDiv w:val="1"/>
      <w:marLeft w:val="0"/>
      <w:marRight w:val="0"/>
      <w:marTop w:val="0"/>
      <w:marBottom w:val="0"/>
      <w:divBdr>
        <w:top w:val="none" w:sz="0" w:space="0" w:color="auto"/>
        <w:left w:val="none" w:sz="0" w:space="0" w:color="auto"/>
        <w:bottom w:val="none" w:sz="0" w:space="0" w:color="auto"/>
        <w:right w:val="none" w:sz="0" w:space="0" w:color="auto"/>
      </w:divBdr>
    </w:div>
    <w:div w:id="631058662">
      <w:bodyDiv w:val="1"/>
      <w:marLeft w:val="0"/>
      <w:marRight w:val="0"/>
      <w:marTop w:val="0"/>
      <w:marBottom w:val="0"/>
      <w:divBdr>
        <w:top w:val="none" w:sz="0" w:space="0" w:color="auto"/>
        <w:left w:val="none" w:sz="0" w:space="0" w:color="auto"/>
        <w:bottom w:val="none" w:sz="0" w:space="0" w:color="auto"/>
        <w:right w:val="none" w:sz="0" w:space="0" w:color="auto"/>
      </w:divBdr>
    </w:div>
    <w:div w:id="636910931">
      <w:bodyDiv w:val="1"/>
      <w:marLeft w:val="0"/>
      <w:marRight w:val="0"/>
      <w:marTop w:val="0"/>
      <w:marBottom w:val="0"/>
      <w:divBdr>
        <w:top w:val="none" w:sz="0" w:space="0" w:color="auto"/>
        <w:left w:val="none" w:sz="0" w:space="0" w:color="auto"/>
        <w:bottom w:val="none" w:sz="0" w:space="0" w:color="auto"/>
        <w:right w:val="none" w:sz="0" w:space="0" w:color="auto"/>
      </w:divBdr>
    </w:div>
    <w:div w:id="659307349">
      <w:bodyDiv w:val="1"/>
      <w:marLeft w:val="0"/>
      <w:marRight w:val="0"/>
      <w:marTop w:val="0"/>
      <w:marBottom w:val="0"/>
      <w:divBdr>
        <w:top w:val="none" w:sz="0" w:space="0" w:color="auto"/>
        <w:left w:val="none" w:sz="0" w:space="0" w:color="auto"/>
        <w:bottom w:val="none" w:sz="0" w:space="0" w:color="auto"/>
        <w:right w:val="none" w:sz="0" w:space="0" w:color="auto"/>
      </w:divBdr>
    </w:div>
    <w:div w:id="659432759">
      <w:bodyDiv w:val="1"/>
      <w:marLeft w:val="0"/>
      <w:marRight w:val="0"/>
      <w:marTop w:val="0"/>
      <w:marBottom w:val="0"/>
      <w:divBdr>
        <w:top w:val="none" w:sz="0" w:space="0" w:color="auto"/>
        <w:left w:val="none" w:sz="0" w:space="0" w:color="auto"/>
        <w:bottom w:val="none" w:sz="0" w:space="0" w:color="auto"/>
        <w:right w:val="none" w:sz="0" w:space="0" w:color="auto"/>
      </w:divBdr>
    </w:div>
    <w:div w:id="695348233">
      <w:bodyDiv w:val="1"/>
      <w:marLeft w:val="0"/>
      <w:marRight w:val="0"/>
      <w:marTop w:val="0"/>
      <w:marBottom w:val="0"/>
      <w:divBdr>
        <w:top w:val="none" w:sz="0" w:space="0" w:color="auto"/>
        <w:left w:val="none" w:sz="0" w:space="0" w:color="auto"/>
        <w:bottom w:val="none" w:sz="0" w:space="0" w:color="auto"/>
        <w:right w:val="none" w:sz="0" w:space="0" w:color="auto"/>
      </w:divBdr>
    </w:div>
    <w:div w:id="699817255">
      <w:bodyDiv w:val="1"/>
      <w:marLeft w:val="0"/>
      <w:marRight w:val="0"/>
      <w:marTop w:val="0"/>
      <w:marBottom w:val="0"/>
      <w:divBdr>
        <w:top w:val="none" w:sz="0" w:space="0" w:color="auto"/>
        <w:left w:val="none" w:sz="0" w:space="0" w:color="auto"/>
        <w:bottom w:val="none" w:sz="0" w:space="0" w:color="auto"/>
        <w:right w:val="none" w:sz="0" w:space="0" w:color="auto"/>
      </w:divBdr>
    </w:div>
    <w:div w:id="710882641">
      <w:bodyDiv w:val="1"/>
      <w:marLeft w:val="0"/>
      <w:marRight w:val="0"/>
      <w:marTop w:val="0"/>
      <w:marBottom w:val="0"/>
      <w:divBdr>
        <w:top w:val="none" w:sz="0" w:space="0" w:color="auto"/>
        <w:left w:val="none" w:sz="0" w:space="0" w:color="auto"/>
        <w:bottom w:val="none" w:sz="0" w:space="0" w:color="auto"/>
        <w:right w:val="none" w:sz="0" w:space="0" w:color="auto"/>
      </w:divBdr>
    </w:div>
    <w:div w:id="716707607">
      <w:bodyDiv w:val="1"/>
      <w:marLeft w:val="0"/>
      <w:marRight w:val="0"/>
      <w:marTop w:val="0"/>
      <w:marBottom w:val="0"/>
      <w:divBdr>
        <w:top w:val="none" w:sz="0" w:space="0" w:color="auto"/>
        <w:left w:val="none" w:sz="0" w:space="0" w:color="auto"/>
        <w:bottom w:val="none" w:sz="0" w:space="0" w:color="auto"/>
        <w:right w:val="none" w:sz="0" w:space="0" w:color="auto"/>
      </w:divBdr>
    </w:div>
    <w:div w:id="749472083">
      <w:bodyDiv w:val="1"/>
      <w:marLeft w:val="0"/>
      <w:marRight w:val="0"/>
      <w:marTop w:val="0"/>
      <w:marBottom w:val="0"/>
      <w:divBdr>
        <w:top w:val="none" w:sz="0" w:space="0" w:color="auto"/>
        <w:left w:val="none" w:sz="0" w:space="0" w:color="auto"/>
        <w:bottom w:val="none" w:sz="0" w:space="0" w:color="auto"/>
        <w:right w:val="none" w:sz="0" w:space="0" w:color="auto"/>
      </w:divBdr>
    </w:div>
    <w:div w:id="761950322">
      <w:bodyDiv w:val="1"/>
      <w:marLeft w:val="0"/>
      <w:marRight w:val="0"/>
      <w:marTop w:val="0"/>
      <w:marBottom w:val="0"/>
      <w:divBdr>
        <w:top w:val="none" w:sz="0" w:space="0" w:color="auto"/>
        <w:left w:val="none" w:sz="0" w:space="0" w:color="auto"/>
        <w:bottom w:val="none" w:sz="0" w:space="0" w:color="auto"/>
        <w:right w:val="none" w:sz="0" w:space="0" w:color="auto"/>
      </w:divBdr>
    </w:div>
    <w:div w:id="781461353">
      <w:bodyDiv w:val="1"/>
      <w:marLeft w:val="0"/>
      <w:marRight w:val="0"/>
      <w:marTop w:val="0"/>
      <w:marBottom w:val="0"/>
      <w:divBdr>
        <w:top w:val="none" w:sz="0" w:space="0" w:color="auto"/>
        <w:left w:val="none" w:sz="0" w:space="0" w:color="auto"/>
        <w:bottom w:val="none" w:sz="0" w:space="0" w:color="auto"/>
        <w:right w:val="none" w:sz="0" w:space="0" w:color="auto"/>
      </w:divBdr>
    </w:div>
    <w:div w:id="794711591">
      <w:bodyDiv w:val="1"/>
      <w:marLeft w:val="0"/>
      <w:marRight w:val="0"/>
      <w:marTop w:val="0"/>
      <w:marBottom w:val="0"/>
      <w:divBdr>
        <w:top w:val="none" w:sz="0" w:space="0" w:color="auto"/>
        <w:left w:val="none" w:sz="0" w:space="0" w:color="auto"/>
        <w:bottom w:val="none" w:sz="0" w:space="0" w:color="auto"/>
        <w:right w:val="none" w:sz="0" w:space="0" w:color="auto"/>
      </w:divBdr>
    </w:div>
    <w:div w:id="819150963">
      <w:bodyDiv w:val="1"/>
      <w:marLeft w:val="0"/>
      <w:marRight w:val="0"/>
      <w:marTop w:val="0"/>
      <w:marBottom w:val="0"/>
      <w:divBdr>
        <w:top w:val="none" w:sz="0" w:space="0" w:color="auto"/>
        <w:left w:val="none" w:sz="0" w:space="0" w:color="auto"/>
        <w:bottom w:val="none" w:sz="0" w:space="0" w:color="auto"/>
        <w:right w:val="none" w:sz="0" w:space="0" w:color="auto"/>
      </w:divBdr>
    </w:div>
    <w:div w:id="826480631">
      <w:bodyDiv w:val="1"/>
      <w:marLeft w:val="0"/>
      <w:marRight w:val="0"/>
      <w:marTop w:val="0"/>
      <w:marBottom w:val="0"/>
      <w:divBdr>
        <w:top w:val="none" w:sz="0" w:space="0" w:color="auto"/>
        <w:left w:val="none" w:sz="0" w:space="0" w:color="auto"/>
        <w:bottom w:val="none" w:sz="0" w:space="0" w:color="auto"/>
        <w:right w:val="none" w:sz="0" w:space="0" w:color="auto"/>
      </w:divBdr>
    </w:div>
    <w:div w:id="835461360">
      <w:bodyDiv w:val="1"/>
      <w:marLeft w:val="0"/>
      <w:marRight w:val="0"/>
      <w:marTop w:val="0"/>
      <w:marBottom w:val="0"/>
      <w:divBdr>
        <w:top w:val="none" w:sz="0" w:space="0" w:color="auto"/>
        <w:left w:val="none" w:sz="0" w:space="0" w:color="auto"/>
        <w:bottom w:val="none" w:sz="0" w:space="0" w:color="auto"/>
        <w:right w:val="none" w:sz="0" w:space="0" w:color="auto"/>
      </w:divBdr>
    </w:div>
    <w:div w:id="855846145">
      <w:bodyDiv w:val="1"/>
      <w:marLeft w:val="0"/>
      <w:marRight w:val="0"/>
      <w:marTop w:val="0"/>
      <w:marBottom w:val="0"/>
      <w:divBdr>
        <w:top w:val="none" w:sz="0" w:space="0" w:color="auto"/>
        <w:left w:val="none" w:sz="0" w:space="0" w:color="auto"/>
        <w:bottom w:val="none" w:sz="0" w:space="0" w:color="auto"/>
        <w:right w:val="none" w:sz="0" w:space="0" w:color="auto"/>
      </w:divBdr>
    </w:div>
    <w:div w:id="858618760">
      <w:bodyDiv w:val="1"/>
      <w:marLeft w:val="0"/>
      <w:marRight w:val="0"/>
      <w:marTop w:val="0"/>
      <w:marBottom w:val="0"/>
      <w:divBdr>
        <w:top w:val="none" w:sz="0" w:space="0" w:color="auto"/>
        <w:left w:val="none" w:sz="0" w:space="0" w:color="auto"/>
        <w:bottom w:val="none" w:sz="0" w:space="0" w:color="auto"/>
        <w:right w:val="none" w:sz="0" w:space="0" w:color="auto"/>
      </w:divBdr>
    </w:div>
    <w:div w:id="861092685">
      <w:bodyDiv w:val="1"/>
      <w:marLeft w:val="0"/>
      <w:marRight w:val="0"/>
      <w:marTop w:val="0"/>
      <w:marBottom w:val="0"/>
      <w:divBdr>
        <w:top w:val="none" w:sz="0" w:space="0" w:color="auto"/>
        <w:left w:val="none" w:sz="0" w:space="0" w:color="auto"/>
        <w:bottom w:val="none" w:sz="0" w:space="0" w:color="auto"/>
        <w:right w:val="none" w:sz="0" w:space="0" w:color="auto"/>
      </w:divBdr>
    </w:div>
    <w:div w:id="888491885">
      <w:bodyDiv w:val="1"/>
      <w:marLeft w:val="0"/>
      <w:marRight w:val="0"/>
      <w:marTop w:val="0"/>
      <w:marBottom w:val="0"/>
      <w:divBdr>
        <w:top w:val="none" w:sz="0" w:space="0" w:color="auto"/>
        <w:left w:val="none" w:sz="0" w:space="0" w:color="auto"/>
        <w:bottom w:val="none" w:sz="0" w:space="0" w:color="auto"/>
        <w:right w:val="none" w:sz="0" w:space="0" w:color="auto"/>
      </w:divBdr>
      <w:divsChild>
        <w:div w:id="130174693">
          <w:marLeft w:val="0"/>
          <w:marRight w:val="0"/>
          <w:marTop w:val="0"/>
          <w:marBottom w:val="0"/>
          <w:divBdr>
            <w:top w:val="none" w:sz="0" w:space="0" w:color="auto"/>
            <w:left w:val="none" w:sz="0" w:space="0" w:color="auto"/>
            <w:bottom w:val="none" w:sz="0" w:space="0" w:color="auto"/>
            <w:right w:val="none" w:sz="0" w:space="0" w:color="auto"/>
          </w:divBdr>
        </w:div>
      </w:divsChild>
    </w:div>
    <w:div w:id="906721509">
      <w:bodyDiv w:val="1"/>
      <w:marLeft w:val="0"/>
      <w:marRight w:val="0"/>
      <w:marTop w:val="0"/>
      <w:marBottom w:val="0"/>
      <w:divBdr>
        <w:top w:val="none" w:sz="0" w:space="0" w:color="auto"/>
        <w:left w:val="none" w:sz="0" w:space="0" w:color="auto"/>
        <w:bottom w:val="none" w:sz="0" w:space="0" w:color="auto"/>
        <w:right w:val="none" w:sz="0" w:space="0" w:color="auto"/>
      </w:divBdr>
    </w:div>
    <w:div w:id="941886741">
      <w:bodyDiv w:val="1"/>
      <w:marLeft w:val="0"/>
      <w:marRight w:val="0"/>
      <w:marTop w:val="0"/>
      <w:marBottom w:val="0"/>
      <w:divBdr>
        <w:top w:val="none" w:sz="0" w:space="0" w:color="auto"/>
        <w:left w:val="none" w:sz="0" w:space="0" w:color="auto"/>
        <w:bottom w:val="none" w:sz="0" w:space="0" w:color="auto"/>
        <w:right w:val="none" w:sz="0" w:space="0" w:color="auto"/>
      </w:divBdr>
    </w:div>
    <w:div w:id="943197152">
      <w:bodyDiv w:val="1"/>
      <w:marLeft w:val="0"/>
      <w:marRight w:val="0"/>
      <w:marTop w:val="0"/>
      <w:marBottom w:val="0"/>
      <w:divBdr>
        <w:top w:val="none" w:sz="0" w:space="0" w:color="auto"/>
        <w:left w:val="none" w:sz="0" w:space="0" w:color="auto"/>
        <w:bottom w:val="none" w:sz="0" w:space="0" w:color="auto"/>
        <w:right w:val="none" w:sz="0" w:space="0" w:color="auto"/>
      </w:divBdr>
    </w:div>
    <w:div w:id="943653311">
      <w:bodyDiv w:val="1"/>
      <w:marLeft w:val="0"/>
      <w:marRight w:val="0"/>
      <w:marTop w:val="0"/>
      <w:marBottom w:val="0"/>
      <w:divBdr>
        <w:top w:val="none" w:sz="0" w:space="0" w:color="auto"/>
        <w:left w:val="none" w:sz="0" w:space="0" w:color="auto"/>
        <w:bottom w:val="none" w:sz="0" w:space="0" w:color="auto"/>
        <w:right w:val="none" w:sz="0" w:space="0" w:color="auto"/>
      </w:divBdr>
    </w:div>
    <w:div w:id="968362571">
      <w:bodyDiv w:val="1"/>
      <w:marLeft w:val="0"/>
      <w:marRight w:val="0"/>
      <w:marTop w:val="0"/>
      <w:marBottom w:val="0"/>
      <w:divBdr>
        <w:top w:val="none" w:sz="0" w:space="0" w:color="auto"/>
        <w:left w:val="none" w:sz="0" w:space="0" w:color="auto"/>
        <w:bottom w:val="none" w:sz="0" w:space="0" w:color="auto"/>
        <w:right w:val="none" w:sz="0" w:space="0" w:color="auto"/>
      </w:divBdr>
    </w:div>
    <w:div w:id="976571377">
      <w:bodyDiv w:val="1"/>
      <w:marLeft w:val="0"/>
      <w:marRight w:val="0"/>
      <w:marTop w:val="0"/>
      <w:marBottom w:val="0"/>
      <w:divBdr>
        <w:top w:val="none" w:sz="0" w:space="0" w:color="auto"/>
        <w:left w:val="none" w:sz="0" w:space="0" w:color="auto"/>
        <w:bottom w:val="none" w:sz="0" w:space="0" w:color="auto"/>
        <w:right w:val="none" w:sz="0" w:space="0" w:color="auto"/>
      </w:divBdr>
    </w:div>
    <w:div w:id="1001472059">
      <w:bodyDiv w:val="1"/>
      <w:marLeft w:val="0"/>
      <w:marRight w:val="0"/>
      <w:marTop w:val="0"/>
      <w:marBottom w:val="0"/>
      <w:divBdr>
        <w:top w:val="none" w:sz="0" w:space="0" w:color="auto"/>
        <w:left w:val="none" w:sz="0" w:space="0" w:color="auto"/>
        <w:bottom w:val="none" w:sz="0" w:space="0" w:color="auto"/>
        <w:right w:val="none" w:sz="0" w:space="0" w:color="auto"/>
      </w:divBdr>
    </w:div>
    <w:div w:id="1007555221">
      <w:bodyDiv w:val="1"/>
      <w:marLeft w:val="0"/>
      <w:marRight w:val="0"/>
      <w:marTop w:val="0"/>
      <w:marBottom w:val="0"/>
      <w:divBdr>
        <w:top w:val="none" w:sz="0" w:space="0" w:color="auto"/>
        <w:left w:val="none" w:sz="0" w:space="0" w:color="auto"/>
        <w:bottom w:val="none" w:sz="0" w:space="0" w:color="auto"/>
        <w:right w:val="none" w:sz="0" w:space="0" w:color="auto"/>
      </w:divBdr>
    </w:div>
    <w:div w:id="1011563207">
      <w:bodyDiv w:val="1"/>
      <w:marLeft w:val="0"/>
      <w:marRight w:val="0"/>
      <w:marTop w:val="0"/>
      <w:marBottom w:val="0"/>
      <w:divBdr>
        <w:top w:val="none" w:sz="0" w:space="0" w:color="auto"/>
        <w:left w:val="none" w:sz="0" w:space="0" w:color="auto"/>
        <w:bottom w:val="none" w:sz="0" w:space="0" w:color="auto"/>
        <w:right w:val="none" w:sz="0" w:space="0" w:color="auto"/>
      </w:divBdr>
    </w:div>
    <w:div w:id="1023942891">
      <w:bodyDiv w:val="1"/>
      <w:marLeft w:val="0"/>
      <w:marRight w:val="0"/>
      <w:marTop w:val="0"/>
      <w:marBottom w:val="0"/>
      <w:divBdr>
        <w:top w:val="none" w:sz="0" w:space="0" w:color="auto"/>
        <w:left w:val="none" w:sz="0" w:space="0" w:color="auto"/>
        <w:bottom w:val="none" w:sz="0" w:space="0" w:color="auto"/>
        <w:right w:val="none" w:sz="0" w:space="0" w:color="auto"/>
      </w:divBdr>
    </w:div>
    <w:div w:id="1049649269">
      <w:bodyDiv w:val="1"/>
      <w:marLeft w:val="0"/>
      <w:marRight w:val="0"/>
      <w:marTop w:val="0"/>
      <w:marBottom w:val="0"/>
      <w:divBdr>
        <w:top w:val="none" w:sz="0" w:space="0" w:color="auto"/>
        <w:left w:val="none" w:sz="0" w:space="0" w:color="auto"/>
        <w:bottom w:val="none" w:sz="0" w:space="0" w:color="auto"/>
        <w:right w:val="none" w:sz="0" w:space="0" w:color="auto"/>
      </w:divBdr>
    </w:div>
    <w:div w:id="1054234357">
      <w:bodyDiv w:val="1"/>
      <w:marLeft w:val="0"/>
      <w:marRight w:val="0"/>
      <w:marTop w:val="0"/>
      <w:marBottom w:val="0"/>
      <w:divBdr>
        <w:top w:val="none" w:sz="0" w:space="0" w:color="auto"/>
        <w:left w:val="none" w:sz="0" w:space="0" w:color="auto"/>
        <w:bottom w:val="none" w:sz="0" w:space="0" w:color="auto"/>
        <w:right w:val="none" w:sz="0" w:space="0" w:color="auto"/>
      </w:divBdr>
    </w:div>
    <w:div w:id="1081147996">
      <w:bodyDiv w:val="1"/>
      <w:marLeft w:val="0"/>
      <w:marRight w:val="0"/>
      <w:marTop w:val="0"/>
      <w:marBottom w:val="0"/>
      <w:divBdr>
        <w:top w:val="none" w:sz="0" w:space="0" w:color="auto"/>
        <w:left w:val="none" w:sz="0" w:space="0" w:color="auto"/>
        <w:bottom w:val="none" w:sz="0" w:space="0" w:color="auto"/>
        <w:right w:val="none" w:sz="0" w:space="0" w:color="auto"/>
      </w:divBdr>
    </w:div>
    <w:div w:id="1116563594">
      <w:bodyDiv w:val="1"/>
      <w:marLeft w:val="0"/>
      <w:marRight w:val="0"/>
      <w:marTop w:val="0"/>
      <w:marBottom w:val="0"/>
      <w:divBdr>
        <w:top w:val="none" w:sz="0" w:space="0" w:color="auto"/>
        <w:left w:val="none" w:sz="0" w:space="0" w:color="auto"/>
        <w:bottom w:val="none" w:sz="0" w:space="0" w:color="auto"/>
        <w:right w:val="none" w:sz="0" w:space="0" w:color="auto"/>
      </w:divBdr>
    </w:div>
    <w:div w:id="1118640269">
      <w:bodyDiv w:val="1"/>
      <w:marLeft w:val="0"/>
      <w:marRight w:val="0"/>
      <w:marTop w:val="0"/>
      <w:marBottom w:val="0"/>
      <w:divBdr>
        <w:top w:val="none" w:sz="0" w:space="0" w:color="auto"/>
        <w:left w:val="none" w:sz="0" w:space="0" w:color="auto"/>
        <w:bottom w:val="none" w:sz="0" w:space="0" w:color="auto"/>
        <w:right w:val="none" w:sz="0" w:space="0" w:color="auto"/>
      </w:divBdr>
    </w:div>
    <w:div w:id="1124008679">
      <w:bodyDiv w:val="1"/>
      <w:marLeft w:val="0"/>
      <w:marRight w:val="0"/>
      <w:marTop w:val="0"/>
      <w:marBottom w:val="0"/>
      <w:divBdr>
        <w:top w:val="none" w:sz="0" w:space="0" w:color="auto"/>
        <w:left w:val="none" w:sz="0" w:space="0" w:color="auto"/>
        <w:bottom w:val="none" w:sz="0" w:space="0" w:color="auto"/>
        <w:right w:val="none" w:sz="0" w:space="0" w:color="auto"/>
      </w:divBdr>
    </w:div>
    <w:div w:id="1167941903">
      <w:bodyDiv w:val="1"/>
      <w:marLeft w:val="0"/>
      <w:marRight w:val="0"/>
      <w:marTop w:val="0"/>
      <w:marBottom w:val="0"/>
      <w:divBdr>
        <w:top w:val="none" w:sz="0" w:space="0" w:color="auto"/>
        <w:left w:val="none" w:sz="0" w:space="0" w:color="auto"/>
        <w:bottom w:val="none" w:sz="0" w:space="0" w:color="auto"/>
        <w:right w:val="none" w:sz="0" w:space="0" w:color="auto"/>
      </w:divBdr>
    </w:div>
    <w:div w:id="1171406824">
      <w:bodyDiv w:val="1"/>
      <w:marLeft w:val="0"/>
      <w:marRight w:val="0"/>
      <w:marTop w:val="0"/>
      <w:marBottom w:val="0"/>
      <w:divBdr>
        <w:top w:val="none" w:sz="0" w:space="0" w:color="auto"/>
        <w:left w:val="none" w:sz="0" w:space="0" w:color="auto"/>
        <w:bottom w:val="none" w:sz="0" w:space="0" w:color="auto"/>
        <w:right w:val="none" w:sz="0" w:space="0" w:color="auto"/>
      </w:divBdr>
    </w:div>
    <w:div w:id="1181775779">
      <w:bodyDiv w:val="1"/>
      <w:marLeft w:val="0"/>
      <w:marRight w:val="0"/>
      <w:marTop w:val="0"/>
      <w:marBottom w:val="0"/>
      <w:divBdr>
        <w:top w:val="none" w:sz="0" w:space="0" w:color="auto"/>
        <w:left w:val="none" w:sz="0" w:space="0" w:color="auto"/>
        <w:bottom w:val="none" w:sz="0" w:space="0" w:color="auto"/>
        <w:right w:val="none" w:sz="0" w:space="0" w:color="auto"/>
      </w:divBdr>
    </w:div>
    <w:div w:id="1187871334">
      <w:bodyDiv w:val="1"/>
      <w:marLeft w:val="0"/>
      <w:marRight w:val="0"/>
      <w:marTop w:val="0"/>
      <w:marBottom w:val="0"/>
      <w:divBdr>
        <w:top w:val="none" w:sz="0" w:space="0" w:color="auto"/>
        <w:left w:val="none" w:sz="0" w:space="0" w:color="auto"/>
        <w:bottom w:val="none" w:sz="0" w:space="0" w:color="auto"/>
        <w:right w:val="none" w:sz="0" w:space="0" w:color="auto"/>
      </w:divBdr>
    </w:div>
    <w:div w:id="1217618148">
      <w:bodyDiv w:val="1"/>
      <w:marLeft w:val="0"/>
      <w:marRight w:val="0"/>
      <w:marTop w:val="0"/>
      <w:marBottom w:val="0"/>
      <w:divBdr>
        <w:top w:val="none" w:sz="0" w:space="0" w:color="auto"/>
        <w:left w:val="none" w:sz="0" w:space="0" w:color="auto"/>
        <w:bottom w:val="none" w:sz="0" w:space="0" w:color="auto"/>
        <w:right w:val="none" w:sz="0" w:space="0" w:color="auto"/>
      </w:divBdr>
    </w:div>
    <w:div w:id="1240873043">
      <w:bodyDiv w:val="1"/>
      <w:marLeft w:val="0"/>
      <w:marRight w:val="0"/>
      <w:marTop w:val="0"/>
      <w:marBottom w:val="0"/>
      <w:divBdr>
        <w:top w:val="none" w:sz="0" w:space="0" w:color="auto"/>
        <w:left w:val="none" w:sz="0" w:space="0" w:color="auto"/>
        <w:bottom w:val="none" w:sz="0" w:space="0" w:color="auto"/>
        <w:right w:val="none" w:sz="0" w:space="0" w:color="auto"/>
      </w:divBdr>
    </w:div>
    <w:div w:id="1258708852">
      <w:bodyDiv w:val="1"/>
      <w:marLeft w:val="0"/>
      <w:marRight w:val="0"/>
      <w:marTop w:val="0"/>
      <w:marBottom w:val="0"/>
      <w:divBdr>
        <w:top w:val="none" w:sz="0" w:space="0" w:color="auto"/>
        <w:left w:val="none" w:sz="0" w:space="0" w:color="auto"/>
        <w:bottom w:val="none" w:sz="0" w:space="0" w:color="auto"/>
        <w:right w:val="none" w:sz="0" w:space="0" w:color="auto"/>
      </w:divBdr>
    </w:div>
    <w:div w:id="1261908801">
      <w:bodyDiv w:val="1"/>
      <w:marLeft w:val="0"/>
      <w:marRight w:val="0"/>
      <w:marTop w:val="0"/>
      <w:marBottom w:val="0"/>
      <w:divBdr>
        <w:top w:val="none" w:sz="0" w:space="0" w:color="auto"/>
        <w:left w:val="none" w:sz="0" w:space="0" w:color="auto"/>
        <w:bottom w:val="none" w:sz="0" w:space="0" w:color="auto"/>
        <w:right w:val="none" w:sz="0" w:space="0" w:color="auto"/>
      </w:divBdr>
    </w:div>
    <w:div w:id="1273172141">
      <w:bodyDiv w:val="1"/>
      <w:marLeft w:val="0"/>
      <w:marRight w:val="0"/>
      <w:marTop w:val="0"/>
      <w:marBottom w:val="0"/>
      <w:divBdr>
        <w:top w:val="none" w:sz="0" w:space="0" w:color="auto"/>
        <w:left w:val="none" w:sz="0" w:space="0" w:color="auto"/>
        <w:bottom w:val="none" w:sz="0" w:space="0" w:color="auto"/>
        <w:right w:val="none" w:sz="0" w:space="0" w:color="auto"/>
      </w:divBdr>
    </w:div>
    <w:div w:id="1281958587">
      <w:bodyDiv w:val="1"/>
      <w:marLeft w:val="0"/>
      <w:marRight w:val="0"/>
      <w:marTop w:val="0"/>
      <w:marBottom w:val="0"/>
      <w:divBdr>
        <w:top w:val="none" w:sz="0" w:space="0" w:color="auto"/>
        <w:left w:val="none" w:sz="0" w:space="0" w:color="auto"/>
        <w:bottom w:val="none" w:sz="0" w:space="0" w:color="auto"/>
        <w:right w:val="none" w:sz="0" w:space="0" w:color="auto"/>
      </w:divBdr>
    </w:div>
    <w:div w:id="1295481164">
      <w:bodyDiv w:val="1"/>
      <w:marLeft w:val="0"/>
      <w:marRight w:val="0"/>
      <w:marTop w:val="0"/>
      <w:marBottom w:val="0"/>
      <w:divBdr>
        <w:top w:val="none" w:sz="0" w:space="0" w:color="auto"/>
        <w:left w:val="none" w:sz="0" w:space="0" w:color="auto"/>
        <w:bottom w:val="none" w:sz="0" w:space="0" w:color="auto"/>
        <w:right w:val="none" w:sz="0" w:space="0" w:color="auto"/>
      </w:divBdr>
    </w:div>
    <w:div w:id="1309241196">
      <w:bodyDiv w:val="1"/>
      <w:marLeft w:val="0"/>
      <w:marRight w:val="0"/>
      <w:marTop w:val="0"/>
      <w:marBottom w:val="0"/>
      <w:divBdr>
        <w:top w:val="none" w:sz="0" w:space="0" w:color="auto"/>
        <w:left w:val="none" w:sz="0" w:space="0" w:color="auto"/>
        <w:bottom w:val="none" w:sz="0" w:space="0" w:color="auto"/>
        <w:right w:val="none" w:sz="0" w:space="0" w:color="auto"/>
      </w:divBdr>
    </w:div>
    <w:div w:id="1314413693">
      <w:bodyDiv w:val="1"/>
      <w:marLeft w:val="0"/>
      <w:marRight w:val="0"/>
      <w:marTop w:val="0"/>
      <w:marBottom w:val="0"/>
      <w:divBdr>
        <w:top w:val="none" w:sz="0" w:space="0" w:color="auto"/>
        <w:left w:val="none" w:sz="0" w:space="0" w:color="auto"/>
        <w:bottom w:val="none" w:sz="0" w:space="0" w:color="auto"/>
        <w:right w:val="none" w:sz="0" w:space="0" w:color="auto"/>
      </w:divBdr>
    </w:div>
    <w:div w:id="1327249792">
      <w:bodyDiv w:val="1"/>
      <w:marLeft w:val="0"/>
      <w:marRight w:val="0"/>
      <w:marTop w:val="0"/>
      <w:marBottom w:val="0"/>
      <w:divBdr>
        <w:top w:val="none" w:sz="0" w:space="0" w:color="auto"/>
        <w:left w:val="none" w:sz="0" w:space="0" w:color="auto"/>
        <w:bottom w:val="none" w:sz="0" w:space="0" w:color="auto"/>
        <w:right w:val="none" w:sz="0" w:space="0" w:color="auto"/>
      </w:divBdr>
    </w:div>
    <w:div w:id="1332953862">
      <w:bodyDiv w:val="1"/>
      <w:marLeft w:val="0"/>
      <w:marRight w:val="0"/>
      <w:marTop w:val="0"/>
      <w:marBottom w:val="0"/>
      <w:divBdr>
        <w:top w:val="none" w:sz="0" w:space="0" w:color="auto"/>
        <w:left w:val="none" w:sz="0" w:space="0" w:color="auto"/>
        <w:bottom w:val="none" w:sz="0" w:space="0" w:color="auto"/>
        <w:right w:val="none" w:sz="0" w:space="0" w:color="auto"/>
      </w:divBdr>
    </w:div>
    <w:div w:id="1338922669">
      <w:bodyDiv w:val="1"/>
      <w:marLeft w:val="0"/>
      <w:marRight w:val="0"/>
      <w:marTop w:val="0"/>
      <w:marBottom w:val="0"/>
      <w:divBdr>
        <w:top w:val="none" w:sz="0" w:space="0" w:color="auto"/>
        <w:left w:val="none" w:sz="0" w:space="0" w:color="auto"/>
        <w:bottom w:val="none" w:sz="0" w:space="0" w:color="auto"/>
        <w:right w:val="none" w:sz="0" w:space="0" w:color="auto"/>
      </w:divBdr>
    </w:div>
    <w:div w:id="1353453716">
      <w:bodyDiv w:val="1"/>
      <w:marLeft w:val="0"/>
      <w:marRight w:val="0"/>
      <w:marTop w:val="0"/>
      <w:marBottom w:val="0"/>
      <w:divBdr>
        <w:top w:val="none" w:sz="0" w:space="0" w:color="auto"/>
        <w:left w:val="none" w:sz="0" w:space="0" w:color="auto"/>
        <w:bottom w:val="none" w:sz="0" w:space="0" w:color="auto"/>
        <w:right w:val="none" w:sz="0" w:space="0" w:color="auto"/>
      </w:divBdr>
    </w:div>
    <w:div w:id="1363628181">
      <w:bodyDiv w:val="1"/>
      <w:marLeft w:val="0"/>
      <w:marRight w:val="0"/>
      <w:marTop w:val="0"/>
      <w:marBottom w:val="0"/>
      <w:divBdr>
        <w:top w:val="none" w:sz="0" w:space="0" w:color="auto"/>
        <w:left w:val="none" w:sz="0" w:space="0" w:color="auto"/>
        <w:bottom w:val="none" w:sz="0" w:space="0" w:color="auto"/>
        <w:right w:val="none" w:sz="0" w:space="0" w:color="auto"/>
      </w:divBdr>
    </w:div>
    <w:div w:id="1403943894">
      <w:bodyDiv w:val="1"/>
      <w:marLeft w:val="0"/>
      <w:marRight w:val="0"/>
      <w:marTop w:val="0"/>
      <w:marBottom w:val="0"/>
      <w:divBdr>
        <w:top w:val="none" w:sz="0" w:space="0" w:color="auto"/>
        <w:left w:val="none" w:sz="0" w:space="0" w:color="auto"/>
        <w:bottom w:val="none" w:sz="0" w:space="0" w:color="auto"/>
        <w:right w:val="none" w:sz="0" w:space="0" w:color="auto"/>
      </w:divBdr>
    </w:div>
    <w:div w:id="1437098443">
      <w:bodyDiv w:val="1"/>
      <w:marLeft w:val="0"/>
      <w:marRight w:val="0"/>
      <w:marTop w:val="0"/>
      <w:marBottom w:val="0"/>
      <w:divBdr>
        <w:top w:val="none" w:sz="0" w:space="0" w:color="auto"/>
        <w:left w:val="none" w:sz="0" w:space="0" w:color="auto"/>
        <w:bottom w:val="none" w:sz="0" w:space="0" w:color="auto"/>
        <w:right w:val="none" w:sz="0" w:space="0" w:color="auto"/>
      </w:divBdr>
    </w:div>
    <w:div w:id="1444879262">
      <w:bodyDiv w:val="1"/>
      <w:marLeft w:val="0"/>
      <w:marRight w:val="0"/>
      <w:marTop w:val="0"/>
      <w:marBottom w:val="0"/>
      <w:divBdr>
        <w:top w:val="none" w:sz="0" w:space="0" w:color="auto"/>
        <w:left w:val="none" w:sz="0" w:space="0" w:color="auto"/>
        <w:bottom w:val="none" w:sz="0" w:space="0" w:color="auto"/>
        <w:right w:val="none" w:sz="0" w:space="0" w:color="auto"/>
      </w:divBdr>
    </w:div>
    <w:div w:id="1467157771">
      <w:bodyDiv w:val="1"/>
      <w:marLeft w:val="0"/>
      <w:marRight w:val="0"/>
      <w:marTop w:val="0"/>
      <w:marBottom w:val="0"/>
      <w:divBdr>
        <w:top w:val="none" w:sz="0" w:space="0" w:color="auto"/>
        <w:left w:val="none" w:sz="0" w:space="0" w:color="auto"/>
        <w:bottom w:val="none" w:sz="0" w:space="0" w:color="auto"/>
        <w:right w:val="none" w:sz="0" w:space="0" w:color="auto"/>
      </w:divBdr>
      <w:divsChild>
        <w:div w:id="986858756">
          <w:marLeft w:val="0"/>
          <w:marRight w:val="0"/>
          <w:marTop w:val="0"/>
          <w:marBottom w:val="0"/>
          <w:divBdr>
            <w:top w:val="none" w:sz="0" w:space="0" w:color="auto"/>
            <w:left w:val="none" w:sz="0" w:space="0" w:color="auto"/>
            <w:bottom w:val="none" w:sz="0" w:space="0" w:color="auto"/>
            <w:right w:val="none" w:sz="0" w:space="0" w:color="auto"/>
          </w:divBdr>
        </w:div>
      </w:divsChild>
    </w:div>
    <w:div w:id="1470436677">
      <w:bodyDiv w:val="1"/>
      <w:marLeft w:val="0"/>
      <w:marRight w:val="0"/>
      <w:marTop w:val="0"/>
      <w:marBottom w:val="0"/>
      <w:divBdr>
        <w:top w:val="none" w:sz="0" w:space="0" w:color="auto"/>
        <w:left w:val="none" w:sz="0" w:space="0" w:color="auto"/>
        <w:bottom w:val="none" w:sz="0" w:space="0" w:color="auto"/>
        <w:right w:val="none" w:sz="0" w:space="0" w:color="auto"/>
      </w:divBdr>
    </w:div>
    <w:div w:id="1476682942">
      <w:bodyDiv w:val="1"/>
      <w:marLeft w:val="0"/>
      <w:marRight w:val="0"/>
      <w:marTop w:val="0"/>
      <w:marBottom w:val="0"/>
      <w:divBdr>
        <w:top w:val="none" w:sz="0" w:space="0" w:color="auto"/>
        <w:left w:val="none" w:sz="0" w:space="0" w:color="auto"/>
        <w:bottom w:val="none" w:sz="0" w:space="0" w:color="auto"/>
        <w:right w:val="none" w:sz="0" w:space="0" w:color="auto"/>
      </w:divBdr>
      <w:divsChild>
        <w:div w:id="696933038">
          <w:marLeft w:val="0"/>
          <w:marRight w:val="0"/>
          <w:marTop w:val="0"/>
          <w:marBottom w:val="0"/>
          <w:divBdr>
            <w:top w:val="none" w:sz="0" w:space="0" w:color="auto"/>
            <w:left w:val="none" w:sz="0" w:space="0" w:color="auto"/>
            <w:bottom w:val="none" w:sz="0" w:space="0" w:color="auto"/>
            <w:right w:val="none" w:sz="0" w:space="0" w:color="auto"/>
          </w:divBdr>
        </w:div>
      </w:divsChild>
    </w:div>
    <w:div w:id="1484859247">
      <w:bodyDiv w:val="1"/>
      <w:marLeft w:val="0"/>
      <w:marRight w:val="0"/>
      <w:marTop w:val="0"/>
      <w:marBottom w:val="0"/>
      <w:divBdr>
        <w:top w:val="none" w:sz="0" w:space="0" w:color="auto"/>
        <w:left w:val="none" w:sz="0" w:space="0" w:color="auto"/>
        <w:bottom w:val="none" w:sz="0" w:space="0" w:color="auto"/>
        <w:right w:val="none" w:sz="0" w:space="0" w:color="auto"/>
      </w:divBdr>
      <w:divsChild>
        <w:div w:id="222446916">
          <w:marLeft w:val="0"/>
          <w:marRight w:val="0"/>
          <w:marTop w:val="0"/>
          <w:marBottom w:val="0"/>
          <w:divBdr>
            <w:top w:val="none" w:sz="0" w:space="0" w:color="auto"/>
            <w:left w:val="none" w:sz="0" w:space="0" w:color="auto"/>
            <w:bottom w:val="none" w:sz="0" w:space="0" w:color="auto"/>
            <w:right w:val="none" w:sz="0" w:space="0" w:color="auto"/>
          </w:divBdr>
        </w:div>
      </w:divsChild>
    </w:div>
    <w:div w:id="1517495421">
      <w:bodyDiv w:val="1"/>
      <w:marLeft w:val="0"/>
      <w:marRight w:val="0"/>
      <w:marTop w:val="0"/>
      <w:marBottom w:val="0"/>
      <w:divBdr>
        <w:top w:val="none" w:sz="0" w:space="0" w:color="auto"/>
        <w:left w:val="none" w:sz="0" w:space="0" w:color="auto"/>
        <w:bottom w:val="none" w:sz="0" w:space="0" w:color="auto"/>
        <w:right w:val="none" w:sz="0" w:space="0" w:color="auto"/>
      </w:divBdr>
    </w:div>
    <w:div w:id="1527018004">
      <w:bodyDiv w:val="1"/>
      <w:marLeft w:val="0"/>
      <w:marRight w:val="0"/>
      <w:marTop w:val="0"/>
      <w:marBottom w:val="0"/>
      <w:divBdr>
        <w:top w:val="none" w:sz="0" w:space="0" w:color="auto"/>
        <w:left w:val="none" w:sz="0" w:space="0" w:color="auto"/>
        <w:bottom w:val="none" w:sz="0" w:space="0" w:color="auto"/>
        <w:right w:val="none" w:sz="0" w:space="0" w:color="auto"/>
      </w:divBdr>
    </w:div>
    <w:div w:id="1579053634">
      <w:bodyDiv w:val="1"/>
      <w:marLeft w:val="0"/>
      <w:marRight w:val="0"/>
      <w:marTop w:val="0"/>
      <w:marBottom w:val="0"/>
      <w:divBdr>
        <w:top w:val="none" w:sz="0" w:space="0" w:color="auto"/>
        <w:left w:val="none" w:sz="0" w:space="0" w:color="auto"/>
        <w:bottom w:val="none" w:sz="0" w:space="0" w:color="auto"/>
        <w:right w:val="none" w:sz="0" w:space="0" w:color="auto"/>
      </w:divBdr>
    </w:div>
    <w:div w:id="1622807915">
      <w:bodyDiv w:val="1"/>
      <w:marLeft w:val="0"/>
      <w:marRight w:val="0"/>
      <w:marTop w:val="0"/>
      <w:marBottom w:val="0"/>
      <w:divBdr>
        <w:top w:val="none" w:sz="0" w:space="0" w:color="auto"/>
        <w:left w:val="none" w:sz="0" w:space="0" w:color="auto"/>
        <w:bottom w:val="none" w:sz="0" w:space="0" w:color="auto"/>
        <w:right w:val="none" w:sz="0" w:space="0" w:color="auto"/>
      </w:divBdr>
    </w:div>
    <w:div w:id="1671521143">
      <w:bodyDiv w:val="1"/>
      <w:marLeft w:val="0"/>
      <w:marRight w:val="0"/>
      <w:marTop w:val="0"/>
      <w:marBottom w:val="0"/>
      <w:divBdr>
        <w:top w:val="none" w:sz="0" w:space="0" w:color="auto"/>
        <w:left w:val="none" w:sz="0" w:space="0" w:color="auto"/>
        <w:bottom w:val="none" w:sz="0" w:space="0" w:color="auto"/>
        <w:right w:val="none" w:sz="0" w:space="0" w:color="auto"/>
      </w:divBdr>
      <w:divsChild>
        <w:div w:id="324746016">
          <w:marLeft w:val="0"/>
          <w:marRight w:val="0"/>
          <w:marTop w:val="0"/>
          <w:marBottom w:val="0"/>
          <w:divBdr>
            <w:top w:val="none" w:sz="0" w:space="0" w:color="auto"/>
            <w:left w:val="none" w:sz="0" w:space="0" w:color="auto"/>
            <w:bottom w:val="none" w:sz="0" w:space="0" w:color="auto"/>
            <w:right w:val="none" w:sz="0" w:space="0" w:color="auto"/>
          </w:divBdr>
          <w:divsChild>
            <w:div w:id="983201167">
              <w:marLeft w:val="0"/>
              <w:marRight w:val="0"/>
              <w:marTop w:val="0"/>
              <w:marBottom w:val="0"/>
              <w:divBdr>
                <w:top w:val="none" w:sz="0" w:space="0" w:color="auto"/>
                <w:left w:val="none" w:sz="0" w:space="0" w:color="auto"/>
                <w:bottom w:val="none" w:sz="0" w:space="0" w:color="auto"/>
                <w:right w:val="none" w:sz="0" w:space="0" w:color="auto"/>
              </w:divBdr>
              <w:divsChild>
                <w:div w:id="1270620170">
                  <w:marLeft w:val="0"/>
                  <w:marRight w:val="0"/>
                  <w:marTop w:val="0"/>
                  <w:marBottom w:val="129"/>
                  <w:divBdr>
                    <w:top w:val="none" w:sz="0" w:space="0" w:color="auto"/>
                    <w:left w:val="none" w:sz="0" w:space="0" w:color="auto"/>
                    <w:bottom w:val="none" w:sz="0" w:space="0" w:color="auto"/>
                    <w:right w:val="none" w:sz="0" w:space="0" w:color="auto"/>
                  </w:divBdr>
                  <w:divsChild>
                    <w:div w:id="13319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940905">
      <w:bodyDiv w:val="1"/>
      <w:marLeft w:val="0"/>
      <w:marRight w:val="0"/>
      <w:marTop w:val="0"/>
      <w:marBottom w:val="0"/>
      <w:divBdr>
        <w:top w:val="none" w:sz="0" w:space="0" w:color="auto"/>
        <w:left w:val="none" w:sz="0" w:space="0" w:color="auto"/>
        <w:bottom w:val="none" w:sz="0" w:space="0" w:color="auto"/>
        <w:right w:val="none" w:sz="0" w:space="0" w:color="auto"/>
      </w:divBdr>
      <w:divsChild>
        <w:div w:id="1945764520">
          <w:marLeft w:val="0"/>
          <w:marRight w:val="0"/>
          <w:marTop w:val="0"/>
          <w:marBottom w:val="0"/>
          <w:divBdr>
            <w:top w:val="none" w:sz="0" w:space="0" w:color="auto"/>
            <w:left w:val="none" w:sz="0" w:space="0" w:color="auto"/>
            <w:bottom w:val="none" w:sz="0" w:space="0" w:color="auto"/>
            <w:right w:val="none" w:sz="0" w:space="0" w:color="auto"/>
          </w:divBdr>
          <w:divsChild>
            <w:div w:id="48844495">
              <w:marLeft w:val="0"/>
              <w:marRight w:val="0"/>
              <w:marTop w:val="0"/>
              <w:marBottom w:val="0"/>
              <w:divBdr>
                <w:top w:val="none" w:sz="0" w:space="0" w:color="auto"/>
                <w:left w:val="none" w:sz="0" w:space="0" w:color="auto"/>
                <w:bottom w:val="none" w:sz="0" w:space="0" w:color="auto"/>
                <w:right w:val="none" w:sz="0" w:space="0" w:color="auto"/>
              </w:divBdr>
              <w:divsChild>
                <w:div w:id="1122268288">
                  <w:marLeft w:val="0"/>
                  <w:marRight w:val="0"/>
                  <w:marTop w:val="0"/>
                  <w:marBottom w:val="0"/>
                  <w:divBdr>
                    <w:top w:val="none" w:sz="0" w:space="0" w:color="auto"/>
                    <w:left w:val="none" w:sz="0" w:space="0" w:color="auto"/>
                    <w:bottom w:val="none" w:sz="0" w:space="0" w:color="auto"/>
                    <w:right w:val="none" w:sz="0" w:space="0" w:color="auto"/>
                  </w:divBdr>
                  <w:divsChild>
                    <w:div w:id="1906984513">
                      <w:marLeft w:val="0"/>
                      <w:marRight w:val="0"/>
                      <w:marTop w:val="0"/>
                      <w:marBottom w:val="0"/>
                      <w:divBdr>
                        <w:top w:val="none" w:sz="0" w:space="0" w:color="auto"/>
                        <w:left w:val="none" w:sz="0" w:space="0" w:color="auto"/>
                        <w:bottom w:val="none" w:sz="0" w:space="0" w:color="auto"/>
                        <w:right w:val="none" w:sz="0" w:space="0" w:color="auto"/>
                      </w:divBdr>
                      <w:divsChild>
                        <w:div w:id="305356326">
                          <w:marLeft w:val="0"/>
                          <w:marRight w:val="0"/>
                          <w:marTop w:val="0"/>
                          <w:marBottom w:val="0"/>
                          <w:divBdr>
                            <w:top w:val="none" w:sz="0" w:space="0" w:color="auto"/>
                            <w:left w:val="none" w:sz="0" w:space="0" w:color="auto"/>
                            <w:bottom w:val="none" w:sz="0" w:space="0" w:color="auto"/>
                            <w:right w:val="none" w:sz="0" w:space="0" w:color="auto"/>
                          </w:divBdr>
                          <w:divsChild>
                            <w:div w:id="11807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876042">
      <w:bodyDiv w:val="1"/>
      <w:marLeft w:val="0"/>
      <w:marRight w:val="0"/>
      <w:marTop w:val="0"/>
      <w:marBottom w:val="0"/>
      <w:divBdr>
        <w:top w:val="none" w:sz="0" w:space="0" w:color="auto"/>
        <w:left w:val="none" w:sz="0" w:space="0" w:color="auto"/>
        <w:bottom w:val="none" w:sz="0" w:space="0" w:color="auto"/>
        <w:right w:val="none" w:sz="0" w:space="0" w:color="auto"/>
      </w:divBdr>
    </w:div>
    <w:div w:id="1693023121">
      <w:bodyDiv w:val="1"/>
      <w:marLeft w:val="0"/>
      <w:marRight w:val="0"/>
      <w:marTop w:val="0"/>
      <w:marBottom w:val="0"/>
      <w:divBdr>
        <w:top w:val="none" w:sz="0" w:space="0" w:color="auto"/>
        <w:left w:val="none" w:sz="0" w:space="0" w:color="auto"/>
        <w:bottom w:val="none" w:sz="0" w:space="0" w:color="auto"/>
        <w:right w:val="none" w:sz="0" w:space="0" w:color="auto"/>
      </w:divBdr>
    </w:div>
    <w:div w:id="1748920672">
      <w:bodyDiv w:val="1"/>
      <w:marLeft w:val="0"/>
      <w:marRight w:val="0"/>
      <w:marTop w:val="0"/>
      <w:marBottom w:val="0"/>
      <w:divBdr>
        <w:top w:val="none" w:sz="0" w:space="0" w:color="auto"/>
        <w:left w:val="none" w:sz="0" w:space="0" w:color="auto"/>
        <w:bottom w:val="none" w:sz="0" w:space="0" w:color="auto"/>
        <w:right w:val="none" w:sz="0" w:space="0" w:color="auto"/>
      </w:divBdr>
    </w:div>
    <w:div w:id="1763836881">
      <w:bodyDiv w:val="1"/>
      <w:marLeft w:val="0"/>
      <w:marRight w:val="0"/>
      <w:marTop w:val="0"/>
      <w:marBottom w:val="0"/>
      <w:divBdr>
        <w:top w:val="none" w:sz="0" w:space="0" w:color="auto"/>
        <w:left w:val="none" w:sz="0" w:space="0" w:color="auto"/>
        <w:bottom w:val="none" w:sz="0" w:space="0" w:color="auto"/>
        <w:right w:val="none" w:sz="0" w:space="0" w:color="auto"/>
      </w:divBdr>
    </w:div>
    <w:div w:id="1765225160">
      <w:bodyDiv w:val="1"/>
      <w:marLeft w:val="0"/>
      <w:marRight w:val="0"/>
      <w:marTop w:val="0"/>
      <w:marBottom w:val="0"/>
      <w:divBdr>
        <w:top w:val="none" w:sz="0" w:space="0" w:color="auto"/>
        <w:left w:val="none" w:sz="0" w:space="0" w:color="auto"/>
        <w:bottom w:val="none" w:sz="0" w:space="0" w:color="auto"/>
        <w:right w:val="none" w:sz="0" w:space="0" w:color="auto"/>
      </w:divBdr>
    </w:div>
    <w:div w:id="1794861109">
      <w:bodyDiv w:val="1"/>
      <w:marLeft w:val="0"/>
      <w:marRight w:val="0"/>
      <w:marTop w:val="0"/>
      <w:marBottom w:val="0"/>
      <w:divBdr>
        <w:top w:val="none" w:sz="0" w:space="0" w:color="auto"/>
        <w:left w:val="none" w:sz="0" w:space="0" w:color="auto"/>
        <w:bottom w:val="none" w:sz="0" w:space="0" w:color="auto"/>
        <w:right w:val="none" w:sz="0" w:space="0" w:color="auto"/>
      </w:divBdr>
    </w:div>
    <w:div w:id="1800873048">
      <w:bodyDiv w:val="1"/>
      <w:marLeft w:val="0"/>
      <w:marRight w:val="0"/>
      <w:marTop w:val="0"/>
      <w:marBottom w:val="0"/>
      <w:divBdr>
        <w:top w:val="none" w:sz="0" w:space="0" w:color="auto"/>
        <w:left w:val="none" w:sz="0" w:space="0" w:color="auto"/>
        <w:bottom w:val="none" w:sz="0" w:space="0" w:color="auto"/>
        <w:right w:val="none" w:sz="0" w:space="0" w:color="auto"/>
      </w:divBdr>
    </w:div>
    <w:div w:id="1801222304">
      <w:bodyDiv w:val="1"/>
      <w:marLeft w:val="0"/>
      <w:marRight w:val="0"/>
      <w:marTop w:val="0"/>
      <w:marBottom w:val="0"/>
      <w:divBdr>
        <w:top w:val="none" w:sz="0" w:space="0" w:color="auto"/>
        <w:left w:val="none" w:sz="0" w:space="0" w:color="auto"/>
        <w:bottom w:val="none" w:sz="0" w:space="0" w:color="auto"/>
        <w:right w:val="none" w:sz="0" w:space="0" w:color="auto"/>
      </w:divBdr>
    </w:div>
    <w:div w:id="1806503151">
      <w:bodyDiv w:val="1"/>
      <w:marLeft w:val="0"/>
      <w:marRight w:val="0"/>
      <w:marTop w:val="0"/>
      <w:marBottom w:val="0"/>
      <w:divBdr>
        <w:top w:val="none" w:sz="0" w:space="0" w:color="auto"/>
        <w:left w:val="none" w:sz="0" w:space="0" w:color="auto"/>
        <w:bottom w:val="none" w:sz="0" w:space="0" w:color="auto"/>
        <w:right w:val="none" w:sz="0" w:space="0" w:color="auto"/>
      </w:divBdr>
    </w:div>
    <w:div w:id="1806775599">
      <w:bodyDiv w:val="1"/>
      <w:marLeft w:val="0"/>
      <w:marRight w:val="0"/>
      <w:marTop w:val="0"/>
      <w:marBottom w:val="0"/>
      <w:divBdr>
        <w:top w:val="none" w:sz="0" w:space="0" w:color="auto"/>
        <w:left w:val="none" w:sz="0" w:space="0" w:color="auto"/>
        <w:bottom w:val="none" w:sz="0" w:space="0" w:color="auto"/>
        <w:right w:val="none" w:sz="0" w:space="0" w:color="auto"/>
      </w:divBdr>
    </w:div>
    <w:div w:id="1816141698">
      <w:bodyDiv w:val="1"/>
      <w:marLeft w:val="0"/>
      <w:marRight w:val="0"/>
      <w:marTop w:val="0"/>
      <w:marBottom w:val="0"/>
      <w:divBdr>
        <w:top w:val="none" w:sz="0" w:space="0" w:color="auto"/>
        <w:left w:val="none" w:sz="0" w:space="0" w:color="auto"/>
        <w:bottom w:val="none" w:sz="0" w:space="0" w:color="auto"/>
        <w:right w:val="none" w:sz="0" w:space="0" w:color="auto"/>
      </w:divBdr>
    </w:div>
    <w:div w:id="1817455558">
      <w:bodyDiv w:val="1"/>
      <w:marLeft w:val="0"/>
      <w:marRight w:val="0"/>
      <w:marTop w:val="0"/>
      <w:marBottom w:val="0"/>
      <w:divBdr>
        <w:top w:val="none" w:sz="0" w:space="0" w:color="auto"/>
        <w:left w:val="none" w:sz="0" w:space="0" w:color="auto"/>
        <w:bottom w:val="none" w:sz="0" w:space="0" w:color="auto"/>
        <w:right w:val="none" w:sz="0" w:space="0" w:color="auto"/>
      </w:divBdr>
    </w:div>
    <w:div w:id="1819221497">
      <w:bodyDiv w:val="1"/>
      <w:marLeft w:val="0"/>
      <w:marRight w:val="0"/>
      <w:marTop w:val="0"/>
      <w:marBottom w:val="0"/>
      <w:divBdr>
        <w:top w:val="none" w:sz="0" w:space="0" w:color="auto"/>
        <w:left w:val="none" w:sz="0" w:space="0" w:color="auto"/>
        <w:bottom w:val="none" w:sz="0" w:space="0" w:color="auto"/>
        <w:right w:val="none" w:sz="0" w:space="0" w:color="auto"/>
      </w:divBdr>
    </w:div>
    <w:div w:id="18229637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sChild>
            <w:div w:id="617879265">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129"/>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77207">
      <w:bodyDiv w:val="1"/>
      <w:marLeft w:val="0"/>
      <w:marRight w:val="0"/>
      <w:marTop w:val="0"/>
      <w:marBottom w:val="0"/>
      <w:divBdr>
        <w:top w:val="none" w:sz="0" w:space="0" w:color="auto"/>
        <w:left w:val="none" w:sz="0" w:space="0" w:color="auto"/>
        <w:bottom w:val="none" w:sz="0" w:space="0" w:color="auto"/>
        <w:right w:val="none" w:sz="0" w:space="0" w:color="auto"/>
      </w:divBdr>
    </w:div>
    <w:div w:id="1864243407">
      <w:bodyDiv w:val="1"/>
      <w:marLeft w:val="0"/>
      <w:marRight w:val="0"/>
      <w:marTop w:val="0"/>
      <w:marBottom w:val="0"/>
      <w:divBdr>
        <w:top w:val="none" w:sz="0" w:space="0" w:color="auto"/>
        <w:left w:val="none" w:sz="0" w:space="0" w:color="auto"/>
        <w:bottom w:val="none" w:sz="0" w:space="0" w:color="auto"/>
        <w:right w:val="none" w:sz="0" w:space="0" w:color="auto"/>
      </w:divBdr>
    </w:div>
    <w:div w:id="1880629298">
      <w:bodyDiv w:val="1"/>
      <w:marLeft w:val="0"/>
      <w:marRight w:val="0"/>
      <w:marTop w:val="0"/>
      <w:marBottom w:val="0"/>
      <w:divBdr>
        <w:top w:val="none" w:sz="0" w:space="0" w:color="auto"/>
        <w:left w:val="none" w:sz="0" w:space="0" w:color="auto"/>
        <w:bottom w:val="none" w:sz="0" w:space="0" w:color="auto"/>
        <w:right w:val="none" w:sz="0" w:space="0" w:color="auto"/>
      </w:divBdr>
    </w:div>
    <w:div w:id="1886717864">
      <w:bodyDiv w:val="1"/>
      <w:marLeft w:val="0"/>
      <w:marRight w:val="0"/>
      <w:marTop w:val="0"/>
      <w:marBottom w:val="0"/>
      <w:divBdr>
        <w:top w:val="none" w:sz="0" w:space="0" w:color="auto"/>
        <w:left w:val="none" w:sz="0" w:space="0" w:color="auto"/>
        <w:bottom w:val="none" w:sz="0" w:space="0" w:color="auto"/>
        <w:right w:val="none" w:sz="0" w:space="0" w:color="auto"/>
      </w:divBdr>
    </w:div>
    <w:div w:id="1891648841">
      <w:bodyDiv w:val="1"/>
      <w:marLeft w:val="0"/>
      <w:marRight w:val="0"/>
      <w:marTop w:val="0"/>
      <w:marBottom w:val="0"/>
      <w:divBdr>
        <w:top w:val="none" w:sz="0" w:space="0" w:color="auto"/>
        <w:left w:val="none" w:sz="0" w:space="0" w:color="auto"/>
        <w:bottom w:val="none" w:sz="0" w:space="0" w:color="auto"/>
        <w:right w:val="none" w:sz="0" w:space="0" w:color="auto"/>
      </w:divBdr>
    </w:div>
    <w:div w:id="1904636001">
      <w:bodyDiv w:val="1"/>
      <w:marLeft w:val="0"/>
      <w:marRight w:val="0"/>
      <w:marTop w:val="0"/>
      <w:marBottom w:val="0"/>
      <w:divBdr>
        <w:top w:val="none" w:sz="0" w:space="0" w:color="auto"/>
        <w:left w:val="none" w:sz="0" w:space="0" w:color="auto"/>
        <w:bottom w:val="none" w:sz="0" w:space="0" w:color="auto"/>
        <w:right w:val="none" w:sz="0" w:space="0" w:color="auto"/>
      </w:divBdr>
    </w:div>
    <w:div w:id="1922596601">
      <w:bodyDiv w:val="1"/>
      <w:marLeft w:val="0"/>
      <w:marRight w:val="0"/>
      <w:marTop w:val="0"/>
      <w:marBottom w:val="0"/>
      <w:divBdr>
        <w:top w:val="none" w:sz="0" w:space="0" w:color="auto"/>
        <w:left w:val="none" w:sz="0" w:space="0" w:color="auto"/>
        <w:bottom w:val="none" w:sz="0" w:space="0" w:color="auto"/>
        <w:right w:val="none" w:sz="0" w:space="0" w:color="auto"/>
      </w:divBdr>
    </w:div>
    <w:div w:id="1932471509">
      <w:bodyDiv w:val="1"/>
      <w:marLeft w:val="0"/>
      <w:marRight w:val="0"/>
      <w:marTop w:val="0"/>
      <w:marBottom w:val="0"/>
      <w:divBdr>
        <w:top w:val="none" w:sz="0" w:space="0" w:color="auto"/>
        <w:left w:val="none" w:sz="0" w:space="0" w:color="auto"/>
        <w:bottom w:val="none" w:sz="0" w:space="0" w:color="auto"/>
        <w:right w:val="none" w:sz="0" w:space="0" w:color="auto"/>
      </w:divBdr>
    </w:div>
    <w:div w:id="1996181213">
      <w:bodyDiv w:val="1"/>
      <w:marLeft w:val="0"/>
      <w:marRight w:val="0"/>
      <w:marTop w:val="0"/>
      <w:marBottom w:val="0"/>
      <w:divBdr>
        <w:top w:val="none" w:sz="0" w:space="0" w:color="auto"/>
        <w:left w:val="none" w:sz="0" w:space="0" w:color="auto"/>
        <w:bottom w:val="none" w:sz="0" w:space="0" w:color="auto"/>
        <w:right w:val="none" w:sz="0" w:space="0" w:color="auto"/>
      </w:divBdr>
    </w:div>
    <w:div w:id="2011324154">
      <w:bodyDiv w:val="1"/>
      <w:marLeft w:val="0"/>
      <w:marRight w:val="0"/>
      <w:marTop w:val="0"/>
      <w:marBottom w:val="0"/>
      <w:divBdr>
        <w:top w:val="none" w:sz="0" w:space="0" w:color="auto"/>
        <w:left w:val="none" w:sz="0" w:space="0" w:color="auto"/>
        <w:bottom w:val="none" w:sz="0" w:space="0" w:color="auto"/>
        <w:right w:val="none" w:sz="0" w:space="0" w:color="auto"/>
      </w:divBdr>
    </w:div>
    <w:div w:id="2018264271">
      <w:bodyDiv w:val="1"/>
      <w:marLeft w:val="0"/>
      <w:marRight w:val="0"/>
      <w:marTop w:val="0"/>
      <w:marBottom w:val="0"/>
      <w:divBdr>
        <w:top w:val="none" w:sz="0" w:space="0" w:color="auto"/>
        <w:left w:val="none" w:sz="0" w:space="0" w:color="auto"/>
        <w:bottom w:val="none" w:sz="0" w:space="0" w:color="auto"/>
        <w:right w:val="none" w:sz="0" w:space="0" w:color="auto"/>
      </w:divBdr>
    </w:div>
    <w:div w:id="2027706920">
      <w:bodyDiv w:val="1"/>
      <w:marLeft w:val="0"/>
      <w:marRight w:val="0"/>
      <w:marTop w:val="0"/>
      <w:marBottom w:val="0"/>
      <w:divBdr>
        <w:top w:val="none" w:sz="0" w:space="0" w:color="auto"/>
        <w:left w:val="none" w:sz="0" w:space="0" w:color="auto"/>
        <w:bottom w:val="none" w:sz="0" w:space="0" w:color="auto"/>
        <w:right w:val="none" w:sz="0" w:space="0" w:color="auto"/>
      </w:divBdr>
    </w:div>
    <w:div w:id="2032149364">
      <w:bodyDiv w:val="1"/>
      <w:marLeft w:val="0"/>
      <w:marRight w:val="0"/>
      <w:marTop w:val="0"/>
      <w:marBottom w:val="0"/>
      <w:divBdr>
        <w:top w:val="none" w:sz="0" w:space="0" w:color="auto"/>
        <w:left w:val="none" w:sz="0" w:space="0" w:color="auto"/>
        <w:bottom w:val="none" w:sz="0" w:space="0" w:color="auto"/>
        <w:right w:val="none" w:sz="0" w:space="0" w:color="auto"/>
      </w:divBdr>
      <w:divsChild>
        <w:div w:id="447967143">
          <w:marLeft w:val="0"/>
          <w:marRight w:val="0"/>
          <w:marTop w:val="0"/>
          <w:marBottom w:val="0"/>
          <w:divBdr>
            <w:top w:val="none" w:sz="0" w:space="0" w:color="auto"/>
            <w:left w:val="none" w:sz="0" w:space="0" w:color="auto"/>
            <w:bottom w:val="none" w:sz="0" w:space="0" w:color="auto"/>
            <w:right w:val="none" w:sz="0" w:space="0" w:color="auto"/>
          </w:divBdr>
          <w:divsChild>
            <w:div w:id="344285198">
              <w:marLeft w:val="0"/>
              <w:marRight w:val="0"/>
              <w:marTop w:val="0"/>
              <w:marBottom w:val="0"/>
              <w:divBdr>
                <w:top w:val="none" w:sz="0" w:space="0" w:color="auto"/>
                <w:left w:val="none" w:sz="0" w:space="0" w:color="auto"/>
                <w:bottom w:val="none" w:sz="0" w:space="0" w:color="auto"/>
                <w:right w:val="none" w:sz="0" w:space="0" w:color="auto"/>
              </w:divBdr>
              <w:divsChild>
                <w:div w:id="133565078">
                  <w:marLeft w:val="0"/>
                  <w:marRight w:val="0"/>
                  <w:marTop w:val="0"/>
                  <w:marBottom w:val="129"/>
                  <w:divBdr>
                    <w:top w:val="none" w:sz="0" w:space="0" w:color="auto"/>
                    <w:left w:val="none" w:sz="0" w:space="0" w:color="auto"/>
                    <w:bottom w:val="none" w:sz="0" w:space="0" w:color="auto"/>
                    <w:right w:val="none" w:sz="0" w:space="0" w:color="auto"/>
                  </w:divBdr>
                  <w:divsChild>
                    <w:div w:id="17760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2252">
      <w:bodyDiv w:val="1"/>
      <w:marLeft w:val="0"/>
      <w:marRight w:val="0"/>
      <w:marTop w:val="0"/>
      <w:marBottom w:val="0"/>
      <w:divBdr>
        <w:top w:val="none" w:sz="0" w:space="0" w:color="auto"/>
        <w:left w:val="none" w:sz="0" w:space="0" w:color="auto"/>
        <w:bottom w:val="none" w:sz="0" w:space="0" w:color="auto"/>
        <w:right w:val="none" w:sz="0" w:space="0" w:color="auto"/>
      </w:divBdr>
    </w:div>
    <w:div w:id="2053192969">
      <w:bodyDiv w:val="1"/>
      <w:marLeft w:val="0"/>
      <w:marRight w:val="0"/>
      <w:marTop w:val="0"/>
      <w:marBottom w:val="0"/>
      <w:divBdr>
        <w:top w:val="none" w:sz="0" w:space="0" w:color="auto"/>
        <w:left w:val="none" w:sz="0" w:space="0" w:color="auto"/>
        <w:bottom w:val="none" w:sz="0" w:space="0" w:color="auto"/>
        <w:right w:val="none" w:sz="0" w:space="0" w:color="auto"/>
      </w:divBdr>
    </w:div>
    <w:div w:id="2054573595">
      <w:bodyDiv w:val="1"/>
      <w:marLeft w:val="0"/>
      <w:marRight w:val="0"/>
      <w:marTop w:val="0"/>
      <w:marBottom w:val="0"/>
      <w:divBdr>
        <w:top w:val="none" w:sz="0" w:space="0" w:color="auto"/>
        <w:left w:val="none" w:sz="0" w:space="0" w:color="auto"/>
        <w:bottom w:val="none" w:sz="0" w:space="0" w:color="auto"/>
        <w:right w:val="none" w:sz="0" w:space="0" w:color="auto"/>
      </w:divBdr>
    </w:div>
    <w:div w:id="2056008307">
      <w:bodyDiv w:val="1"/>
      <w:marLeft w:val="0"/>
      <w:marRight w:val="0"/>
      <w:marTop w:val="0"/>
      <w:marBottom w:val="0"/>
      <w:divBdr>
        <w:top w:val="none" w:sz="0" w:space="0" w:color="auto"/>
        <w:left w:val="none" w:sz="0" w:space="0" w:color="auto"/>
        <w:bottom w:val="none" w:sz="0" w:space="0" w:color="auto"/>
        <w:right w:val="none" w:sz="0" w:space="0" w:color="auto"/>
      </w:divBdr>
    </w:div>
    <w:div w:id="2057194842">
      <w:bodyDiv w:val="1"/>
      <w:marLeft w:val="0"/>
      <w:marRight w:val="0"/>
      <w:marTop w:val="0"/>
      <w:marBottom w:val="0"/>
      <w:divBdr>
        <w:top w:val="none" w:sz="0" w:space="0" w:color="auto"/>
        <w:left w:val="none" w:sz="0" w:space="0" w:color="auto"/>
        <w:bottom w:val="none" w:sz="0" w:space="0" w:color="auto"/>
        <w:right w:val="none" w:sz="0" w:space="0" w:color="auto"/>
      </w:divBdr>
    </w:div>
    <w:div w:id="2077893961">
      <w:bodyDiv w:val="1"/>
      <w:marLeft w:val="0"/>
      <w:marRight w:val="0"/>
      <w:marTop w:val="0"/>
      <w:marBottom w:val="0"/>
      <w:divBdr>
        <w:top w:val="none" w:sz="0" w:space="0" w:color="auto"/>
        <w:left w:val="none" w:sz="0" w:space="0" w:color="auto"/>
        <w:bottom w:val="none" w:sz="0" w:space="0" w:color="auto"/>
        <w:right w:val="none" w:sz="0" w:space="0" w:color="auto"/>
      </w:divBdr>
    </w:div>
    <w:div w:id="2080666072">
      <w:bodyDiv w:val="1"/>
      <w:marLeft w:val="0"/>
      <w:marRight w:val="0"/>
      <w:marTop w:val="0"/>
      <w:marBottom w:val="0"/>
      <w:divBdr>
        <w:top w:val="none" w:sz="0" w:space="0" w:color="auto"/>
        <w:left w:val="none" w:sz="0" w:space="0" w:color="auto"/>
        <w:bottom w:val="none" w:sz="0" w:space="0" w:color="auto"/>
        <w:right w:val="none" w:sz="0" w:space="0" w:color="auto"/>
      </w:divBdr>
      <w:divsChild>
        <w:div w:id="720372983">
          <w:marLeft w:val="0"/>
          <w:marRight w:val="0"/>
          <w:marTop w:val="0"/>
          <w:marBottom w:val="0"/>
          <w:divBdr>
            <w:top w:val="none" w:sz="0" w:space="0" w:color="auto"/>
            <w:left w:val="none" w:sz="0" w:space="0" w:color="auto"/>
            <w:bottom w:val="none" w:sz="0" w:space="0" w:color="auto"/>
            <w:right w:val="none" w:sz="0" w:space="0" w:color="auto"/>
          </w:divBdr>
          <w:divsChild>
            <w:div w:id="1362821808">
              <w:marLeft w:val="0"/>
              <w:marRight w:val="0"/>
              <w:marTop w:val="0"/>
              <w:marBottom w:val="0"/>
              <w:divBdr>
                <w:top w:val="none" w:sz="0" w:space="0" w:color="auto"/>
                <w:left w:val="none" w:sz="0" w:space="0" w:color="auto"/>
                <w:bottom w:val="none" w:sz="0" w:space="0" w:color="auto"/>
                <w:right w:val="none" w:sz="0" w:space="0" w:color="auto"/>
              </w:divBdr>
              <w:divsChild>
                <w:div w:id="1431853735">
                  <w:marLeft w:val="0"/>
                  <w:marRight w:val="0"/>
                  <w:marTop w:val="0"/>
                  <w:marBottom w:val="129"/>
                  <w:divBdr>
                    <w:top w:val="none" w:sz="0" w:space="0" w:color="auto"/>
                    <w:left w:val="none" w:sz="0" w:space="0" w:color="auto"/>
                    <w:bottom w:val="none" w:sz="0" w:space="0" w:color="auto"/>
                    <w:right w:val="none" w:sz="0" w:space="0" w:color="auto"/>
                  </w:divBdr>
                  <w:divsChild>
                    <w:div w:id="21168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055664">
      <w:bodyDiv w:val="1"/>
      <w:marLeft w:val="0"/>
      <w:marRight w:val="0"/>
      <w:marTop w:val="0"/>
      <w:marBottom w:val="0"/>
      <w:divBdr>
        <w:top w:val="none" w:sz="0" w:space="0" w:color="auto"/>
        <w:left w:val="none" w:sz="0" w:space="0" w:color="auto"/>
        <w:bottom w:val="none" w:sz="0" w:space="0" w:color="auto"/>
        <w:right w:val="none" w:sz="0" w:space="0" w:color="auto"/>
      </w:divBdr>
    </w:div>
    <w:div w:id="2102097000">
      <w:bodyDiv w:val="1"/>
      <w:marLeft w:val="0"/>
      <w:marRight w:val="0"/>
      <w:marTop w:val="0"/>
      <w:marBottom w:val="0"/>
      <w:divBdr>
        <w:top w:val="none" w:sz="0" w:space="0" w:color="auto"/>
        <w:left w:val="none" w:sz="0" w:space="0" w:color="auto"/>
        <w:bottom w:val="none" w:sz="0" w:space="0" w:color="auto"/>
        <w:right w:val="none" w:sz="0" w:space="0" w:color="auto"/>
      </w:divBdr>
    </w:div>
    <w:div w:id="214233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chart" Target="charts/chart3.xml"/><Relationship Id="rId21" Type="http://schemas.openxmlformats.org/officeDocument/2006/relationships/hyperlink" Target="mailto:icrc@act.gov.au" TargetMode="External"/><Relationship Id="rId34" Type="http://schemas.openxmlformats.org/officeDocument/2006/relationships/image" Target="media/image5.emf"/><Relationship Id="rId42" Type="http://schemas.openxmlformats.org/officeDocument/2006/relationships/chart" Target="charts/chart6.xml"/><Relationship Id="rId47" Type="http://schemas.openxmlformats.org/officeDocument/2006/relationships/hyperlink" Target="http://www.energymadeeasy.gov.au" TargetMode="External"/><Relationship Id="rId50" Type="http://schemas.openxmlformats.org/officeDocument/2006/relationships/hyperlink" Target="http://www.energymadeeasy.gov.au" TargetMode="External"/><Relationship Id="rId55" Type="http://schemas.openxmlformats.org/officeDocument/2006/relationships/header" Target="header23.xml"/><Relationship Id="rId63" Type="http://schemas.openxmlformats.org/officeDocument/2006/relationships/hyperlink" Target="http://www.aer.gov.au/retail-markets/retail-statistic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6.xml"/><Relationship Id="rId37" Type="http://schemas.openxmlformats.org/officeDocument/2006/relationships/header" Target="header19.xml"/><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header" Target="header21.xml"/><Relationship Id="rId58" Type="http://schemas.openxmlformats.org/officeDocument/2006/relationships/header" Target="header26.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crc@act.gov.au" TargetMode="Externa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chart" Target="charts/chart12.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5.xml"/><Relationship Id="rId44" Type="http://schemas.openxmlformats.org/officeDocument/2006/relationships/chart" Target="charts/chart8.xml"/><Relationship Id="rId52" Type="http://schemas.openxmlformats.org/officeDocument/2006/relationships/header" Target="header20.xml"/><Relationship Id="rId60" Type="http://schemas.openxmlformats.org/officeDocument/2006/relationships/header" Target="header28.xml"/><Relationship Id="rId65"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crc.act.gov.au" TargetMode="Externa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chart" Target="charts/chart1.xml"/><Relationship Id="rId43" Type="http://schemas.openxmlformats.org/officeDocument/2006/relationships/chart" Target="charts/chart7.xml"/><Relationship Id="rId48" Type="http://schemas.openxmlformats.org/officeDocument/2006/relationships/chart" Target="charts/chart11.xml"/><Relationship Id="rId56" Type="http://schemas.openxmlformats.org/officeDocument/2006/relationships/header" Target="header24.xml"/><Relationship Id="rId64" Type="http://schemas.openxmlformats.org/officeDocument/2006/relationships/header" Target="header31.xml"/><Relationship Id="rId8" Type="http://schemas.openxmlformats.org/officeDocument/2006/relationships/header" Target="header1.xml"/><Relationship Id="rId51" Type="http://schemas.openxmlformats.org/officeDocument/2006/relationships/chart" Target="charts/chart1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chart" Target="charts/chart2.xml"/><Relationship Id="rId46" Type="http://schemas.openxmlformats.org/officeDocument/2006/relationships/chart" Target="charts/chart10.xml"/><Relationship Id="rId59" Type="http://schemas.openxmlformats.org/officeDocument/2006/relationships/header" Target="header27.xml"/><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chart" Target="charts/chart5.xml"/><Relationship Id="rId54" Type="http://schemas.openxmlformats.org/officeDocument/2006/relationships/header" Target="header22.xml"/><Relationship Id="rId62" Type="http://schemas.openxmlformats.org/officeDocument/2006/relationships/header" Target="header30.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www.comcourts.gov.au/file/Federal/P/NSD419/2016/3751779/%20event/28506914/document/76901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oleObject" Target="file:///\\act.gov.au\treasury\DT\ICRC\ICRC%20RECORDS%20MANAGEMENT\UTILITIES%20&amp;%20INFRASTRUCTURE%20REGULATION\Determinations%20(Regulated%20Industries)\FRC%20Retail%20Tariff%20Model\6%20FP_chart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act.gov.au\treasury\dt\ICRC\ICRC%20RECORDS%20MANAGEMENT\UTILITIES%20&amp;%20INFRASTRUCTURE%20REGULATION\Determinations%20(Regulated%20Industries)\FRC%20Retail%20Tariff%202017\B-Reports\1%20Issues%20paper\Electricity_Investigation_2017IssuesPaper_Calcs&amp;Char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act.gov.au\treasury\dt\ICRC\ICRC%20RECORDS%20MANAGEMENT\UTILITIES%20&amp;%20INFRASTRUCTURE%20REGULATION\Determinations%20(Regulated%20Industries)\FRC%20Retail%20Tariff%202017\B-Reports\1%20Issues%20paper\Energy%20Made%20Easy%2010_Sep_201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act.gov.au\treasury\dt\ICRC\ICRC%20RECORDS%20MANAGEMENT\UTILITIES%20&amp;%20INFRASTRUCTURE%20REGULATION\Determinations%20(Regulated%20Industries)\FRC%20Retail%20Tariff%202017\B-Reports\1%20Issues%20paper\Energy%20Made%20Easy%2010_Sep_201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act.gov.au\treasury\dt\ICRC\ICRC%20RECORDS%20MANAGEMENT\UTILITIES%20&amp;%20INFRASTRUCTURE%20REGULATION\Determinations%20(Regulated%20Industries)\FRC%20Retail%20Tariff%202017\B-Reports\1%20Issues%20paper\Electricity_Investigation_2017IssuesPaper_Calcs&amp;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ct.gov.au\treasury\dt\ICRC\ICRC%20RECORDS%20MANAGEMENT\UTILITIES%20&amp;%20INFRASTRUCTURE%20REGULATION\Determinations%20(Regulated%20Industries)\FRC%20Retail%20Tariff%20Model\7%20Other_calcs&amp;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act.gov.au\treasury\dt\ICRC\ICRC%20RECORDS%20MANAGEMENT\UTILITIES%20&amp;%20INFRASTRUCTURE%20REGULATION\Determinations%20(Regulated%20Industries)\FRC%20Retail%20Tariff%20Model\6%20FP_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ct.gov.au\treasury\dt\ICRC\ICRC%20RECORDS%20MANAGEMENT\UTILITIES%20&amp;%20INFRASTRUCTURE%20REGULATION\Determinations%20(Regulated%20Industries)\FRC%20Retail%20Tariff%20Model\7%20Other_calcs&amp;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ct.gov.au\treasury\dt\ICRC\ICRC%20RECORDS%20MANAGEMENT\UTILITIES%20&amp;%20INFRASTRUCTURE%20REGULATION\Determinations%20(Regulated%20Industries)\FRC%20Retail%20Tariff%20Model\7%20Other_calcs&amp;char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ct.gov.au\treasury\dt\ICRC\ICRC%20RECORDS%20MANAGEMENT\UTILITIES%20&amp;%20INFRASTRUCTURE%20REGULATION\Determinations%20(Regulated%20Industries)\FRC%20Retail%20Tariff%202017\B-Reports\1%20Issues%20paper\Electricity_Investigation_2017IssuesPaper_Calcs&amp;Charts.xlsx" TargetMode="External"/></Relationships>
</file>

<file path=word/charts/_rels/chart9.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act.gov.au\treasury\dt\ICRC\ICRC%20RECORDS%20MANAGEMENT\UTILITIES%20&amp;%20INFRASTRUCTURE%20REGULATION\Determinations%20(Regulated%20Industries)\FRC%20Retail%20Tariff%202017\B-Reports\1%20Issues%20paper\Electricity_Investigation_2017IssuesPaper_Calcs&amp;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387056880221433E-2"/>
          <c:y val="7.2365717864316545E-2"/>
          <c:w val="0.82246610651876462"/>
          <c:h val="0.67420782513727995"/>
        </c:manualLayout>
      </c:layout>
      <c:lineChart>
        <c:grouping val="standard"/>
        <c:ser>
          <c:idx val="1"/>
          <c:order val="0"/>
          <c:tx>
            <c:v>ICAP OTC 2017-18</c:v>
          </c:tx>
          <c:marker>
            <c:symbol val="none"/>
          </c:marker>
          <c:cat>
            <c:numRef>
              <c:f>'2017-18'!$A$2:$A$478</c:f>
              <c:numCache>
                <c:formatCode>m/d/yyyy</c:formatCode>
                <c:ptCount val="300"/>
                <c:pt idx="0">
                  <c:v>42186</c:v>
                </c:pt>
                <c:pt idx="1">
                  <c:v>42187</c:v>
                </c:pt>
                <c:pt idx="2">
                  <c:v>42188</c:v>
                </c:pt>
                <c:pt idx="3">
                  <c:v>42191</c:v>
                </c:pt>
                <c:pt idx="4">
                  <c:v>42192</c:v>
                </c:pt>
                <c:pt idx="5">
                  <c:v>42193</c:v>
                </c:pt>
                <c:pt idx="6">
                  <c:v>42194</c:v>
                </c:pt>
                <c:pt idx="7">
                  <c:v>42195</c:v>
                </c:pt>
                <c:pt idx="8">
                  <c:v>42198</c:v>
                </c:pt>
                <c:pt idx="9">
                  <c:v>42199</c:v>
                </c:pt>
                <c:pt idx="10">
                  <c:v>42200</c:v>
                </c:pt>
                <c:pt idx="11">
                  <c:v>42201</c:v>
                </c:pt>
                <c:pt idx="12">
                  <c:v>42202</c:v>
                </c:pt>
                <c:pt idx="13">
                  <c:v>42205</c:v>
                </c:pt>
                <c:pt idx="14">
                  <c:v>42206</c:v>
                </c:pt>
                <c:pt idx="15">
                  <c:v>42207</c:v>
                </c:pt>
                <c:pt idx="16">
                  <c:v>42208</c:v>
                </c:pt>
                <c:pt idx="17">
                  <c:v>42209</c:v>
                </c:pt>
                <c:pt idx="18">
                  <c:v>42212</c:v>
                </c:pt>
                <c:pt idx="19">
                  <c:v>42213</c:v>
                </c:pt>
                <c:pt idx="20">
                  <c:v>42214</c:v>
                </c:pt>
                <c:pt idx="21">
                  <c:v>42215</c:v>
                </c:pt>
                <c:pt idx="22">
                  <c:v>42216</c:v>
                </c:pt>
                <c:pt idx="23">
                  <c:v>42219</c:v>
                </c:pt>
                <c:pt idx="24">
                  <c:v>42220</c:v>
                </c:pt>
                <c:pt idx="25">
                  <c:v>42221</c:v>
                </c:pt>
                <c:pt idx="26">
                  <c:v>42222</c:v>
                </c:pt>
                <c:pt idx="27">
                  <c:v>42223</c:v>
                </c:pt>
                <c:pt idx="28">
                  <c:v>42226</c:v>
                </c:pt>
                <c:pt idx="29">
                  <c:v>42227</c:v>
                </c:pt>
                <c:pt idx="30">
                  <c:v>42228</c:v>
                </c:pt>
                <c:pt idx="31">
                  <c:v>42229</c:v>
                </c:pt>
                <c:pt idx="32">
                  <c:v>42230</c:v>
                </c:pt>
                <c:pt idx="33">
                  <c:v>42233</c:v>
                </c:pt>
                <c:pt idx="34">
                  <c:v>42234</c:v>
                </c:pt>
                <c:pt idx="35">
                  <c:v>42235</c:v>
                </c:pt>
                <c:pt idx="36">
                  <c:v>42236</c:v>
                </c:pt>
                <c:pt idx="37">
                  <c:v>42237</c:v>
                </c:pt>
                <c:pt idx="38">
                  <c:v>42240</c:v>
                </c:pt>
                <c:pt idx="39">
                  <c:v>42241</c:v>
                </c:pt>
                <c:pt idx="40">
                  <c:v>42242</c:v>
                </c:pt>
                <c:pt idx="41">
                  <c:v>42243</c:v>
                </c:pt>
                <c:pt idx="42">
                  <c:v>42244</c:v>
                </c:pt>
                <c:pt idx="43">
                  <c:v>42247</c:v>
                </c:pt>
                <c:pt idx="44">
                  <c:v>42248</c:v>
                </c:pt>
                <c:pt idx="45">
                  <c:v>42249</c:v>
                </c:pt>
                <c:pt idx="46">
                  <c:v>42250</c:v>
                </c:pt>
                <c:pt idx="47">
                  <c:v>42251</c:v>
                </c:pt>
                <c:pt idx="48">
                  <c:v>42254</c:v>
                </c:pt>
                <c:pt idx="49">
                  <c:v>42255</c:v>
                </c:pt>
                <c:pt idx="50">
                  <c:v>42256</c:v>
                </c:pt>
                <c:pt idx="51">
                  <c:v>42257</c:v>
                </c:pt>
                <c:pt idx="52">
                  <c:v>42258</c:v>
                </c:pt>
                <c:pt idx="53">
                  <c:v>42261</c:v>
                </c:pt>
                <c:pt idx="54">
                  <c:v>42262</c:v>
                </c:pt>
                <c:pt idx="55">
                  <c:v>42263</c:v>
                </c:pt>
                <c:pt idx="56">
                  <c:v>42264</c:v>
                </c:pt>
                <c:pt idx="57">
                  <c:v>42265</c:v>
                </c:pt>
                <c:pt idx="58">
                  <c:v>42268</c:v>
                </c:pt>
                <c:pt idx="59">
                  <c:v>42269</c:v>
                </c:pt>
                <c:pt idx="60">
                  <c:v>42270</c:v>
                </c:pt>
                <c:pt idx="61">
                  <c:v>42271</c:v>
                </c:pt>
                <c:pt idx="62">
                  <c:v>42272</c:v>
                </c:pt>
                <c:pt idx="63">
                  <c:v>42275</c:v>
                </c:pt>
                <c:pt idx="64">
                  <c:v>42276</c:v>
                </c:pt>
                <c:pt idx="65">
                  <c:v>42277</c:v>
                </c:pt>
                <c:pt idx="66">
                  <c:v>42278</c:v>
                </c:pt>
                <c:pt idx="67">
                  <c:v>42279</c:v>
                </c:pt>
                <c:pt idx="68">
                  <c:v>42282</c:v>
                </c:pt>
                <c:pt idx="69">
                  <c:v>42283</c:v>
                </c:pt>
                <c:pt idx="70">
                  <c:v>42284</c:v>
                </c:pt>
                <c:pt idx="71">
                  <c:v>42285</c:v>
                </c:pt>
                <c:pt idx="72">
                  <c:v>42286</c:v>
                </c:pt>
                <c:pt idx="73">
                  <c:v>42289</c:v>
                </c:pt>
                <c:pt idx="74">
                  <c:v>42290</c:v>
                </c:pt>
                <c:pt idx="75">
                  <c:v>42291</c:v>
                </c:pt>
                <c:pt idx="76">
                  <c:v>42292</c:v>
                </c:pt>
                <c:pt idx="77">
                  <c:v>42293</c:v>
                </c:pt>
                <c:pt idx="78">
                  <c:v>42296</c:v>
                </c:pt>
                <c:pt idx="79">
                  <c:v>42297</c:v>
                </c:pt>
                <c:pt idx="80">
                  <c:v>42298</c:v>
                </c:pt>
                <c:pt idx="81">
                  <c:v>42299</c:v>
                </c:pt>
                <c:pt idx="82">
                  <c:v>42300</c:v>
                </c:pt>
                <c:pt idx="83">
                  <c:v>42303</c:v>
                </c:pt>
                <c:pt idx="84">
                  <c:v>42304</c:v>
                </c:pt>
                <c:pt idx="85">
                  <c:v>42305</c:v>
                </c:pt>
                <c:pt idx="86">
                  <c:v>42306</c:v>
                </c:pt>
                <c:pt idx="87">
                  <c:v>42307</c:v>
                </c:pt>
                <c:pt idx="88">
                  <c:v>42310</c:v>
                </c:pt>
                <c:pt idx="89">
                  <c:v>42311</c:v>
                </c:pt>
                <c:pt idx="90">
                  <c:v>42312</c:v>
                </c:pt>
                <c:pt idx="91">
                  <c:v>42313</c:v>
                </c:pt>
                <c:pt idx="92">
                  <c:v>42314</c:v>
                </c:pt>
                <c:pt idx="93">
                  <c:v>42317</c:v>
                </c:pt>
                <c:pt idx="94">
                  <c:v>42318</c:v>
                </c:pt>
                <c:pt idx="95">
                  <c:v>42319</c:v>
                </c:pt>
                <c:pt idx="96">
                  <c:v>42320</c:v>
                </c:pt>
                <c:pt idx="97">
                  <c:v>42321</c:v>
                </c:pt>
                <c:pt idx="98">
                  <c:v>42324</c:v>
                </c:pt>
                <c:pt idx="99">
                  <c:v>42325</c:v>
                </c:pt>
                <c:pt idx="100">
                  <c:v>42326</c:v>
                </c:pt>
                <c:pt idx="101">
                  <c:v>42327</c:v>
                </c:pt>
                <c:pt idx="102">
                  <c:v>42328</c:v>
                </c:pt>
                <c:pt idx="103">
                  <c:v>42331</c:v>
                </c:pt>
                <c:pt idx="104">
                  <c:v>42332</c:v>
                </c:pt>
                <c:pt idx="105">
                  <c:v>42333</c:v>
                </c:pt>
                <c:pt idx="106">
                  <c:v>42334</c:v>
                </c:pt>
                <c:pt idx="107">
                  <c:v>42335</c:v>
                </c:pt>
                <c:pt idx="108">
                  <c:v>42338</c:v>
                </c:pt>
                <c:pt idx="109">
                  <c:v>42339</c:v>
                </c:pt>
                <c:pt idx="110">
                  <c:v>42340</c:v>
                </c:pt>
                <c:pt idx="111">
                  <c:v>42341</c:v>
                </c:pt>
                <c:pt idx="112">
                  <c:v>42342</c:v>
                </c:pt>
                <c:pt idx="113">
                  <c:v>42345</c:v>
                </c:pt>
                <c:pt idx="114">
                  <c:v>42346</c:v>
                </c:pt>
                <c:pt idx="115">
                  <c:v>42347</c:v>
                </c:pt>
                <c:pt idx="116">
                  <c:v>42348</c:v>
                </c:pt>
                <c:pt idx="117">
                  <c:v>42349</c:v>
                </c:pt>
                <c:pt idx="118">
                  <c:v>42352</c:v>
                </c:pt>
                <c:pt idx="119">
                  <c:v>42353</c:v>
                </c:pt>
                <c:pt idx="120">
                  <c:v>42354</c:v>
                </c:pt>
                <c:pt idx="121">
                  <c:v>42355</c:v>
                </c:pt>
                <c:pt idx="122">
                  <c:v>42356</c:v>
                </c:pt>
                <c:pt idx="123">
                  <c:v>42359</c:v>
                </c:pt>
                <c:pt idx="124">
                  <c:v>42360</c:v>
                </c:pt>
                <c:pt idx="125">
                  <c:v>42361</c:v>
                </c:pt>
                <c:pt idx="126">
                  <c:v>42362</c:v>
                </c:pt>
                <c:pt idx="127">
                  <c:v>42367</c:v>
                </c:pt>
                <c:pt idx="128">
                  <c:v>42368</c:v>
                </c:pt>
                <c:pt idx="129">
                  <c:v>42369</c:v>
                </c:pt>
                <c:pt idx="130">
                  <c:v>42373</c:v>
                </c:pt>
                <c:pt idx="131">
                  <c:v>42374</c:v>
                </c:pt>
                <c:pt idx="132">
                  <c:v>42375</c:v>
                </c:pt>
                <c:pt idx="133">
                  <c:v>42376</c:v>
                </c:pt>
                <c:pt idx="134">
                  <c:v>42377</c:v>
                </c:pt>
                <c:pt idx="135">
                  <c:v>42380</c:v>
                </c:pt>
                <c:pt idx="136">
                  <c:v>42381</c:v>
                </c:pt>
                <c:pt idx="137">
                  <c:v>42382</c:v>
                </c:pt>
                <c:pt idx="138">
                  <c:v>42383</c:v>
                </c:pt>
                <c:pt idx="139">
                  <c:v>42384</c:v>
                </c:pt>
                <c:pt idx="140">
                  <c:v>42387</c:v>
                </c:pt>
                <c:pt idx="141">
                  <c:v>42388</c:v>
                </c:pt>
                <c:pt idx="142">
                  <c:v>42389</c:v>
                </c:pt>
                <c:pt idx="143">
                  <c:v>42390</c:v>
                </c:pt>
                <c:pt idx="144">
                  <c:v>42391</c:v>
                </c:pt>
                <c:pt idx="145">
                  <c:v>42394</c:v>
                </c:pt>
                <c:pt idx="146">
                  <c:v>42396</c:v>
                </c:pt>
                <c:pt idx="147">
                  <c:v>42397</c:v>
                </c:pt>
                <c:pt idx="148">
                  <c:v>42398</c:v>
                </c:pt>
                <c:pt idx="149">
                  <c:v>42401</c:v>
                </c:pt>
                <c:pt idx="150">
                  <c:v>42402</c:v>
                </c:pt>
                <c:pt idx="151">
                  <c:v>42403</c:v>
                </c:pt>
                <c:pt idx="152">
                  <c:v>42404</c:v>
                </c:pt>
                <c:pt idx="153">
                  <c:v>42405</c:v>
                </c:pt>
                <c:pt idx="154">
                  <c:v>42408</c:v>
                </c:pt>
                <c:pt idx="155">
                  <c:v>42409</c:v>
                </c:pt>
                <c:pt idx="156">
                  <c:v>42410</c:v>
                </c:pt>
                <c:pt idx="157">
                  <c:v>42411</c:v>
                </c:pt>
                <c:pt idx="158">
                  <c:v>42412</c:v>
                </c:pt>
                <c:pt idx="159">
                  <c:v>42415</c:v>
                </c:pt>
                <c:pt idx="160">
                  <c:v>42416</c:v>
                </c:pt>
                <c:pt idx="161">
                  <c:v>42417</c:v>
                </c:pt>
                <c:pt idx="162">
                  <c:v>42418</c:v>
                </c:pt>
                <c:pt idx="163">
                  <c:v>42419</c:v>
                </c:pt>
                <c:pt idx="164">
                  <c:v>42422</c:v>
                </c:pt>
                <c:pt idx="165">
                  <c:v>42423</c:v>
                </c:pt>
                <c:pt idx="166">
                  <c:v>42424</c:v>
                </c:pt>
                <c:pt idx="167">
                  <c:v>42425</c:v>
                </c:pt>
                <c:pt idx="168">
                  <c:v>42426</c:v>
                </c:pt>
                <c:pt idx="169">
                  <c:v>42429</c:v>
                </c:pt>
                <c:pt idx="170">
                  <c:v>42430</c:v>
                </c:pt>
                <c:pt idx="171">
                  <c:v>42431</c:v>
                </c:pt>
                <c:pt idx="172">
                  <c:v>42432</c:v>
                </c:pt>
                <c:pt idx="173">
                  <c:v>42433</c:v>
                </c:pt>
                <c:pt idx="174">
                  <c:v>42436</c:v>
                </c:pt>
                <c:pt idx="175">
                  <c:v>42437</c:v>
                </c:pt>
                <c:pt idx="176">
                  <c:v>42438</c:v>
                </c:pt>
                <c:pt idx="177">
                  <c:v>42439</c:v>
                </c:pt>
                <c:pt idx="178">
                  <c:v>42440</c:v>
                </c:pt>
                <c:pt idx="179">
                  <c:v>42443</c:v>
                </c:pt>
                <c:pt idx="180">
                  <c:v>42444</c:v>
                </c:pt>
                <c:pt idx="181">
                  <c:v>42445</c:v>
                </c:pt>
                <c:pt idx="182">
                  <c:v>42446</c:v>
                </c:pt>
                <c:pt idx="183">
                  <c:v>42447</c:v>
                </c:pt>
                <c:pt idx="184">
                  <c:v>42450</c:v>
                </c:pt>
                <c:pt idx="185">
                  <c:v>42451</c:v>
                </c:pt>
                <c:pt idx="186">
                  <c:v>42452</c:v>
                </c:pt>
                <c:pt idx="187">
                  <c:v>42453</c:v>
                </c:pt>
                <c:pt idx="188">
                  <c:v>42458</c:v>
                </c:pt>
                <c:pt idx="189">
                  <c:v>42459</c:v>
                </c:pt>
                <c:pt idx="190">
                  <c:v>42460</c:v>
                </c:pt>
                <c:pt idx="191">
                  <c:v>42461</c:v>
                </c:pt>
                <c:pt idx="192">
                  <c:v>42464</c:v>
                </c:pt>
                <c:pt idx="193">
                  <c:v>42465</c:v>
                </c:pt>
                <c:pt idx="194">
                  <c:v>42466</c:v>
                </c:pt>
                <c:pt idx="195">
                  <c:v>42467</c:v>
                </c:pt>
                <c:pt idx="196">
                  <c:v>42468</c:v>
                </c:pt>
                <c:pt idx="197">
                  <c:v>42471</c:v>
                </c:pt>
                <c:pt idx="198">
                  <c:v>42472</c:v>
                </c:pt>
                <c:pt idx="199">
                  <c:v>42473</c:v>
                </c:pt>
                <c:pt idx="200">
                  <c:v>42474</c:v>
                </c:pt>
                <c:pt idx="201">
                  <c:v>42475</c:v>
                </c:pt>
                <c:pt idx="202">
                  <c:v>42478</c:v>
                </c:pt>
                <c:pt idx="203">
                  <c:v>42479</c:v>
                </c:pt>
                <c:pt idx="204">
                  <c:v>42480</c:v>
                </c:pt>
                <c:pt idx="205">
                  <c:v>42481</c:v>
                </c:pt>
                <c:pt idx="206">
                  <c:v>42482</c:v>
                </c:pt>
                <c:pt idx="207">
                  <c:v>42486</c:v>
                </c:pt>
                <c:pt idx="208">
                  <c:v>42487</c:v>
                </c:pt>
                <c:pt idx="209">
                  <c:v>42488</c:v>
                </c:pt>
                <c:pt idx="210">
                  <c:v>42489</c:v>
                </c:pt>
                <c:pt idx="211">
                  <c:v>42492</c:v>
                </c:pt>
                <c:pt idx="212">
                  <c:v>42493</c:v>
                </c:pt>
                <c:pt idx="213">
                  <c:v>42494</c:v>
                </c:pt>
                <c:pt idx="214">
                  <c:v>42495</c:v>
                </c:pt>
                <c:pt idx="215">
                  <c:v>42496</c:v>
                </c:pt>
                <c:pt idx="216">
                  <c:v>42499</c:v>
                </c:pt>
                <c:pt idx="217">
                  <c:v>42500</c:v>
                </c:pt>
                <c:pt idx="218">
                  <c:v>42501</c:v>
                </c:pt>
                <c:pt idx="219">
                  <c:v>42502</c:v>
                </c:pt>
                <c:pt idx="220">
                  <c:v>42503</c:v>
                </c:pt>
                <c:pt idx="221">
                  <c:v>42506</c:v>
                </c:pt>
                <c:pt idx="222">
                  <c:v>42507</c:v>
                </c:pt>
                <c:pt idx="223">
                  <c:v>42508</c:v>
                </c:pt>
                <c:pt idx="224">
                  <c:v>42509</c:v>
                </c:pt>
                <c:pt idx="225">
                  <c:v>42510</c:v>
                </c:pt>
                <c:pt idx="226">
                  <c:v>42513</c:v>
                </c:pt>
                <c:pt idx="227">
                  <c:v>42514</c:v>
                </c:pt>
                <c:pt idx="228">
                  <c:v>42515</c:v>
                </c:pt>
                <c:pt idx="229">
                  <c:v>42516</c:v>
                </c:pt>
                <c:pt idx="230">
                  <c:v>42517</c:v>
                </c:pt>
                <c:pt idx="231">
                  <c:v>42520</c:v>
                </c:pt>
                <c:pt idx="232">
                  <c:v>42521</c:v>
                </c:pt>
                <c:pt idx="233">
                  <c:v>42522</c:v>
                </c:pt>
                <c:pt idx="234">
                  <c:v>42523</c:v>
                </c:pt>
                <c:pt idx="235">
                  <c:v>42524</c:v>
                </c:pt>
                <c:pt idx="236">
                  <c:v>42527</c:v>
                </c:pt>
                <c:pt idx="237">
                  <c:v>42528</c:v>
                </c:pt>
                <c:pt idx="238">
                  <c:v>42529</c:v>
                </c:pt>
                <c:pt idx="239">
                  <c:v>42530</c:v>
                </c:pt>
                <c:pt idx="240">
                  <c:v>42531</c:v>
                </c:pt>
                <c:pt idx="241">
                  <c:v>42535</c:v>
                </c:pt>
                <c:pt idx="242">
                  <c:v>42536</c:v>
                </c:pt>
                <c:pt idx="243">
                  <c:v>42537</c:v>
                </c:pt>
                <c:pt idx="244">
                  <c:v>42538</c:v>
                </c:pt>
                <c:pt idx="245">
                  <c:v>42541</c:v>
                </c:pt>
                <c:pt idx="246">
                  <c:v>42542</c:v>
                </c:pt>
                <c:pt idx="247">
                  <c:v>42543</c:v>
                </c:pt>
                <c:pt idx="248">
                  <c:v>42544</c:v>
                </c:pt>
                <c:pt idx="249">
                  <c:v>42545</c:v>
                </c:pt>
                <c:pt idx="250">
                  <c:v>42548</c:v>
                </c:pt>
                <c:pt idx="251">
                  <c:v>42549</c:v>
                </c:pt>
                <c:pt idx="252">
                  <c:v>42550</c:v>
                </c:pt>
                <c:pt idx="253">
                  <c:v>42551</c:v>
                </c:pt>
                <c:pt idx="254">
                  <c:v>42552</c:v>
                </c:pt>
                <c:pt idx="255">
                  <c:v>42555</c:v>
                </c:pt>
                <c:pt idx="256">
                  <c:v>42556</c:v>
                </c:pt>
                <c:pt idx="257">
                  <c:v>42557</c:v>
                </c:pt>
                <c:pt idx="258">
                  <c:v>42558</c:v>
                </c:pt>
                <c:pt idx="259">
                  <c:v>42559</c:v>
                </c:pt>
                <c:pt idx="260">
                  <c:v>42562</c:v>
                </c:pt>
                <c:pt idx="261">
                  <c:v>42563</c:v>
                </c:pt>
                <c:pt idx="262">
                  <c:v>42564</c:v>
                </c:pt>
                <c:pt idx="263">
                  <c:v>42565</c:v>
                </c:pt>
                <c:pt idx="264">
                  <c:v>42566</c:v>
                </c:pt>
                <c:pt idx="265">
                  <c:v>42569</c:v>
                </c:pt>
                <c:pt idx="266">
                  <c:v>42570</c:v>
                </c:pt>
                <c:pt idx="267">
                  <c:v>42571</c:v>
                </c:pt>
                <c:pt idx="268">
                  <c:v>42572</c:v>
                </c:pt>
                <c:pt idx="269">
                  <c:v>42573</c:v>
                </c:pt>
                <c:pt idx="270">
                  <c:v>42576</c:v>
                </c:pt>
                <c:pt idx="271">
                  <c:v>42577</c:v>
                </c:pt>
                <c:pt idx="272">
                  <c:v>42578</c:v>
                </c:pt>
                <c:pt idx="273">
                  <c:v>42579</c:v>
                </c:pt>
                <c:pt idx="274">
                  <c:v>42580</c:v>
                </c:pt>
                <c:pt idx="275">
                  <c:v>42583</c:v>
                </c:pt>
                <c:pt idx="276">
                  <c:v>42584</c:v>
                </c:pt>
                <c:pt idx="277">
                  <c:v>42585</c:v>
                </c:pt>
                <c:pt idx="278">
                  <c:v>42586</c:v>
                </c:pt>
                <c:pt idx="279">
                  <c:v>42587</c:v>
                </c:pt>
                <c:pt idx="280">
                  <c:v>42590</c:v>
                </c:pt>
                <c:pt idx="281">
                  <c:v>42591</c:v>
                </c:pt>
                <c:pt idx="282">
                  <c:v>42592</c:v>
                </c:pt>
                <c:pt idx="283">
                  <c:v>42593</c:v>
                </c:pt>
                <c:pt idx="284">
                  <c:v>42594</c:v>
                </c:pt>
                <c:pt idx="285">
                  <c:v>42597</c:v>
                </c:pt>
                <c:pt idx="286">
                  <c:v>42598</c:v>
                </c:pt>
                <c:pt idx="287">
                  <c:v>42599</c:v>
                </c:pt>
                <c:pt idx="288">
                  <c:v>42600</c:v>
                </c:pt>
                <c:pt idx="289">
                  <c:v>42601</c:v>
                </c:pt>
                <c:pt idx="290">
                  <c:v>42604</c:v>
                </c:pt>
                <c:pt idx="291">
                  <c:v>42605</c:v>
                </c:pt>
                <c:pt idx="292">
                  <c:v>42606</c:v>
                </c:pt>
                <c:pt idx="293">
                  <c:v>42607</c:v>
                </c:pt>
                <c:pt idx="294">
                  <c:v>42608</c:v>
                </c:pt>
                <c:pt idx="295">
                  <c:v>42611</c:v>
                </c:pt>
                <c:pt idx="296">
                  <c:v>42612</c:v>
                </c:pt>
                <c:pt idx="297">
                  <c:v>42613</c:v>
                </c:pt>
                <c:pt idx="298">
                  <c:v>42614</c:v>
                </c:pt>
                <c:pt idx="299">
                  <c:v>42615</c:v>
                </c:pt>
              </c:numCache>
            </c:numRef>
          </c:cat>
          <c:val>
            <c:numRef>
              <c:f>'2017-18'!$C$2:$C$478</c:f>
              <c:numCache>
                <c:formatCode>#,##0.00</c:formatCode>
                <c:ptCount val="300"/>
                <c:pt idx="0">
                  <c:v>43.5</c:v>
                </c:pt>
                <c:pt idx="1">
                  <c:v>43.5</c:v>
                </c:pt>
                <c:pt idx="2">
                  <c:v>43.5</c:v>
                </c:pt>
                <c:pt idx="3">
                  <c:v>43.3</c:v>
                </c:pt>
                <c:pt idx="4">
                  <c:v>43.3</c:v>
                </c:pt>
                <c:pt idx="5">
                  <c:v>43.3</c:v>
                </c:pt>
                <c:pt idx="6">
                  <c:v>43.3</c:v>
                </c:pt>
                <c:pt idx="7">
                  <c:v>43.3</c:v>
                </c:pt>
                <c:pt idx="8">
                  <c:v>43.3</c:v>
                </c:pt>
                <c:pt idx="9">
                  <c:v>43.3</c:v>
                </c:pt>
                <c:pt idx="10">
                  <c:v>43.449999999999996</c:v>
                </c:pt>
                <c:pt idx="11">
                  <c:v>43.449999999999996</c:v>
                </c:pt>
                <c:pt idx="12">
                  <c:v>43.5</c:v>
                </c:pt>
                <c:pt idx="13">
                  <c:v>43.5</c:v>
                </c:pt>
                <c:pt idx="14">
                  <c:v>43.5</c:v>
                </c:pt>
                <c:pt idx="15">
                  <c:v>43.650000000000006</c:v>
                </c:pt>
                <c:pt idx="16">
                  <c:v>43.650000000000006</c:v>
                </c:pt>
                <c:pt idx="17">
                  <c:v>43.6</c:v>
                </c:pt>
                <c:pt idx="18">
                  <c:v>43.6</c:v>
                </c:pt>
                <c:pt idx="19">
                  <c:v>43.6</c:v>
                </c:pt>
                <c:pt idx="20">
                  <c:v>43.6</c:v>
                </c:pt>
                <c:pt idx="21">
                  <c:v>43.650000000000006</c:v>
                </c:pt>
                <c:pt idx="22">
                  <c:v>43.650000000000006</c:v>
                </c:pt>
                <c:pt idx="23">
                  <c:v>43.650000000000006</c:v>
                </c:pt>
                <c:pt idx="24">
                  <c:v>43.7</c:v>
                </c:pt>
                <c:pt idx="25">
                  <c:v>43.75</c:v>
                </c:pt>
                <c:pt idx="26">
                  <c:v>43.75</c:v>
                </c:pt>
                <c:pt idx="27">
                  <c:v>43.75</c:v>
                </c:pt>
                <c:pt idx="28">
                  <c:v>43.75</c:v>
                </c:pt>
                <c:pt idx="29">
                  <c:v>43.75</c:v>
                </c:pt>
                <c:pt idx="30">
                  <c:v>43.849999999999994</c:v>
                </c:pt>
                <c:pt idx="31">
                  <c:v>44</c:v>
                </c:pt>
                <c:pt idx="32">
                  <c:v>44</c:v>
                </c:pt>
                <c:pt idx="33">
                  <c:v>44</c:v>
                </c:pt>
                <c:pt idx="34">
                  <c:v>44</c:v>
                </c:pt>
                <c:pt idx="35">
                  <c:v>44.25</c:v>
                </c:pt>
                <c:pt idx="36">
                  <c:v>44.5</c:v>
                </c:pt>
                <c:pt idx="37">
                  <c:v>44.5</c:v>
                </c:pt>
                <c:pt idx="38">
                  <c:v>44.449999999999996</c:v>
                </c:pt>
                <c:pt idx="39">
                  <c:v>44.3</c:v>
                </c:pt>
                <c:pt idx="40">
                  <c:v>44.3</c:v>
                </c:pt>
                <c:pt idx="41">
                  <c:v>44.3</c:v>
                </c:pt>
                <c:pt idx="42">
                  <c:v>44.3</c:v>
                </c:pt>
                <c:pt idx="43">
                  <c:v>44.3</c:v>
                </c:pt>
                <c:pt idx="44">
                  <c:v>44.449999999999996</c:v>
                </c:pt>
                <c:pt idx="45">
                  <c:v>44.7</c:v>
                </c:pt>
                <c:pt idx="46">
                  <c:v>44.900000000000006</c:v>
                </c:pt>
                <c:pt idx="47">
                  <c:v>44.900000000000006</c:v>
                </c:pt>
                <c:pt idx="48">
                  <c:v>44.900000000000006</c:v>
                </c:pt>
                <c:pt idx="49">
                  <c:v>45.150000000000006</c:v>
                </c:pt>
                <c:pt idx="50">
                  <c:v>45.2</c:v>
                </c:pt>
                <c:pt idx="51">
                  <c:v>45.2</c:v>
                </c:pt>
                <c:pt idx="52">
                  <c:v>45.2</c:v>
                </c:pt>
                <c:pt idx="53">
                  <c:v>45.650000000000006</c:v>
                </c:pt>
                <c:pt idx="54">
                  <c:v>45.650000000000006</c:v>
                </c:pt>
                <c:pt idx="55">
                  <c:v>45.650000000000006</c:v>
                </c:pt>
                <c:pt idx="56">
                  <c:v>45.650000000000006</c:v>
                </c:pt>
                <c:pt idx="57">
                  <c:v>45.650000000000006</c:v>
                </c:pt>
                <c:pt idx="58">
                  <c:v>45.75</c:v>
                </c:pt>
                <c:pt idx="59">
                  <c:v>45.75</c:v>
                </c:pt>
                <c:pt idx="60">
                  <c:v>46.1</c:v>
                </c:pt>
                <c:pt idx="61">
                  <c:v>46.1</c:v>
                </c:pt>
                <c:pt idx="62">
                  <c:v>46.1</c:v>
                </c:pt>
                <c:pt idx="63">
                  <c:v>46.1</c:v>
                </c:pt>
                <c:pt idx="64">
                  <c:v>46.1</c:v>
                </c:pt>
                <c:pt idx="65">
                  <c:v>45.949999999999996</c:v>
                </c:pt>
                <c:pt idx="66">
                  <c:v>45.949999999999996</c:v>
                </c:pt>
                <c:pt idx="67">
                  <c:v>45.900000000000006</c:v>
                </c:pt>
                <c:pt idx="68">
                  <c:v>45.900000000000006</c:v>
                </c:pt>
                <c:pt idx="69">
                  <c:v>45.900000000000006</c:v>
                </c:pt>
                <c:pt idx="70">
                  <c:v>45.949999999999996</c:v>
                </c:pt>
                <c:pt idx="71">
                  <c:v>45.949999999999996</c:v>
                </c:pt>
                <c:pt idx="72">
                  <c:v>46.2</c:v>
                </c:pt>
                <c:pt idx="73">
                  <c:v>46.2</c:v>
                </c:pt>
                <c:pt idx="74">
                  <c:v>46.5</c:v>
                </c:pt>
                <c:pt idx="75">
                  <c:v>46.8</c:v>
                </c:pt>
                <c:pt idx="76">
                  <c:v>47.55</c:v>
                </c:pt>
                <c:pt idx="77">
                  <c:v>47.900000000000006</c:v>
                </c:pt>
                <c:pt idx="78">
                  <c:v>47.900000000000006</c:v>
                </c:pt>
                <c:pt idx="79">
                  <c:v>48.6</c:v>
                </c:pt>
                <c:pt idx="80">
                  <c:v>48.400000000000006</c:v>
                </c:pt>
                <c:pt idx="81">
                  <c:v>48.400000000000006</c:v>
                </c:pt>
                <c:pt idx="82">
                  <c:v>48.400000000000006</c:v>
                </c:pt>
                <c:pt idx="83">
                  <c:v>48.3</c:v>
                </c:pt>
                <c:pt idx="84">
                  <c:v>48.25</c:v>
                </c:pt>
                <c:pt idx="85">
                  <c:v>48.25</c:v>
                </c:pt>
                <c:pt idx="86">
                  <c:v>48.3</c:v>
                </c:pt>
                <c:pt idx="87">
                  <c:v>48.2</c:v>
                </c:pt>
                <c:pt idx="88">
                  <c:v>48.2</c:v>
                </c:pt>
                <c:pt idx="89">
                  <c:v>48.2</c:v>
                </c:pt>
                <c:pt idx="90">
                  <c:v>48.1</c:v>
                </c:pt>
                <c:pt idx="91">
                  <c:v>48.05</c:v>
                </c:pt>
                <c:pt idx="92">
                  <c:v>48.05</c:v>
                </c:pt>
                <c:pt idx="93">
                  <c:v>48.05</c:v>
                </c:pt>
                <c:pt idx="94">
                  <c:v>48.05</c:v>
                </c:pt>
                <c:pt idx="95">
                  <c:v>48.05</c:v>
                </c:pt>
                <c:pt idx="96">
                  <c:v>48.05</c:v>
                </c:pt>
                <c:pt idx="97">
                  <c:v>48.05</c:v>
                </c:pt>
                <c:pt idx="98">
                  <c:v>48.150000000000006</c:v>
                </c:pt>
                <c:pt idx="99">
                  <c:v>48.150000000000006</c:v>
                </c:pt>
                <c:pt idx="100">
                  <c:v>48.150000000000006</c:v>
                </c:pt>
                <c:pt idx="101">
                  <c:v>48.150000000000006</c:v>
                </c:pt>
                <c:pt idx="102">
                  <c:v>48.1</c:v>
                </c:pt>
                <c:pt idx="103">
                  <c:v>47.349999999999994</c:v>
                </c:pt>
                <c:pt idx="104">
                  <c:v>47.349999999999994</c:v>
                </c:pt>
                <c:pt idx="105">
                  <c:v>47.25</c:v>
                </c:pt>
                <c:pt idx="106">
                  <c:v>47.25</c:v>
                </c:pt>
                <c:pt idx="107">
                  <c:v>47.25</c:v>
                </c:pt>
                <c:pt idx="108">
                  <c:v>47.55</c:v>
                </c:pt>
                <c:pt idx="109">
                  <c:v>47.400000000000006</c:v>
                </c:pt>
                <c:pt idx="110">
                  <c:v>47.400000000000006</c:v>
                </c:pt>
                <c:pt idx="111">
                  <c:v>47.400000000000006</c:v>
                </c:pt>
                <c:pt idx="112">
                  <c:v>47.400000000000006</c:v>
                </c:pt>
                <c:pt idx="113">
                  <c:v>47.400000000000006</c:v>
                </c:pt>
                <c:pt idx="114">
                  <c:v>47.349999999999994</c:v>
                </c:pt>
                <c:pt idx="115">
                  <c:v>47.349999999999994</c:v>
                </c:pt>
                <c:pt idx="116">
                  <c:v>47.349999999999994</c:v>
                </c:pt>
                <c:pt idx="117">
                  <c:v>47.349999999999994</c:v>
                </c:pt>
                <c:pt idx="118">
                  <c:v>47.349999999999994</c:v>
                </c:pt>
                <c:pt idx="119">
                  <c:v>47.349999999999994</c:v>
                </c:pt>
                <c:pt idx="120">
                  <c:v>47.349999999999994</c:v>
                </c:pt>
                <c:pt idx="121">
                  <c:v>47.349999999999994</c:v>
                </c:pt>
                <c:pt idx="122">
                  <c:v>47.349999999999994</c:v>
                </c:pt>
                <c:pt idx="123">
                  <c:v>47.349999999999994</c:v>
                </c:pt>
                <c:pt idx="124">
                  <c:v>47.449999999999996</c:v>
                </c:pt>
                <c:pt idx="125">
                  <c:v>47.400000000000006</c:v>
                </c:pt>
                <c:pt idx="126">
                  <c:v>47.400000000000006</c:v>
                </c:pt>
                <c:pt idx="127">
                  <c:v>47.400000000000006</c:v>
                </c:pt>
                <c:pt idx="128">
                  <c:v>47.449999999999996</c:v>
                </c:pt>
                <c:pt idx="129">
                  <c:v>47.449999999999996</c:v>
                </c:pt>
                <c:pt idx="130">
                  <c:v>47.2</c:v>
                </c:pt>
                <c:pt idx="131">
                  <c:v>47.1</c:v>
                </c:pt>
                <c:pt idx="132">
                  <c:v>47.05</c:v>
                </c:pt>
                <c:pt idx="133">
                  <c:v>47.05</c:v>
                </c:pt>
                <c:pt idx="134">
                  <c:v>47.05</c:v>
                </c:pt>
                <c:pt idx="135">
                  <c:v>47.4</c:v>
                </c:pt>
                <c:pt idx="136">
                  <c:v>47.15</c:v>
                </c:pt>
                <c:pt idx="137">
                  <c:v>46.9</c:v>
                </c:pt>
                <c:pt idx="138">
                  <c:v>46.9</c:v>
                </c:pt>
                <c:pt idx="139">
                  <c:v>46.9</c:v>
                </c:pt>
                <c:pt idx="140">
                  <c:v>46.9</c:v>
                </c:pt>
                <c:pt idx="141">
                  <c:v>46.9</c:v>
                </c:pt>
                <c:pt idx="142">
                  <c:v>46.8</c:v>
                </c:pt>
                <c:pt idx="143">
                  <c:v>47.349999999999994</c:v>
                </c:pt>
                <c:pt idx="144">
                  <c:v>47.1</c:v>
                </c:pt>
                <c:pt idx="145">
                  <c:v>47.15</c:v>
                </c:pt>
                <c:pt idx="146">
                  <c:v>47.4</c:v>
                </c:pt>
                <c:pt idx="147">
                  <c:v>47.349999999999994</c:v>
                </c:pt>
                <c:pt idx="148">
                  <c:v>47.349999999999994</c:v>
                </c:pt>
                <c:pt idx="149">
                  <c:v>47.349999999999994</c:v>
                </c:pt>
                <c:pt idx="150">
                  <c:v>47.05</c:v>
                </c:pt>
                <c:pt idx="151">
                  <c:v>47.1</c:v>
                </c:pt>
                <c:pt idx="152">
                  <c:v>47.05</c:v>
                </c:pt>
                <c:pt idx="153">
                  <c:v>47.05</c:v>
                </c:pt>
                <c:pt idx="154">
                  <c:v>47.05</c:v>
                </c:pt>
                <c:pt idx="155">
                  <c:v>46.949999999999996</c:v>
                </c:pt>
                <c:pt idx="156">
                  <c:v>46.9</c:v>
                </c:pt>
                <c:pt idx="157">
                  <c:v>46.7</c:v>
                </c:pt>
                <c:pt idx="158">
                  <c:v>46.7</c:v>
                </c:pt>
                <c:pt idx="159">
                  <c:v>46.7</c:v>
                </c:pt>
                <c:pt idx="160">
                  <c:v>46.65</c:v>
                </c:pt>
                <c:pt idx="161">
                  <c:v>46.05</c:v>
                </c:pt>
                <c:pt idx="162">
                  <c:v>45.9</c:v>
                </c:pt>
                <c:pt idx="163">
                  <c:v>46.15</c:v>
                </c:pt>
                <c:pt idx="164">
                  <c:v>46.15</c:v>
                </c:pt>
                <c:pt idx="165">
                  <c:v>46.05</c:v>
                </c:pt>
                <c:pt idx="166">
                  <c:v>45.7</c:v>
                </c:pt>
                <c:pt idx="167">
                  <c:v>45.65</c:v>
                </c:pt>
                <c:pt idx="168">
                  <c:v>45.65</c:v>
                </c:pt>
                <c:pt idx="169">
                  <c:v>45.9</c:v>
                </c:pt>
                <c:pt idx="170">
                  <c:v>46.15</c:v>
                </c:pt>
                <c:pt idx="171">
                  <c:v>46.25</c:v>
                </c:pt>
                <c:pt idx="172">
                  <c:v>46.4</c:v>
                </c:pt>
                <c:pt idx="173">
                  <c:v>46.4</c:v>
                </c:pt>
                <c:pt idx="174">
                  <c:v>46.349999999999994</c:v>
                </c:pt>
                <c:pt idx="175">
                  <c:v>46.4</c:v>
                </c:pt>
                <c:pt idx="176">
                  <c:v>46.4</c:v>
                </c:pt>
                <c:pt idx="177">
                  <c:v>46.05</c:v>
                </c:pt>
                <c:pt idx="178">
                  <c:v>46.1</c:v>
                </c:pt>
                <c:pt idx="179">
                  <c:v>46.15</c:v>
                </c:pt>
                <c:pt idx="180">
                  <c:v>46.5</c:v>
                </c:pt>
                <c:pt idx="181">
                  <c:v>46.65</c:v>
                </c:pt>
                <c:pt idx="182">
                  <c:v>46.55</c:v>
                </c:pt>
                <c:pt idx="183">
                  <c:v>46.5</c:v>
                </c:pt>
                <c:pt idx="184">
                  <c:v>46.5</c:v>
                </c:pt>
                <c:pt idx="185">
                  <c:v>46.65</c:v>
                </c:pt>
                <c:pt idx="186">
                  <c:v>46.65</c:v>
                </c:pt>
                <c:pt idx="187">
                  <c:v>46.5</c:v>
                </c:pt>
                <c:pt idx="188">
                  <c:v>46.5</c:v>
                </c:pt>
                <c:pt idx="189">
                  <c:v>46.349999999999994</c:v>
                </c:pt>
                <c:pt idx="190">
                  <c:v>46.2</c:v>
                </c:pt>
                <c:pt idx="191">
                  <c:v>46.349999999999994</c:v>
                </c:pt>
                <c:pt idx="192">
                  <c:v>46.8</c:v>
                </c:pt>
                <c:pt idx="193">
                  <c:v>46.8</c:v>
                </c:pt>
                <c:pt idx="194">
                  <c:v>46.7</c:v>
                </c:pt>
                <c:pt idx="195">
                  <c:v>46.8</c:v>
                </c:pt>
                <c:pt idx="196">
                  <c:v>47</c:v>
                </c:pt>
                <c:pt idx="197">
                  <c:v>47.3</c:v>
                </c:pt>
                <c:pt idx="198">
                  <c:v>47.3</c:v>
                </c:pt>
                <c:pt idx="199">
                  <c:v>47.3</c:v>
                </c:pt>
                <c:pt idx="200">
                  <c:v>47.3</c:v>
                </c:pt>
                <c:pt idx="201">
                  <c:v>47.25</c:v>
                </c:pt>
                <c:pt idx="202">
                  <c:v>47.25</c:v>
                </c:pt>
                <c:pt idx="203">
                  <c:v>47.25</c:v>
                </c:pt>
                <c:pt idx="204">
                  <c:v>47.25</c:v>
                </c:pt>
                <c:pt idx="205">
                  <c:v>47.55</c:v>
                </c:pt>
                <c:pt idx="206">
                  <c:v>47.6</c:v>
                </c:pt>
                <c:pt idx="207">
                  <c:v>47.7</c:v>
                </c:pt>
                <c:pt idx="208">
                  <c:v>47.849999999999994</c:v>
                </c:pt>
                <c:pt idx="209">
                  <c:v>48.1</c:v>
                </c:pt>
                <c:pt idx="210">
                  <c:v>48.05</c:v>
                </c:pt>
                <c:pt idx="211">
                  <c:v>47.849999999999994</c:v>
                </c:pt>
                <c:pt idx="212">
                  <c:v>47.849999999999994</c:v>
                </c:pt>
                <c:pt idx="213">
                  <c:v>47.849999999999994</c:v>
                </c:pt>
                <c:pt idx="214">
                  <c:v>48.05</c:v>
                </c:pt>
                <c:pt idx="215">
                  <c:v>48.5</c:v>
                </c:pt>
                <c:pt idx="216">
                  <c:v>48.7</c:v>
                </c:pt>
                <c:pt idx="217">
                  <c:v>48.849999999999994</c:v>
                </c:pt>
                <c:pt idx="218">
                  <c:v>48.849999999999994</c:v>
                </c:pt>
                <c:pt idx="219">
                  <c:v>48.9</c:v>
                </c:pt>
                <c:pt idx="220">
                  <c:v>49.1</c:v>
                </c:pt>
                <c:pt idx="221">
                  <c:v>49.1</c:v>
                </c:pt>
                <c:pt idx="222">
                  <c:v>49.449999999999996</c:v>
                </c:pt>
                <c:pt idx="223">
                  <c:v>49.349999999999994</c:v>
                </c:pt>
                <c:pt idx="224">
                  <c:v>49.5</c:v>
                </c:pt>
                <c:pt idx="225">
                  <c:v>49.449999999999996</c:v>
                </c:pt>
                <c:pt idx="226">
                  <c:v>49.55</c:v>
                </c:pt>
                <c:pt idx="227">
                  <c:v>49.449999999999996</c:v>
                </c:pt>
                <c:pt idx="228">
                  <c:v>49.349999999999994</c:v>
                </c:pt>
                <c:pt idx="229">
                  <c:v>49.349999999999994</c:v>
                </c:pt>
                <c:pt idx="230">
                  <c:v>49.4</c:v>
                </c:pt>
                <c:pt idx="231">
                  <c:v>49.65</c:v>
                </c:pt>
                <c:pt idx="232">
                  <c:v>49.9</c:v>
                </c:pt>
                <c:pt idx="233">
                  <c:v>50.349999999999994</c:v>
                </c:pt>
                <c:pt idx="234">
                  <c:v>50.7</c:v>
                </c:pt>
                <c:pt idx="235">
                  <c:v>51.15</c:v>
                </c:pt>
                <c:pt idx="236">
                  <c:v>51.3</c:v>
                </c:pt>
                <c:pt idx="237">
                  <c:v>51.5</c:v>
                </c:pt>
                <c:pt idx="238">
                  <c:v>51.75</c:v>
                </c:pt>
                <c:pt idx="239">
                  <c:v>51.75</c:v>
                </c:pt>
                <c:pt idx="240">
                  <c:v>51.75</c:v>
                </c:pt>
                <c:pt idx="241">
                  <c:v>51.75</c:v>
                </c:pt>
                <c:pt idx="242">
                  <c:v>52.1</c:v>
                </c:pt>
                <c:pt idx="243">
                  <c:v>52.6</c:v>
                </c:pt>
                <c:pt idx="244">
                  <c:v>52.4</c:v>
                </c:pt>
                <c:pt idx="245">
                  <c:v>52.25</c:v>
                </c:pt>
                <c:pt idx="246">
                  <c:v>52.3</c:v>
                </c:pt>
                <c:pt idx="247">
                  <c:v>52.7</c:v>
                </c:pt>
                <c:pt idx="248">
                  <c:v>53.05</c:v>
                </c:pt>
                <c:pt idx="249">
                  <c:v>53.3</c:v>
                </c:pt>
                <c:pt idx="250">
                  <c:v>54</c:v>
                </c:pt>
                <c:pt idx="251">
                  <c:v>54.55</c:v>
                </c:pt>
                <c:pt idx="252">
                  <c:v>54.15</c:v>
                </c:pt>
                <c:pt idx="253">
                  <c:v>54.849999999999994</c:v>
                </c:pt>
                <c:pt idx="254">
                  <c:v>55.05</c:v>
                </c:pt>
                <c:pt idx="255">
                  <c:v>56.2</c:v>
                </c:pt>
                <c:pt idx="256">
                  <c:v>56</c:v>
                </c:pt>
                <c:pt idx="257">
                  <c:v>56.1</c:v>
                </c:pt>
                <c:pt idx="258">
                  <c:v>55.949999999999996</c:v>
                </c:pt>
                <c:pt idx="259">
                  <c:v>56.3</c:v>
                </c:pt>
                <c:pt idx="260">
                  <c:v>56.2</c:v>
                </c:pt>
                <c:pt idx="261">
                  <c:v>56.15</c:v>
                </c:pt>
                <c:pt idx="262">
                  <c:v>55.849999999999994</c:v>
                </c:pt>
                <c:pt idx="263">
                  <c:v>56</c:v>
                </c:pt>
                <c:pt idx="264">
                  <c:v>56.05</c:v>
                </c:pt>
                <c:pt idx="265">
                  <c:v>56.05</c:v>
                </c:pt>
                <c:pt idx="266">
                  <c:v>56</c:v>
                </c:pt>
                <c:pt idx="267">
                  <c:v>56</c:v>
                </c:pt>
                <c:pt idx="268">
                  <c:v>56</c:v>
                </c:pt>
                <c:pt idx="269">
                  <c:v>56</c:v>
                </c:pt>
                <c:pt idx="270">
                  <c:v>56</c:v>
                </c:pt>
                <c:pt idx="271">
                  <c:v>56</c:v>
                </c:pt>
                <c:pt idx="272">
                  <c:v>55.65</c:v>
                </c:pt>
                <c:pt idx="273">
                  <c:v>55.55</c:v>
                </c:pt>
                <c:pt idx="274">
                  <c:v>55.55</c:v>
                </c:pt>
                <c:pt idx="275">
                  <c:v>55.55</c:v>
                </c:pt>
                <c:pt idx="276">
                  <c:v>55.6</c:v>
                </c:pt>
                <c:pt idx="277">
                  <c:v>56</c:v>
                </c:pt>
                <c:pt idx="278">
                  <c:v>56.2</c:v>
                </c:pt>
                <c:pt idx="279">
                  <c:v>56.349999999999994</c:v>
                </c:pt>
                <c:pt idx="280">
                  <c:v>56.6</c:v>
                </c:pt>
                <c:pt idx="281">
                  <c:v>57.1</c:v>
                </c:pt>
                <c:pt idx="282">
                  <c:v>57.3</c:v>
                </c:pt>
                <c:pt idx="283">
                  <c:v>58.2</c:v>
                </c:pt>
                <c:pt idx="284">
                  <c:v>57.449999999999996</c:v>
                </c:pt>
                <c:pt idx="285">
                  <c:v>57.449999999999996</c:v>
                </c:pt>
                <c:pt idx="286">
                  <c:v>56.55</c:v>
                </c:pt>
                <c:pt idx="287">
                  <c:v>56.55</c:v>
                </c:pt>
                <c:pt idx="288">
                  <c:v>56.4</c:v>
                </c:pt>
                <c:pt idx="289">
                  <c:v>55.4</c:v>
                </c:pt>
                <c:pt idx="290">
                  <c:v>55.4</c:v>
                </c:pt>
                <c:pt idx="291">
                  <c:v>55.4</c:v>
                </c:pt>
                <c:pt idx="292">
                  <c:v>55.55</c:v>
                </c:pt>
                <c:pt idx="293">
                  <c:v>55.55</c:v>
                </c:pt>
                <c:pt idx="294">
                  <c:v>55.55</c:v>
                </c:pt>
                <c:pt idx="295">
                  <c:v>55.55</c:v>
                </c:pt>
                <c:pt idx="296">
                  <c:v>55.9</c:v>
                </c:pt>
                <c:pt idx="297">
                  <c:v>56</c:v>
                </c:pt>
                <c:pt idx="298">
                  <c:v>56.449999999999996</c:v>
                </c:pt>
                <c:pt idx="299">
                  <c:v>57.2</c:v>
                </c:pt>
              </c:numCache>
            </c:numRef>
          </c:val>
        </c:ser>
        <c:ser>
          <c:idx val="2"/>
          <c:order val="1"/>
          <c:tx>
            <c:strRef>
              <c:f>'2017-18'!$D$1</c:f>
              <c:strCache>
                <c:ptCount val="1"/>
                <c:pt idx="0">
                  <c:v>ASX 2017-18</c:v>
                </c:pt>
              </c:strCache>
            </c:strRef>
          </c:tx>
          <c:marker>
            <c:symbol val="none"/>
          </c:marker>
          <c:cat>
            <c:numRef>
              <c:f>'2017-18'!$A$2:$A$478</c:f>
              <c:numCache>
                <c:formatCode>m/d/yyyy</c:formatCode>
                <c:ptCount val="300"/>
                <c:pt idx="0">
                  <c:v>42186</c:v>
                </c:pt>
                <c:pt idx="1">
                  <c:v>42187</c:v>
                </c:pt>
                <c:pt idx="2">
                  <c:v>42188</c:v>
                </c:pt>
                <c:pt idx="3">
                  <c:v>42191</c:v>
                </c:pt>
                <c:pt idx="4">
                  <c:v>42192</c:v>
                </c:pt>
                <c:pt idx="5">
                  <c:v>42193</c:v>
                </c:pt>
                <c:pt idx="6">
                  <c:v>42194</c:v>
                </c:pt>
                <c:pt idx="7">
                  <c:v>42195</c:v>
                </c:pt>
                <c:pt idx="8">
                  <c:v>42198</c:v>
                </c:pt>
                <c:pt idx="9">
                  <c:v>42199</c:v>
                </c:pt>
                <c:pt idx="10">
                  <c:v>42200</c:v>
                </c:pt>
                <c:pt idx="11">
                  <c:v>42201</c:v>
                </c:pt>
                <c:pt idx="12">
                  <c:v>42202</c:v>
                </c:pt>
                <c:pt idx="13">
                  <c:v>42205</c:v>
                </c:pt>
                <c:pt idx="14">
                  <c:v>42206</c:v>
                </c:pt>
                <c:pt idx="15">
                  <c:v>42207</c:v>
                </c:pt>
                <c:pt idx="16">
                  <c:v>42208</c:v>
                </c:pt>
                <c:pt idx="17">
                  <c:v>42209</c:v>
                </c:pt>
                <c:pt idx="18">
                  <c:v>42212</c:v>
                </c:pt>
                <c:pt idx="19">
                  <c:v>42213</c:v>
                </c:pt>
                <c:pt idx="20">
                  <c:v>42214</c:v>
                </c:pt>
                <c:pt idx="21">
                  <c:v>42215</c:v>
                </c:pt>
                <c:pt idx="22">
                  <c:v>42216</c:v>
                </c:pt>
                <c:pt idx="23">
                  <c:v>42219</c:v>
                </c:pt>
                <c:pt idx="24">
                  <c:v>42220</c:v>
                </c:pt>
                <c:pt idx="25">
                  <c:v>42221</c:v>
                </c:pt>
                <c:pt idx="26">
                  <c:v>42222</c:v>
                </c:pt>
                <c:pt idx="27">
                  <c:v>42223</c:v>
                </c:pt>
                <c:pt idx="28">
                  <c:v>42226</c:v>
                </c:pt>
                <c:pt idx="29">
                  <c:v>42227</c:v>
                </c:pt>
                <c:pt idx="30">
                  <c:v>42228</c:v>
                </c:pt>
                <c:pt idx="31">
                  <c:v>42229</c:v>
                </c:pt>
                <c:pt idx="32">
                  <c:v>42230</c:v>
                </c:pt>
                <c:pt idx="33">
                  <c:v>42233</c:v>
                </c:pt>
                <c:pt idx="34">
                  <c:v>42234</c:v>
                </c:pt>
                <c:pt idx="35">
                  <c:v>42235</c:v>
                </c:pt>
                <c:pt idx="36">
                  <c:v>42236</c:v>
                </c:pt>
                <c:pt idx="37">
                  <c:v>42237</c:v>
                </c:pt>
                <c:pt idx="38">
                  <c:v>42240</c:v>
                </c:pt>
                <c:pt idx="39">
                  <c:v>42241</c:v>
                </c:pt>
                <c:pt idx="40">
                  <c:v>42242</c:v>
                </c:pt>
                <c:pt idx="41">
                  <c:v>42243</c:v>
                </c:pt>
                <c:pt idx="42">
                  <c:v>42244</c:v>
                </c:pt>
                <c:pt idx="43">
                  <c:v>42247</c:v>
                </c:pt>
                <c:pt idx="44">
                  <c:v>42248</c:v>
                </c:pt>
                <c:pt idx="45">
                  <c:v>42249</c:v>
                </c:pt>
                <c:pt idx="46">
                  <c:v>42250</c:v>
                </c:pt>
                <c:pt idx="47">
                  <c:v>42251</c:v>
                </c:pt>
                <c:pt idx="48">
                  <c:v>42254</c:v>
                </c:pt>
                <c:pt idx="49">
                  <c:v>42255</c:v>
                </c:pt>
                <c:pt idx="50">
                  <c:v>42256</c:v>
                </c:pt>
                <c:pt idx="51">
                  <c:v>42257</c:v>
                </c:pt>
                <c:pt idx="52">
                  <c:v>42258</c:v>
                </c:pt>
                <c:pt idx="53">
                  <c:v>42261</c:v>
                </c:pt>
                <c:pt idx="54">
                  <c:v>42262</c:v>
                </c:pt>
                <c:pt idx="55">
                  <c:v>42263</c:v>
                </c:pt>
                <c:pt idx="56">
                  <c:v>42264</c:v>
                </c:pt>
                <c:pt idx="57">
                  <c:v>42265</c:v>
                </c:pt>
                <c:pt idx="58">
                  <c:v>42268</c:v>
                </c:pt>
                <c:pt idx="59">
                  <c:v>42269</c:v>
                </c:pt>
                <c:pt idx="60">
                  <c:v>42270</c:v>
                </c:pt>
                <c:pt idx="61">
                  <c:v>42271</c:v>
                </c:pt>
                <c:pt idx="62">
                  <c:v>42272</c:v>
                </c:pt>
                <c:pt idx="63">
                  <c:v>42275</c:v>
                </c:pt>
                <c:pt idx="64">
                  <c:v>42276</c:v>
                </c:pt>
                <c:pt idx="65">
                  <c:v>42277</c:v>
                </c:pt>
                <c:pt idx="66">
                  <c:v>42278</c:v>
                </c:pt>
                <c:pt idx="67">
                  <c:v>42279</c:v>
                </c:pt>
                <c:pt idx="68">
                  <c:v>42282</c:v>
                </c:pt>
                <c:pt idx="69">
                  <c:v>42283</c:v>
                </c:pt>
                <c:pt idx="70">
                  <c:v>42284</c:v>
                </c:pt>
                <c:pt idx="71">
                  <c:v>42285</c:v>
                </c:pt>
                <c:pt idx="72">
                  <c:v>42286</c:v>
                </c:pt>
                <c:pt idx="73">
                  <c:v>42289</c:v>
                </c:pt>
                <c:pt idx="74">
                  <c:v>42290</c:v>
                </c:pt>
                <c:pt idx="75">
                  <c:v>42291</c:v>
                </c:pt>
                <c:pt idx="76">
                  <c:v>42292</c:v>
                </c:pt>
                <c:pt idx="77">
                  <c:v>42293</c:v>
                </c:pt>
                <c:pt idx="78">
                  <c:v>42296</c:v>
                </c:pt>
                <c:pt idx="79">
                  <c:v>42297</c:v>
                </c:pt>
                <c:pt idx="80">
                  <c:v>42298</c:v>
                </c:pt>
                <c:pt idx="81">
                  <c:v>42299</c:v>
                </c:pt>
                <c:pt idx="82">
                  <c:v>42300</c:v>
                </c:pt>
                <c:pt idx="83">
                  <c:v>42303</c:v>
                </c:pt>
                <c:pt idx="84">
                  <c:v>42304</c:v>
                </c:pt>
                <c:pt idx="85">
                  <c:v>42305</c:v>
                </c:pt>
                <c:pt idx="86">
                  <c:v>42306</c:v>
                </c:pt>
                <c:pt idx="87">
                  <c:v>42307</c:v>
                </c:pt>
                <c:pt idx="88">
                  <c:v>42310</c:v>
                </c:pt>
                <c:pt idx="89">
                  <c:v>42311</c:v>
                </c:pt>
                <c:pt idx="90">
                  <c:v>42312</c:v>
                </c:pt>
                <c:pt idx="91">
                  <c:v>42313</c:v>
                </c:pt>
                <c:pt idx="92">
                  <c:v>42314</c:v>
                </c:pt>
                <c:pt idx="93">
                  <c:v>42317</c:v>
                </c:pt>
                <c:pt idx="94">
                  <c:v>42318</c:v>
                </c:pt>
                <c:pt idx="95">
                  <c:v>42319</c:v>
                </c:pt>
                <c:pt idx="96">
                  <c:v>42320</c:v>
                </c:pt>
                <c:pt idx="97">
                  <c:v>42321</c:v>
                </c:pt>
                <c:pt idx="98">
                  <c:v>42324</c:v>
                </c:pt>
                <c:pt idx="99">
                  <c:v>42325</c:v>
                </c:pt>
                <c:pt idx="100">
                  <c:v>42326</c:v>
                </c:pt>
                <c:pt idx="101">
                  <c:v>42327</c:v>
                </c:pt>
                <c:pt idx="102">
                  <c:v>42328</c:v>
                </c:pt>
                <c:pt idx="103">
                  <c:v>42331</c:v>
                </c:pt>
                <c:pt idx="104">
                  <c:v>42332</c:v>
                </c:pt>
                <c:pt idx="105">
                  <c:v>42333</c:v>
                </c:pt>
                <c:pt idx="106">
                  <c:v>42334</c:v>
                </c:pt>
                <c:pt idx="107">
                  <c:v>42335</c:v>
                </c:pt>
                <c:pt idx="108">
                  <c:v>42338</c:v>
                </c:pt>
                <c:pt idx="109">
                  <c:v>42339</c:v>
                </c:pt>
                <c:pt idx="110">
                  <c:v>42340</c:v>
                </c:pt>
                <c:pt idx="111">
                  <c:v>42341</c:v>
                </c:pt>
                <c:pt idx="112">
                  <c:v>42342</c:v>
                </c:pt>
                <c:pt idx="113">
                  <c:v>42345</c:v>
                </c:pt>
                <c:pt idx="114">
                  <c:v>42346</c:v>
                </c:pt>
                <c:pt idx="115">
                  <c:v>42347</c:v>
                </c:pt>
                <c:pt idx="116">
                  <c:v>42348</c:v>
                </c:pt>
                <c:pt idx="117">
                  <c:v>42349</c:v>
                </c:pt>
                <c:pt idx="118">
                  <c:v>42352</c:v>
                </c:pt>
                <c:pt idx="119">
                  <c:v>42353</c:v>
                </c:pt>
                <c:pt idx="120">
                  <c:v>42354</c:v>
                </c:pt>
                <c:pt idx="121">
                  <c:v>42355</c:v>
                </c:pt>
                <c:pt idx="122">
                  <c:v>42356</c:v>
                </c:pt>
                <c:pt idx="123">
                  <c:v>42359</c:v>
                </c:pt>
                <c:pt idx="124">
                  <c:v>42360</c:v>
                </c:pt>
                <c:pt idx="125">
                  <c:v>42361</c:v>
                </c:pt>
                <c:pt idx="126">
                  <c:v>42362</c:v>
                </c:pt>
                <c:pt idx="127">
                  <c:v>42367</c:v>
                </c:pt>
                <c:pt idx="128">
                  <c:v>42368</c:v>
                </c:pt>
                <c:pt idx="129">
                  <c:v>42369</c:v>
                </c:pt>
                <c:pt idx="130">
                  <c:v>42373</c:v>
                </c:pt>
                <c:pt idx="131">
                  <c:v>42374</c:v>
                </c:pt>
                <c:pt idx="132">
                  <c:v>42375</c:v>
                </c:pt>
                <c:pt idx="133">
                  <c:v>42376</c:v>
                </c:pt>
                <c:pt idx="134">
                  <c:v>42377</c:v>
                </c:pt>
                <c:pt idx="135">
                  <c:v>42380</c:v>
                </c:pt>
                <c:pt idx="136">
                  <c:v>42381</c:v>
                </c:pt>
                <c:pt idx="137">
                  <c:v>42382</c:v>
                </c:pt>
                <c:pt idx="138">
                  <c:v>42383</c:v>
                </c:pt>
                <c:pt idx="139">
                  <c:v>42384</c:v>
                </c:pt>
                <c:pt idx="140">
                  <c:v>42387</c:v>
                </c:pt>
                <c:pt idx="141">
                  <c:v>42388</c:v>
                </c:pt>
                <c:pt idx="142">
                  <c:v>42389</c:v>
                </c:pt>
                <c:pt idx="143">
                  <c:v>42390</c:v>
                </c:pt>
                <c:pt idx="144">
                  <c:v>42391</c:v>
                </c:pt>
                <c:pt idx="145">
                  <c:v>42394</c:v>
                </c:pt>
                <c:pt idx="146">
                  <c:v>42396</c:v>
                </c:pt>
                <c:pt idx="147">
                  <c:v>42397</c:v>
                </c:pt>
                <c:pt idx="148">
                  <c:v>42398</c:v>
                </c:pt>
                <c:pt idx="149">
                  <c:v>42401</c:v>
                </c:pt>
                <c:pt idx="150">
                  <c:v>42402</c:v>
                </c:pt>
                <c:pt idx="151">
                  <c:v>42403</c:v>
                </c:pt>
                <c:pt idx="152">
                  <c:v>42404</c:v>
                </c:pt>
                <c:pt idx="153">
                  <c:v>42405</c:v>
                </c:pt>
                <c:pt idx="154">
                  <c:v>42408</c:v>
                </c:pt>
                <c:pt idx="155">
                  <c:v>42409</c:v>
                </c:pt>
                <c:pt idx="156">
                  <c:v>42410</c:v>
                </c:pt>
                <c:pt idx="157">
                  <c:v>42411</c:v>
                </c:pt>
                <c:pt idx="158">
                  <c:v>42412</c:v>
                </c:pt>
                <c:pt idx="159">
                  <c:v>42415</c:v>
                </c:pt>
                <c:pt idx="160">
                  <c:v>42416</c:v>
                </c:pt>
                <c:pt idx="161">
                  <c:v>42417</c:v>
                </c:pt>
                <c:pt idx="162">
                  <c:v>42418</c:v>
                </c:pt>
                <c:pt idx="163">
                  <c:v>42419</c:v>
                </c:pt>
                <c:pt idx="164">
                  <c:v>42422</c:v>
                </c:pt>
                <c:pt idx="165">
                  <c:v>42423</c:v>
                </c:pt>
                <c:pt idx="166">
                  <c:v>42424</c:v>
                </c:pt>
                <c:pt idx="167">
                  <c:v>42425</c:v>
                </c:pt>
                <c:pt idx="168">
                  <c:v>42426</c:v>
                </c:pt>
                <c:pt idx="169">
                  <c:v>42429</c:v>
                </c:pt>
                <c:pt idx="170">
                  <c:v>42430</c:v>
                </c:pt>
                <c:pt idx="171">
                  <c:v>42431</c:v>
                </c:pt>
                <c:pt idx="172">
                  <c:v>42432</c:v>
                </c:pt>
                <c:pt idx="173">
                  <c:v>42433</c:v>
                </c:pt>
                <c:pt idx="174">
                  <c:v>42436</c:v>
                </c:pt>
                <c:pt idx="175">
                  <c:v>42437</c:v>
                </c:pt>
                <c:pt idx="176">
                  <c:v>42438</c:v>
                </c:pt>
                <c:pt idx="177">
                  <c:v>42439</c:v>
                </c:pt>
                <c:pt idx="178">
                  <c:v>42440</c:v>
                </c:pt>
                <c:pt idx="179">
                  <c:v>42443</c:v>
                </c:pt>
                <c:pt idx="180">
                  <c:v>42444</c:v>
                </c:pt>
                <c:pt idx="181">
                  <c:v>42445</c:v>
                </c:pt>
                <c:pt idx="182">
                  <c:v>42446</c:v>
                </c:pt>
                <c:pt idx="183">
                  <c:v>42447</c:v>
                </c:pt>
                <c:pt idx="184">
                  <c:v>42450</c:v>
                </c:pt>
                <c:pt idx="185">
                  <c:v>42451</c:v>
                </c:pt>
                <c:pt idx="186">
                  <c:v>42452</c:v>
                </c:pt>
                <c:pt idx="187">
                  <c:v>42453</c:v>
                </c:pt>
                <c:pt idx="188">
                  <c:v>42458</c:v>
                </c:pt>
                <c:pt idx="189">
                  <c:v>42459</c:v>
                </c:pt>
                <c:pt idx="190">
                  <c:v>42460</c:v>
                </c:pt>
                <c:pt idx="191">
                  <c:v>42461</c:v>
                </c:pt>
                <c:pt idx="192">
                  <c:v>42464</c:v>
                </c:pt>
                <c:pt idx="193">
                  <c:v>42465</c:v>
                </c:pt>
                <c:pt idx="194">
                  <c:v>42466</c:v>
                </c:pt>
                <c:pt idx="195">
                  <c:v>42467</c:v>
                </c:pt>
                <c:pt idx="196">
                  <c:v>42468</c:v>
                </c:pt>
                <c:pt idx="197">
                  <c:v>42471</c:v>
                </c:pt>
                <c:pt idx="198">
                  <c:v>42472</c:v>
                </c:pt>
                <c:pt idx="199">
                  <c:v>42473</c:v>
                </c:pt>
                <c:pt idx="200">
                  <c:v>42474</c:v>
                </c:pt>
                <c:pt idx="201">
                  <c:v>42475</c:v>
                </c:pt>
                <c:pt idx="202">
                  <c:v>42478</c:v>
                </c:pt>
                <c:pt idx="203">
                  <c:v>42479</c:v>
                </c:pt>
                <c:pt idx="204">
                  <c:v>42480</c:v>
                </c:pt>
                <c:pt idx="205">
                  <c:v>42481</c:v>
                </c:pt>
                <c:pt idx="206">
                  <c:v>42482</c:v>
                </c:pt>
                <c:pt idx="207">
                  <c:v>42486</c:v>
                </c:pt>
                <c:pt idx="208">
                  <c:v>42487</c:v>
                </c:pt>
                <c:pt idx="209">
                  <c:v>42488</c:v>
                </c:pt>
                <c:pt idx="210">
                  <c:v>42489</c:v>
                </c:pt>
                <c:pt idx="211">
                  <c:v>42492</c:v>
                </c:pt>
                <c:pt idx="212">
                  <c:v>42493</c:v>
                </c:pt>
                <c:pt idx="213">
                  <c:v>42494</c:v>
                </c:pt>
                <c:pt idx="214">
                  <c:v>42495</c:v>
                </c:pt>
                <c:pt idx="215">
                  <c:v>42496</c:v>
                </c:pt>
                <c:pt idx="216">
                  <c:v>42499</c:v>
                </c:pt>
                <c:pt idx="217">
                  <c:v>42500</c:v>
                </c:pt>
                <c:pt idx="218">
                  <c:v>42501</c:v>
                </c:pt>
                <c:pt idx="219">
                  <c:v>42502</c:v>
                </c:pt>
                <c:pt idx="220">
                  <c:v>42503</c:v>
                </c:pt>
                <c:pt idx="221">
                  <c:v>42506</c:v>
                </c:pt>
                <c:pt idx="222">
                  <c:v>42507</c:v>
                </c:pt>
                <c:pt idx="223">
                  <c:v>42508</c:v>
                </c:pt>
                <c:pt idx="224">
                  <c:v>42509</c:v>
                </c:pt>
                <c:pt idx="225">
                  <c:v>42510</c:v>
                </c:pt>
                <c:pt idx="226">
                  <c:v>42513</c:v>
                </c:pt>
                <c:pt idx="227">
                  <c:v>42514</c:v>
                </c:pt>
                <c:pt idx="228">
                  <c:v>42515</c:v>
                </c:pt>
                <c:pt idx="229">
                  <c:v>42516</c:v>
                </c:pt>
                <c:pt idx="230">
                  <c:v>42517</c:v>
                </c:pt>
                <c:pt idx="231">
                  <c:v>42520</c:v>
                </c:pt>
                <c:pt idx="232">
                  <c:v>42521</c:v>
                </c:pt>
                <c:pt idx="233">
                  <c:v>42522</c:v>
                </c:pt>
                <c:pt idx="234">
                  <c:v>42523</c:v>
                </c:pt>
                <c:pt idx="235">
                  <c:v>42524</c:v>
                </c:pt>
                <c:pt idx="236">
                  <c:v>42527</c:v>
                </c:pt>
                <c:pt idx="237">
                  <c:v>42528</c:v>
                </c:pt>
                <c:pt idx="238">
                  <c:v>42529</c:v>
                </c:pt>
                <c:pt idx="239">
                  <c:v>42530</c:v>
                </c:pt>
                <c:pt idx="240">
                  <c:v>42531</c:v>
                </c:pt>
                <c:pt idx="241">
                  <c:v>42535</c:v>
                </c:pt>
                <c:pt idx="242">
                  <c:v>42536</c:v>
                </c:pt>
                <c:pt idx="243">
                  <c:v>42537</c:v>
                </c:pt>
                <c:pt idx="244">
                  <c:v>42538</c:v>
                </c:pt>
                <c:pt idx="245">
                  <c:v>42541</c:v>
                </c:pt>
                <c:pt idx="246">
                  <c:v>42542</c:v>
                </c:pt>
                <c:pt idx="247">
                  <c:v>42543</c:v>
                </c:pt>
                <c:pt idx="248">
                  <c:v>42544</c:v>
                </c:pt>
                <c:pt idx="249">
                  <c:v>42545</c:v>
                </c:pt>
                <c:pt idx="250">
                  <c:v>42548</c:v>
                </c:pt>
                <c:pt idx="251">
                  <c:v>42549</c:v>
                </c:pt>
                <c:pt idx="252">
                  <c:v>42550</c:v>
                </c:pt>
                <c:pt idx="253">
                  <c:v>42551</c:v>
                </c:pt>
                <c:pt idx="254">
                  <c:v>42552</c:v>
                </c:pt>
                <c:pt idx="255">
                  <c:v>42555</c:v>
                </c:pt>
                <c:pt idx="256">
                  <c:v>42556</c:v>
                </c:pt>
                <c:pt idx="257">
                  <c:v>42557</c:v>
                </c:pt>
                <c:pt idx="258">
                  <c:v>42558</c:v>
                </c:pt>
                <c:pt idx="259">
                  <c:v>42559</c:v>
                </c:pt>
                <c:pt idx="260">
                  <c:v>42562</c:v>
                </c:pt>
                <c:pt idx="261">
                  <c:v>42563</c:v>
                </c:pt>
                <c:pt idx="262">
                  <c:v>42564</c:v>
                </c:pt>
                <c:pt idx="263">
                  <c:v>42565</c:v>
                </c:pt>
                <c:pt idx="264">
                  <c:v>42566</c:v>
                </c:pt>
                <c:pt idx="265">
                  <c:v>42569</c:v>
                </c:pt>
                <c:pt idx="266">
                  <c:v>42570</c:v>
                </c:pt>
                <c:pt idx="267">
                  <c:v>42571</c:v>
                </c:pt>
                <c:pt idx="268">
                  <c:v>42572</c:v>
                </c:pt>
                <c:pt idx="269">
                  <c:v>42573</c:v>
                </c:pt>
                <c:pt idx="270">
                  <c:v>42576</c:v>
                </c:pt>
                <c:pt idx="271">
                  <c:v>42577</c:v>
                </c:pt>
                <c:pt idx="272">
                  <c:v>42578</c:v>
                </c:pt>
                <c:pt idx="273">
                  <c:v>42579</c:v>
                </c:pt>
                <c:pt idx="274">
                  <c:v>42580</c:v>
                </c:pt>
                <c:pt idx="275">
                  <c:v>42583</c:v>
                </c:pt>
                <c:pt idx="276">
                  <c:v>42584</c:v>
                </c:pt>
                <c:pt idx="277">
                  <c:v>42585</c:v>
                </c:pt>
                <c:pt idx="278">
                  <c:v>42586</c:v>
                </c:pt>
                <c:pt idx="279">
                  <c:v>42587</c:v>
                </c:pt>
                <c:pt idx="280">
                  <c:v>42590</c:v>
                </c:pt>
                <c:pt idx="281">
                  <c:v>42591</c:v>
                </c:pt>
                <c:pt idx="282">
                  <c:v>42592</c:v>
                </c:pt>
                <c:pt idx="283">
                  <c:v>42593</c:v>
                </c:pt>
                <c:pt idx="284">
                  <c:v>42594</c:v>
                </c:pt>
                <c:pt idx="285">
                  <c:v>42597</c:v>
                </c:pt>
                <c:pt idx="286">
                  <c:v>42598</c:v>
                </c:pt>
                <c:pt idx="287">
                  <c:v>42599</c:v>
                </c:pt>
                <c:pt idx="288">
                  <c:v>42600</c:v>
                </c:pt>
                <c:pt idx="289">
                  <c:v>42601</c:v>
                </c:pt>
                <c:pt idx="290">
                  <c:v>42604</c:v>
                </c:pt>
                <c:pt idx="291">
                  <c:v>42605</c:v>
                </c:pt>
                <c:pt idx="292">
                  <c:v>42606</c:v>
                </c:pt>
                <c:pt idx="293">
                  <c:v>42607</c:v>
                </c:pt>
                <c:pt idx="294">
                  <c:v>42608</c:v>
                </c:pt>
                <c:pt idx="295">
                  <c:v>42611</c:v>
                </c:pt>
                <c:pt idx="296">
                  <c:v>42612</c:v>
                </c:pt>
                <c:pt idx="297">
                  <c:v>42613</c:v>
                </c:pt>
                <c:pt idx="298">
                  <c:v>42614</c:v>
                </c:pt>
                <c:pt idx="299">
                  <c:v>42615</c:v>
                </c:pt>
              </c:numCache>
            </c:numRef>
          </c:cat>
          <c:val>
            <c:numRef>
              <c:f>'2017-18'!$D$2:$D$478</c:f>
              <c:numCache>
                <c:formatCode>0.00</c:formatCode>
                <c:ptCount val="300"/>
                <c:pt idx="0">
                  <c:v>43.51</c:v>
                </c:pt>
                <c:pt idx="1">
                  <c:v>43.47</c:v>
                </c:pt>
                <c:pt idx="2">
                  <c:v>43.42</c:v>
                </c:pt>
                <c:pt idx="3">
                  <c:v>43.349999999999994</c:v>
                </c:pt>
                <c:pt idx="4">
                  <c:v>43.349999999999994</c:v>
                </c:pt>
                <c:pt idx="5">
                  <c:v>43.349999999999994</c:v>
                </c:pt>
                <c:pt idx="6">
                  <c:v>43.349999999999994</c:v>
                </c:pt>
                <c:pt idx="7">
                  <c:v>43.349999999999994</c:v>
                </c:pt>
                <c:pt idx="8">
                  <c:v>43.349999999999994</c:v>
                </c:pt>
                <c:pt idx="9">
                  <c:v>43.349999999999994</c:v>
                </c:pt>
                <c:pt idx="10">
                  <c:v>43.48</c:v>
                </c:pt>
                <c:pt idx="11">
                  <c:v>43.48</c:v>
                </c:pt>
                <c:pt idx="12">
                  <c:v>43.51</c:v>
                </c:pt>
                <c:pt idx="13">
                  <c:v>43.51</c:v>
                </c:pt>
                <c:pt idx="14">
                  <c:v>43.51</c:v>
                </c:pt>
                <c:pt idx="15">
                  <c:v>43.6</c:v>
                </c:pt>
                <c:pt idx="16">
                  <c:v>43.65</c:v>
                </c:pt>
                <c:pt idx="17">
                  <c:v>43.65</c:v>
                </c:pt>
                <c:pt idx="18">
                  <c:v>43.65</c:v>
                </c:pt>
                <c:pt idx="19">
                  <c:v>43.65</c:v>
                </c:pt>
                <c:pt idx="20">
                  <c:v>43.65</c:v>
                </c:pt>
                <c:pt idx="21">
                  <c:v>43.65</c:v>
                </c:pt>
                <c:pt idx="22">
                  <c:v>43.65</c:v>
                </c:pt>
                <c:pt idx="23">
                  <c:v>43.65</c:v>
                </c:pt>
                <c:pt idx="24">
                  <c:v>43.68</c:v>
                </c:pt>
                <c:pt idx="25">
                  <c:v>43.760000000000012</c:v>
                </c:pt>
                <c:pt idx="26">
                  <c:v>43.760000000000012</c:v>
                </c:pt>
                <c:pt idx="27">
                  <c:v>43.760000000000012</c:v>
                </c:pt>
                <c:pt idx="28">
                  <c:v>43.760000000000012</c:v>
                </c:pt>
                <c:pt idx="29">
                  <c:v>43.760000000000012</c:v>
                </c:pt>
                <c:pt idx="30">
                  <c:v>43.879999999999995</c:v>
                </c:pt>
                <c:pt idx="31">
                  <c:v>43.96</c:v>
                </c:pt>
                <c:pt idx="32">
                  <c:v>44</c:v>
                </c:pt>
                <c:pt idx="33">
                  <c:v>44</c:v>
                </c:pt>
                <c:pt idx="34">
                  <c:v>44</c:v>
                </c:pt>
                <c:pt idx="35">
                  <c:v>44.25</c:v>
                </c:pt>
                <c:pt idx="36">
                  <c:v>44.49</c:v>
                </c:pt>
                <c:pt idx="37">
                  <c:v>44.52</c:v>
                </c:pt>
                <c:pt idx="38">
                  <c:v>44.51</c:v>
                </c:pt>
                <c:pt idx="39">
                  <c:v>44.4</c:v>
                </c:pt>
                <c:pt idx="40">
                  <c:v>44.4</c:v>
                </c:pt>
                <c:pt idx="41">
                  <c:v>44.4</c:v>
                </c:pt>
                <c:pt idx="42">
                  <c:v>44.44</c:v>
                </c:pt>
                <c:pt idx="43">
                  <c:v>44.44</c:v>
                </c:pt>
                <c:pt idx="44">
                  <c:v>44.44</c:v>
                </c:pt>
                <c:pt idx="45">
                  <c:v>44.7</c:v>
                </c:pt>
                <c:pt idx="46">
                  <c:v>44.9</c:v>
                </c:pt>
                <c:pt idx="47">
                  <c:v>44.92</c:v>
                </c:pt>
                <c:pt idx="48">
                  <c:v>44.92</c:v>
                </c:pt>
                <c:pt idx="49">
                  <c:v>45.15</c:v>
                </c:pt>
                <c:pt idx="50">
                  <c:v>45.190000000000012</c:v>
                </c:pt>
                <c:pt idx="51">
                  <c:v>45.190000000000012</c:v>
                </c:pt>
                <c:pt idx="52">
                  <c:v>45.190000000000012</c:v>
                </c:pt>
                <c:pt idx="53">
                  <c:v>45.74</c:v>
                </c:pt>
                <c:pt idx="54">
                  <c:v>46.1</c:v>
                </c:pt>
                <c:pt idx="55">
                  <c:v>46.1</c:v>
                </c:pt>
                <c:pt idx="56">
                  <c:v>46.1</c:v>
                </c:pt>
                <c:pt idx="57">
                  <c:v>46.1</c:v>
                </c:pt>
                <c:pt idx="58">
                  <c:v>46.1</c:v>
                </c:pt>
                <c:pt idx="59">
                  <c:v>46.1</c:v>
                </c:pt>
                <c:pt idx="60">
                  <c:v>46.1</c:v>
                </c:pt>
                <c:pt idx="61">
                  <c:v>46.1</c:v>
                </c:pt>
                <c:pt idx="62">
                  <c:v>46.1</c:v>
                </c:pt>
                <c:pt idx="63">
                  <c:v>46.1</c:v>
                </c:pt>
                <c:pt idx="64">
                  <c:v>46.1</c:v>
                </c:pt>
                <c:pt idx="65">
                  <c:v>46</c:v>
                </c:pt>
                <c:pt idx="66">
                  <c:v>46</c:v>
                </c:pt>
                <c:pt idx="67">
                  <c:v>45.99</c:v>
                </c:pt>
                <c:pt idx="68">
                  <c:v>45.99</c:v>
                </c:pt>
                <c:pt idx="69">
                  <c:v>45.99</c:v>
                </c:pt>
                <c:pt idx="70">
                  <c:v>45.99</c:v>
                </c:pt>
                <c:pt idx="71">
                  <c:v>45.99</c:v>
                </c:pt>
                <c:pt idx="72">
                  <c:v>46.24</c:v>
                </c:pt>
                <c:pt idx="73">
                  <c:v>46.24</c:v>
                </c:pt>
                <c:pt idx="74">
                  <c:v>46.6</c:v>
                </c:pt>
                <c:pt idx="75">
                  <c:v>46.78</c:v>
                </c:pt>
                <c:pt idx="76">
                  <c:v>47.5</c:v>
                </c:pt>
                <c:pt idx="77">
                  <c:v>47.58</c:v>
                </c:pt>
                <c:pt idx="78">
                  <c:v>47.9</c:v>
                </c:pt>
                <c:pt idx="79">
                  <c:v>48.49</c:v>
                </c:pt>
                <c:pt idx="80">
                  <c:v>48.43</c:v>
                </c:pt>
                <c:pt idx="81">
                  <c:v>48.43</c:v>
                </c:pt>
                <c:pt idx="82">
                  <c:v>48.43</c:v>
                </c:pt>
                <c:pt idx="83">
                  <c:v>48.43</c:v>
                </c:pt>
                <c:pt idx="84">
                  <c:v>48.33</c:v>
                </c:pt>
                <c:pt idx="85">
                  <c:v>48.33</c:v>
                </c:pt>
                <c:pt idx="86">
                  <c:v>48.33</c:v>
                </c:pt>
                <c:pt idx="87">
                  <c:v>48.25</c:v>
                </c:pt>
                <c:pt idx="88">
                  <c:v>48.25</c:v>
                </c:pt>
                <c:pt idx="89">
                  <c:v>48.25</c:v>
                </c:pt>
                <c:pt idx="90">
                  <c:v>48.25</c:v>
                </c:pt>
                <c:pt idx="91">
                  <c:v>48.25</c:v>
                </c:pt>
                <c:pt idx="92">
                  <c:v>48.25</c:v>
                </c:pt>
                <c:pt idx="93">
                  <c:v>48.25</c:v>
                </c:pt>
                <c:pt idx="94">
                  <c:v>48.230000000000011</c:v>
                </c:pt>
                <c:pt idx="95">
                  <c:v>48.230000000000011</c:v>
                </c:pt>
                <c:pt idx="96">
                  <c:v>48.21</c:v>
                </c:pt>
                <c:pt idx="97">
                  <c:v>48.21</c:v>
                </c:pt>
                <c:pt idx="98">
                  <c:v>48.290000000000013</c:v>
                </c:pt>
                <c:pt idx="99">
                  <c:v>48.290000000000013</c:v>
                </c:pt>
                <c:pt idx="100">
                  <c:v>48.290000000000013</c:v>
                </c:pt>
                <c:pt idx="101">
                  <c:v>48.290000000000013</c:v>
                </c:pt>
                <c:pt idx="102">
                  <c:v>48.290000000000013</c:v>
                </c:pt>
                <c:pt idx="103">
                  <c:v>47.78</c:v>
                </c:pt>
                <c:pt idx="104">
                  <c:v>47.78</c:v>
                </c:pt>
                <c:pt idx="105">
                  <c:v>47.53</c:v>
                </c:pt>
                <c:pt idx="106">
                  <c:v>47.53</c:v>
                </c:pt>
                <c:pt idx="107">
                  <c:v>47.53</c:v>
                </c:pt>
                <c:pt idx="108">
                  <c:v>47.53</c:v>
                </c:pt>
                <c:pt idx="109">
                  <c:v>47.449999999999996</c:v>
                </c:pt>
                <c:pt idx="110">
                  <c:v>47.21</c:v>
                </c:pt>
                <c:pt idx="111">
                  <c:v>47.21</c:v>
                </c:pt>
                <c:pt idx="112">
                  <c:v>47.21</c:v>
                </c:pt>
                <c:pt idx="113">
                  <c:v>47.21</c:v>
                </c:pt>
                <c:pt idx="114">
                  <c:v>47.2</c:v>
                </c:pt>
                <c:pt idx="115">
                  <c:v>47.2</c:v>
                </c:pt>
                <c:pt idx="116">
                  <c:v>47.2</c:v>
                </c:pt>
                <c:pt idx="117">
                  <c:v>47.2</c:v>
                </c:pt>
                <c:pt idx="118">
                  <c:v>47.2</c:v>
                </c:pt>
                <c:pt idx="119">
                  <c:v>47.260000000000012</c:v>
                </c:pt>
                <c:pt idx="120">
                  <c:v>47.379999999999995</c:v>
                </c:pt>
                <c:pt idx="121">
                  <c:v>47.36</c:v>
                </c:pt>
                <c:pt idx="122">
                  <c:v>47.36</c:v>
                </c:pt>
                <c:pt idx="123">
                  <c:v>47.36</c:v>
                </c:pt>
                <c:pt idx="124">
                  <c:v>47.44</c:v>
                </c:pt>
                <c:pt idx="125">
                  <c:v>47.379999999999995</c:v>
                </c:pt>
                <c:pt idx="126">
                  <c:v>47.379999999999995</c:v>
                </c:pt>
                <c:pt idx="127">
                  <c:v>47.42</c:v>
                </c:pt>
                <c:pt idx="128">
                  <c:v>47.42</c:v>
                </c:pt>
                <c:pt idx="129">
                  <c:v>47.42</c:v>
                </c:pt>
                <c:pt idx="130">
                  <c:v>47.32</c:v>
                </c:pt>
                <c:pt idx="131">
                  <c:v>47.21</c:v>
                </c:pt>
                <c:pt idx="132">
                  <c:v>47.13</c:v>
                </c:pt>
                <c:pt idx="133">
                  <c:v>47.13</c:v>
                </c:pt>
                <c:pt idx="134">
                  <c:v>47.13</c:v>
                </c:pt>
                <c:pt idx="135">
                  <c:v>47.349999999999994</c:v>
                </c:pt>
                <c:pt idx="136">
                  <c:v>47.290000000000013</c:v>
                </c:pt>
                <c:pt idx="137">
                  <c:v>46.89</c:v>
                </c:pt>
                <c:pt idx="138">
                  <c:v>46.96</c:v>
                </c:pt>
                <c:pt idx="139">
                  <c:v>47.01</c:v>
                </c:pt>
                <c:pt idx="140">
                  <c:v>47.01</c:v>
                </c:pt>
                <c:pt idx="141">
                  <c:v>47.01</c:v>
                </c:pt>
                <c:pt idx="142">
                  <c:v>46.89</c:v>
                </c:pt>
                <c:pt idx="143">
                  <c:v>47.06</c:v>
                </c:pt>
                <c:pt idx="144">
                  <c:v>47.13</c:v>
                </c:pt>
                <c:pt idx="145">
                  <c:v>47.13</c:v>
                </c:pt>
                <c:pt idx="146">
                  <c:v>47.220000000000013</c:v>
                </c:pt>
                <c:pt idx="147">
                  <c:v>47.33</c:v>
                </c:pt>
                <c:pt idx="148">
                  <c:v>47.33</c:v>
                </c:pt>
                <c:pt idx="149">
                  <c:v>47.33</c:v>
                </c:pt>
                <c:pt idx="150">
                  <c:v>47.04</c:v>
                </c:pt>
                <c:pt idx="151">
                  <c:v>47.04</c:v>
                </c:pt>
                <c:pt idx="152">
                  <c:v>47.04</c:v>
                </c:pt>
                <c:pt idx="153">
                  <c:v>47.04</c:v>
                </c:pt>
                <c:pt idx="154">
                  <c:v>47.04</c:v>
                </c:pt>
                <c:pt idx="155">
                  <c:v>46.89</c:v>
                </c:pt>
                <c:pt idx="156">
                  <c:v>46.77</c:v>
                </c:pt>
                <c:pt idx="157">
                  <c:v>46.77</c:v>
                </c:pt>
                <c:pt idx="158">
                  <c:v>46.77</c:v>
                </c:pt>
                <c:pt idx="159">
                  <c:v>46.77</c:v>
                </c:pt>
                <c:pt idx="160">
                  <c:v>46.54</c:v>
                </c:pt>
                <c:pt idx="161">
                  <c:v>46.06</c:v>
                </c:pt>
                <c:pt idx="162">
                  <c:v>45.75</c:v>
                </c:pt>
                <c:pt idx="163">
                  <c:v>46.2</c:v>
                </c:pt>
                <c:pt idx="164">
                  <c:v>46.2</c:v>
                </c:pt>
                <c:pt idx="165">
                  <c:v>46</c:v>
                </c:pt>
                <c:pt idx="166">
                  <c:v>45.78</c:v>
                </c:pt>
                <c:pt idx="167">
                  <c:v>45.63</c:v>
                </c:pt>
                <c:pt idx="168">
                  <c:v>45.51</c:v>
                </c:pt>
                <c:pt idx="169">
                  <c:v>45.849999999999994</c:v>
                </c:pt>
                <c:pt idx="170">
                  <c:v>46.15</c:v>
                </c:pt>
                <c:pt idx="171">
                  <c:v>46.27</c:v>
                </c:pt>
                <c:pt idx="172">
                  <c:v>46.32</c:v>
                </c:pt>
                <c:pt idx="173">
                  <c:v>46.32</c:v>
                </c:pt>
                <c:pt idx="174">
                  <c:v>46.32</c:v>
                </c:pt>
                <c:pt idx="175">
                  <c:v>46.39</c:v>
                </c:pt>
                <c:pt idx="176">
                  <c:v>46.43</c:v>
                </c:pt>
                <c:pt idx="177">
                  <c:v>46.01</c:v>
                </c:pt>
                <c:pt idx="178">
                  <c:v>46.01</c:v>
                </c:pt>
                <c:pt idx="179">
                  <c:v>46.260000000000012</c:v>
                </c:pt>
                <c:pt idx="180">
                  <c:v>46.5</c:v>
                </c:pt>
                <c:pt idx="181">
                  <c:v>46.52</c:v>
                </c:pt>
                <c:pt idx="182">
                  <c:v>46.43</c:v>
                </c:pt>
                <c:pt idx="183">
                  <c:v>46.449999999999996</c:v>
                </c:pt>
                <c:pt idx="184">
                  <c:v>46.449999999999996</c:v>
                </c:pt>
                <c:pt idx="185">
                  <c:v>46.56</c:v>
                </c:pt>
                <c:pt idx="186">
                  <c:v>46.56</c:v>
                </c:pt>
                <c:pt idx="187">
                  <c:v>46.52</c:v>
                </c:pt>
                <c:pt idx="188">
                  <c:v>46.52</c:v>
                </c:pt>
                <c:pt idx="189">
                  <c:v>46.4</c:v>
                </c:pt>
                <c:pt idx="190">
                  <c:v>46.15</c:v>
                </c:pt>
                <c:pt idx="191">
                  <c:v>46.32</c:v>
                </c:pt>
                <c:pt idx="192">
                  <c:v>46.790000000000013</c:v>
                </c:pt>
                <c:pt idx="193">
                  <c:v>46.8</c:v>
                </c:pt>
                <c:pt idx="194">
                  <c:v>46.65</c:v>
                </c:pt>
                <c:pt idx="195">
                  <c:v>46.77</c:v>
                </c:pt>
                <c:pt idx="196">
                  <c:v>46.87</c:v>
                </c:pt>
                <c:pt idx="197">
                  <c:v>47.17</c:v>
                </c:pt>
                <c:pt idx="198">
                  <c:v>47.17</c:v>
                </c:pt>
                <c:pt idx="199">
                  <c:v>47.17</c:v>
                </c:pt>
                <c:pt idx="200">
                  <c:v>47.21</c:v>
                </c:pt>
                <c:pt idx="201">
                  <c:v>47.21</c:v>
                </c:pt>
                <c:pt idx="202">
                  <c:v>47.21</c:v>
                </c:pt>
                <c:pt idx="203">
                  <c:v>47.190000000000012</c:v>
                </c:pt>
                <c:pt idx="204">
                  <c:v>47.27</c:v>
                </c:pt>
                <c:pt idx="205">
                  <c:v>47.51</c:v>
                </c:pt>
                <c:pt idx="206">
                  <c:v>47.64</c:v>
                </c:pt>
                <c:pt idx="207">
                  <c:v>47.67</c:v>
                </c:pt>
                <c:pt idx="208">
                  <c:v>47.9</c:v>
                </c:pt>
                <c:pt idx="209">
                  <c:v>47.9</c:v>
                </c:pt>
                <c:pt idx="210">
                  <c:v>47.9</c:v>
                </c:pt>
                <c:pt idx="211">
                  <c:v>47.9</c:v>
                </c:pt>
                <c:pt idx="212">
                  <c:v>47.9</c:v>
                </c:pt>
                <c:pt idx="213">
                  <c:v>47.9</c:v>
                </c:pt>
                <c:pt idx="214">
                  <c:v>48.09</c:v>
                </c:pt>
                <c:pt idx="215">
                  <c:v>48.5</c:v>
                </c:pt>
                <c:pt idx="216">
                  <c:v>48.86</c:v>
                </c:pt>
                <c:pt idx="217">
                  <c:v>48.849999999999994</c:v>
                </c:pt>
                <c:pt idx="218">
                  <c:v>48.849999999999994</c:v>
                </c:pt>
                <c:pt idx="219">
                  <c:v>48.91</c:v>
                </c:pt>
                <c:pt idx="220">
                  <c:v>49.04</c:v>
                </c:pt>
                <c:pt idx="221">
                  <c:v>49.04</c:v>
                </c:pt>
                <c:pt idx="222">
                  <c:v>49.349999999999994</c:v>
                </c:pt>
                <c:pt idx="223">
                  <c:v>49.379999999999995</c:v>
                </c:pt>
                <c:pt idx="224">
                  <c:v>49.51</c:v>
                </c:pt>
                <c:pt idx="225">
                  <c:v>49.51</c:v>
                </c:pt>
                <c:pt idx="226">
                  <c:v>49.57</c:v>
                </c:pt>
                <c:pt idx="227">
                  <c:v>49.64</c:v>
                </c:pt>
                <c:pt idx="228">
                  <c:v>49.47</c:v>
                </c:pt>
                <c:pt idx="229">
                  <c:v>49.47</c:v>
                </c:pt>
                <c:pt idx="230">
                  <c:v>49.47</c:v>
                </c:pt>
                <c:pt idx="231">
                  <c:v>49.690000000000012</c:v>
                </c:pt>
                <c:pt idx="232">
                  <c:v>49.77</c:v>
                </c:pt>
                <c:pt idx="233">
                  <c:v>50.32</c:v>
                </c:pt>
                <c:pt idx="234">
                  <c:v>50.58</c:v>
                </c:pt>
                <c:pt idx="235">
                  <c:v>51.24</c:v>
                </c:pt>
                <c:pt idx="236">
                  <c:v>51.25</c:v>
                </c:pt>
                <c:pt idx="237">
                  <c:v>51.48</c:v>
                </c:pt>
                <c:pt idx="238">
                  <c:v>51.760000000000012</c:v>
                </c:pt>
                <c:pt idx="239">
                  <c:v>51.690000000000012</c:v>
                </c:pt>
                <c:pt idx="240">
                  <c:v>51.49</c:v>
                </c:pt>
                <c:pt idx="241">
                  <c:v>51.49</c:v>
                </c:pt>
                <c:pt idx="242">
                  <c:v>52</c:v>
                </c:pt>
                <c:pt idx="243">
                  <c:v>52.55</c:v>
                </c:pt>
                <c:pt idx="244">
                  <c:v>52.39</c:v>
                </c:pt>
                <c:pt idx="245">
                  <c:v>52.36</c:v>
                </c:pt>
                <c:pt idx="246">
                  <c:v>52.449999999999996</c:v>
                </c:pt>
                <c:pt idx="247">
                  <c:v>52.51</c:v>
                </c:pt>
                <c:pt idx="248">
                  <c:v>52.94</c:v>
                </c:pt>
                <c:pt idx="249">
                  <c:v>53.290000000000013</c:v>
                </c:pt>
                <c:pt idx="250">
                  <c:v>54</c:v>
                </c:pt>
                <c:pt idx="251">
                  <c:v>54.47</c:v>
                </c:pt>
                <c:pt idx="252">
                  <c:v>53.91</c:v>
                </c:pt>
                <c:pt idx="253">
                  <c:v>54.849999999999994</c:v>
                </c:pt>
                <c:pt idx="254">
                  <c:v>55.08</c:v>
                </c:pt>
                <c:pt idx="255">
                  <c:v>56.07</c:v>
                </c:pt>
                <c:pt idx="256">
                  <c:v>56.07</c:v>
                </c:pt>
                <c:pt idx="257">
                  <c:v>56.07</c:v>
                </c:pt>
                <c:pt idx="258">
                  <c:v>55.949999999999996</c:v>
                </c:pt>
                <c:pt idx="259">
                  <c:v>56.309999999999995</c:v>
                </c:pt>
                <c:pt idx="260">
                  <c:v>56</c:v>
                </c:pt>
                <c:pt idx="261">
                  <c:v>56.21</c:v>
                </c:pt>
                <c:pt idx="262">
                  <c:v>55.839999999999996</c:v>
                </c:pt>
                <c:pt idx="263">
                  <c:v>56.01</c:v>
                </c:pt>
                <c:pt idx="264">
                  <c:v>56.02</c:v>
                </c:pt>
                <c:pt idx="265">
                  <c:v>56</c:v>
                </c:pt>
                <c:pt idx="266">
                  <c:v>56</c:v>
                </c:pt>
                <c:pt idx="267">
                  <c:v>56</c:v>
                </c:pt>
                <c:pt idx="268">
                  <c:v>56.04</c:v>
                </c:pt>
                <c:pt idx="269">
                  <c:v>56.04</c:v>
                </c:pt>
                <c:pt idx="270">
                  <c:v>56</c:v>
                </c:pt>
                <c:pt idx="271">
                  <c:v>55.9</c:v>
                </c:pt>
                <c:pt idx="272">
                  <c:v>55.7</c:v>
                </c:pt>
                <c:pt idx="273">
                  <c:v>55.63</c:v>
                </c:pt>
                <c:pt idx="274">
                  <c:v>55.63</c:v>
                </c:pt>
                <c:pt idx="275">
                  <c:v>55.63</c:v>
                </c:pt>
                <c:pt idx="276">
                  <c:v>55.63</c:v>
                </c:pt>
                <c:pt idx="277">
                  <c:v>56.06</c:v>
                </c:pt>
                <c:pt idx="278">
                  <c:v>56.14</c:v>
                </c:pt>
                <c:pt idx="279">
                  <c:v>56.28</c:v>
                </c:pt>
                <c:pt idx="280">
                  <c:v>56.56</c:v>
                </c:pt>
                <c:pt idx="281">
                  <c:v>57.04</c:v>
                </c:pt>
                <c:pt idx="282">
                  <c:v>57.27</c:v>
                </c:pt>
                <c:pt idx="283">
                  <c:v>58.21</c:v>
                </c:pt>
                <c:pt idx="284">
                  <c:v>57.43</c:v>
                </c:pt>
                <c:pt idx="285">
                  <c:v>57.43</c:v>
                </c:pt>
                <c:pt idx="286">
                  <c:v>56.68</c:v>
                </c:pt>
                <c:pt idx="287">
                  <c:v>56.68</c:v>
                </c:pt>
                <c:pt idx="288">
                  <c:v>56.49</c:v>
                </c:pt>
                <c:pt idx="289">
                  <c:v>55.49</c:v>
                </c:pt>
                <c:pt idx="290">
                  <c:v>55.620000000000012</c:v>
                </c:pt>
                <c:pt idx="291">
                  <c:v>55.620000000000012</c:v>
                </c:pt>
                <c:pt idx="292">
                  <c:v>55.56</c:v>
                </c:pt>
                <c:pt idx="293">
                  <c:v>55.449999999999996</c:v>
                </c:pt>
                <c:pt idx="294">
                  <c:v>55.6</c:v>
                </c:pt>
                <c:pt idx="295">
                  <c:v>55.6</c:v>
                </c:pt>
                <c:pt idx="296">
                  <c:v>55.74</c:v>
                </c:pt>
                <c:pt idx="297">
                  <c:v>56.05</c:v>
                </c:pt>
                <c:pt idx="298">
                  <c:v>56.6</c:v>
                </c:pt>
                <c:pt idx="299">
                  <c:v>57.2</c:v>
                </c:pt>
              </c:numCache>
            </c:numRef>
          </c:val>
        </c:ser>
        <c:dLbls/>
        <c:marker val="1"/>
        <c:axId val="218953984"/>
        <c:axId val="218976256"/>
      </c:lineChart>
      <c:dateAx>
        <c:axId val="218953984"/>
        <c:scaling>
          <c:orientation val="minMax"/>
        </c:scaling>
        <c:axPos val="b"/>
        <c:numFmt formatCode="[$-C09]dd\-mmm\-yy;@" sourceLinked="0"/>
        <c:tickLblPos val="nextTo"/>
        <c:txPr>
          <a:bodyPr rot="-3000000"/>
          <a:lstStyle/>
          <a:p>
            <a:pPr>
              <a:defRPr sz="700"/>
            </a:pPr>
            <a:endParaRPr lang="en-US"/>
          </a:p>
        </c:txPr>
        <c:crossAx val="218976256"/>
        <c:crosses val="autoZero"/>
        <c:auto val="1"/>
        <c:lblOffset val="100"/>
        <c:baseTimeUnit val="days"/>
      </c:dateAx>
      <c:valAx>
        <c:axId val="218976256"/>
        <c:scaling>
          <c:orientation val="minMax"/>
          <c:max val="60"/>
          <c:min val="40"/>
        </c:scaling>
        <c:axPos val="l"/>
        <c:majorGridlines>
          <c:spPr>
            <a:ln w="3175">
              <a:solidFill>
                <a:schemeClr val="bg1">
                  <a:lumMod val="85000"/>
                </a:schemeClr>
              </a:solidFill>
            </a:ln>
          </c:spPr>
        </c:majorGridlines>
        <c:title>
          <c:tx>
            <c:rich>
              <a:bodyPr rot="-5400000" vert="horz"/>
              <a:lstStyle/>
              <a:p>
                <a:pPr>
                  <a:defRPr sz="800"/>
                </a:pPr>
                <a:r>
                  <a:rPr lang="en-US" sz="800"/>
                  <a:t>$/MWh</a:t>
                </a:r>
              </a:p>
            </c:rich>
          </c:tx>
          <c:layout>
            <c:manualLayout>
              <c:xMode val="edge"/>
              <c:yMode val="edge"/>
              <c:x val="1.30536063436798E-2"/>
              <c:y val="0.39189122794170317"/>
            </c:manualLayout>
          </c:layout>
        </c:title>
        <c:numFmt formatCode="#,##0" sourceLinked="0"/>
        <c:tickLblPos val="nextTo"/>
        <c:txPr>
          <a:bodyPr/>
          <a:lstStyle/>
          <a:p>
            <a:pPr>
              <a:defRPr sz="800"/>
            </a:pPr>
            <a:endParaRPr lang="en-US"/>
          </a:p>
        </c:txPr>
        <c:crossAx val="218953984"/>
        <c:crosses val="autoZero"/>
        <c:crossBetween val="between"/>
      </c:valAx>
    </c:plotArea>
    <c:legend>
      <c:legendPos val="r"/>
      <c:layout>
        <c:manualLayout>
          <c:xMode val="edge"/>
          <c:yMode val="edge"/>
          <c:x val="0.127617872821013"/>
          <c:y val="8.2850531171479586E-2"/>
          <c:w val="0.28241443482102202"/>
          <c:h val="0.16705268392306205"/>
        </c:manualLayout>
      </c:layout>
    </c:legend>
    <c:plotVisOnly val="1"/>
    <c:dispBlanksAs val="span"/>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'Table Complaints'!$Q$4</c:f>
              <c:strCache>
                <c:ptCount val="1"/>
                <c:pt idx="0">
                  <c:v>Total complaints</c:v>
                </c:pt>
              </c:strCache>
            </c:strRef>
          </c:tx>
          <c:spPr>
            <a:solidFill>
              <a:schemeClr val="accent1"/>
            </a:solidFill>
            <a:ln>
              <a:noFill/>
            </a:ln>
            <a:effectLst/>
          </c:spPr>
          <c:dPt>
            <c:idx val="0"/>
            <c:spPr>
              <a:solidFill>
                <a:schemeClr val="accent6">
                  <a:lumMod val="75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Complaints'!$I$5:$I$9</c:f>
              <c:strCache>
                <c:ptCount val="5"/>
                <c:pt idx="0">
                  <c:v>ACT</c:v>
                </c:pt>
                <c:pt idx="1">
                  <c:v>New South Wales</c:v>
                </c:pt>
                <c:pt idx="2">
                  <c:v>Queensland</c:v>
                </c:pt>
                <c:pt idx="3">
                  <c:v>Tasmania</c:v>
                </c:pt>
                <c:pt idx="4">
                  <c:v>South Australia</c:v>
                </c:pt>
              </c:strCache>
            </c:strRef>
          </c:cat>
          <c:val>
            <c:numRef>
              <c:f>'Table Complaints'!$Q$5:$Q$9</c:f>
              <c:numCache>
                <c:formatCode>0.0%</c:formatCode>
                <c:ptCount val="5"/>
                <c:pt idx="0">
                  <c:v>1.7546652717286209E-2</c:v>
                </c:pt>
                <c:pt idx="1">
                  <c:v>3.8239560203423811E-2</c:v>
                </c:pt>
                <c:pt idx="2">
                  <c:v>3.1910471790932503E-2</c:v>
                </c:pt>
                <c:pt idx="3">
                  <c:v>9.3945720250521898E-3</c:v>
                </c:pt>
                <c:pt idx="4">
                  <c:v>3.9887320212587299E-2</c:v>
                </c:pt>
              </c:numCache>
            </c:numRef>
          </c:val>
        </c:ser>
        <c:dLbls/>
        <c:gapWidth val="219"/>
        <c:overlap val="-27"/>
        <c:axId val="234951040"/>
        <c:axId val="234952576"/>
      </c:barChart>
      <c:catAx>
        <c:axId val="234951040"/>
        <c:scaling>
          <c:orientation val="minMax"/>
        </c:scaling>
        <c:axPos val="b"/>
        <c:numFmt formatCode="General" sourceLinked="1"/>
        <c:maj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952576"/>
        <c:crosses val="autoZero"/>
        <c:auto val="1"/>
        <c:lblAlgn val="ctr"/>
        <c:lblOffset val="100"/>
      </c:catAx>
      <c:valAx>
        <c:axId val="234952576"/>
        <c:scaling>
          <c:orientation val="minMax"/>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951040"/>
        <c:crosses val="autoZero"/>
        <c:crossBetween val="between"/>
        <c:majorUnit val="1.0000000000000005E-2"/>
      </c:valAx>
      <c:spPr>
        <a:noFill/>
        <a:ln>
          <a:noFill/>
        </a:ln>
        <a:effectLst/>
      </c:spPr>
    </c:plotArea>
    <c:plotVisOnly val="1"/>
    <c:dispBlanksAs val="gap"/>
  </c:chart>
  <c:spPr>
    <a:solidFill>
      <a:schemeClr val="bg1"/>
    </a:solidFill>
    <a:ln w="9525" cap="flat" cmpd="sng" algn="ctr">
      <a:solidFill>
        <a:schemeClr val="bg1">
          <a:lumMod val="65000"/>
        </a:schemeClr>
      </a:solidFill>
      <a:round/>
    </a:ln>
    <a:effectLst/>
  </c:spPr>
  <c:txPr>
    <a:bodyPr/>
    <a:lstStyle/>
    <a:p>
      <a:pPr>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A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Single rate offers</a:t>
            </a:r>
          </a:p>
        </c:rich>
      </c:tx>
      <c:spPr>
        <a:noFill/>
        <a:ln>
          <a:noFill/>
        </a:ln>
        <a:effectLst/>
      </c:spPr>
    </c:title>
    <c:plotArea>
      <c:layout>
        <c:manualLayout>
          <c:layoutTarget val="inner"/>
          <c:xMode val="edge"/>
          <c:yMode val="edge"/>
          <c:x val="8.7151479227559697E-2"/>
          <c:y val="0.10253869885621104"/>
          <c:w val="0.89162696422823262"/>
          <c:h val="0.74551605211041805"/>
        </c:manualLayout>
      </c:layout>
      <c:barChart>
        <c:barDir val="col"/>
        <c:grouping val="clustered"/>
        <c:ser>
          <c:idx val="0"/>
          <c:order val="0"/>
          <c:tx>
            <c:strRef>
              <c:f>Chart!$Q$1</c:f>
              <c:strCache>
                <c:ptCount val="1"/>
                <c:pt idx="0">
                  <c:v>ACT SR</c:v>
                </c:pt>
              </c:strCache>
            </c:strRef>
          </c:tx>
          <c:spPr>
            <a:solidFill>
              <a:srgbClr val="CC00CC"/>
            </a:solidFill>
            <a:ln>
              <a:noFill/>
            </a:ln>
            <a:effectLst/>
          </c:spPr>
          <c:cat>
            <c:strRef>
              <c:f>Chart!$P$5:$P$20</c:f>
              <c:strCache>
                <c:ptCount val="16"/>
                <c:pt idx="0">
                  <c:v> 1,550 </c:v>
                </c:pt>
                <c:pt idx="1">
                  <c:v> 1,650 </c:v>
                </c:pt>
                <c:pt idx="2">
                  <c:v> 1,750 </c:v>
                </c:pt>
                <c:pt idx="3">
                  <c:v> 1,850 </c:v>
                </c:pt>
                <c:pt idx="4">
                  <c:v> 1,950 </c:v>
                </c:pt>
                <c:pt idx="5">
                  <c:v> 2,050 </c:v>
                </c:pt>
                <c:pt idx="6">
                  <c:v> 2,150 </c:v>
                </c:pt>
                <c:pt idx="7">
                  <c:v> 2,250 </c:v>
                </c:pt>
                <c:pt idx="8">
                  <c:v> 2,350 </c:v>
                </c:pt>
                <c:pt idx="9">
                  <c:v> 2,450 </c:v>
                </c:pt>
                <c:pt idx="10">
                  <c:v> 2,550 </c:v>
                </c:pt>
                <c:pt idx="11">
                  <c:v> 2,650 </c:v>
                </c:pt>
                <c:pt idx="12">
                  <c:v> 2,750 </c:v>
                </c:pt>
                <c:pt idx="13">
                  <c:v> 2,850 </c:v>
                </c:pt>
                <c:pt idx="14">
                  <c:v> 2,950 </c:v>
                </c:pt>
                <c:pt idx="15">
                  <c:v>&gt;3000</c:v>
                </c:pt>
              </c:strCache>
            </c:strRef>
          </c:cat>
          <c:val>
            <c:numRef>
              <c:f>Chart!$Q$5:$Q$20</c:f>
              <c:numCache>
                <c:formatCode>General</c:formatCode>
                <c:ptCount val="16"/>
                <c:pt idx="0">
                  <c:v>11</c:v>
                </c:pt>
                <c:pt idx="1">
                  <c:v>7</c:v>
                </c:pt>
                <c:pt idx="2">
                  <c:v>3</c:v>
                </c:pt>
                <c:pt idx="3">
                  <c:v>1</c:v>
                </c:pt>
                <c:pt idx="4">
                  <c:v>0</c:v>
                </c:pt>
                <c:pt idx="5">
                  <c:v>0</c:v>
                </c:pt>
                <c:pt idx="6">
                  <c:v>0</c:v>
                </c:pt>
                <c:pt idx="7">
                  <c:v>0</c:v>
                </c:pt>
                <c:pt idx="8">
                  <c:v>1</c:v>
                </c:pt>
                <c:pt idx="9">
                  <c:v>0</c:v>
                </c:pt>
                <c:pt idx="10">
                  <c:v>0</c:v>
                </c:pt>
                <c:pt idx="11">
                  <c:v>0</c:v>
                </c:pt>
                <c:pt idx="12">
                  <c:v>0</c:v>
                </c:pt>
                <c:pt idx="13">
                  <c:v>0</c:v>
                </c:pt>
                <c:pt idx="14">
                  <c:v>0</c:v>
                </c:pt>
                <c:pt idx="15">
                  <c:v>0</c:v>
                </c:pt>
              </c:numCache>
            </c:numRef>
          </c:val>
          <c:extLst xmlns:c16r2="http://schemas.microsoft.com/office/drawing/2015/06/chart">
            <c:ext xmlns:c16="http://schemas.microsoft.com/office/drawing/2014/chart" uri="{C3380CC4-5D6E-409C-BE32-E72D297353CC}">
              <c16:uniqueId val="{00000000-9371-4667-8FE5-236BAE63D7BF}"/>
            </c:ext>
          </c:extLst>
        </c:ser>
        <c:ser>
          <c:idx val="2"/>
          <c:order val="1"/>
          <c:tx>
            <c:strRef>
              <c:f>Chart!$S$1</c:f>
              <c:strCache>
                <c:ptCount val="1"/>
                <c:pt idx="0">
                  <c:v>Sydney SR</c:v>
                </c:pt>
              </c:strCache>
            </c:strRef>
          </c:tx>
          <c:spPr>
            <a:solidFill>
              <a:srgbClr val="00B050"/>
            </a:solidFill>
            <a:ln>
              <a:noFill/>
            </a:ln>
            <a:effectLst/>
          </c:spPr>
          <c:cat>
            <c:strRef>
              <c:f>Chart!$P$5:$P$20</c:f>
              <c:strCache>
                <c:ptCount val="16"/>
                <c:pt idx="0">
                  <c:v> 1,550 </c:v>
                </c:pt>
                <c:pt idx="1">
                  <c:v> 1,650 </c:v>
                </c:pt>
                <c:pt idx="2">
                  <c:v> 1,750 </c:v>
                </c:pt>
                <c:pt idx="3">
                  <c:v> 1,850 </c:v>
                </c:pt>
                <c:pt idx="4">
                  <c:v> 1,950 </c:v>
                </c:pt>
                <c:pt idx="5">
                  <c:v> 2,050 </c:v>
                </c:pt>
                <c:pt idx="6">
                  <c:v> 2,150 </c:v>
                </c:pt>
                <c:pt idx="7">
                  <c:v> 2,250 </c:v>
                </c:pt>
                <c:pt idx="8">
                  <c:v> 2,350 </c:v>
                </c:pt>
                <c:pt idx="9">
                  <c:v> 2,450 </c:v>
                </c:pt>
                <c:pt idx="10">
                  <c:v> 2,550 </c:v>
                </c:pt>
                <c:pt idx="11">
                  <c:v> 2,650 </c:v>
                </c:pt>
                <c:pt idx="12">
                  <c:v> 2,750 </c:v>
                </c:pt>
                <c:pt idx="13">
                  <c:v> 2,850 </c:v>
                </c:pt>
                <c:pt idx="14">
                  <c:v> 2,950 </c:v>
                </c:pt>
                <c:pt idx="15">
                  <c:v>&gt;3000</c:v>
                </c:pt>
              </c:strCache>
            </c:strRef>
          </c:cat>
          <c:val>
            <c:numRef>
              <c:f>Chart!$S$5:$S$20</c:f>
              <c:numCache>
                <c:formatCode>General</c:formatCode>
                <c:ptCount val="16"/>
                <c:pt idx="0">
                  <c:v>0</c:v>
                </c:pt>
                <c:pt idx="1">
                  <c:v>0</c:v>
                </c:pt>
                <c:pt idx="2">
                  <c:v>1</c:v>
                </c:pt>
                <c:pt idx="3">
                  <c:v>4</c:v>
                </c:pt>
                <c:pt idx="4">
                  <c:v>9</c:v>
                </c:pt>
                <c:pt idx="5">
                  <c:v>11</c:v>
                </c:pt>
                <c:pt idx="6">
                  <c:v>11</c:v>
                </c:pt>
                <c:pt idx="7">
                  <c:v>2</c:v>
                </c:pt>
                <c:pt idx="8">
                  <c:v>12</c:v>
                </c:pt>
                <c:pt idx="9">
                  <c:v>16</c:v>
                </c:pt>
                <c:pt idx="10">
                  <c:v>2</c:v>
                </c:pt>
                <c:pt idx="11">
                  <c:v>2</c:v>
                </c:pt>
                <c:pt idx="12">
                  <c:v>0</c:v>
                </c:pt>
                <c:pt idx="13">
                  <c:v>0</c:v>
                </c:pt>
                <c:pt idx="14">
                  <c:v>1</c:v>
                </c:pt>
                <c:pt idx="15">
                  <c:v>3</c:v>
                </c:pt>
              </c:numCache>
            </c:numRef>
          </c:val>
          <c:extLst xmlns:c16r2="http://schemas.microsoft.com/office/drawing/2015/06/chart">
            <c:ext xmlns:c16="http://schemas.microsoft.com/office/drawing/2014/chart" uri="{C3380CC4-5D6E-409C-BE32-E72D297353CC}">
              <c16:uniqueId val="{0000000F-9371-4667-8FE5-236BAE63D7BF}"/>
            </c:ext>
          </c:extLst>
        </c:ser>
        <c:ser>
          <c:idx val="4"/>
          <c:order val="2"/>
          <c:tx>
            <c:strRef>
              <c:f>Chart!$U$1</c:f>
              <c:strCache>
                <c:ptCount val="1"/>
                <c:pt idx="0">
                  <c:v>Brisbane SR</c:v>
                </c:pt>
              </c:strCache>
            </c:strRef>
          </c:tx>
          <c:spPr>
            <a:solidFill>
              <a:schemeClr val="accent1">
                <a:lumMod val="75000"/>
              </a:schemeClr>
            </a:solidFill>
            <a:ln>
              <a:noFill/>
            </a:ln>
            <a:effectLst/>
          </c:spPr>
          <c:cat>
            <c:strRef>
              <c:f>Chart!$P$5:$P$20</c:f>
              <c:strCache>
                <c:ptCount val="16"/>
                <c:pt idx="0">
                  <c:v> 1,550 </c:v>
                </c:pt>
                <c:pt idx="1">
                  <c:v> 1,650 </c:v>
                </c:pt>
                <c:pt idx="2">
                  <c:v> 1,750 </c:v>
                </c:pt>
                <c:pt idx="3">
                  <c:v> 1,850 </c:v>
                </c:pt>
                <c:pt idx="4">
                  <c:v> 1,950 </c:v>
                </c:pt>
                <c:pt idx="5">
                  <c:v> 2,050 </c:v>
                </c:pt>
                <c:pt idx="6">
                  <c:v> 2,150 </c:v>
                </c:pt>
                <c:pt idx="7">
                  <c:v> 2,250 </c:v>
                </c:pt>
                <c:pt idx="8">
                  <c:v> 2,350 </c:v>
                </c:pt>
                <c:pt idx="9">
                  <c:v> 2,450 </c:v>
                </c:pt>
                <c:pt idx="10">
                  <c:v> 2,550 </c:v>
                </c:pt>
                <c:pt idx="11">
                  <c:v> 2,650 </c:v>
                </c:pt>
                <c:pt idx="12">
                  <c:v> 2,750 </c:v>
                </c:pt>
                <c:pt idx="13">
                  <c:v> 2,850 </c:v>
                </c:pt>
                <c:pt idx="14">
                  <c:v> 2,950 </c:v>
                </c:pt>
                <c:pt idx="15">
                  <c:v>&gt;3000</c:v>
                </c:pt>
              </c:strCache>
            </c:strRef>
          </c:cat>
          <c:val>
            <c:numRef>
              <c:f>Chart!$U$5:$U$20</c:f>
              <c:numCache>
                <c:formatCode>General</c:formatCode>
                <c:ptCount val="16"/>
                <c:pt idx="0">
                  <c:v>0</c:v>
                </c:pt>
                <c:pt idx="1">
                  <c:v>0</c:v>
                </c:pt>
                <c:pt idx="2">
                  <c:v>0</c:v>
                </c:pt>
                <c:pt idx="3">
                  <c:v>0</c:v>
                </c:pt>
                <c:pt idx="4">
                  <c:v>0</c:v>
                </c:pt>
                <c:pt idx="5">
                  <c:v>0</c:v>
                </c:pt>
                <c:pt idx="6">
                  <c:v>3</c:v>
                </c:pt>
                <c:pt idx="7">
                  <c:v>8</c:v>
                </c:pt>
                <c:pt idx="8">
                  <c:v>15</c:v>
                </c:pt>
                <c:pt idx="9">
                  <c:v>10</c:v>
                </c:pt>
                <c:pt idx="10">
                  <c:v>6</c:v>
                </c:pt>
                <c:pt idx="11">
                  <c:v>1</c:v>
                </c:pt>
                <c:pt idx="12">
                  <c:v>0</c:v>
                </c:pt>
                <c:pt idx="13">
                  <c:v>0</c:v>
                </c:pt>
                <c:pt idx="14">
                  <c:v>0</c:v>
                </c:pt>
                <c:pt idx="15">
                  <c:v>0</c:v>
                </c:pt>
              </c:numCache>
            </c:numRef>
          </c:val>
        </c:ser>
        <c:ser>
          <c:idx val="6"/>
          <c:order val="3"/>
          <c:tx>
            <c:strRef>
              <c:f>Chart!$W$1</c:f>
              <c:strCache>
                <c:ptCount val="1"/>
                <c:pt idx="0">
                  <c:v>Adelaide SR</c:v>
                </c:pt>
              </c:strCache>
            </c:strRef>
          </c:tx>
          <c:spPr>
            <a:solidFill>
              <a:srgbClr val="FFC000"/>
            </a:solidFill>
            <a:ln>
              <a:noFill/>
            </a:ln>
            <a:effectLst/>
          </c:spPr>
          <c:cat>
            <c:strRef>
              <c:f>Chart!$P$5:$P$20</c:f>
              <c:strCache>
                <c:ptCount val="16"/>
                <c:pt idx="0">
                  <c:v> 1,550 </c:v>
                </c:pt>
                <c:pt idx="1">
                  <c:v> 1,650 </c:v>
                </c:pt>
                <c:pt idx="2">
                  <c:v> 1,750 </c:v>
                </c:pt>
                <c:pt idx="3">
                  <c:v> 1,850 </c:v>
                </c:pt>
                <c:pt idx="4">
                  <c:v> 1,950 </c:v>
                </c:pt>
                <c:pt idx="5">
                  <c:v> 2,050 </c:v>
                </c:pt>
                <c:pt idx="6">
                  <c:v> 2,150 </c:v>
                </c:pt>
                <c:pt idx="7">
                  <c:v> 2,250 </c:v>
                </c:pt>
                <c:pt idx="8">
                  <c:v> 2,350 </c:v>
                </c:pt>
                <c:pt idx="9">
                  <c:v> 2,450 </c:v>
                </c:pt>
                <c:pt idx="10">
                  <c:v> 2,550 </c:v>
                </c:pt>
                <c:pt idx="11">
                  <c:v> 2,650 </c:v>
                </c:pt>
                <c:pt idx="12">
                  <c:v> 2,750 </c:v>
                </c:pt>
                <c:pt idx="13">
                  <c:v> 2,850 </c:v>
                </c:pt>
                <c:pt idx="14">
                  <c:v> 2,950 </c:v>
                </c:pt>
                <c:pt idx="15">
                  <c:v>&gt;3000</c:v>
                </c:pt>
              </c:strCache>
            </c:strRef>
          </c:cat>
          <c:val>
            <c:numRef>
              <c:f>Chart!$W$5:$W$20</c:f>
              <c:numCache>
                <c:formatCode>General</c:formatCode>
                <c:ptCount val="16"/>
                <c:pt idx="0">
                  <c:v>0</c:v>
                </c:pt>
                <c:pt idx="1">
                  <c:v>0</c:v>
                </c:pt>
                <c:pt idx="2">
                  <c:v>0</c:v>
                </c:pt>
                <c:pt idx="3">
                  <c:v>0</c:v>
                </c:pt>
                <c:pt idx="4">
                  <c:v>0</c:v>
                </c:pt>
                <c:pt idx="5">
                  <c:v>0</c:v>
                </c:pt>
                <c:pt idx="6">
                  <c:v>0</c:v>
                </c:pt>
                <c:pt idx="7">
                  <c:v>1</c:v>
                </c:pt>
                <c:pt idx="8">
                  <c:v>0</c:v>
                </c:pt>
                <c:pt idx="9">
                  <c:v>0</c:v>
                </c:pt>
                <c:pt idx="10">
                  <c:v>5</c:v>
                </c:pt>
                <c:pt idx="11">
                  <c:v>6</c:v>
                </c:pt>
                <c:pt idx="12">
                  <c:v>8</c:v>
                </c:pt>
                <c:pt idx="13">
                  <c:v>4</c:v>
                </c:pt>
                <c:pt idx="14">
                  <c:v>6</c:v>
                </c:pt>
                <c:pt idx="15">
                  <c:v>30</c:v>
                </c:pt>
              </c:numCache>
            </c:numRef>
          </c:val>
        </c:ser>
        <c:ser>
          <c:idx val="8"/>
          <c:order val="4"/>
          <c:tx>
            <c:strRef>
              <c:f>Chart!$Y$1</c:f>
              <c:strCache>
                <c:ptCount val="1"/>
                <c:pt idx="0">
                  <c:v>Melbourne SR</c:v>
                </c:pt>
              </c:strCache>
            </c:strRef>
          </c:tx>
          <c:spPr>
            <a:solidFill>
              <a:schemeClr val="tx1"/>
            </a:solidFill>
            <a:ln>
              <a:noFill/>
            </a:ln>
            <a:effectLst/>
          </c:spPr>
          <c:cat>
            <c:strRef>
              <c:f>Chart!$P$5:$P$20</c:f>
              <c:strCache>
                <c:ptCount val="16"/>
                <c:pt idx="0">
                  <c:v> 1,550 </c:v>
                </c:pt>
                <c:pt idx="1">
                  <c:v> 1,650 </c:v>
                </c:pt>
                <c:pt idx="2">
                  <c:v> 1,750 </c:v>
                </c:pt>
                <c:pt idx="3">
                  <c:v> 1,850 </c:v>
                </c:pt>
                <c:pt idx="4">
                  <c:v> 1,950 </c:v>
                </c:pt>
                <c:pt idx="5">
                  <c:v> 2,050 </c:v>
                </c:pt>
                <c:pt idx="6">
                  <c:v> 2,150 </c:v>
                </c:pt>
                <c:pt idx="7">
                  <c:v> 2,250 </c:v>
                </c:pt>
                <c:pt idx="8">
                  <c:v> 2,350 </c:v>
                </c:pt>
                <c:pt idx="9">
                  <c:v> 2,450 </c:v>
                </c:pt>
                <c:pt idx="10">
                  <c:v> 2,550 </c:v>
                </c:pt>
                <c:pt idx="11">
                  <c:v> 2,650 </c:v>
                </c:pt>
                <c:pt idx="12">
                  <c:v> 2,750 </c:v>
                </c:pt>
                <c:pt idx="13">
                  <c:v> 2,850 </c:v>
                </c:pt>
                <c:pt idx="14">
                  <c:v> 2,950 </c:v>
                </c:pt>
                <c:pt idx="15">
                  <c:v>&gt;3000</c:v>
                </c:pt>
              </c:strCache>
            </c:strRef>
          </c:cat>
          <c:val>
            <c:numRef>
              <c:f>Chart!$Y$5:$Y$20</c:f>
              <c:numCache>
                <c:formatCode>General</c:formatCode>
                <c:ptCount val="16"/>
                <c:pt idx="0">
                  <c:v>7</c:v>
                </c:pt>
                <c:pt idx="1">
                  <c:v>19</c:v>
                </c:pt>
                <c:pt idx="2">
                  <c:v>27</c:v>
                </c:pt>
                <c:pt idx="3">
                  <c:v>31</c:v>
                </c:pt>
                <c:pt idx="4">
                  <c:v>26</c:v>
                </c:pt>
                <c:pt idx="5">
                  <c:v>19</c:v>
                </c:pt>
                <c:pt idx="6">
                  <c:v>14</c:v>
                </c:pt>
                <c:pt idx="7">
                  <c:v>20</c:v>
                </c:pt>
                <c:pt idx="8">
                  <c:v>20</c:v>
                </c:pt>
                <c:pt idx="9">
                  <c:v>14</c:v>
                </c:pt>
                <c:pt idx="10">
                  <c:v>5</c:v>
                </c:pt>
                <c:pt idx="11">
                  <c:v>9</c:v>
                </c:pt>
                <c:pt idx="12">
                  <c:v>4</c:v>
                </c:pt>
                <c:pt idx="13">
                  <c:v>1</c:v>
                </c:pt>
                <c:pt idx="14">
                  <c:v>0</c:v>
                </c:pt>
                <c:pt idx="15">
                  <c:v>0</c:v>
                </c:pt>
              </c:numCache>
            </c:numRef>
          </c:val>
        </c:ser>
        <c:ser>
          <c:idx val="9"/>
          <c:order val="5"/>
          <c:tx>
            <c:strRef>
              <c:f>Chart!$Z$1</c:f>
              <c:strCache>
                <c:ptCount val="1"/>
                <c:pt idx="0">
                  <c:v>Hobart SR</c:v>
                </c:pt>
              </c:strCache>
            </c:strRef>
          </c:tx>
          <c:spPr>
            <a:solidFill>
              <a:srgbClr val="FF0000"/>
            </a:solidFill>
            <a:ln>
              <a:noFill/>
            </a:ln>
            <a:effectLst/>
          </c:spPr>
          <c:cat>
            <c:strRef>
              <c:f>Chart!$P$5:$P$20</c:f>
              <c:strCache>
                <c:ptCount val="16"/>
                <c:pt idx="0">
                  <c:v> 1,550 </c:v>
                </c:pt>
                <c:pt idx="1">
                  <c:v> 1,650 </c:v>
                </c:pt>
                <c:pt idx="2">
                  <c:v> 1,750 </c:v>
                </c:pt>
                <c:pt idx="3">
                  <c:v> 1,850 </c:v>
                </c:pt>
                <c:pt idx="4">
                  <c:v> 1,950 </c:v>
                </c:pt>
                <c:pt idx="5">
                  <c:v> 2,050 </c:v>
                </c:pt>
                <c:pt idx="6">
                  <c:v> 2,150 </c:v>
                </c:pt>
                <c:pt idx="7">
                  <c:v> 2,250 </c:v>
                </c:pt>
                <c:pt idx="8">
                  <c:v> 2,350 </c:v>
                </c:pt>
                <c:pt idx="9">
                  <c:v> 2,450 </c:v>
                </c:pt>
                <c:pt idx="10">
                  <c:v> 2,550 </c:v>
                </c:pt>
                <c:pt idx="11">
                  <c:v> 2,650 </c:v>
                </c:pt>
                <c:pt idx="12">
                  <c:v> 2,750 </c:v>
                </c:pt>
                <c:pt idx="13">
                  <c:v> 2,850 </c:v>
                </c:pt>
                <c:pt idx="14">
                  <c:v> 2,950 </c:v>
                </c:pt>
                <c:pt idx="15">
                  <c:v>&gt;3000</c:v>
                </c:pt>
              </c:strCache>
            </c:strRef>
          </c:cat>
          <c:val>
            <c:numRef>
              <c:f>Chart!$Z$5:$Z$20</c:f>
              <c:numCache>
                <c:formatCode>General</c:formatCode>
                <c:ptCount val="16"/>
                <c:pt idx="0">
                  <c:v>0</c:v>
                </c:pt>
                <c:pt idx="1">
                  <c:v>0</c:v>
                </c:pt>
                <c:pt idx="2">
                  <c:v>0</c:v>
                </c:pt>
                <c:pt idx="3">
                  <c:v>0</c:v>
                </c:pt>
                <c:pt idx="4">
                  <c:v>0</c:v>
                </c:pt>
                <c:pt idx="5">
                  <c:v>0</c:v>
                </c:pt>
                <c:pt idx="6">
                  <c:v>0</c:v>
                </c:pt>
                <c:pt idx="7">
                  <c:v>0</c:v>
                </c:pt>
                <c:pt idx="8">
                  <c:v>1</c:v>
                </c:pt>
                <c:pt idx="9">
                  <c:v>0</c:v>
                </c:pt>
                <c:pt idx="10">
                  <c:v>0</c:v>
                </c:pt>
                <c:pt idx="11">
                  <c:v>0</c:v>
                </c:pt>
                <c:pt idx="12">
                  <c:v>0</c:v>
                </c:pt>
                <c:pt idx="13">
                  <c:v>0</c:v>
                </c:pt>
                <c:pt idx="14">
                  <c:v>0</c:v>
                </c:pt>
                <c:pt idx="15">
                  <c:v>0</c:v>
                </c:pt>
              </c:numCache>
            </c:numRef>
          </c:val>
        </c:ser>
        <c:dLbls/>
        <c:gapWidth val="0"/>
        <c:overlap val="7"/>
        <c:axId val="235179392"/>
        <c:axId val="235185664"/>
        <c:extLst>
          <c:ext xmlns:c15="http://schemas.microsoft.com/office/drawing/2012/chart" uri="{02D57815-91ED-43cb-92C2-25804820EDAC}">
            <c15:filteredBarSeries>
              <c15:ser>
                <c:idx val="1"/>
                <c:order val="1"/>
                <c:tx>
                  <c:strRef>
                    <c:extLst>
                      <c:ext uri="{02D57815-91ED-43cb-92C2-25804820EDAC}">
                        <c15:formulaRef>
                          <c15:sqref>Chart!$R$1</c15:sqref>
                        </c15:formulaRef>
                      </c:ext>
                    </c:extLst>
                    <c:strCache>
                      <c:ptCount val="1"/>
                      <c:pt idx="0">
                        <c:v>ACT TOU</c:v>
                      </c:pt>
                    </c:strCache>
                  </c:strRef>
                </c:tx>
                <c:spPr>
                  <a:solidFill>
                    <a:schemeClr val="bg1">
                      <a:lumMod val="65000"/>
                    </a:schemeClr>
                  </a:solidFill>
                  <a:ln>
                    <a:noFill/>
                  </a:ln>
                  <a:effectLst/>
                </c:spPr>
                <c:invertIfNegative val="0"/>
                <c:cat>
                  <c:strRef>
                    <c:extLst>
                      <c:ext uri="{02D57815-91ED-43cb-92C2-25804820EDAC}">
                        <c15:formulaRef>
                          <c15:sqref>Chart!$P$5:$P$20</c15:sqref>
                        </c15:formulaRef>
                      </c:ext>
                    </c:extLst>
                    <c:strCache>
                      <c:ptCount val="16"/>
                      <c:pt idx="0">
                        <c:v> 1,550 </c:v>
                      </c:pt>
                      <c:pt idx="1">
                        <c:v> 1,650 </c:v>
                      </c:pt>
                      <c:pt idx="2">
                        <c:v> 1,750 </c:v>
                      </c:pt>
                      <c:pt idx="3">
                        <c:v> 1,850 </c:v>
                      </c:pt>
                      <c:pt idx="4">
                        <c:v> 1,950 </c:v>
                      </c:pt>
                      <c:pt idx="5">
                        <c:v> 2,050 </c:v>
                      </c:pt>
                      <c:pt idx="6">
                        <c:v> 2,150 </c:v>
                      </c:pt>
                      <c:pt idx="7">
                        <c:v> 2,250 </c:v>
                      </c:pt>
                      <c:pt idx="8">
                        <c:v> 2,350 </c:v>
                      </c:pt>
                      <c:pt idx="9">
                        <c:v> 2,450 </c:v>
                      </c:pt>
                      <c:pt idx="10">
                        <c:v> 2,550 </c:v>
                      </c:pt>
                      <c:pt idx="11">
                        <c:v> 2,650 </c:v>
                      </c:pt>
                      <c:pt idx="12">
                        <c:v> 2,750 </c:v>
                      </c:pt>
                      <c:pt idx="13">
                        <c:v> 2,850 </c:v>
                      </c:pt>
                      <c:pt idx="14">
                        <c:v> 2,950 </c:v>
                      </c:pt>
                      <c:pt idx="15">
                        <c:v>&gt;3000</c:v>
                      </c:pt>
                    </c:strCache>
                  </c:strRef>
                </c:cat>
                <c:val>
                  <c:numRef>
                    <c:extLst>
                      <c:ext uri="{02D57815-91ED-43cb-92C2-25804820EDAC}">
                        <c15:formulaRef>
                          <c15:sqref>Chart!$R$5:$R$20</c15:sqref>
                        </c15:formulaRef>
                      </c:ext>
                    </c:extLst>
                    <c:numCache>
                      <c:formatCode>General</c:formatCode>
                      <c:ptCount val="16"/>
                      <c:pt idx="0">
                        <c:v>3</c:v>
                      </c:pt>
                      <c:pt idx="1">
                        <c:v>6</c:v>
                      </c:pt>
                      <c:pt idx="2">
                        <c:v>1</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xmlns:c16r2="http://schemas.microsoft.com/office/drawing/2015/06/chart">
                  <c:ext xmlns:c16="http://schemas.microsoft.com/office/drawing/2014/chart" uri="{C3380CC4-5D6E-409C-BE32-E72D297353CC}">
                    <c16:uniqueId val="{00000001-9371-4667-8FE5-236BAE63D7B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Chart!$T$1</c15:sqref>
                        </c15:formulaRef>
                      </c:ext>
                    </c:extLst>
                    <c:strCache>
                      <c:ptCount val="1"/>
                      <c:pt idx="0">
                        <c:v>SydneyTOU</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Chart!$P$5:$P$20</c15:sqref>
                        </c15:formulaRef>
                      </c:ext>
                    </c:extLst>
                    <c:strCache>
                      <c:ptCount val="16"/>
                      <c:pt idx="0">
                        <c:v> 1,550 </c:v>
                      </c:pt>
                      <c:pt idx="1">
                        <c:v> 1,650 </c:v>
                      </c:pt>
                      <c:pt idx="2">
                        <c:v> 1,750 </c:v>
                      </c:pt>
                      <c:pt idx="3">
                        <c:v> 1,850 </c:v>
                      </c:pt>
                      <c:pt idx="4">
                        <c:v> 1,950 </c:v>
                      </c:pt>
                      <c:pt idx="5">
                        <c:v> 2,050 </c:v>
                      </c:pt>
                      <c:pt idx="6">
                        <c:v> 2,150 </c:v>
                      </c:pt>
                      <c:pt idx="7">
                        <c:v> 2,250 </c:v>
                      </c:pt>
                      <c:pt idx="8">
                        <c:v> 2,350 </c:v>
                      </c:pt>
                      <c:pt idx="9">
                        <c:v> 2,450 </c:v>
                      </c:pt>
                      <c:pt idx="10">
                        <c:v> 2,550 </c:v>
                      </c:pt>
                      <c:pt idx="11">
                        <c:v> 2,650 </c:v>
                      </c:pt>
                      <c:pt idx="12">
                        <c:v> 2,750 </c:v>
                      </c:pt>
                      <c:pt idx="13">
                        <c:v> 2,850 </c:v>
                      </c:pt>
                      <c:pt idx="14">
                        <c:v> 2,950 </c:v>
                      </c:pt>
                      <c:pt idx="15">
                        <c:v>&gt;3000</c:v>
                      </c:pt>
                    </c:strCache>
                  </c:strRef>
                </c:cat>
                <c:val>
                  <c:numRef>
                    <c:extLst xmlns:c15="http://schemas.microsoft.com/office/drawing/2012/chart">
                      <c:ext xmlns:c15="http://schemas.microsoft.com/office/drawing/2012/chart" uri="{02D57815-91ED-43cb-92C2-25804820EDAC}">
                        <c15:formulaRef>
                          <c15:sqref>Chart!$T$5:$T$20</c15:sqref>
                        </c15:formulaRef>
                      </c:ext>
                    </c:extLst>
                    <c:numCache>
                      <c:formatCode>General</c:formatCode>
                      <c:ptCount val="16"/>
                      <c:pt idx="0">
                        <c:v>0</c:v>
                      </c:pt>
                      <c:pt idx="1">
                        <c:v>0</c:v>
                      </c:pt>
                      <c:pt idx="2">
                        <c:v>0</c:v>
                      </c:pt>
                      <c:pt idx="3">
                        <c:v>2</c:v>
                      </c:pt>
                      <c:pt idx="4">
                        <c:v>4</c:v>
                      </c:pt>
                      <c:pt idx="5">
                        <c:v>9</c:v>
                      </c:pt>
                      <c:pt idx="6">
                        <c:v>13</c:v>
                      </c:pt>
                      <c:pt idx="7">
                        <c:v>7</c:v>
                      </c:pt>
                      <c:pt idx="8">
                        <c:v>5</c:v>
                      </c:pt>
                      <c:pt idx="9">
                        <c:v>19</c:v>
                      </c:pt>
                      <c:pt idx="10">
                        <c:v>8</c:v>
                      </c:pt>
                      <c:pt idx="11">
                        <c:v>1</c:v>
                      </c:pt>
                      <c:pt idx="12">
                        <c:v>1</c:v>
                      </c:pt>
                      <c:pt idx="13">
                        <c:v>0</c:v>
                      </c:pt>
                      <c:pt idx="14">
                        <c:v>0</c:v>
                      </c:pt>
                      <c:pt idx="15">
                        <c:v>3</c:v>
                      </c:pt>
                    </c:numCache>
                  </c:numRef>
                </c:val>
                <c:extLst xmlns:c16r2="http://schemas.microsoft.com/office/drawing/2015/06/chart" xmlns:c15="http://schemas.microsoft.com/office/drawing/2012/chart">
                  <c:ext xmlns:c16="http://schemas.microsoft.com/office/drawing/2014/chart" uri="{C3380CC4-5D6E-409C-BE32-E72D297353CC}">
                    <c16:uniqueId val="{00000010-9371-4667-8FE5-236BAE63D7B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Chart!$V$1</c15:sqref>
                        </c15:formulaRef>
                      </c:ext>
                    </c:extLst>
                    <c:strCache>
                      <c:ptCount val="1"/>
                      <c:pt idx="0">
                        <c:v>Brisbane TOU</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Chart!$P$5:$P$20</c15:sqref>
                        </c15:formulaRef>
                      </c:ext>
                    </c:extLst>
                    <c:strCache>
                      <c:ptCount val="16"/>
                      <c:pt idx="0">
                        <c:v> 1,550 </c:v>
                      </c:pt>
                      <c:pt idx="1">
                        <c:v> 1,650 </c:v>
                      </c:pt>
                      <c:pt idx="2">
                        <c:v> 1,750 </c:v>
                      </c:pt>
                      <c:pt idx="3">
                        <c:v> 1,850 </c:v>
                      </c:pt>
                      <c:pt idx="4">
                        <c:v> 1,950 </c:v>
                      </c:pt>
                      <c:pt idx="5">
                        <c:v> 2,050 </c:v>
                      </c:pt>
                      <c:pt idx="6">
                        <c:v> 2,150 </c:v>
                      </c:pt>
                      <c:pt idx="7">
                        <c:v> 2,250 </c:v>
                      </c:pt>
                      <c:pt idx="8">
                        <c:v> 2,350 </c:v>
                      </c:pt>
                      <c:pt idx="9">
                        <c:v> 2,450 </c:v>
                      </c:pt>
                      <c:pt idx="10">
                        <c:v> 2,550 </c:v>
                      </c:pt>
                      <c:pt idx="11">
                        <c:v> 2,650 </c:v>
                      </c:pt>
                      <c:pt idx="12">
                        <c:v> 2,750 </c:v>
                      </c:pt>
                      <c:pt idx="13">
                        <c:v> 2,850 </c:v>
                      </c:pt>
                      <c:pt idx="14">
                        <c:v> 2,950 </c:v>
                      </c:pt>
                      <c:pt idx="15">
                        <c:v>&gt;3000</c:v>
                      </c:pt>
                    </c:strCache>
                  </c:strRef>
                </c:cat>
                <c:val>
                  <c:numRef>
                    <c:extLst xmlns:c15="http://schemas.microsoft.com/office/drawing/2012/chart">
                      <c:ext xmlns:c15="http://schemas.microsoft.com/office/drawing/2012/chart" uri="{02D57815-91ED-43cb-92C2-25804820EDAC}">
                        <c15:formulaRef>
                          <c15:sqref>Chart!$V$5:$V$20</c15:sqref>
                        </c15:formulaRef>
                      </c:ext>
                    </c:extLst>
                    <c:numCache>
                      <c:formatCode>General</c:formatCode>
                      <c:ptCount val="16"/>
                      <c:pt idx="0">
                        <c:v>0</c:v>
                      </c:pt>
                      <c:pt idx="1">
                        <c:v>0</c:v>
                      </c:pt>
                      <c:pt idx="2">
                        <c:v>0</c:v>
                      </c:pt>
                      <c:pt idx="3">
                        <c:v>0</c:v>
                      </c:pt>
                      <c:pt idx="4">
                        <c:v>0</c:v>
                      </c:pt>
                      <c:pt idx="5">
                        <c:v>0</c:v>
                      </c:pt>
                      <c:pt idx="6">
                        <c:v>4</c:v>
                      </c:pt>
                      <c:pt idx="7">
                        <c:v>9</c:v>
                      </c:pt>
                      <c:pt idx="8">
                        <c:v>11</c:v>
                      </c:pt>
                      <c:pt idx="9">
                        <c:v>7</c:v>
                      </c:pt>
                      <c:pt idx="10">
                        <c:v>5</c:v>
                      </c:pt>
                      <c:pt idx="11">
                        <c:v>2</c:v>
                      </c:pt>
                      <c:pt idx="12">
                        <c:v>1</c:v>
                      </c:pt>
                      <c:pt idx="13">
                        <c:v>0</c:v>
                      </c:pt>
                      <c:pt idx="14">
                        <c:v>0</c:v>
                      </c:pt>
                      <c:pt idx="15">
                        <c:v>0</c:v>
                      </c:pt>
                    </c:numCache>
                  </c:numRef>
                </c:val>
              </c15:ser>
            </c15:filteredBarSeries>
            <c15:filteredBarSeries>
              <c15:ser>
                <c:idx val="7"/>
                <c:order val="7"/>
                <c:tx>
                  <c:strRef>
                    <c:extLst xmlns:c15="http://schemas.microsoft.com/office/drawing/2012/chart">
                      <c:ext xmlns:c15="http://schemas.microsoft.com/office/drawing/2012/chart" uri="{02D57815-91ED-43cb-92C2-25804820EDAC}">
                        <c15:formulaRef>
                          <c15:sqref>Chart!$X$1</c15:sqref>
                        </c15:formulaRef>
                      </c:ext>
                    </c:extLst>
                    <c:strCache>
                      <c:ptCount val="1"/>
                      <c:pt idx="0">
                        <c:v>Adelaide TOU</c:v>
                      </c:pt>
                    </c:strCache>
                  </c:strRef>
                </c:tx>
                <c:spPr>
                  <a:solidFill>
                    <a:srgbClr val="FFFF00"/>
                  </a:solidFill>
                  <a:ln>
                    <a:noFill/>
                  </a:ln>
                  <a:effectLst/>
                </c:spPr>
                <c:invertIfNegative val="0"/>
                <c:cat>
                  <c:strRef>
                    <c:extLst xmlns:c15="http://schemas.microsoft.com/office/drawing/2012/chart">
                      <c:ext xmlns:c15="http://schemas.microsoft.com/office/drawing/2012/chart" uri="{02D57815-91ED-43cb-92C2-25804820EDAC}">
                        <c15:formulaRef>
                          <c15:sqref>Chart!$P$5:$P$20</c15:sqref>
                        </c15:formulaRef>
                      </c:ext>
                    </c:extLst>
                    <c:strCache>
                      <c:ptCount val="16"/>
                      <c:pt idx="0">
                        <c:v> 1,550 </c:v>
                      </c:pt>
                      <c:pt idx="1">
                        <c:v> 1,650 </c:v>
                      </c:pt>
                      <c:pt idx="2">
                        <c:v> 1,750 </c:v>
                      </c:pt>
                      <c:pt idx="3">
                        <c:v> 1,850 </c:v>
                      </c:pt>
                      <c:pt idx="4">
                        <c:v> 1,950 </c:v>
                      </c:pt>
                      <c:pt idx="5">
                        <c:v> 2,050 </c:v>
                      </c:pt>
                      <c:pt idx="6">
                        <c:v> 2,150 </c:v>
                      </c:pt>
                      <c:pt idx="7">
                        <c:v> 2,250 </c:v>
                      </c:pt>
                      <c:pt idx="8">
                        <c:v> 2,350 </c:v>
                      </c:pt>
                      <c:pt idx="9">
                        <c:v> 2,450 </c:v>
                      </c:pt>
                      <c:pt idx="10">
                        <c:v> 2,550 </c:v>
                      </c:pt>
                      <c:pt idx="11">
                        <c:v> 2,650 </c:v>
                      </c:pt>
                      <c:pt idx="12">
                        <c:v> 2,750 </c:v>
                      </c:pt>
                      <c:pt idx="13">
                        <c:v> 2,850 </c:v>
                      </c:pt>
                      <c:pt idx="14">
                        <c:v> 2,950 </c:v>
                      </c:pt>
                      <c:pt idx="15">
                        <c:v>&gt;3000</c:v>
                      </c:pt>
                    </c:strCache>
                  </c:strRef>
                </c:cat>
                <c:val>
                  <c:numRef>
                    <c:extLst xmlns:c15="http://schemas.microsoft.com/office/drawing/2012/chart">
                      <c:ext xmlns:c15="http://schemas.microsoft.com/office/drawing/2012/chart" uri="{02D57815-91ED-43cb-92C2-25804820EDAC}">
                        <c15:formulaRef>
                          <c15:sqref>Chart!$X$5:$X$20</c15:sqref>
                        </c15:formulaRef>
                      </c:ext>
                    </c:extLst>
                    <c:numCache>
                      <c:formatCode>General</c:formatCode>
                      <c:ptCount val="16"/>
                      <c:pt idx="0">
                        <c:v>0</c:v>
                      </c:pt>
                      <c:pt idx="1">
                        <c:v>0</c:v>
                      </c:pt>
                      <c:pt idx="2">
                        <c:v>0</c:v>
                      </c:pt>
                      <c:pt idx="3">
                        <c:v>0</c:v>
                      </c:pt>
                      <c:pt idx="4">
                        <c:v>0</c:v>
                      </c:pt>
                      <c:pt idx="5">
                        <c:v>0</c:v>
                      </c:pt>
                      <c:pt idx="6">
                        <c:v>0</c:v>
                      </c:pt>
                      <c:pt idx="7">
                        <c:v>0</c:v>
                      </c:pt>
                      <c:pt idx="8">
                        <c:v>0</c:v>
                      </c:pt>
                      <c:pt idx="9">
                        <c:v>6</c:v>
                      </c:pt>
                      <c:pt idx="10">
                        <c:v>0</c:v>
                      </c:pt>
                      <c:pt idx="11">
                        <c:v>2</c:v>
                      </c:pt>
                      <c:pt idx="12">
                        <c:v>0</c:v>
                      </c:pt>
                      <c:pt idx="13">
                        <c:v>0</c:v>
                      </c:pt>
                      <c:pt idx="14">
                        <c:v>0</c:v>
                      </c:pt>
                      <c:pt idx="15">
                        <c:v>0</c:v>
                      </c:pt>
                    </c:numCache>
                  </c:numRef>
                </c:val>
              </c15:ser>
            </c15:filteredBarSeries>
            <c15:filteredBarSeries>
              <c15:ser>
                <c:idx val="10"/>
                <c:order val="10"/>
                <c:tx>
                  <c:strRef>
                    <c:extLst xmlns:c15="http://schemas.microsoft.com/office/drawing/2012/chart">
                      <c:ext xmlns:c15="http://schemas.microsoft.com/office/drawing/2012/chart" uri="{02D57815-91ED-43cb-92C2-25804820EDAC}">
                        <c15:formulaRef>
                          <c15:sqref>Chart!$AA$1</c15:sqref>
                        </c15:formulaRef>
                      </c:ext>
                    </c:extLst>
                    <c:strCache>
                      <c:ptCount val="1"/>
                      <c:pt idx="0">
                        <c:v>Hobart TOU</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Chart!$P$5:$P$20</c15:sqref>
                        </c15:formulaRef>
                      </c:ext>
                    </c:extLst>
                    <c:strCache>
                      <c:ptCount val="16"/>
                      <c:pt idx="0">
                        <c:v> 1,550 </c:v>
                      </c:pt>
                      <c:pt idx="1">
                        <c:v> 1,650 </c:v>
                      </c:pt>
                      <c:pt idx="2">
                        <c:v> 1,750 </c:v>
                      </c:pt>
                      <c:pt idx="3">
                        <c:v> 1,850 </c:v>
                      </c:pt>
                      <c:pt idx="4">
                        <c:v> 1,950 </c:v>
                      </c:pt>
                      <c:pt idx="5">
                        <c:v> 2,050 </c:v>
                      </c:pt>
                      <c:pt idx="6">
                        <c:v> 2,150 </c:v>
                      </c:pt>
                      <c:pt idx="7">
                        <c:v> 2,250 </c:v>
                      </c:pt>
                      <c:pt idx="8">
                        <c:v> 2,350 </c:v>
                      </c:pt>
                      <c:pt idx="9">
                        <c:v> 2,450 </c:v>
                      </c:pt>
                      <c:pt idx="10">
                        <c:v> 2,550 </c:v>
                      </c:pt>
                      <c:pt idx="11">
                        <c:v> 2,650 </c:v>
                      </c:pt>
                      <c:pt idx="12">
                        <c:v> 2,750 </c:v>
                      </c:pt>
                      <c:pt idx="13">
                        <c:v> 2,850 </c:v>
                      </c:pt>
                      <c:pt idx="14">
                        <c:v> 2,950 </c:v>
                      </c:pt>
                      <c:pt idx="15">
                        <c:v>&gt;3000</c:v>
                      </c:pt>
                    </c:strCache>
                  </c:strRef>
                </c:cat>
                <c:val>
                  <c:numRef>
                    <c:extLst xmlns:c15="http://schemas.microsoft.com/office/drawing/2012/chart">
                      <c:ext xmlns:c15="http://schemas.microsoft.com/office/drawing/2012/chart" uri="{02D57815-91ED-43cb-92C2-25804820EDAC}">
                        <c15:formulaRef>
                          <c15:sqref>Chart!$AA$5:$AA$20</c15:sqref>
                        </c15:formulaRef>
                      </c:ext>
                    </c:extLst>
                    <c:numCache>
                      <c:formatCode>General</c:formatCode>
                      <c:ptCount val="16"/>
                      <c:pt idx="0">
                        <c:v>0</c:v>
                      </c:pt>
                      <c:pt idx="1">
                        <c:v>0</c:v>
                      </c:pt>
                      <c:pt idx="2">
                        <c:v>1</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15:ser>
            </c15:filteredBarSeries>
          </c:ext>
        </c:extLst>
      </c:barChart>
      <c:catAx>
        <c:axId val="23517939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Value of midpoint offer (range = $100)</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5185664"/>
        <c:crosses val="autoZero"/>
        <c:auto val="1"/>
        <c:lblAlgn val="ctr"/>
        <c:lblOffset val="100"/>
      </c:catAx>
      <c:valAx>
        <c:axId val="235185664"/>
        <c:scaling>
          <c:orientation val="minMax"/>
          <c:max val="35"/>
        </c:scaling>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offers in price range</a:t>
                </a:r>
              </a:p>
            </c:rich>
          </c:tx>
          <c:spPr>
            <a:noFill/>
            <a:ln>
              <a:noFill/>
            </a:ln>
            <a:effectLst/>
          </c:spPr>
        </c:title>
        <c:numFmt formatCode="General" sourceLinked="1"/>
        <c:maj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179392"/>
        <c:crosses val="autoZero"/>
        <c:crossBetween val="between"/>
      </c:valAx>
      <c:spPr>
        <a:noFill/>
        <a:ln>
          <a:noFill/>
        </a:ln>
        <a:effectLst/>
      </c:spPr>
    </c:plotArea>
    <c:legend>
      <c:legendPos val="t"/>
      <c:layout>
        <c:manualLayout>
          <c:xMode val="edge"/>
          <c:yMode val="edge"/>
          <c:x val="0.73894831246452786"/>
          <c:y val="0.10640488447918305"/>
          <c:w val="0.17278640647816312"/>
          <c:h val="0.48405373601118284"/>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bg1">
          <a:lumMod val="75000"/>
        </a:schemeClr>
      </a:solidFill>
      <a:round/>
    </a:ln>
    <a:effectLst/>
  </c:spPr>
  <c:txPr>
    <a:bodyPr/>
    <a:lstStyle/>
    <a:p>
      <a:pPr>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A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Time</a:t>
            </a:r>
            <a:r>
              <a:rPr lang="en-AU" baseline="0"/>
              <a:t> of use </a:t>
            </a:r>
            <a:r>
              <a:rPr lang="en-AU"/>
              <a:t>offers</a:t>
            </a:r>
          </a:p>
        </c:rich>
      </c:tx>
      <c:spPr>
        <a:noFill/>
        <a:ln>
          <a:noFill/>
        </a:ln>
        <a:effectLst/>
      </c:spPr>
    </c:title>
    <c:plotArea>
      <c:layout>
        <c:manualLayout>
          <c:layoutTarget val="inner"/>
          <c:xMode val="edge"/>
          <c:yMode val="edge"/>
          <c:x val="8.7151479227559697E-2"/>
          <c:y val="0.10253869885621104"/>
          <c:w val="0.89162696422823262"/>
          <c:h val="0.74551605211041805"/>
        </c:manualLayout>
      </c:layout>
      <c:barChart>
        <c:barDir val="col"/>
        <c:grouping val="clustered"/>
        <c:ser>
          <c:idx val="1"/>
          <c:order val="0"/>
          <c:tx>
            <c:strRef>
              <c:f>Chart!$R$1</c:f>
              <c:strCache>
                <c:ptCount val="1"/>
                <c:pt idx="0">
                  <c:v>ACT TOU</c:v>
                </c:pt>
              </c:strCache>
            </c:strRef>
          </c:tx>
          <c:spPr>
            <a:solidFill>
              <a:srgbClr val="CC00CC"/>
            </a:solidFill>
            <a:ln>
              <a:noFill/>
            </a:ln>
            <a:effectLst/>
          </c:spPr>
          <c:cat>
            <c:strRef>
              <c:f>Chart!$P$2:$P$20</c:f>
              <c:strCache>
                <c:ptCount val="19"/>
                <c:pt idx="0">
                  <c:v>&lt;1300</c:v>
                </c:pt>
                <c:pt idx="1">
                  <c:v> 1,350 </c:v>
                </c:pt>
                <c:pt idx="2">
                  <c:v> 1,450 </c:v>
                </c:pt>
                <c:pt idx="3">
                  <c:v> 1,550 </c:v>
                </c:pt>
                <c:pt idx="4">
                  <c:v> 1,650 </c:v>
                </c:pt>
                <c:pt idx="5">
                  <c:v> 1,750 </c:v>
                </c:pt>
                <c:pt idx="6">
                  <c:v> 1,850 </c:v>
                </c:pt>
                <c:pt idx="7">
                  <c:v> 1,950 </c:v>
                </c:pt>
                <c:pt idx="8">
                  <c:v> 2,050 </c:v>
                </c:pt>
                <c:pt idx="9">
                  <c:v> 2,150 </c:v>
                </c:pt>
                <c:pt idx="10">
                  <c:v> 2,250 </c:v>
                </c:pt>
                <c:pt idx="11">
                  <c:v> 2,350 </c:v>
                </c:pt>
                <c:pt idx="12">
                  <c:v> 2,450 </c:v>
                </c:pt>
                <c:pt idx="13">
                  <c:v> 2,550 </c:v>
                </c:pt>
                <c:pt idx="14">
                  <c:v> 2,650 </c:v>
                </c:pt>
                <c:pt idx="15">
                  <c:v> 2,750 </c:v>
                </c:pt>
                <c:pt idx="16">
                  <c:v> 2,850 </c:v>
                </c:pt>
                <c:pt idx="17">
                  <c:v> 2,950 </c:v>
                </c:pt>
                <c:pt idx="18">
                  <c:v>&gt;3000</c:v>
                </c:pt>
              </c:strCache>
            </c:strRef>
          </c:cat>
          <c:val>
            <c:numRef>
              <c:f>Chart!$R$2:$R$20</c:f>
              <c:numCache>
                <c:formatCode>General</c:formatCode>
                <c:ptCount val="19"/>
                <c:pt idx="0">
                  <c:v>1</c:v>
                </c:pt>
                <c:pt idx="1">
                  <c:v>1</c:v>
                </c:pt>
                <c:pt idx="2">
                  <c:v>3</c:v>
                </c:pt>
                <c:pt idx="3">
                  <c:v>3</c:v>
                </c:pt>
                <c:pt idx="4">
                  <c:v>6</c:v>
                </c:pt>
                <c:pt idx="5">
                  <c:v>1</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extLst xmlns:c15="http://schemas.microsoft.com/office/drawing/2012/chart" xmlns:c16r2="http://schemas.microsoft.com/office/drawing/2015/06/chart">
            <c:ext xmlns:c16="http://schemas.microsoft.com/office/drawing/2014/chart" uri="{C3380CC4-5D6E-409C-BE32-E72D297353CC}">
              <c16:uniqueId val="{00000001-9371-4667-8FE5-236BAE63D7BF}"/>
            </c:ext>
          </c:extLst>
        </c:ser>
        <c:ser>
          <c:idx val="3"/>
          <c:order val="1"/>
          <c:tx>
            <c:strRef>
              <c:f>Chart!$T$1</c:f>
              <c:strCache>
                <c:ptCount val="1"/>
                <c:pt idx="0">
                  <c:v>SydneyTOU</c:v>
                </c:pt>
              </c:strCache>
            </c:strRef>
          </c:tx>
          <c:spPr>
            <a:solidFill>
              <a:srgbClr val="00B050"/>
            </a:solidFill>
            <a:ln>
              <a:noFill/>
            </a:ln>
            <a:effectLst/>
          </c:spPr>
          <c:cat>
            <c:strRef>
              <c:f>Chart!$P$2:$P$20</c:f>
              <c:strCache>
                <c:ptCount val="19"/>
                <c:pt idx="0">
                  <c:v>&lt;1300</c:v>
                </c:pt>
                <c:pt idx="1">
                  <c:v> 1,350 </c:v>
                </c:pt>
                <c:pt idx="2">
                  <c:v> 1,450 </c:v>
                </c:pt>
                <c:pt idx="3">
                  <c:v> 1,550 </c:v>
                </c:pt>
                <c:pt idx="4">
                  <c:v> 1,650 </c:v>
                </c:pt>
                <c:pt idx="5">
                  <c:v> 1,750 </c:v>
                </c:pt>
                <c:pt idx="6">
                  <c:v> 1,850 </c:v>
                </c:pt>
                <c:pt idx="7">
                  <c:v> 1,950 </c:v>
                </c:pt>
                <c:pt idx="8">
                  <c:v> 2,050 </c:v>
                </c:pt>
                <c:pt idx="9">
                  <c:v> 2,150 </c:v>
                </c:pt>
                <c:pt idx="10">
                  <c:v> 2,250 </c:v>
                </c:pt>
                <c:pt idx="11">
                  <c:v> 2,350 </c:v>
                </c:pt>
                <c:pt idx="12">
                  <c:v> 2,450 </c:v>
                </c:pt>
                <c:pt idx="13">
                  <c:v> 2,550 </c:v>
                </c:pt>
                <c:pt idx="14">
                  <c:v> 2,650 </c:v>
                </c:pt>
                <c:pt idx="15">
                  <c:v> 2,750 </c:v>
                </c:pt>
                <c:pt idx="16">
                  <c:v> 2,850 </c:v>
                </c:pt>
                <c:pt idx="17">
                  <c:v> 2,950 </c:v>
                </c:pt>
                <c:pt idx="18">
                  <c:v>&gt;3000</c:v>
                </c:pt>
              </c:strCache>
            </c:strRef>
          </c:cat>
          <c:val>
            <c:numRef>
              <c:f>Chart!$T$2:$T$20</c:f>
              <c:numCache>
                <c:formatCode>General</c:formatCode>
                <c:ptCount val="19"/>
                <c:pt idx="0">
                  <c:v>0</c:v>
                </c:pt>
                <c:pt idx="1">
                  <c:v>0</c:v>
                </c:pt>
                <c:pt idx="2">
                  <c:v>0</c:v>
                </c:pt>
                <c:pt idx="3">
                  <c:v>0</c:v>
                </c:pt>
                <c:pt idx="4">
                  <c:v>0</c:v>
                </c:pt>
                <c:pt idx="5">
                  <c:v>0</c:v>
                </c:pt>
                <c:pt idx="6">
                  <c:v>2</c:v>
                </c:pt>
                <c:pt idx="7">
                  <c:v>4</c:v>
                </c:pt>
                <c:pt idx="8">
                  <c:v>9</c:v>
                </c:pt>
                <c:pt idx="9">
                  <c:v>13</c:v>
                </c:pt>
                <c:pt idx="10">
                  <c:v>7</c:v>
                </c:pt>
                <c:pt idx="11">
                  <c:v>5</c:v>
                </c:pt>
                <c:pt idx="12">
                  <c:v>19</c:v>
                </c:pt>
                <c:pt idx="13">
                  <c:v>8</c:v>
                </c:pt>
                <c:pt idx="14">
                  <c:v>1</c:v>
                </c:pt>
                <c:pt idx="15">
                  <c:v>1</c:v>
                </c:pt>
                <c:pt idx="16">
                  <c:v>0</c:v>
                </c:pt>
                <c:pt idx="17">
                  <c:v>0</c:v>
                </c:pt>
                <c:pt idx="18">
                  <c:v>3</c:v>
                </c:pt>
              </c:numCache>
            </c:numRef>
          </c:val>
          <c:extLst xmlns:c15="http://schemas.microsoft.com/office/drawing/2012/chart" xmlns:c16r2="http://schemas.microsoft.com/office/drawing/2015/06/chart">
            <c:ext xmlns:c16="http://schemas.microsoft.com/office/drawing/2014/chart" uri="{C3380CC4-5D6E-409C-BE32-E72D297353CC}">
              <c16:uniqueId val="{00000010-9371-4667-8FE5-236BAE63D7BF}"/>
            </c:ext>
          </c:extLst>
        </c:ser>
        <c:ser>
          <c:idx val="5"/>
          <c:order val="2"/>
          <c:tx>
            <c:strRef>
              <c:f>Chart!$V$1</c:f>
              <c:strCache>
                <c:ptCount val="1"/>
                <c:pt idx="0">
                  <c:v>Brisbane TOU</c:v>
                </c:pt>
              </c:strCache>
            </c:strRef>
          </c:tx>
          <c:spPr>
            <a:solidFill>
              <a:srgbClr val="0070C0"/>
            </a:solidFill>
            <a:ln>
              <a:noFill/>
            </a:ln>
            <a:effectLst/>
          </c:spPr>
          <c:cat>
            <c:strRef>
              <c:f>Chart!$P$2:$P$20</c:f>
              <c:strCache>
                <c:ptCount val="19"/>
                <c:pt idx="0">
                  <c:v>&lt;1300</c:v>
                </c:pt>
                <c:pt idx="1">
                  <c:v> 1,350 </c:v>
                </c:pt>
                <c:pt idx="2">
                  <c:v> 1,450 </c:v>
                </c:pt>
                <c:pt idx="3">
                  <c:v> 1,550 </c:v>
                </c:pt>
                <c:pt idx="4">
                  <c:v> 1,650 </c:v>
                </c:pt>
                <c:pt idx="5">
                  <c:v> 1,750 </c:v>
                </c:pt>
                <c:pt idx="6">
                  <c:v> 1,850 </c:v>
                </c:pt>
                <c:pt idx="7">
                  <c:v> 1,950 </c:v>
                </c:pt>
                <c:pt idx="8">
                  <c:v> 2,050 </c:v>
                </c:pt>
                <c:pt idx="9">
                  <c:v> 2,150 </c:v>
                </c:pt>
                <c:pt idx="10">
                  <c:v> 2,250 </c:v>
                </c:pt>
                <c:pt idx="11">
                  <c:v> 2,350 </c:v>
                </c:pt>
                <c:pt idx="12">
                  <c:v> 2,450 </c:v>
                </c:pt>
                <c:pt idx="13">
                  <c:v> 2,550 </c:v>
                </c:pt>
                <c:pt idx="14">
                  <c:v> 2,650 </c:v>
                </c:pt>
                <c:pt idx="15">
                  <c:v> 2,750 </c:v>
                </c:pt>
                <c:pt idx="16">
                  <c:v> 2,850 </c:v>
                </c:pt>
                <c:pt idx="17">
                  <c:v> 2,950 </c:v>
                </c:pt>
                <c:pt idx="18">
                  <c:v>&gt;3000</c:v>
                </c:pt>
              </c:strCache>
            </c:strRef>
          </c:cat>
          <c:val>
            <c:numRef>
              <c:f>Chart!$V$2:$V$20</c:f>
              <c:numCache>
                <c:formatCode>General</c:formatCode>
                <c:ptCount val="19"/>
                <c:pt idx="0">
                  <c:v>0</c:v>
                </c:pt>
                <c:pt idx="1">
                  <c:v>0</c:v>
                </c:pt>
                <c:pt idx="2">
                  <c:v>0</c:v>
                </c:pt>
                <c:pt idx="3">
                  <c:v>0</c:v>
                </c:pt>
                <c:pt idx="4">
                  <c:v>0</c:v>
                </c:pt>
                <c:pt idx="5">
                  <c:v>0</c:v>
                </c:pt>
                <c:pt idx="6">
                  <c:v>0</c:v>
                </c:pt>
                <c:pt idx="7">
                  <c:v>0</c:v>
                </c:pt>
                <c:pt idx="8">
                  <c:v>0</c:v>
                </c:pt>
                <c:pt idx="9">
                  <c:v>4</c:v>
                </c:pt>
                <c:pt idx="10">
                  <c:v>9</c:v>
                </c:pt>
                <c:pt idx="11">
                  <c:v>11</c:v>
                </c:pt>
                <c:pt idx="12">
                  <c:v>7</c:v>
                </c:pt>
                <c:pt idx="13">
                  <c:v>5</c:v>
                </c:pt>
                <c:pt idx="14">
                  <c:v>2</c:v>
                </c:pt>
                <c:pt idx="15">
                  <c:v>1</c:v>
                </c:pt>
                <c:pt idx="16">
                  <c:v>0</c:v>
                </c:pt>
                <c:pt idx="17">
                  <c:v>0</c:v>
                </c:pt>
                <c:pt idx="18">
                  <c:v>0</c:v>
                </c:pt>
              </c:numCache>
            </c:numRef>
          </c:val>
        </c:ser>
        <c:ser>
          <c:idx val="7"/>
          <c:order val="3"/>
          <c:tx>
            <c:strRef>
              <c:f>Chart!$X$1</c:f>
              <c:strCache>
                <c:ptCount val="1"/>
                <c:pt idx="0">
                  <c:v>Adelaide TOU</c:v>
                </c:pt>
              </c:strCache>
            </c:strRef>
          </c:tx>
          <c:spPr>
            <a:solidFill>
              <a:srgbClr val="FFC000"/>
            </a:solidFill>
            <a:ln>
              <a:noFill/>
            </a:ln>
            <a:effectLst/>
          </c:spPr>
          <c:cat>
            <c:strRef>
              <c:f>Chart!$P$2:$P$20</c:f>
              <c:strCache>
                <c:ptCount val="19"/>
                <c:pt idx="0">
                  <c:v>&lt;1300</c:v>
                </c:pt>
                <c:pt idx="1">
                  <c:v> 1,350 </c:v>
                </c:pt>
                <c:pt idx="2">
                  <c:v> 1,450 </c:v>
                </c:pt>
                <c:pt idx="3">
                  <c:v> 1,550 </c:v>
                </c:pt>
                <c:pt idx="4">
                  <c:v> 1,650 </c:v>
                </c:pt>
                <c:pt idx="5">
                  <c:v> 1,750 </c:v>
                </c:pt>
                <c:pt idx="6">
                  <c:v> 1,850 </c:v>
                </c:pt>
                <c:pt idx="7">
                  <c:v> 1,950 </c:v>
                </c:pt>
                <c:pt idx="8">
                  <c:v> 2,050 </c:v>
                </c:pt>
                <c:pt idx="9">
                  <c:v> 2,150 </c:v>
                </c:pt>
                <c:pt idx="10">
                  <c:v> 2,250 </c:v>
                </c:pt>
                <c:pt idx="11">
                  <c:v> 2,350 </c:v>
                </c:pt>
                <c:pt idx="12">
                  <c:v> 2,450 </c:v>
                </c:pt>
                <c:pt idx="13">
                  <c:v> 2,550 </c:v>
                </c:pt>
                <c:pt idx="14">
                  <c:v> 2,650 </c:v>
                </c:pt>
                <c:pt idx="15">
                  <c:v> 2,750 </c:v>
                </c:pt>
                <c:pt idx="16">
                  <c:v> 2,850 </c:v>
                </c:pt>
                <c:pt idx="17">
                  <c:v> 2,950 </c:v>
                </c:pt>
                <c:pt idx="18">
                  <c:v>&gt;3000</c:v>
                </c:pt>
              </c:strCache>
            </c:strRef>
          </c:cat>
          <c:val>
            <c:numRef>
              <c:f>Chart!$X$2:$X$20</c:f>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6</c:v>
                </c:pt>
                <c:pt idx="13">
                  <c:v>0</c:v>
                </c:pt>
                <c:pt idx="14">
                  <c:v>2</c:v>
                </c:pt>
                <c:pt idx="15">
                  <c:v>0</c:v>
                </c:pt>
                <c:pt idx="16">
                  <c:v>0</c:v>
                </c:pt>
                <c:pt idx="17">
                  <c:v>0</c:v>
                </c:pt>
                <c:pt idx="18">
                  <c:v>0</c:v>
                </c:pt>
              </c:numCache>
            </c:numRef>
          </c:val>
        </c:ser>
        <c:ser>
          <c:idx val="10"/>
          <c:order val="4"/>
          <c:tx>
            <c:strRef>
              <c:f>Chart!$AA$1</c:f>
              <c:strCache>
                <c:ptCount val="1"/>
                <c:pt idx="0">
                  <c:v>Hobart TOU</c:v>
                </c:pt>
              </c:strCache>
            </c:strRef>
          </c:tx>
          <c:spPr>
            <a:solidFill>
              <a:srgbClr val="FF0000"/>
            </a:solidFill>
            <a:ln>
              <a:noFill/>
            </a:ln>
            <a:effectLst/>
          </c:spPr>
          <c:cat>
            <c:strRef>
              <c:f>Chart!$P$2:$P$20</c:f>
              <c:strCache>
                <c:ptCount val="19"/>
                <c:pt idx="0">
                  <c:v>&lt;1300</c:v>
                </c:pt>
                <c:pt idx="1">
                  <c:v> 1,350 </c:v>
                </c:pt>
                <c:pt idx="2">
                  <c:v> 1,450 </c:v>
                </c:pt>
                <c:pt idx="3">
                  <c:v> 1,550 </c:v>
                </c:pt>
                <c:pt idx="4">
                  <c:v> 1,650 </c:v>
                </c:pt>
                <c:pt idx="5">
                  <c:v> 1,750 </c:v>
                </c:pt>
                <c:pt idx="6">
                  <c:v> 1,850 </c:v>
                </c:pt>
                <c:pt idx="7">
                  <c:v> 1,950 </c:v>
                </c:pt>
                <c:pt idx="8">
                  <c:v> 2,050 </c:v>
                </c:pt>
                <c:pt idx="9">
                  <c:v> 2,150 </c:v>
                </c:pt>
                <c:pt idx="10">
                  <c:v> 2,250 </c:v>
                </c:pt>
                <c:pt idx="11">
                  <c:v> 2,350 </c:v>
                </c:pt>
                <c:pt idx="12">
                  <c:v> 2,450 </c:v>
                </c:pt>
                <c:pt idx="13">
                  <c:v> 2,550 </c:v>
                </c:pt>
                <c:pt idx="14">
                  <c:v> 2,650 </c:v>
                </c:pt>
                <c:pt idx="15">
                  <c:v> 2,750 </c:v>
                </c:pt>
                <c:pt idx="16">
                  <c:v> 2,850 </c:v>
                </c:pt>
                <c:pt idx="17">
                  <c:v> 2,950 </c:v>
                </c:pt>
                <c:pt idx="18">
                  <c:v>&gt;3000</c:v>
                </c:pt>
              </c:strCache>
            </c:strRef>
          </c:cat>
          <c:val>
            <c:numRef>
              <c:f>Chart!$AA$2:$AA$20</c:f>
              <c:numCache>
                <c:formatCode>General</c:formatCode>
                <c:ptCount val="19"/>
                <c:pt idx="0">
                  <c:v>0</c:v>
                </c:pt>
                <c:pt idx="1">
                  <c:v>0</c:v>
                </c:pt>
                <c:pt idx="2">
                  <c:v>0</c:v>
                </c:pt>
                <c:pt idx="3">
                  <c:v>0</c:v>
                </c:pt>
                <c:pt idx="4">
                  <c:v>0</c:v>
                </c:pt>
                <c:pt idx="5">
                  <c:v>1</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ser>
        <c:dLbls/>
        <c:gapWidth val="0"/>
        <c:overlap val="7"/>
        <c:axId val="234859904"/>
        <c:axId val="234874368"/>
        <c:extLst>
          <c:ext xmlns:c15="http://schemas.microsoft.com/office/drawing/2012/chart" uri="{02D57815-91ED-43cb-92C2-25804820EDAC}">
            <c15:filteredBarSeries>
              <c15:ser>
                <c:idx val="0"/>
                <c:order val="0"/>
                <c:tx>
                  <c:strRef>
                    <c:extLst>
                      <c:ext uri="{02D57815-91ED-43cb-92C2-25804820EDAC}">
                        <c15:formulaRef>
                          <c15:sqref>Chart!$Q$1</c15:sqref>
                        </c15:formulaRef>
                      </c:ext>
                    </c:extLst>
                    <c:strCache>
                      <c:ptCount val="1"/>
                      <c:pt idx="0">
                        <c:v>ACT SR</c:v>
                      </c:pt>
                    </c:strCache>
                  </c:strRef>
                </c:tx>
                <c:spPr>
                  <a:solidFill>
                    <a:schemeClr val="tx1"/>
                  </a:solidFill>
                  <a:ln>
                    <a:noFill/>
                  </a:ln>
                  <a:effectLst/>
                </c:spPr>
                <c:invertIfNegative val="0"/>
                <c:cat>
                  <c:strRef>
                    <c:extLst>
                      <c:ext uri="{02D57815-91ED-43cb-92C2-25804820EDAC}">
                        <c15:formulaRef>
                          <c15:sqref>Chart!$P$2:$P$20</c15:sqref>
                        </c15:formulaRef>
                      </c:ext>
                    </c:extLst>
                    <c:strCache>
                      <c:ptCount val="19"/>
                      <c:pt idx="0">
                        <c:v>&lt;1300</c:v>
                      </c:pt>
                      <c:pt idx="1">
                        <c:v> 1,350 </c:v>
                      </c:pt>
                      <c:pt idx="2">
                        <c:v> 1,450 </c:v>
                      </c:pt>
                      <c:pt idx="3">
                        <c:v> 1,550 </c:v>
                      </c:pt>
                      <c:pt idx="4">
                        <c:v> 1,650 </c:v>
                      </c:pt>
                      <c:pt idx="5">
                        <c:v> 1,750 </c:v>
                      </c:pt>
                      <c:pt idx="6">
                        <c:v> 1,850 </c:v>
                      </c:pt>
                      <c:pt idx="7">
                        <c:v> 1,950 </c:v>
                      </c:pt>
                      <c:pt idx="8">
                        <c:v> 2,050 </c:v>
                      </c:pt>
                      <c:pt idx="9">
                        <c:v> 2,150 </c:v>
                      </c:pt>
                      <c:pt idx="10">
                        <c:v> 2,250 </c:v>
                      </c:pt>
                      <c:pt idx="11">
                        <c:v> 2,350 </c:v>
                      </c:pt>
                      <c:pt idx="12">
                        <c:v> 2,450 </c:v>
                      </c:pt>
                      <c:pt idx="13">
                        <c:v> 2,550 </c:v>
                      </c:pt>
                      <c:pt idx="14">
                        <c:v> 2,650 </c:v>
                      </c:pt>
                      <c:pt idx="15">
                        <c:v> 2,750 </c:v>
                      </c:pt>
                      <c:pt idx="16">
                        <c:v> 2,850 </c:v>
                      </c:pt>
                      <c:pt idx="17">
                        <c:v> 2,950 </c:v>
                      </c:pt>
                      <c:pt idx="18">
                        <c:v>&gt;3000</c:v>
                      </c:pt>
                    </c:strCache>
                  </c:strRef>
                </c:cat>
                <c:val>
                  <c:numRef>
                    <c:extLst>
                      <c:ext uri="{02D57815-91ED-43cb-92C2-25804820EDAC}">
                        <c15:formulaRef>
                          <c15:sqref>Chart!$Q$2:$Q$20</c15:sqref>
                        </c15:formulaRef>
                      </c:ext>
                    </c:extLst>
                    <c:numCache>
                      <c:formatCode>General</c:formatCode>
                      <c:ptCount val="19"/>
                      <c:pt idx="0">
                        <c:v>0</c:v>
                      </c:pt>
                      <c:pt idx="1">
                        <c:v>0</c:v>
                      </c:pt>
                      <c:pt idx="2">
                        <c:v>0</c:v>
                      </c:pt>
                      <c:pt idx="3">
                        <c:v>11</c:v>
                      </c:pt>
                      <c:pt idx="4">
                        <c:v>7</c:v>
                      </c:pt>
                      <c:pt idx="5">
                        <c:v>3</c:v>
                      </c:pt>
                      <c:pt idx="6">
                        <c:v>1</c:v>
                      </c:pt>
                      <c:pt idx="7">
                        <c:v>0</c:v>
                      </c:pt>
                      <c:pt idx="8">
                        <c:v>0</c:v>
                      </c:pt>
                      <c:pt idx="9">
                        <c:v>0</c:v>
                      </c:pt>
                      <c:pt idx="10">
                        <c:v>0</c:v>
                      </c:pt>
                      <c:pt idx="11">
                        <c:v>1</c:v>
                      </c:pt>
                      <c:pt idx="12">
                        <c:v>0</c:v>
                      </c:pt>
                      <c:pt idx="13">
                        <c:v>0</c:v>
                      </c:pt>
                      <c:pt idx="14">
                        <c:v>0</c:v>
                      </c:pt>
                      <c:pt idx="15">
                        <c:v>0</c:v>
                      </c:pt>
                      <c:pt idx="16">
                        <c:v>0</c:v>
                      </c:pt>
                      <c:pt idx="17">
                        <c:v>0</c:v>
                      </c:pt>
                      <c:pt idx="18">
                        <c:v>0</c:v>
                      </c:pt>
                    </c:numCache>
                  </c:numRef>
                </c:val>
                <c:extLst xmlns:c16r2="http://schemas.microsoft.com/office/drawing/2015/06/chart">
                  <c:ext xmlns:c16="http://schemas.microsoft.com/office/drawing/2014/chart" uri="{C3380CC4-5D6E-409C-BE32-E72D297353CC}">
                    <c16:uniqueId val="{00000000-9371-4667-8FE5-236BAE63D7B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Chart!$S$1</c15:sqref>
                        </c15:formulaRef>
                      </c:ext>
                    </c:extLst>
                    <c:strCache>
                      <c:ptCount val="1"/>
                      <c:pt idx="0">
                        <c:v>Sydney SR</c:v>
                      </c:pt>
                    </c:strCache>
                  </c:strRef>
                </c:tx>
                <c:spPr>
                  <a:solidFill>
                    <a:srgbClr val="00B050"/>
                  </a:solidFill>
                  <a:ln>
                    <a:noFill/>
                  </a:ln>
                  <a:effectLst/>
                </c:spPr>
                <c:invertIfNegative val="0"/>
                <c:cat>
                  <c:strRef>
                    <c:extLst xmlns:c15="http://schemas.microsoft.com/office/drawing/2012/chart">
                      <c:ext xmlns:c15="http://schemas.microsoft.com/office/drawing/2012/chart" uri="{02D57815-91ED-43cb-92C2-25804820EDAC}">
                        <c15:formulaRef>
                          <c15:sqref>Chart!$P$2:$P$20</c15:sqref>
                        </c15:formulaRef>
                      </c:ext>
                    </c:extLst>
                    <c:strCache>
                      <c:ptCount val="19"/>
                      <c:pt idx="0">
                        <c:v>&lt;1300</c:v>
                      </c:pt>
                      <c:pt idx="1">
                        <c:v> 1,350 </c:v>
                      </c:pt>
                      <c:pt idx="2">
                        <c:v> 1,450 </c:v>
                      </c:pt>
                      <c:pt idx="3">
                        <c:v> 1,550 </c:v>
                      </c:pt>
                      <c:pt idx="4">
                        <c:v> 1,650 </c:v>
                      </c:pt>
                      <c:pt idx="5">
                        <c:v> 1,750 </c:v>
                      </c:pt>
                      <c:pt idx="6">
                        <c:v> 1,850 </c:v>
                      </c:pt>
                      <c:pt idx="7">
                        <c:v> 1,950 </c:v>
                      </c:pt>
                      <c:pt idx="8">
                        <c:v> 2,050 </c:v>
                      </c:pt>
                      <c:pt idx="9">
                        <c:v> 2,150 </c:v>
                      </c:pt>
                      <c:pt idx="10">
                        <c:v> 2,250 </c:v>
                      </c:pt>
                      <c:pt idx="11">
                        <c:v> 2,350 </c:v>
                      </c:pt>
                      <c:pt idx="12">
                        <c:v> 2,450 </c:v>
                      </c:pt>
                      <c:pt idx="13">
                        <c:v> 2,550 </c:v>
                      </c:pt>
                      <c:pt idx="14">
                        <c:v> 2,650 </c:v>
                      </c:pt>
                      <c:pt idx="15">
                        <c:v> 2,750 </c:v>
                      </c:pt>
                      <c:pt idx="16">
                        <c:v> 2,850 </c:v>
                      </c:pt>
                      <c:pt idx="17">
                        <c:v> 2,950 </c:v>
                      </c:pt>
                      <c:pt idx="18">
                        <c:v>&gt;3000</c:v>
                      </c:pt>
                    </c:strCache>
                  </c:strRef>
                </c:cat>
                <c:val>
                  <c:numRef>
                    <c:extLst xmlns:c15="http://schemas.microsoft.com/office/drawing/2012/chart">
                      <c:ext xmlns:c15="http://schemas.microsoft.com/office/drawing/2012/chart" uri="{02D57815-91ED-43cb-92C2-25804820EDAC}">
                        <c15:formulaRef>
                          <c15:sqref>Chart!$S$2:$S$20</c15:sqref>
                        </c15:formulaRef>
                      </c:ext>
                    </c:extLst>
                    <c:numCache>
                      <c:formatCode>General</c:formatCode>
                      <c:ptCount val="19"/>
                      <c:pt idx="0">
                        <c:v>0</c:v>
                      </c:pt>
                      <c:pt idx="1">
                        <c:v>0</c:v>
                      </c:pt>
                      <c:pt idx="2">
                        <c:v>0</c:v>
                      </c:pt>
                      <c:pt idx="3">
                        <c:v>0</c:v>
                      </c:pt>
                      <c:pt idx="4">
                        <c:v>0</c:v>
                      </c:pt>
                      <c:pt idx="5">
                        <c:v>1</c:v>
                      </c:pt>
                      <c:pt idx="6">
                        <c:v>4</c:v>
                      </c:pt>
                      <c:pt idx="7">
                        <c:v>9</c:v>
                      </c:pt>
                      <c:pt idx="8">
                        <c:v>11</c:v>
                      </c:pt>
                      <c:pt idx="9">
                        <c:v>11</c:v>
                      </c:pt>
                      <c:pt idx="10">
                        <c:v>2</c:v>
                      </c:pt>
                      <c:pt idx="11">
                        <c:v>12</c:v>
                      </c:pt>
                      <c:pt idx="12">
                        <c:v>16</c:v>
                      </c:pt>
                      <c:pt idx="13">
                        <c:v>2</c:v>
                      </c:pt>
                      <c:pt idx="14">
                        <c:v>2</c:v>
                      </c:pt>
                      <c:pt idx="15">
                        <c:v>0</c:v>
                      </c:pt>
                      <c:pt idx="16">
                        <c:v>0</c:v>
                      </c:pt>
                      <c:pt idx="17">
                        <c:v>1</c:v>
                      </c:pt>
                      <c:pt idx="18">
                        <c:v>3</c:v>
                      </c:pt>
                    </c:numCache>
                  </c:numRef>
                </c:val>
                <c:extLst xmlns:c15="http://schemas.microsoft.com/office/drawing/2012/chart" xmlns:c16r2="http://schemas.microsoft.com/office/drawing/2015/06/chart">
                  <c:ext xmlns:c16="http://schemas.microsoft.com/office/drawing/2014/chart" uri="{C3380CC4-5D6E-409C-BE32-E72D297353CC}">
                    <c16:uniqueId val="{0000000F-9371-4667-8FE5-236BAE63D7B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Chart!$U$1</c15:sqref>
                        </c15:formulaRef>
                      </c:ext>
                    </c:extLst>
                    <c:strCache>
                      <c:ptCount val="1"/>
                      <c:pt idx="0">
                        <c:v>Brisbane SR</c:v>
                      </c:pt>
                    </c:strCache>
                  </c:strRef>
                </c:tx>
                <c:spPr>
                  <a:solidFill>
                    <a:schemeClr val="accent1">
                      <a:lumMod val="75000"/>
                    </a:schemeClr>
                  </a:solidFill>
                  <a:ln>
                    <a:noFill/>
                  </a:ln>
                  <a:effectLst/>
                </c:spPr>
                <c:invertIfNegative val="0"/>
                <c:cat>
                  <c:strRef>
                    <c:extLst xmlns:c15="http://schemas.microsoft.com/office/drawing/2012/chart">
                      <c:ext xmlns:c15="http://schemas.microsoft.com/office/drawing/2012/chart" uri="{02D57815-91ED-43cb-92C2-25804820EDAC}">
                        <c15:formulaRef>
                          <c15:sqref>Chart!$P$2:$P$20</c15:sqref>
                        </c15:formulaRef>
                      </c:ext>
                    </c:extLst>
                    <c:strCache>
                      <c:ptCount val="19"/>
                      <c:pt idx="0">
                        <c:v>&lt;1300</c:v>
                      </c:pt>
                      <c:pt idx="1">
                        <c:v> 1,350 </c:v>
                      </c:pt>
                      <c:pt idx="2">
                        <c:v> 1,450 </c:v>
                      </c:pt>
                      <c:pt idx="3">
                        <c:v> 1,550 </c:v>
                      </c:pt>
                      <c:pt idx="4">
                        <c:v> 1,650 </c:v>
                      </c:pt>
                      <c:pt idx="5">
                        <c:v> 1,750 </c:v>
                      </c:pt>
                      <c:pt idx="6">
                        <c:v> 1,850 </c:v>
                      </c:pt>
                      <c:pt idx="7">
                        <c:v> 1,950 </c:v>
                      </c:pt>
                      <c:pt idx="8">
                        <c:v> 2,050 </c:v>
                      </c:pt>
                      <c:pt idx="9">
                        <c:v> 2,150 </c:v>
                      </c:pt>
                      <c:pt idx="10">
                        <c:v> 2,250 </c:v>
                      </c:pt>
                      <c:pt idx="11">
                        <c:v> 2,350 </c:v>
                      </c:pt>
                      <c:pt idx="12">
                        <c:v> 2,450 </c:v>
                      </c:pt>
                      <c:pt idx="13">
                        <c:v> 2,550 </c:v>
                      </c:pt>
                      <c:pt idx="14">
                        <c:v> 2,650 </c:v>
                      </c:pt>
                      <c:pt idx="15">
                        <c:v> 2,750 </c:v>
                      </c:pt>
                      <c:pt idx="16">
                        <c:v> 2,850 </c:v>
                      </c:pt>
                      <c:pt idx="17">
                        <c:v> 2,950 </c:v>
                      </c:pt>
                      <c:pt idx="18">
                        <c:v>&gt;3000</c:v>
                      </c:pt>
                    </c:strCache>
                  </c:strRef>
                </c:cat>
                <c:val>
                  <c:numRef>
                    <c:extLst xmlns:c15="http://schemas.microsoft.com/office/drawing/2012/chart">
                      <c:ext xmlns:c15="http://schemas.microsoft.com/office/drawing/2012/chart" uri="{02D57815-91ED-43cb-92C2-25804820EDAC}">
                        <c15:formulaRef>
                          <c15:sqref>Chart!$U$2:$U$20</c15:sqref>
                        </c15:formulaRef>
                      </c:ext>
                    </c:extLst>
                    <c:numCache>
                      <c:formatCode>General</c:formatCode>
                      <c:ptCount val="19"/>
                      <c:pt idx="0">
                        <c:v>0</c:v>
                      </c:pt>
                      <c:pt idx="1">
                        <c:v>0</c:v>
                      </c:pt>
                      <c:pt idx="2">
                        <c:v>0</c:v>
                      </c:pt>
                      <c:pt idx="3">
                        <c:v>0</c:v>
                      </c:pt>
                      <c:pt idx="4">
                        <c:v>0</c:v>
                      </c:pt>
                      <c:pt idx="5">
                        <c:v>0</c:v>
                      </c:pt>
                      <c:pt idx="6">
                        <c:v>0</c:v>
                      </c:pt>
                      <c:pt idx="7">
                        <c:v>0</c:v>
                      </c:pt>
                      <c:pt idx="8">
                        <c:v>0</c:v>
                      </c:pt>
                      <c:pt idx="9">
                        <c:v>3</c:v>
                      </c:pt>
                      <c:pt idx="10">
                        <c:v>8</c:v>
                      </c:pt>
                      <c:pt idx="11">
                        <c:v>15</c:v>
                      </c:pt>
                      <c:pt idx="12">
                        <c:v>10</c:v>
                      </c:pt>
                      <c:pt idx="13">
                        <c:v>6</c:v>
                      </c:pt>
                      <c:pt idx="14">
                        <c:v>1</c:v>
                      </c:pt>
                      <c:pt idx="15">
                        <c:v>0</c:v>
                      </c:pt>
                      <c:pt idx="16">
                        <c:v>0</c:v>
                      </c:pt>
                      <c:pt idx="17">
                        <c:v>0</c:v>
                      </c:pt>
                      <c:pt idx="18">
                        <c:v>0</c:v>
                      </c:pt>
                    </c:numCache>
                  </c:numRef>
                </c:val>
              </c15:ser>
            </c15:filteredBarSeries>
            <c15:filteredBarSeries>
              <c15:ser>
                <c:idx val="6"/>
                <c:order val="6"/>
                <c:tx>
                  <c:strRef>
                    <c:extLst xmlns:c15="http://schemas.microsoft.com/office/drawing/2012/chart">
                      <c:ext xmlns:c15="http://schemas.microsoft.com/office/drawing/2012/chart" uri="{02D57815-91ED-43cb-92C2-25804820EDAC}">
                        <c15:formulaRef>
                          <c15:sqref>Chart!$W$1</c15:sqref>
                        </c15:formulaRef>
                      </c:ext>
                    </c:extLst>
                    <c:strCache>
                      <c:ptCount val="1"/>
                      <c:pt idx="0">
                        <c:v>Adelaide SR</c:v>
                      </c:pt>
                    </c:strCache>
                  </c:strRef>
                </c:tx>
                <c:spPr>
                  <a:solidFill>
                    <a:srgbClr val="FFC000"/>
                  </a:solidFill>
                  <a:ln>
                    <a:noFill/>
                  </a:ln>
                  <a:effectLst/>
                </c:spPr>
                <c:invertIfNegative val="0"/>
                <c:cat>
                  <c:strRef>
                    <c:extLst xmlns:c15="http://schemas.microsoft.com/office/drawing/2012/chart">
                      <c:ext xmlns:c15="http://schemas.microsoft.com/office/drawing/2012/chart" uri="{02D57815-91ED-43cb-92C2-25804820EDAC}">
                        <c15:formulaRef>
                          <c15:sqref>Chart!$P$2:$P$20</c15:sqref>
                        </c15:formulaRef>
                      </c:ext>
                    </c:extLst>
                    <c:strCache>
                      <c:ptCount val="19"/>
                      <c:pt idx="0">
                        <c:v>&lt;1300</c:v>
                      </c:pt>
                      <c:pt idx="1">
                        <c:v> 1,350 </c:v>
                      </c:pt>
                      <c:pt idx="2">
                        <c:v> 1,450 </c:v>
                      </c:pt>
                      <c:pt idx="3">
                        <c:v> 1,550 </c:v>
                      </c:pt>
                      <c:pt idx="4">
                        <c:v> 1,650 </c:v>
                      </c:pt>
                      <c:pt idx="5">
                        <c:v> 1,750 </c:v>
                      </c:pt>
                      <c:pt idx="6">
                        <c:v> 1,850 </c:v>
                      </c:pt>
                      <c:pt idx="7">
                        <c:v> 1,950 </c:v>
                      </c:pt>
                      <c:pt idx="8">
                        <c:v> 2,050 </c:v>
                      </c:pt>
                      <c:pt idx="9">
                        <c:v> 2,150 </c:v>
                      </c:pt>
                      <c:pt idx="10">
                        <c:v> 2,250 </c:v>
                      </c:pt>
                      <c:pt idx="11">
                        <c:v> 2,350 </c:v>
                      </c:pt>
                      <c:pt idx="12">
                        <c:v> 2,450 </c:v>
                      </c:pt>
                      <c:pt idx="13">
                        <c:v> 2,550 </c:v>
                      </c:pt>
                      <c:pt idx="14">
                        <c:v> 2,650 </c:v>
                      </c:pt>
                      <c:pt idx="15">
                        <c:v> 2,750 </c:v>
                      </c:pt>
                      <c:pt idx="16">
                        <c:v> 2,850 </c:v>
                      </c:pt>
                      <c:pt idx="17">
                        <c:v> 2,950 </c:v>
                      </c:pt>
                      <c:pt idx="18">
                        <c:v>&gt;3000</c:v>
                      </c:pt>
                    </c:strCache>
                  </c:strRef>
                </c:cat>
                <c:val>
                  <c:numRef>
                    <c:extLst xmlns:c15="http://schemas.microsoft.com/office/drawing/2012/chart">
                      <c:ext xmlns:c15="http://schemas.microsoft.com/office/drawing/2012/chart" uri="{02D57815-91ED-43cb-92C2-25804820EDAC}">
                        <c15:formulaRef>
                          <c15:sqref>Chart!$W$2:$W$20</c15:sqref>
                        </c15:formulaRef>
                      </c:ext>
                    </c:extLst>
                    <c:numCache>
                      <c:formatCode>General</c:formatCode>
                      <c:ptCount val="19"/>
                      <c:pt idx="0">
                        <c:v>0</c:v>
                      </c:pt>
                      <c:pt idx="1">
                        <c:v>0</c:v>
                      </c:pt>
                      <c:pt idx="2">
                        <c:v>0</c:v>
                      </c:pt>
                      <c:pt idx="3">
                        <c:v>0</c:v>
                      </c:pt>
                      <c:pt idx="4">
                        <c:v>0</c:v>
                      </c:pt>
                      <c:pt idx="5">
                        <c:v>0</c:v>
                      </c:pt>
                      <c:pt idx="6">
                        <c:v>0</c:v>
                      </c:pt>
                      <c:pt idx="7">
                        <c:v>0</c:v>
                      </c:pt>
                      <c:pt idx="8">
                        <c:v>0</c:v>
                      </c:pt>
                      <c:pt idx="9">
                        <c:v>0</c:v>
                      </c:pt>
                      <c:pt idx="10">
                        <c:v>1</c:v>
                      </c:pt>
                      <c:pt idx="11">
                        <c:v>0</c:v>
                      </c:pt>
                      <c:pt idx="12">
                        <c:v>0</c:v>
                      </c:pt>
                      <c:pt idx="13">
                        <c:v>5</c:v>
                      </c:pt>
                      <c:pt idx="14">
                        <c:v>6</c:v>
                      </c:pt>
                      <c:pt idx="15">
                        <c:v>8</c:v>
                      </c:pt>
                      <c:pt idx="16">
                        <c:v>4</c:v>
                      </c:pt>
                      <c:pt idx="17">
                        <c:v>6</c:v>
                      </c:pt>
                      <c:pt idx="18">
                        <c:v>30</c:v>
                      </c:pt>
                    </c:numCache>
                  </c:numRef>
                </c:val>
              </c15:ser>
            </c15:filteredBarSeries>
            <c15:filteredBarSeries>
              <c15:ser>
                <c:idx val="8"/>
                <c:order val="8"/>
                <c:tx>
                  <c:strRef>
                    <c:extLst xmlns:c15="http://schemas.microsoft.com/office/drawing/2012/chart">
                      <c:ext xmlns:c15="http://schemas.microsoft.com/office/drawing/2012/chart" uri="{02D57815-91ED-43cb-92C2-25804820EDAC}">
                        <c15:formulaRef>
                          <c15:sqref>Chart!$Y$1</c15:sqref>
                        </c15:formulaRef>
                      </c:ext>
                    </c:extLst>
                    <c:strCache>
                      <c:ptCount val="1"/>
                      <c:pt idx="0">
                        <c:v>Melbourne SR</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Chart!$P$2:$P$20</c15:sqref>
                        </c15:formulaRef>
                      </c:ext>
                    </c:extLst>
                    <c:strCache>
                      <c:ptCount val="19"/>
                      <c:pt idx="0">
                        <c:v>&lt;1300</c:v>
                      </c:pt>
                      <c:pt idx="1">
                        <c:v> 1,350 </c:v>
                      </c:pt>
                      <c:pt idx="2">
                        <c:v> 1,450 </c:v>
                      </c:pt>
                      <c:pt idx="3">
                        <c:v> 1,550 </c:v>
                      </c:pt>
                      <c:pt idx="4">
                        <c:v> 1,650 </c:v>
                      </c:pt>
                      <c:pt idx="5">
                        <c:v> 1,750 </c:v>
                      </c:pt>
                      <c:pt idx="6">
                        <c:v> 1,850 </c:v>
                      </c:pt>
                      <c:pt idx="7">
                        <c:v> 1,950 </c:v>
                      </c:pt>
                      <c:pt idx="8">
                        <c:v> 2,050 </c:v>
                      </c:pt>
                      <c:pt idx="9">
                        <c:v> 2,150 </c:v>
                      </c:pt>
                      <c:pt idx="10">
                        <c:v> 2,250 </c:v>
                      </c:pt>
                      <c:pt idx="11">
                        <c:v> 2,350 </c:v>
                      </c:pt>
                      <c:pt idx="12">
                        <c:v> 2,450 </c:v>
                      </c:pt>
                      <c:pt idx="13">
                        <c:v> 2,550 </c:v>
                      </c:pt>
                      <c:pt idx="14">
                        <c:v> 2,650 </c:v>
                      </c:pt>
                      <c:pt idx="15">
                        <c:v> 2,750 </c:v>
                      </c:pt>
                      <c:pt idx="16">
                        <c:v> 2,850 </c:v>
                      </c:pt>
                      <c:pt idx="17">
                        <c:v> 2,950 </c:v>
                      </c:pt>
                      <c:pt idx="18">
                        <c:v>&gt;3000</c:v>
                      </c:pt>
                    </c:strCache>
                  </c:strRef>
                </c:cat>
                <c:val>
                  <c:numRef>
                    <c:extLst xmlns:c15="http://schemas.microsoft.com/office/drawing/2012/chart">
                      <c:ext xmlns:c15="http://schemas.microsoft.com/office/drawing/2012/chart" uri="{02D57815-91ED-43cb-92C2-25804820EDAC}">
                        <c15:formulaRef>
                          <c15:sqref>Chart!$Y$2:$Y$20</c15:sqref>
                        </c15:formulaRef>
                      </c:ext>
                    </c:extLst>
                    <c:numCache>
                      <c:formatCode>General</c:formatCode>
                      <c:ptCount val="19"/>
                      <c:pt idx="0">
                        <c:v>0</c:v>
                      </c:pt>
                      <c:pt idx="1">
                        <c:v>0</c:v>
                      </c:pt>
                      <c:pt idx="2">
                        <c:v>0</c:v>
                      </c:pt>
                      <c:pt idx="3">
                        <c:v>7</c:v>
                      </c:pt>
                      <c:pt idx="4">
                        <c:v>19</c:v>
                      </c:pt>
                      <c:pt idx="5">
                        <c:v>27</c:v>
                      </c:pt>
                      <c:pt idx="6">
                        <c:v>31</c:v>
                      </c:pt>
                      <c:pt idx="7">
                        <c:v>26</c:v>
                      </c:pt>
                      <c:pt idx="8">
                        <c:v>19</c:v>
                      </c:pt>
                      <c:pt idx="9">
                        <c:v>14</c:v>
                      </c:pt>
                      <c:pt idx="10">
                        <c:v>20</c:v>
                      </c:pt>
                      <c:pt idx="11">
                        <c:v>20</c:v>
                      </c:pt>
                      <c:pt idx="12">
                        <c:v>14</c:v>
                      </c:pt>
                      <c:pt idx="13">
                        <c:v>5</c:v>
                      </c:pt>
                      <c:pt idx="14">
                        <c:v>9</c:v>
                      </c:pt>
                      <c:pt idx="15">
                        <c:v>4</c:v>
                      </c:pt>
                      <c:pt idx="16">
                        <c:v>1</c:v>
                      </c:pt>
                      <c:pt idx="17">
                        <c:v>0</c:v>
                      </c:pt>
                      <c:pt idx="18">
                        <c:v>0</c:v>
                      </c:pt>
                    </c:numCache>
                  </c:numRef>
                </c:val>
              </c15:ser>
            </c15:filteredBarSeries>
            <c15:filteredBarSeries>
              <c15:ser>
                <c:idx val="9"/>
                <c:order val="9"/>
                <c:tx>
                  <c:strRef>
                    <c:extLst xmlns:c15="http://schemas.microsoft.com/office/drawing/2012/chart">
                      <c:ext xmlns:c15="http://schemas.microsoft.com/office/drawing/2012/chart" uri="{02D57815-91ED-43cb-92C2-25804820EDAC}">
                        <c15:formulaRef>
                          <c15:sqref>Chart!$Z$1</c15:sqref>
                        </c15:formulaRef>
                      </c:ext>
                    </c:extLst>
                    <c:strCache>
                      <c:ptCount val="1"/>
                      <c:pt idx="0">
                        <c:v>Hobart SR</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Chart!$P$2:$P$20</c15:sqref>
                        </c15:formulaRef>
                      </c:ext>
                    </c:extLst>
                    <c:strCache>
                      <c:ptCount val="19"/>
                      <c:pt idx="0">
                        <c:v>&lt;1300</c:v>
                      </c:pt>
                      <c:pt idx="1">
                        <c:v> 1,350 </c:v>
                      </c:pt>
                      <c:pt idx="2">
                        <c:v> 1,450 </c:v>
                      </c:pt>
                      <c:pt idx="3">
                        <c:v> 1,550 </c:v>
                      </c:pt>
                      <c:pt idx="4">
                        <c:v> 1,650 </c:v>
                      </c:pt>
                      <c:pt idx="5">
                        <c:v> 1,750 </c:v>
                      </c:pt>
                      <c:pt idx="6">
                        <c:v> 1,850 </c:v>
                      </c:pt>
                      <c:pt idx="7">
                        <c:v> 1,950 </c:v>
                      </c:pt>
                      <c:pt idx="8">
                        <c:v> 2,050 </c:v>
                      </c:pt>
                      <c:pt idx="9">
                        <c:v> 2,150 </c:v>
                      </c:pt>
                      <c:pt idx="10">
                        <c:v> 2,250 </c:v>
                      </c:pt>
                      <c:pt idx="11">
                        <c:v> 2,350 </c:v>
                      </c:pt>
                      <c:pt idx="12">
                        <c:v> 2,450 </c:v>
                      </c:pt>
                      <c:pt idx="13">
                        <c:v> 2,550 </c:v>
                      </c:pt>
                      <c:pt idx="14">
                        <c:v> 2,650 </c:v>
                      </c:pt>
                      <c:pt idx="15">
                        <c:v> 2,750 </c:v>
                      </c:pt>
                      <c:pt idx="16">
                        <c:v> 2,850 </c:v>
                      </c:pt>
                      <c:pt idx="17">
                        <c:v> 2,950 </c:v>
                      </c:pt>
                      <c:pt idx="18">
                        <c:v>&gt;3000</c:v>
                      </c:pt>
                    </c:strCache>
                  </c:strRef>
                </c:cat>
                <c:val>
                  <c:numRef>
                    <c:extLst xmlns:c15="http://schemas.microsoft.com/office/drawing/2012/chart">
                      <c:ext xmlns:c15="http://schemas.microsoft.com/office/drawing/2012/chart" uri="{02D57815-91ED-43cb-92C2-25804820EDAC}">
                        <c15:formulaRef>
                          <c15:sqref>Chart!$Z$2:$Z$20</c15:sqref>
                        </c15:formulaRef>
                      </c:ext>
                    </c:extLst>
                    <c:numCache>
                      <c:formatCode>General</c:formatCode>
                      <c:ptCount val="19"/>
                      <c:pt idx="0">
                        <c:v>0</c:v>
                      </c:pt>
                      <c:pt idx="1">
                        <c:v>0</c:v>
                      </c:pt>
                      <c:pt idx="2">
                        <c:v>0</c:v>
                      </c:pt>
                      <c:pt idx="3">
                        <c:v>0</c:v>
                      </c:pt>
                      <c:pt idx="4">
                        <c:v>0</c:v>
                      </c:pt>
                      <c:pt idx="5">
                        <c:v>0</c:v>
                      </c:pt>
                      <c:pt idx="6">
                        <c:v>0</c:v>
                      </c:pt>
                      <c:pt idx="7">
                        <c:v>0</c:v>
                      </c:pt>
                      <c:pt idx="8">
                        <c:v>0</c:v>
                      </c:pt>
                      <c:pt idx="9">
                        <c:v>0</c:v>
                      </c:pt>
                      <c:pt idx="10">
                        <c:v>0</c:v>
                      </c:pt>
                      <c:pt idx="11">
                        <c:v>1</c:v>
                      </c:pt>
                      <c:pt idx="12">
                        <c:v>0</c:v>
                      </c:pt>
                      <c:pt idx="13">
                        <c:v>0</c:v>
                      </c:pt>
                      <c:pt idx="14">
                        <c:v>0</c:v>
                      </c:pt>
                      <c:pt idx="15">
                        <c:v>0</c:v>
                      </c:pt>
                      <c:pt idx="16">
                        <c:v>0</c:v>
                      </c:pt>
                      <c:pt idx="17">
                        <c:v>0</c:v>
                      </c:pt>
                      <c:pt idx="18">
                        <c:v>0</c:v>
                      </c:pt>
                    </c:numCache>
                  </c:numRef>
                </c:val>
              </c15:ser>
            </c15:filteredBarSeries>
          </c:ext>
        </c:extLst>
      </c:barChart>
      <c:catAx>
        <c:axId val="23485990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Value of midpoint offer (range = $100)</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34874368"/>
        <c:crosses val="autoZero"/>
        <c:auto val="1"/>
        <c:lblAlgn val="ctr"/>
        <c:lblOffset val="100"/>
      </c:catAx>
      <c:valAx>
        <c:axId val="234874368"/>
        <c:scaling>
          <c:orientation val="minMax"/>
          <c:max val="20"/>
        </c:scaling>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offers in price range</a:t>
                </a:r>
              </a:p>
            </c:rich>
          </c:tx>
          <c:spPr>
            <a:noFill/>
            <a:ln>
              <a:noFill/>
            </a:ln>
            <a:effectLst/>
          </c:spPr>
        </c:title>
        <c:numFmt formatCode="General" sourceLinked="1"/>
        <c:maj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859904"/>
        <c:crosses val="autoZero"/>
        <c:crossBetween val="between"/>
      </c:valAx>
      <c:spPr>
        <a:noFill/>
        <a:ln>
          <a:noFill/>
        </a:ln>
        <a:effectLst/>
      </c:spPr>
    </c:plotArea>
    <c:legend>
      <c:legendPos val="t"/>
      <c:layout>
        <c:manualLayout>
          <c:xMode val="edge"/>
          <c:yMode val="edge"/>
          <c:x val="0.75815451383989263"/>
          <c:y val="0.108373916002676"/>
          <c:w val="0.16802443867643807"/>
          <c:h val="0.3498666337495404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bg1">
          <a:lumMod val="75000"/>
        </a:schemeClr>
      </a:solidFill>
      <a:round/>
    </a:ln>
    <a:effectLst/>
  </c:spPr>
  <c:txPr>
    <a:bodyPr/>
    <a:lstStyle/>
    <a:p>
      <a:pPr>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'Fig2.3 sml cust bills'!$J$2</c:f>
              <c:strCache>
                <c:ptCount val="1"/>
                <c:pt idx="0">
                  <c:v>Estimated annual bill</c:v>
                </c:pt>
              </c:strCache>
            </c:strRef>
          </c:tx>
          <c:spPr>
            <a:ln w="19050">
              <a:noFill/>
            </a:ln>
          </c:spPr>
          <c:dPt>
            <c:idx val="11"/>
            <c:spPr>
              <a:solidFill>
                <a:schemeClr val="accent6">
                  <a:lumMod val="75000"/>
                </a:schemeClr>
              </a:solidFill>
              <a:ln w="19050">
                <a:noFill/>
              </a:ln>
            </c:spPr>
          </c:dPt>
          <c:cat>
            <c:strRef>
              <c:f>'[2]Fig 4.4 &amp; 4.5 Prices'!$D$3:$D$14</c:f>
              <c:strCache>
                <c:ptCount val="12"/>
                <c:pt idx="0">
                  <c:v>Qld (Energex)</c:v>
                </c:pt>
                <c:pt idx="1">
                  <c:v>NSW (Ausgrid)</c:v>
                </c:pt>
                <c:pt idx="2">
                  <c:v>NSW (Endeavour Energy)</c:v>
                </c:pt>
                <c:pt idx="3">
                  <c:v>NSW (Essential Energy)</c:v>
                </c:pt>
                <c:pt idx="4">
                  <c:v>Vic (Citipower)</c:v>
                </c:pt>
                <c:pt idx="5">
                  <c:v>Vic (Powercor)</c:v>
                </c:pt>
                <c:pt idx="6">
                  <c:v>Vic (SP Ausnet)</c:v>
                </c:pt>
                <c:pt idx="7">
                  <c:v>Vic (Jemena)</c:v>
                </c:pt>
                <c:pt idx="8">
                  <c:v>Vic (United Energy)</c:v>
                </c:pt>
                <c:pt idx="9">
                  <c:v>SA (ETSA Utilities)</c:v>
                </c:pt>
                <c:pt idx="10">
                  <c:v>Tas (Aurora Energy)</c:v>
                </c:pt>
                <c:pt idx="11">
                  <c:v>ACT (ActewAGL)</c:v>
                </c:pt>
              </c:strCache>
            </c:strRef>
          </c:cat>
          <c:val>
            <c:numRef>
              <c:f>'Fig2.3 sml cust bills'!$J$3:$J$14</c:f>
              <c:numCache>
                <c:formatCode>#,##0</c:formatCode>
                <c:ptCount val="12"/>
                <c:pt idx="0">
                  <c:v>2019</c:v>
                </c:pt>
                <c:pt idx="1">
                  <c:v>1859</c:v>
                </c:pt>
                <c:pt idx="2">
                  <c:v>1842</c:v>
                </c:pt>
                <c:pt idx="3">
                  <c:v>2104</c:v>
                </c:pt>
                <c:pt idx="4">
                  <c:v>1962</c:v>
                </c:pt>
                <c:pt idx="5">
                  <c:v>2385</c:v>
                </c:pt>
                <c:pt idx="6">
                  <c:v>2536</c:v>
                </c:pt>
                <c:pt idx="7">
                  <c:v>2289</c:v>
                </c:pt>
                <c:pt idx="8">
                  <c:v>2117</c:v>
                </c:pt>
                <c:pt idx="9">
                  <c:v>2333</c:v>
                </c:pt>
                <c:pt idx="10">
                  <c:v>1964</c:v>
                </c:pt>
                <c:pt idx="11">
                  <c:v>1399</c:v>
                </c:pt>
              </c:numCache>
            </c:numRef>
          </c:val>
        </c:ser>
        <c:dLbls/>
        <c:axId val="235100416"/>
        <c:axId val="235106304"/>
      </c:barChart>
      <c:catAx>
        <c:axId val="235100416"/>
        <c:scaling>
          <c:orientation val="minMax"/>
        </c:scaling>
        <c:axPos val="b"/>
        <c:numFmt formatCode="General" sourceLinked="1"/>
        <c:tickLblPos val="nextTo"/>
        <c:txPr>
          <a:bodyPr/>
          <a:lstStyle/>
          <a:p>
            <a:pPr>
              <a:defRPr sz="600"/>
            </a:pPr>
            <a:endParaRPr lang="en-US"/>
          </a:p>
        </c:txPr>
        <c:crossAx val="235106304"/>
        <c:crosses val="autoZero"/>
        <c:auto val="1"/>
        <c:lblAlgn val="ctr"/>
        <c:lblOffset val="100"/>
      </c:catAx>
      <c:valAx>
        <c:axId val="235106304"/>
        <c:scaling>
          <c:orientation val="minMax"/>
        </c:scaling>
        <c:axPos val="l"/>
        <c:majorGridlines>
          <c:spPr>
            <a:ln w="3175">
              <a:solidFill>
                <a:schemeClr val="bg1">
                  <a:lumMod val="75000"/>
                </a:schemeClr>
              </a:solidFill>
            </a:ln>
          </c:spPr>
        </c:majorGridlines>
        <c:title>
          <c:tx>
            <c:rich>
              <a:bodyPr rot="-5400000" vert="horz"/>
              <a:lstStyle/>
              <a:p>
                <a:pPr>
                  <a:defRPr sz="800" b="0"/>
                </a:pPr>
                <a:r>
                  <a:rPr lang="en-US" sz="800" b="0"/>
                  <a:t>$/year</a:t>
                </a:r>
              </a:p>
            </c:rich>
          </c:tx>
        </c:title>
        <c:numFmt formatCode="#,##0" sourceLinked="0"/>
        <c:tickLblPos val="nextTo"/>
        <c:txPr>
          <a:bodyPr/>
          <a:lstStyle/>
          <a:p>
            <a:pPr>
              <a:defRPr sz="800"/>
            </a:pPr>
            <a:endParaRPr lang="en-US"/>
          </a:p>
        </c:txPr>
        <c:crossAx val="23510041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1075684770173004"/>
          <c:y val="3.3530013495493512E-2"/>
          <c:w val="0.85855306548219901"/>
          <c:h val="0.79545596519339901"/>
        </c:manualLayout>
      </c:layout>
      <c:lineChart>
        <c:grouping val="standard"/>
        <c:ser>
          <c:idx val="0"/>
          <c:order val="0"/>
          <c:spPr>
            <a:ln w="19050"/>
          </c:spPr>
          <c:marker>
            <c:symbol val="none"/>
          </c:marker>
          <c:cat>
            <c:numRef>
              <c:f>'NSW avg daily spot pric'!$A$3:$A$4082</c:f>
              <c:numCache>
                <c:formatCode>m/d/yyyy</c:formatCode>
                <c:ptCount val="4080"/>
                <c:pt idx="0">
                  <c:v>38534</c:v>
                </c:pt>
                <c:pt idx="1">
                  <c:v>38535</c:v>
                </c:pt>
                <c:pt idx="2">
                  <c:v>38536</c:v>
                </c:pt>
                <c:pt idx="3">
                  <c:v>38537</c:v>
                </c:pt>
                <c:pt idx="4">
                  <c:v>38538</c:v>
                </c:pt>
                <c:pt idx="5">
                  <c:v>38539</c:v>
                </c:pt>
                <c:pt idx="6">
                  <c:v>38540</c:v>
                </c:pt>
                <c:pt idx="7">
                  <c:v>38541</c:v>
                </c:pt>
                <c:pt idx="8">
                  <c:v>38542</c:v>
                </c:pt>
                <c:pt idx="9">
                  <c:v>38543</c:v>
                </c:pt>
                <c:pt idx="10">
                  <c:v>38544</c:v>
                </c:pt>
                <c:pt idx="11">
                  <c:v>38545</c:v>
                </c:pt>
                <c:pt idx="12">
                  <c:v>38546</c:v>
                </c:pt>
                <c:pt idx="13">
                  <c:v>38547</c:v>
                </c:pt>
                <c:pt idx="14">
                  <c:v>38548</c:v>
                </c:pt>
                <c:pt idx="15">
                  <c:v>38549</c:v>
                </c:pt>
                <c:pt idx="16">
                  <c:v>38550</c:v>
                </c:pt>
                <c:pt idx="17">
                  <c:v>38551</c:v>
                </c:pt>
                <c:pt idx="18">
                  <c:v>38552</c:v>
                </c:pt>
                <c:pt idx="19">
                  <c:v>38553</c:v>
                </c:pt>
                <c:pt idx="20">
                  <c:v>38554</c:v>
                </c:pt>
                <c:pt idx="21">
                  <c:v>38555</c:v>
                </c:pt>
                <c:pt idx="22">
                  <c:v>38556</c:v>
                </c:pt>
                <c:pt idx="23">
                  <c:v>38557</c:v>
                </c:pt>
                <c:pt idx="24">
                  <c:v>38558</c:v>
                </c:pt>
                <c:pt idx="25">
                  <c:v>38559</c:v>
                </c:pt>
                <c:pt idx="26">
                  <c:v>38560</c:v>
                </c:pt>
                <c:pt idx="27">
                  <c:v>38561</c:v>
                </c:pt>
                <c:pt idx="28">
                  <c:v>38562</c:v>
                </c:pt>
                <c:pt idx="29">
                  <c:v>38563</c:v>
                </c:pt>
                <c:pt idx="30">
                  <c:v>38564</c:v>
                </c:pt>
                <c:pt idx="31">
                  <c:v>38565</c:v>
                </c:pt>
                <c:pt idx="32">
                  <c:v>38566</c:v>
                </c:pt>
                <c:pt idx="33">
                  <c:v>38567</c:v>
                </c:pt>
                <c:pt idx="34">
                  <c:v>38568</c:v>
                </c:pt>
                <c:pt idx="35">
                  <c:v>38569</c:v>
                </c:pt>
                <c:pt idx="36">
                  <c:v>38570</c:v>
                </c:pt>
                <c:pt idx="37">
                  <c:v>38571</c:v>
                </c:pt>
                <c:pt idx="38">
                  <c:v>38572</c:v>
                </c:pt>
                <c:pt idx="39">
                  <c:v>38573</c:v>
                </c:pt>
                <c:pt idx="40">
                  <c:v>38574</c:v>
                </c:pt>
                <c:pt idx="41">
                  <c:v>38575</c:v>
                </c:pt>
                <c:pt idx="42">
                  <c:v>38576</c:v>
                </c:pt>
                <c:pt idx="43">
                  <c:v>38577</c:v>
                </c:pt>
                <c:pt idx="44">
                  <c:v>38578</c:v>
                </c:pt>
                <c:pt idx="45">
                  <c:v>38579</c:v>
                </c:pt>
                <c:pt idx="46">
                  <c:v>38580</c:v>
                </c:pt>
                <c:pt idx="47">
                  <c:v>38581</c:v>
                </c:pt>
                <c:pt idx="48">
                  <c:v>38582</c:v>
                </c:pt>
                <c:pt idx="49">
                  <c:v>38583</c:v>
                </c:pt>
                <c:pt idx="50">
                  <c:v>38584</c:v>
                </c:pt>
                <c:pt idx="51">
                  <c:v>38585</c:v>
                </c:pt>
                <c:pt idx="52">
                  <c:v>38586</c:v>
                </c:pt>
                <c:pt idx="53">
                  <c:v>38587</c:v>
                </c:pt>
                <c:pt idx="54">
                  <c:v>38588</c:v>
                </c:pt>
                <c:pt idx="55">
                  <c:v>38589</c:v>
                </c:pt>
                <c:pt idx="56">
                  <c:v>38590</c:v>
                </c:pt>
                <c:pt idx="57">
                  <c:v>38591</c:v>
                </c:pt>
                <c:pt idx="58">
                  <c:v>38592</c:v>
                </c:pt>
                <c:pt idx="59">
                  <c:v>38593</c:v>
                </c:pt>
                <c:pt idx="60">
                  <c:v>38594</c:v>
                </c:pt>
                <c:pt idx="61">
                  <c:v>38595</c:v>
                </c:pt>
                <c:pt idx="62">
                  <c:v>38596</c:v>
                </c:pt>
                <c:pt idx="63">
                  <c:v>38597</c:v>
                </c:pt>
                <c:pt idx="64">
                  <c:v>38598</c:v>
                </c:pt>
                <c:pt idx="65">
                  <c:v>38599</c:v>
                </c:pt>
                <c:pt idx="66">
                  <c:v>38600</c:v>
                </c:pt>
                <c:pt idx="67">
                  <c:v>38601</c:v>
                </c:pt>
                <c:pt idx="68">
                  <c:v>38602</c:v>
                </c:pt>
                <c:pt idx="69">
                  <c:v>38603</c:v>
                </c:pt>
                <c:pt idx="70">
                  <c:v>38604</c:v>
                </c:pt>
                <c:pt idx="71">
                  <c:v>38605</c:v>
                </c:pt>
                <c:pt idx="72">
                  <c:v>38606</c:v>
                </c:pt>
                <c:pt idx="73">
                  <c:v>38607</c:v>
                </c:pt>
                <c:pt idx="74">
                  <c:v>38608</c:v>
                </c:pt>
                <c:pt idx="75">
                  <c:v>38609</c:v>
                </c:pt>
                <c:pt idx="76">
                  <c:v>38610</c:v>
                </c:pt>
                <c:pt idx="77">
                  <c:v>38611</c:v>
                </c:pt>
                <c:pt idx="78">
                  <c:v>38612</c:v>
                </c:pt>
                <c:pt idx="79">
                  <c:v>38613</c:v>
                </c:pt>
                <c:pt idx="80">
                  <c:v>38614</c:v>
                </c:pt>
                <c:pt idx="81">
                  <c:v>38615</c:v>
                </c:pt>
                <c:pt idx="82">
                  <c:v>38616</c:v>
                </c:pt>
                <c:pt idx="83">
                  <c:v>38617</c:v>
                </c:pt>
                <c:pt idx="84">
                  <c:v>38618</c:v>
                </c:pt>
                <c:pt idx="85">
                  <c:v>38619</c:v>
                </c:pt>
                <c:pt idx="86">
                  <c:v>38620</c:v>
                </c:pt>
                <c:pt idx="87">
                  <c:v>38621</c:v>
                </c:pt>
                <c:pt idx="88">
                  <c:v>38622</c:v>
                </c:pt>
                <c:pt idx="89">
                  <c:v>38623</c:v>
                </c:pt>
                <c:pt idx="90">
                  <c:v>38624</c:v>
                </c:pt>
                <c:pt idx="91">
                  <c:v>38625</c:v>
                </c:pt>
                <c:pt idx="92">
                  <c:v>38626</c:v>
                </c:pt>
                <c:pt idx="93">
                  <c:v>38627</c:v>
                </c:pt>
                <c:pt idx="94">
                  <c:v>38628</c:v>
                </c:pt>
                <c:pt idx="95">
                  <c:v>38629</c:v>
                </c:pt>
                <c:pt idx="96">
                  <c:v>38630</c:v>
                </c:pt>
                <c:pt idx="97">
                  <c:v>38631</c:v>
                </c:pt>
                <c:pt idx="98">
                  <c:v>38632</c:v>
                </c:pt>
                <c:pt idx="99">
                  <c:v>38633</c:v>
                </c:pt>
                <c:pt idx="100">
                  <c:v>38634</c:v>
                </c:pt>
                <c:pt idx="101">
                  <c:v>38635</c:v>
                </c:pt>
                <c:pt idx="102">
                  <c:v>38636</c:v>
                </c:pt>
                <c:pt idx="103">
                  <c:v>38637</c:v>
                </c:pt>
                <c:pt idx="104">
                  <c:v>38638</c:v>
                </c:pt>
                <c:pt idx="105">
                  <c:v>38639</c:v>
                </c:pt>
                <c:pt idx="106">
                  <c:v>38640</c:v>
                </c:pt>
                <c:pt idx="107">
                  <c:v>38641</c:v>
                </c:pt>
                <c:pt idx="108">
                  <c:v>38642</c:v>
                </c:pt>
                <c:pt idx="109">
                  <c:v>38643</c:v>
                </c:pt>
                <c:pt idx="110">
                  <c:v>38644</c:v>
                </c:pt>
                <c:pt idx="111">
                  <c:v>38645</c:v>
                </c:pt>
                <c:pt idx="112">
                  <c:v>38646</c:v>
                </c:pt>
                <c:pt idx="113">
                  <c:v>38647</c:v>
                </c:pt>
                <c:pt idx="114">
                  <c:v>38648</c:v>
                </c:pt>
                <c:pt idx="115">
                  <c:v>38649</c:v>
                </c:pt>
                <c:pt idx="116">
                  <c:v>38650</c:v>
                </c:pt>
                <c:pt idx="117">
                  <c:v>38651</c:v>
                </c:pt>
                <c:pt idx="118">
                  <c:v>38652</c:v>
                </c:pt>
                <c:pt idx="119">
                  <c:v>38653</c:v>
                </c:pt>
                <c:pt idx="120">
                  <c:v>38654</c:v>
                </c:pt>
                <c:pt idx="121">
                  <c:v>38655</c:v>
                </c:pt>
                <c:pt idx="122">
                  <c:v>38656</c:v>
                </c:pt>
                <c:pt idx="123">
                  <c:v>38657</c:v>
                </c:pt>
                <c:pt idx="124">
                  <c:v>38658</c:v>
                </c:pt>
                <c:pt idx="125">
                  <c:v>38659</c:v>
                </c:pt>
                <c:pt idx="126">
                  <c:v>38660</c:v>
                </c:pt>
                <c:pt idx="127">
                  <c:v>38661</c:v>
                </c:pt>
                <c:pt idx="128">
                  <c:v>38662</c:v>
                </c:pt>
                <c:pt idx="129">
                  <c:v>38663</c:v>
                </c:pt>
                <c:pt idx="130">
                  <c:v>38664</c:v>
                </c:pt>
                <c:pt idx="131">
                  <c:v>38665</c:v>
                </c:pt>
                <c:pt idx="132">
                  <c:v>38666</c:v>
                </c:pt>
                <c:pt idx="133">
                  <c:v>38667</c:v>
                </c:pt>
                <c:pt idx="134">
                  <c:v>38668</c:v>
                </c:pt>
                <c:pt idx="135">
                  <c:v>38669</c:v>
                </c:pt>
                <c:pt idx="136">
                  <c:v>38670</c:v>
                </c:pt>
                <c:pt idx="137">
                  <c:v>38671</c:v>
                </c:pt>
                <c:pt idx="138">
                  <c:v>38672</c:v>
                </c:pt>
                <c:pt idx="139">
                  <c:v>38673</c:v>
                </c:pt>
                <c:pt idx="140">
                  <c:v>38674</c:v>
                </c:pt>
                <c:pt idx="141">
                  <c:v>38675</c:v>
                </c:pt>
                <c:pt idx="142">
                  <c:v>38676</c:v>
                </c:pt>
                <c:pt idx="143">
                  <c:v>38677</c:v>
                </c:pt>
                <c:pt idx="144">
                  <c:v>38678</c:v>
                </c:pt>
                <c:pt idx="145">
                  <c:v>38679</c:v>
                </c:pt>
                <c:pt idx="146">
                  <c:v>38680</c:v>
                </c:pt>
                <c:pt idx="147">
                  <c:v>38681</c:v>
                </c:pt>
                <c:pt idx="148">
                  <c:v>38682</c:v>
                </c:pt>
                <c:pt idx="149">
                  <c:v>38683</c:v>
                </c:pt>
                <c:pt idx="150">
                  <c:v>38684</c:v>
                </c:pt>
                <c:pt idx="151">
                  <c:v>38685</c:v>
                </c:pt>
                <c:pt idx="152">
                  <c:v>38686</c:v>
                </c:pt>
                <c:pt idx="153">
                  <c:v>38687</c:v>
                </c:pt>
                <c:pt idx="154">
                  <c:v>38688</c:v>
                </c:pt>
                <c:pt idx="155">
                  <c:v>38689</c:v>
                </c:pt>
                <c:pt idx="156">
                  <c:v>38690</c:v>
                </c:pt>
                <c:pt idx="157">
                  <c:v>38691</c:v>
                </c:pt>
                <c:pt idx="158">
                  <c:v>38692</c:v>
                </c:pt>
                <c:pt idx="159">
                  <c:v>38693</c:v>
                </c:pt>
                <c:pt idx="160">
                  <c:v>38694</c:v>
                </c:pt>
                <c:pt idx="161">
                  <c:v>38695</c:v>
                </c:pt>
                <c:pt idx="162">
                  <c:v>38696</c:v>
                </c:pt>
                <c:pt idx="163">
                  <c:v>38697</c:v>
                </c:pt>
                <c:pt idx="164">
                  <c:v>38698</c:v>
                </c:pt>
                <c:pt idx="165">
                  <c:v>38699</c:v>
                </c:pt>
                <c:pt idx="166">
                  <c:v>38700</c:v>
                </c:pt>
                <c:pt idx="167">
                  <c:v>38701</c:v>
                </c:pt>
                <c:pt idx="168">
                  <c:v>38702</c:v>
                </c:pt>
                <c:pt idx="169">
                  <c:v>38703</c:v>
                </c:pt>
                <c:pt idx="170">
                  <c:v>38704</c:v>
                </c:pt>
                <c:pt idx="171">
                  <c:v>38705</c:v>
                </c:pt>
                <c:pt idx="172">
                  <c:v>38706</c:v>
                </c:pt>
                <c:pt idx="173">
                  <c:v>38707</c:v>
                </c:pt>
                <c:pt idx="174">
                  <c:v>38708</c:v>
                </c:pt>
                <c:pt idx="175">
                  <c:v>38709</c:v>
                </c:pt>
                <c:pt idx="176">
                  <c:v>38710</c:v>
                </c:pt>
                <c:pt idx="177">
                  <c:v>38711</c:v>
                </c:pt>
                <c:pt idx="178">
                  <c:v>38712</c:v>
                </c:pt>
                <c:pt idx="179">
                  <c:v>38713</c:v>
                </c:pt>
                <c:pt idx="180">
                  <c:v>38714</c:v>
                </c:pt>
                <c:pt idx="181">
                  <c:v>38715</c:v>
                </c:pt>
                <c:pt idx="182">
                  <c:v>38716</c:v>
                </c:pt>
                <c:pt idx="183">
                  <c:v>38717</c:v>
                </c:pt>
                <c:pt idx="184">
                  <c:v>38718</c:v>
                </c:pt>
                <c:pt idx="185">
                  <c:v>38719</c:v>
                </c:pt>
                <c:pt idx="186">
                  <c:v>38720</c:v>
                </c:pt>
                <c:pt idx="187">
                  <c:v>38721</c:v>
                </c:pt>
                <c:pt idx="188">
                  <c:v>38722</c:v>
                </c:pt>
                <c:pt idx="189">
                  <c:v>38723</c:v>
                </c:pt>
                <c:pt idx="190">
                  <c:v>38724</c:v>
                </c:pt>
                <c:pt idx="191">
                  <c:v>38725</c:v>
                </c:pt>
                <c:pt idx="192">
                  <c:v>38726</c:v>
                </c:pt>
                <c:pt idx="193">
                  <c:v>38727</c:v>
                </c:pt>
                <c:pt idx="194">
                  <c:v>38728</c:v>
                </c:pt>
                <c:pt idx="195">
                  <c:v>38729</c:v>
                </c:pt>
                <c:pt idx="196">
                  <c:v>38730</c:v>
                </c:pt>
                <c:pt idx="197">
                  <c:v>38731</c:v>
                </c:pt>
                <c:pt idx="198">
                  <c:v>38732</c:v>
                </c:pt>
                <c:pt idx="199">
                  <c:v>38733</c:v>
                </c:pt>
                <c:pt idx="200">
                  <c:v>38734</c:v>
                </c:pt>
                <c:pt idx="201">
                  <c:v>38735</c:v>
                </c:pt>
                <c:pt idx="202">
                  <c:v>38736</c:v>
                </c:pt>
                <c:pt idx="203">
                  <c:v>38737</c:v>
                </c:pt>
                <c:pt idx="204">
                  <c:v>38738</c:v>
                </c:pt>
                <c:pt idx="205">
                  <c:v>38739</c:v>
                </c:pt>
                <c:pt idx="206">
                  <c:v>38740</c:v>
                </c:pt>
                <c:pt idx="207">
                  <c:v>38741</c:v>
                </c:pt>
                <c:pt idx="208">
                  <c:v>38742</c:v>
                </c:pt>
                <c:pt idx="209">
                  <c:v>38743</c:v>
                </c:pt>
                <c:pt idx="210">
                  <c:v>38744</c:v>
                </c:pt>
                <c:pt idx="211">
                  <c:v>38745</c:v>
                </c:pt>
                <c:pt idx="212">
                  <c:v>38746</c:v>
                </c:pt>
                <c:pt idx="213">
                  <c:v>38747</c:v>
                </c:pt>
                <c:pt idx="214">
                  <c:v>38748</c:v>
                </c:pt>
                <c:pt idx="215">
                  <c:v>38749</c:v>
                </c:pt>
                <c:pt idx="216">
                  <c:v>38750</c:v>
                </c:pt>
                <c:pt idx="217">
                  <c:v>38751</c:v>
                </c:pt>
                <c:pt idx="218">
                  <c:v>38752</c:v>
                </c:pt>
                <c:pt idx="219">
                  <c:v>38753</c:v>
                </c:pt>
                <c:pt idx="220">
                  <c:v>38754</c:v>
                </c:pt>
                <c:pt idx="221">
                  <c:v>38755</c:v>
                </c:pt>
                <c:pt idx="222">
                  <c:v>38756</c:v>
                </c:pt>
                <c:pt idx="223">
                  <c:v>38757</c:v>
                </c:pt>
                <c:pt idx="224">
                  <c:v>38758</c:v>
                </c:pt>
                <c:pt idx="225">
                  <c:v>38759</c:v>
                </c:pt>
                <c:pt idx="226">
                  <c:v>38760</c:v>
                </c:pt>
                <c:pt idx="227">
                  <c:v>38761</c:v>
                </c:pt>
                <c:pt idx="228">
                  <c:v>38762</c:v>
                </c:pt>
                <c:pt idx="229">
                  <c:v>38763</c:v>
                </c:pt>
                <c:pt idx="230">
                  <c:v>38764</c:v>
                </c:pt>
                <c:pt idx="231">
                  <c:v>38765</c:v>
                </c:pt>
                <c:pt idx="232">
                  <c:v>38766</c:v>
                </c:pt>
                <c:pt idx="233">
                  <c:v>38767</c:v>
                </c:pt>
                <c:pt idx="234">
                  <c:v>38768</c:v>
                </c:pt>
                <c:pt idx="235">
                  <c:v>38769</c:v>
                </c:pt>
                <c:pt idx="236">
                  <c:v>38770</c:v>
                </c:pt>
                <c:pt idx="237">
                  <c:v>38771</c:v>
                </c:pt>
                <c:pt idx="238">
                  <c:v>38772</c:v>
                </c:pt>
                <c:pt idx="239">
                  <c:v>38773</c:v>
                </c:pt>
                <c:pt idx="240">
                  <c:v>38774</c:v>
                </c:pt>
                <c:pt idx="241">
                  <c:v>38775</c:v>
                </c:pt>
                <c:pt idx="242">
                  <c:v>38776</c:v>
                </c:pt>
                <c:pt idx="243">
                  <c:v>38777</c:v>
                </c:pt>
                <c:pt idx="244">
                  <c:v>38778</c:v>
                </c:pt>
                <c:pt idx="245">
                  <c:v>38779</c:v>
                </c:pt>
                <c:pt idx="246">
                  <c:v>38780</c:v>
                </c:pt>
                <c:pt idx="247">
                  <c:v>38781</c:v>
                </c:pt>
                <c:pt idx="248">
                  <c:v>38782</c:v>
                </c:pt>
                <c:pt idx="249">
                  <c:v>38783</c:v>
                </c:pt>
                <c:pt idx="250">
                  <c:v>38784</c:v>
                </c:pt>
                <c:pt idx="251">
                  <c:v>38785</c:v>
                </c:pt>
                <c:pt idx="252">
                  <c:v>38786</c:v>
                </c:pt>
                <c:pt idx="253">
                  <c:v>38787</c:v>
                </c:pt>
                <c:pt idx="254">
                  <c:v>38788</c:v>
                </c:pt>
                <c:pt idx="255">
                  <c:v>38789</c:v>
                </c:pt>
                <c:pt idx="256">
                  <c:v>38790</c:v>
                </c:pt>
                <c:pt idx="257">
                  <c:v>38791</c:v>
                </c:pt>
                <c:pt idx="258">
                  <c:v>38792</c:v>
                </c:pt>
                <c:pt idx="259">
                  <c:v>38793</c:v>
                </c:pt>
                <c:pt idx="260">
                  <c:v>38794</c:v>
                </c:pt>
                <c:pt idx="261">
                  <c:v>38795</c:v>
                </c:pt>
                <c:pt idx="262">
                  <c:v>38796</c:v>
                </c:pt>
                <c:pt idx="263">
                  <c:v>38797</c:v>
                </c:pt>
                <c:pt idx="264">
                  <c:v>38798</c:v>
                </c:pt>
                <c:pt idx="265">
                  <c:v>38799</c:v>
                </c:pt>
                <c:pt idx="266">
                  <c:v>38800</c:v>
                </c:pt>
                <c:pt idx="267">
                  <c:v>38801</c:v>
                </c:pt>
                <c:pt idx="268">
                  <c:v>38802</c:v>
                </c:pt>
                <c:pt idx="269">
                  <c:v>38803</c:v>
                </c:pt>
                <c:pt idx="270">
                  <c:v>38804</c:v>
                </c:pt>
                <c:pt idx="271">
                  <c:v>38805</c:v>
                </c:pt>
                <c:pt idx="272">
                  <c:v>38806</c:v>
                </c:pt>
                <c:pt idx="273">
                  <c:v>38807</c:v>
                </c:pt>
                <c:pt idx="274">
                  <c:v>38808</c:v>
                </c:pt>
                <c:pt idx="275">
                  <c:v>38809</c:v>
                </c:pt>
                <c:pt idx="276">
                  <c:v>38810</c:v>
                </c:pt>
                <c:pt idx="277">
                  <c:v>38811</c:v>
                </c:pt>
                <c:pt idx="278">
                  <c:v>38812</c:v>
                </c:pt>
                <c:pt idx="279">
                  <c:v>38813</c:v>
                </c:pt>
                <c:pt idx="280">
                  <c:v>38814</c:v>
                </c:pt>
                <c:pt idx="281">
                  <c:v>38815</c:v>
                </c:pt>
                <c:pt idx="282">
                  <c:v>38816</c:v>
                </c:pt>
                <c:pt idx="283">
                  <c:v>38817</c:v>
                </c:pt>
                <c:pt idx="284">
                  <c:v>38818</c:v>
                </c:pt>
                <c:pt idx="285">
                  <c:v>38819</c:v>
                </c:pt>
                <c:pt idx="286">
                  <c:v>38820</c:v>
                </c:pt>
                <c:pt idx="287">
                  <c:v>38821</c:v>
                </c:pt>
                <c:pt idx="288">
                  <c:v>38822</c:v>
                </c:pt>
                <c:pt idx="289">
                  <c:v>38823</c:v>
                </c:pt>
                <c:pt idx="290">
                  <c:v>38824</c:v>
                </c:pt>
                <c:pt idx="291">
                  <c:v>38825</c:v>
                </c:pt>
                <c:pt idx="292">
                  <c:v>38826</c:v>
                </c:pt>
                <c:pt idx="293">
                  <c:v>38827</c:v>
                </c:pt>
                <c:pt idx="294">
                  <c:v>38828</c:v>
                </c:pt>
                <c:pt idx="295">
                  <c:v>38829</c:v>
                </c:pt>
                <c:pt idx="296">
                  <c:v>38830</c:v>
                </c:pt>
                <c:pt idx="297">
                  <c:v>38831</c:v>
                </c:pt>
                <c:pt idx="298">
                  <c:v>38832</c:v>
                </c:pt>
                <c:pt idx="299">
                  <c:v>38833</c:v>
                </c:pt>
                <c:pt idx="300">
                  <c:v>38834</c:v>
                </c:pt>
                <c:pt idx="301">
                  <c:v>38835</c:v>
                </c:pt>
                <c:pt idx="302">
                  <c:v>38836</c:v>
                </c:pt>
                <c:pt idx="303">
                  <c:v>38837</c:v>
                </c:pt>
                <c:pt idx="304">
                  <c:v>38838</c:v>
                </c:pt>
                <c:pt idx="305">
                  <c:v>38839</c:v>
                </c:pt>
                <c:pt idx="306">
                  <c:v>38840</c:v>
                </c:pt>
                <c:pt idx="307">
                  <c:v>38841</c:v>
                </c:pt>
                <c:pt idx="308">
                  <c:v>38842</c:v>
                </c:pt>
                <c:pt idx="309">
                  <c:v>38843</c:v>
                </c:pt>
                <c:pt idx="310">
                  <c:v>38844</c:v>
                </c:pt>
                <c:pt idx="311">
                  <c:v>38845</c:v>
                </c:pt>
                <c:pt idx="312">
                  <c:v>38846</c:v>
                </c:pt>
                <c:pt idx="313">
                  <c:v>38847</c:v>
                </c:pt>
                <c:pt idx="314">
                  <c:v>38848</c:v>
                </c:pt>
                <c:pt idx="315">
                  <c:v>38849</c:v>
                </c:pt>
                <c:pt idx="316">
                  <c:v>38850</c:v>
                </c:pt>
                <c:pt idx="317">
                  <c:v>38851</c:v>
                </c:pt>
                <c:pt idx="318">
                  <c:v>38852</c:v>
                </c:pt>
                <c:pt idx="319">
                  <c:v>38853</c:v>
                </c:pt>
                <c:pt idx="320">
                  <c:v>38854</c:v>
                </c:pt>
                <c:pt idx="321">
                  <c:v>38855</c:v>
                </c:pt>
                <c:pt idx="322">
                  <c:v>38856</c:v>
                </c:pt>
                <c:pt idx="323">
                  <c:v>38857</c:v>
                </c:pt>
                <c:pt idx="324">
                  <c:v>38858</c:v>
                </c:pt>
                <c:pt idx="325">
                  <c:v>38859</c:v>
                </c:pt>
                <c:pt idx="326">
                  <c:v>38860</c:v>
                </c:pt>
                <c:pt idx="327">
                  <c:v>38861</c:v>
                </c:pt>
                <c:pt idx="328">
                  <c:v>38862</c:v>
                </c:pt>
                <c:pt idx="329">
                  <c:v>38863</c:v>
                </c:pt>
                <c:pt idx="330">
                  <c:v>38864</c:v>
                </c:pt>
                <c:pt idx="331">
                  <c:v>38865</c:v>
                </c:pt>
                <c:pt idx="332">
                  <c:v>38866</c:v>
                </c:pt>
                <c:pt idx="333">
                  <c:v>38867</c:v>
                </c:pt>
                <c:pt idx="334">
                  <c:v>38868</c:v>
                </c:pt>
                <c:pt idx="335">
                  <c:v>38869</c:v>
                </c:pt>
                <c:pt idx="336">
                  <c:v>38870</c:v>
                </c:pt>
                <c:pt idx="337">
                  <c:v>38871</c:v>
                </c:pt>
                <c:pt idx="338">
                  <c:v>38872</c:v>
                </c:pt>
                <c:pt idx="339">
                  <c:v>38873</c:v>
                </c:pt>
                <c:pt idx="340">
                  <c:v>38874</c:v>
                </c:pt>
                <c:pt idx="341">
                  <c:v>38875</c:v>
                </c:pt>
                <c:pt idx="342">
                  <c:v>38876</c:v>
                </c:pt>
                <c:pt idx="343">
                  <c:v>38877</c:v>
                </c:pt>
                <c:pt idx="344">
                  <c:v>38878</c:v>
                </c:pt>
                <c:pt idx="345">
                  <c:v>38879</c:v>
                </c:pt>
                <c:pt idx="346">
                  <c:v>38880</c:v>
                </c:pt>
                <c:pt idx="347">
                  <c:v>38881</c:v>
                </c:pt>
                <c:pt idx="348">
                  <c:v>38882</c:v>
                </c:pt>
                <c:pt idx="349">
                  <c:v>38883</c:v>
                </c:pt>
                <c:pt idx="350">
                  <c:v>38884</c:v>
                </c:pt>
                <c:pt idx="351">
                  <c:v>38885</c:v>
                </c:pt>
                <c:pt idx="352">
                  <c:v>38886</c:v>
                </c:pt>
                <c:pt idx="353">
                  <c:v>38887</c:v>
                </c:pt>
                <c:pt idx="354">
                  <c:v>38888</c:v>
                </c:pt>
                <c:pt idx="355">
                  <c:v>38889</c:v>
                </c:pt>
                <c:pt idx="356">
                  <c:v>38890</c:v>
                </c:pt>
                <c:pt idx="357">
                  <c:v>38891</c:v>
                </c:pt>
                <c:pt idx="358">
                  <c:v>38892</c:v>
                </c:pt>
                <c:pt idx="359">
                  <c:v>38893</c:v>
                </c:pt>
                <c:pt idx="360">
                  <c:v>38894</c:v>
                </c:pt>
                <c:pt idx="361">
                  <c:v>38895</c:v>
                </c:pt>
                <c:pt idx="362">
                  <c:v>38896</c:v>
                </c:pt>
                <c:pt idx="363">
                  <c:v>38897</c:v>
                </c:pt>
                <c:pt idx="364">
                  <c:v>38898</c:v>
                </c:pt>
                <c:pt idx="365">
                  <c:v>38899</c:v>
                </c:pt>
                <c:pt idx="366">
                  <c:v>38900</c:v>
                </c:pt>
                <c:pt idx="367">
                  <c:v>38901</c:v>
                </c:pt>
                <c:pt idx="368">
                  <c:v>38902</c:v>
                </c:pt>
                <c:pt idx="369">
                  <c:v>38903</c:v>
                </c:pt>
                <c:pt idx="370">
                  <c:v>38904</c:v>
                </c:pt>
                <c:pt idx="371">
                  <c:v>38905</c:v>
                </c:pt>
                <c:pt idx="372">
                  <c:v>38906</c:v>
                </c:pt>
                <c:pt idx="373">
                  <c:v>38907</c:v>
                </c:pt>
                <c:pt idx="374">
                  <c:v>38908</c:v>
                </c:pt>
                <c:pt idx="375">
                  <c:v>38909</c:v>
                </c:pt>
                <c:pt idx="376">
                  <c:v>38910</c:v>
                </c:pt>
                <c:pt idx="377">
                  <c:v>38911</c:v>
                </c:pt>
                <c:pt idx="378">
                  <c:v>38912</c:v>
                </c:pt>
                <c:pt idx="379">
                  <c:v>38913</c:v>
                </c:pt>
                <c:pt idx="380">
                  <c:v>38914</c:v>
                </c:pt>
                <c:pt idx="381">
                  <c:v>38915</c:v>
                </c:pt>
                <c:pt idx="382">
                  <c:v>38916</c:v>
                </c:pt>
                <c:pt idx="383">
                  <c:v>38917</c:v>
                </c:pt>
                <c:pt idx="384">
                  <c:v>38918</c:v>
                </c:pt>
                <c:pt idx="385">
                  <c:v>38919</c:v>
                </c:pt>
                <c:pt idx="386">
                  <c:v>38920</c:v>
                </c:pt>
                <c:pt idx="387">
                  <c:v>38921</c:v>
                </c:pt>
                <c:pt idx="388">
                  <c:v>38922</c:v>
                </c:pt>
                <c:pt idx="389">
                  <c:v>38923</c:v>
                </c:pt>
                <c:pt idx="390">
                  <c:v>38924</c:v>
                </c:pt>
                <c:pt idx="391">
                  <c:v>38925</c:v>
                </c:pt>
                <c:pt idx="392">
                  <c:v>38926</c:v>
                </c:pt>
                <c:pt idx="393">
                  <c:v>38927</c:v>
                </c:pt>
                <c:pt idx="394">
                  <c:v>38928</c:v>
                </c:pt>
                <c:pt idx="395">
                  <c:v>38929</c:v>
                </c:pt>
                <c:pt idx="396">
                  <c:v>38930</c:v>
                </c:pt>
                <c:pt idx="397">
                  <c:v>38931</c:v>
                </c:pt>
                <c:pt idx="398">
                  <c:v>38932</c:v>
                </c:pt>
                <c:pt idx="399">
                  <c:v>38933</c:v>
                </c:pt>
                <c:pt idx="400">
                  <c:v>38934</c:v>
                </c:pt>
                <c:pt idx="401">
                  <c:v>38935</c:v>
                </c:pt>
                <c:pt idx="402">
                  <c:v>38936</c:v>
                </c:pt>
                <c:pt idx="403">
                  <c:v>38937</c:v>
                </c:pt>
                <c:pt idx="404">
                  <c:v>38938</c:v>
                </c:pt>
                <c:pt idx="405">
                  <c:v>38939</c:v>
                </c:pt>
                <c:pt idx="406">
                  <c:v>38940</c:v>
                </c:pt>
                <c:pt idx="407">
                  <c:v>38941</c:v>
                </c:pt>
                <c:pt idx="408">
                  <c:v>38942</c:v>
                </c:pt>
                <c:pt idx="409">
                  <c:v>38943</c:v>
                </c:pt>
                <c:pt idx="410">
                  <c:v>38944</c:v>
                </c:pt>
                <c:pt idx="411">
                  <c:v>38945</c:v>
                </c:pt>
                <c:pt idx="412">
                  <c:v>38946</c:v>
                </c:pt>
                <c:pt idx="413">
                  <c:v>38947</c:v>
                </c:pt>
                <c:pt idx="414">
                  <c:v>38948</c:v>
                </c:pt>
                <c:pt idx="415">
                  <c:v>38949</c:v>
                </c:pt>
                <c:pt idx="416">
                  <c:v>38950</c:v>
                </c:pt>
                <c:pt idx="417">
                  <c:v>38951</c:v>
                </c:pt>
                <c:pt idx="418">
                  <c:v>38952</c:v>
                </c:pt>
                <c:pt idx="419">
                  <c:v>38953</c:v>
                </c:pt>
                <c:pt idx="420">
                  <c:v>38954</c:v>
                </c:pt>
                <c:pt idx="421">
                  <c:v>38955</c:v>
                </c:pt>
                <c:pt idx="422">
                  <c:v>38956</c:v>
                </c:pt>
                <c:pt idx="423">
                  <c:v>38957</c:v>
                </c:pt>
                <c:pt idx="424">
                  <c:v>38958</c:v>
                </c:pt>
                <c:pt idx="425">
                  <c:v>38959</c:v>
                </c:pt>
                <c:pt idx="426">
                  <c:v>38960</c:v>
                </c:pt>
                <c:pt idx="427">
                  <c:v>38961</c:v>
                </c:pt>
                <c:pt idx="428">
                  <c:v>38962</c:v>
                </c:pt>
                <c:pt idx="429">
                  <c:v>38963</c:v>
                </c:pt>
                <c:pt idx="430">
                  <c:v>38964</c:v>
                </c:pt>
                <c:pt idx="431">
                  <c:v>38965</c:v>
                </c:pt>
                <c:pt idx="432">
                  <c:v>38966</c:v>
                </c:pt>
                <c:pt idx="433">
                  <c:v>38967</c:v>
                </c:pt>
                <c:pt idx="434">
                  <c:v>38968</c:v>
                </c:pt>
                <c:pt idx="435">
                  <c:v>38969</c:v>
                </c:pt>
                <c:pt idx="436">
                  <c:v>38970</c:v>
                </c:pt>
                <c:pt idx="437">
                  <c:v>38971</c:v>
                </c:pt>
                <c:pt idx="438">
                  <c:v>38972</c:v>
                </c:pt>
                <c:pt idx="439">
                  <c:v>38973</c:v>
                </c:pt>
                <c:pt idx="440">
                  <c:v>38974</c:v>
                </c:pt>
                <c:pt idx="441">
                  <c:v>38975</c:v>
                </c:pt>
                <c:pt idx="442">
                  <c:v>38976</c:v>
                </c:pt>
                <c:pt idx="443">
                  <c:v>38977</c:v>
                </c:pt>
                <c:pt idx="444">
                  <c:v>38978</c:v>
                </c:pt>
                <c:pt idx="445">
                  <c:v>38979</c:v>
                </c:pt>
                <c:pt idx="446">
                  <c:v>38980</c:v>
                </c:pt>
                <c:pt idx="447">
                  <c:v>38981</c:v>
                </c:pt>
                <c:pt idx="448">
                  <c:v>38982</c:v>
                </c:pt>
                <c:pt idx="449">
                  <c:v>38983</c:v>
                </c:pt>
                <c:pt idx="450">
                  <c:v>38984</c:v>
                </c:pt>
                <c:pt idx="451">
                  <c:v>38985</c:v>
                </c:pt>
                <c:pt idx="452">
                  <c:v>38986</c:v>
                </c:pt>
                <c:pt idx="453">
                  <c:v>38987</c:v>
                </c:pt>
                <c:pt idx="454">
                  <c:v>38988</c:v>
                </c:pt>
                <c:pt idx="455">
                  <c:v>38989</c:v>
                </c:pt>
                <c:pt idx="456">
                  <c:v>38990</c:v>
                </c:pt>
                <c:pt idx="457">
                  <c:v>38991</c:v>
                </c:pt>
                <c:pt idx="458">
                  <c:v>38992</c:v>
                </c:pt>
                <c:pt idx="459">
                  <c:v>38993</c:v>
                </c:pt>
                <c:pt idx="460">
                  <c:v>38994</c:v>
                </c:pt>
                <c:pt idx="461">
                  <c:v>38995</c:v>
                </c:pt>
                <c:pt idx="462">
                  <c:v>38996</c:v>
                </c:pt>
                <c:pt idx="463">
                  <c:v>38997</c:v>
                </c:pt>
                <c:pt idx="464">
                  <c:v>38998</c:v>
                </c:pt>
                <c:pt idx="465">
                  <c:v>38999</c:v>
                </c:pt>
                <c:pt idx="466">
                  <c:v>39000</c:v>
                </c:pt>
                <c:pt idx="467">
                  <c:v>39001</c:v>
                </c:pt>
                <c:pt idx="468">
                  <c:v>39002</c:v>
                </c:pt>
                <c:pt idx="469">
                  <c:v>39003</c:v>
                </c:pt>
                <c:pt idx="470">
                  <c:v>39004</c:v>
                </c:pt>
                <c:pt idx="471">
                  <c:v>39005</c:v>
                </c:pt>
                <c:pt idx="472">
                  <c:v>39006</c:v>
                </c:pt>
                <c:pt idx="473">
                  <c:v>39007</c:v>
                </c:pt>
                <c:pt idx="474">
                  <c:v>39008</c:v>
                </c:pt>
                <c:pt idx="475">
                  <c:v>39009</c:v>
                </c:pt>
                <c:pt idx="476">
                  <c:v>39010</c:v>
                </c:pt>
                <c:pt idx="477">
                  <c:v>39011</c:v>
                </c:pt>
                <c:pt idx="478">
                  <c:v>39012</c:v>
                </c:pt>
                <c:pt idx="479">
                  <c:v>39013</c:v>
                </c:pt>
                <c:pt idx="480">
                  <c:v>39014</c:v>
                </c:pt>
                <c:pt idx="481">
                  <c:v>39015</c:v>
                </c:pt>
                <c:pt idx="482">
                  <c:v>39016</c:v>
                </c:pt>
                <c:pt idx="483">
                  <c:v>39017</c:v>
                </c:pt>
                <c:pt idx="484">
                  <c:v>39018</c:v>
                </c:pt>
                <c:pt idx="485">
                  <c:v>39019</c:v>
                </c:pt>
                <c:pt idx="486">
                  <c:v>39020</c:v>
                </c:pt>
                <c:pt idx="487">
                  <c:v>39021</c:v>
                </c:pt>
                <c:pt idx="488">
                  <c:v>39022</c:v>
                </c:pt>
                <c:pt idx="489">
                  <c:v>39023</c:v>
                </c:pt>
                <c:pt idx="490">
                  <c:v>39024</c:v>
                </c:pt>
                <c:pt idx="491">
                  <c:v>39025</c:v>
                </c:pt>
                <c:pt idx="492">
                  <c:v>39026</c:v>
                </c:pt>
                <c:pt idx="493">
                  <c:v>39027</c:v>
                </c:pt>
                <c:pt idx="494">
                  <c:v>39028</c:v>
                </c:pt>
                <c:pt idx="495">
                  <c:v>39029</c:v>
                </c:pt>
                <c:pt idx="496">
                  <c:v>39030</c:v>
                </c:pt>
                <c:pt idx="497">
                  <c:v>39031</c:v>
                </c:pt>
                <c:pt idx="498">
                  <c:v>39032</c:v>
                </c:pt>
                <c:pt idx="499">
                  <c:v>39033</c:v>
                </c:pt>
                <c:pt idx="500">
                  <c:v>39034</c:v>
                </c:pt>
                <c:pt idx="501">
                  <c:v>39035</c:v>
                </c:pt>
                <c:pt idx="502">
                  <c:v>39036</c:v>
                </c:pt>
                <c:pt idx="503">
                  <c:v>39037</c:v>
                </c:pt>
                <c:pt idx="504">
                  <c:v>39038</c:v>
                </c:pt>
                <c:pt idx="505">
                  <c:v>39039</c:v>
                </c:pt>
                <c:pt idx="506">
                  <c:v>39040</c:v>
                </c:pt>
                <c:pt idx="507">
                  <c:v>39041</c:v>
                </c:pt>
                <c:pt idx="508">
                  <c:v>39042</c:v>
                </c:pt>
                <c:pt idx="509">
                  <c:v>39043</c:v>
                </c:pt>
                <c:pt idx="510">
                  <c:v>39044</c:v>
                </c:pt>
                <c:pt idx="511">
                  <c:v>39045</c:v>
                </c:pt>
                <c:pt idx="512">
                  <c:v>39046</c:v>
                </c:pt>
                <c:pt idx="513">
                  <c:v>39047</c:v>
                </c:pt>
                <c:pt idx="514">
                  <c:v>39048</c:v>
                </c:pt>
                <c:pt idx="515">
                  <c:v>39049</c:v>
                </c:pt>
                <c:pt idx="516">
                  <c:v>39050</c:v>
                </c:pt>
                <c:pt idx="517">
                  <c:v>39051</c:v>
                </c:pt>
                <c:pt idx="518">
                  <c:v>39052</c:v>
                </c:pt>
                <c:pt idx="519">
                  <c:v>39053</c:v>
                </c:pt>
                <c:pt idx="520">
                  <c:v>39054</c:v>
                </c:pt>
                <c:pt idx="521">
                  <c:v>39055</c:v>
                </c:pt>
                <c:pt idx="522">
                  <c:v>39056</c:v>
                </c:pt>
                <c:pt idx="523">
                  <c:v>39057</c:v>
                </c:pt>
                <c:pt idx="524">
                  <c:v>39058</c:v>
                </c:pt>
                <c:pt idx="525">
                  <c:v>39059</c:v>
                </c:pt>
                <c:pt idx="526">
                  <c:v>39060</c:v>
                </c:pt>
                <c:pt idx="527">
                  <c:v>39061</c:v>
                </c:pt>
                <c:pt idx="528">
                  <c:v>39062</c:v>
                </c:pt>
                <c:pt idx="529">
                  <c:v>39063</c:v>
                </c:pt>
                <c:pt idx="530">
                  <c:v>39064</c:v>
                </c:pt>
                <c:pt idx="531">
                  <c:v>39065</c:v>
                </c:pt>
                <c:pt idx="532">
                  <c:v>39066</c:v>
                </c:pt>
                <c:pt idx="533">
                  <c:v>39067</c:v>
                </c:pt>
                <c:pt idx="534">
                  <c:v>39068</c:v>
                </c:pt>
                <c:pt idx="535">
                  <c:v>39069</c:v>
                </c:pt>
                <c:pt idx="536">
                  <c:v>39070</c:v>
                </c:pt>
                <c:pt idx="537">
                  <c:v>39071</c:v>
                </c:pt>
                <c:pt idx="538">
                  <c:v>39072</c:v>
                </c:pt>
                <c:pt idx="539">
                  <c:v>39073</c:v>
                </c:pt>
                <c:pt idx="540">
                  <c:v>39074</c:v>
                </c:pt>
                <c:pt idx="541">
                  <c:v>39075</c:v>
                </c:pt>
                <c:pt idx="542">
                  <c:v>39076</c:v>
                </c:pt>
                <c:pt idx="543">
                  <c:v>39077</c:v>
                </c:pt>
                <c:pt idx="544">
                  <c:v>39078</c:v>
                </c:pt>
                <c:pt idx="545">
                  <c:v>39079</c:v>
                </c:pt>
                <c:pt idx="546">
                  <c:v>39080</c:v>
                </c:pt>
                <c:pt idx="547">
                  <c:v>39081</c:v>
                </c:pt>
                <c:pt idx="548">
                  <c:v>39082</c:v>
                </c:pt>
                <c:pt idx="549">
                  <c:v>39083</c:v>
                </c:pt>
                <c:pt idx="550">
                  <c:v>39084</c:v>
                </c:pt>
                <c:pt idx="551">
                  <c:v>39085</c:v>
                </c:pt>
                <c:pt idx="552">
                  <c:v>39086</c:v>
                </c:pt>
                <c:pt idx="553">
                  <c:v>39087</c:v>
                </c:pt>
                <c:pt idx="554">
                  <c:v>39088</c:v>
                </c:pt>
                <c:pt idx="555">
                  <c:v>39089</c:v>
                </c:pt>
                <c:pt idx="556">
                  <c:v>39090</c:v>
                </c:pt>
                <c:pt idx="557">
                  <c:v>39091</c:v>
                </c:pt>
                <c:pt idx="558">
                  <c:v>39092</c:v>
                </c:pt>
                <c:pt idx="559">
                  <c:v>39093</c:v>
                </c:pt>
                <c:pt idx="560">
                  <c:v>39094</c:v>
                </c:pt>
                <c:pt idx="561">
                  <c:v>39095</c:v>
                </c:pt>
                <c:pt idx="562">
                  <c:v>39096</c:v>
                </c:pt>
                <c:pt idx="563">
                  <c:v>39097</c:v>
                </c:pt>
                <c:pt idx="564">
                  <c:v>39098</c:v>
                </c:pt>
                <c:pt idx="565">
                  <c:v>39099</c:v>
                </c:pt>
                <c:pt idx="566">
                  <c:v>39100</c:v>
                </c:pt>
                <c:pt idx="567">
                  <c:v>39101</c:v>
                </c:pt>
                <c:pt idx="568">
                  <c:v>39102</c:v>
                </c:pt>
                <c:pt idx="569">
                  <c:v>39103</c:v>
                </c:pt>
                <c:pt idx="570">
                  <c:v>39104</c:v>
                </c:pt>
                <c:pt idx="571">
                  <c:v>39105</c:v>
                </c:pt>
                <c:pt idx="572">
                  <c:v>39106</c:v>
                </c:pt>
                <c:pt idx="573">
                  <c:v>39107</c:v>
                </c:pt>
                <c:pt idx="574">
                  <c:v>39108</c:v>
                </c:pt>
                <c:pt idx="575">
                  <c:v>39109</c:v>
                </c:pt>
                <c:pt idx="576">
                  <c:v>39110</c:v>
                </c:pt>
                <c:pt idx="577">
                  <c:v>39111</c:v>
                </c:pt>
                <c:pt idx="578">
                  <c:v>39112</c:v>
                </c:pt>
                <c:pt idx="579">
                  <c:v>39113</c:v>
                </c:pt>
                <c:pt idx="580">
                  <c:v>39114</c:v>
                </c:pt>
                <c:pt idx="581">
                  <c:v>39115</c:v>
                </c:pt>
                <c:pt idx="582">
                  <c:v>39116</c:v>
                </c:pt>
                <c:pt idx="583">
                  <c:v>39117</c:v>
                </c:pt>
                <c:pt idx="584">
                  <c:v>39118</c:v>
                </c:pt>
                <c:pt idx="585">
                  <c:v>39119</c:v>
                </c:pt>
                <c:pt idx="586">
                  <c:v>39120</c:v>
                </c:pt>
                <c:pt idx="587">
                  <c:v>39121</c:v>
                </c:pt>
                <c:pt idx="588">
                  <c:v>39122</c:v>
                </c:pt>
                <c:pt idx="589">
                  <c:v>39123</c:v>
                </c:pt>
                <c:pt idx="590">
                  <c:v>39124</c:v>
                </c:pt>
                <c:pt idx="591">
                  <c:v>39125</c:v>
                </c:pt>
                <c:pt idx="592">
                  <c:v>39126</c:v>
                </c:pt>
                <c:pt idx="593">
                  <c:v>39127</c:v>
                </c:pt>
                <c:pt idx="594">
                  <c:v>39128</c:v>
                </c:pt>
                <c:pt idx="595">
                  <c:v>39129</c:v>
                </c:pt>
                <c:pt idx="596">
                  <c:v>39130</c:v>
                </c:pt>
                <c:pt idx="597">
                  <c:v>39131</c:v>
                </c:pt>
                <c:pt idx="598">
                  <c:v>39132</c:v>
                </c:pt>
                <c:pt idx="599">
                  <c:v>39133</c:v>
                </c:pt>
                <c:pt idx="600">
                  <c:v>39134</c:v>
                </c:pt>
                <c:pt idx="601">
                  <c:v>39135</c:v>
                </c:pt>
                <c:pt idx="602">
                  <c:v>39136</c:v>
                </c:pt>
                <c:pt idx="603">
                  <c:v>39137</c:v>
                </c:pt>
                <c:pt idx="604">
                  <c:v>39138</c:v>
                </c:pt>
                <c:pt idx="605">
                  <c:v>39139</c:v>
                </c:pt>
                <c:pt idx="606">
                  <c:v>39140</c:v>
                </c:pt>
                <c:pt idx="607">
                  <c:v>39141</c:v>
                </c:pt>
                <c:pt idx="608">
                  <c:v>39142</c:v>
                </c:pt>
                <c:pt idx="609">
                  <c:v>39143</c:v>
                </c:pt>
                <c:pt idx="610">
                  <c:v>39144</c:v>
                </c:pt>
                <c:pt idx="611">
                  <c:v>39145</c:v>
                </c:pt>
                <c:pt idx="612">
                  <c:v>39146</c:v>
                </c:pt>
                <c:pt idx="613">
                  <c:v>39147</c:v>
                </c:pt>
                <c:pt idx="614">
                  <c:v>39148</c:v>
                </c:pt>
                <c:pt idx="615">
                  <c:v>39149</c:v>
                </c:pt>
                <c:pt idx="616">
                  <c:v>39150</c:v>
                </c:pt>
                <c:pt idx="617">
                  <c:v>39151</c:v>
                </c:pt>
                <c:pt idx="618">
                  <c:v>39152</c:v>
                </c:pt>
                <c:pt idx="619">
                  <c:v>39153</c:v>
                </c:pt>
                <c:pt idx="620">
                  <c:v>39154</c:v>
                </c:pt>
                <c:pt idx="621">
                  <c:v>39155</c:v>
                </c:pt>
                <c:pt idx="622">
                  <c:v>39156</c:v>
                </c:pt>
                <c:pt idx="623">
                  <c:v>39157</c:v>
                </c:pt>
                <c:pt idx="624">
                  <c:v>39158</c:v>
                </c:pt>
                <c:pt idx="625">
                  <c:v>39159</c:v>
                </c:pt>
                <c:pt idx="626">
                  <c:v>39160</c:v>
                </c:pt>
                <c:pt idx="627">
                  <c:v>39161</c:v>
                </c:pt>
                <c:pt idx="628">
                  <c:v>39162</c:v>
                </c:pt>
                <c:pt idx="629">
                  <c:v>39163</c:v>
                </c:pt>
                <c:pt idx="630">
                  <c:v>39164</c:v>
                </c:pt>
                <c:pt idx="631">
                  <c:v>39165</c:v>
                </c:pt>
                <c:pt idx="632">
                  <c:v>39166</c:v>
                </c:pt>
                <c:pt idx="633">
                  <c:v>39167</c:v>
                </c:pt>
                <c:pt idx="634">
                  <c:v>39168</c:v>
                </c:pt>
                <c:pt idx="635">
                  <c:v>39169</c:v>
                </c:pt>
                <c:pt idx="636">
                  <c:v>39170</c:v>
                </c:pt>
                <c:pt idx="637">
                  <c:v>39171</c:v>
                </c:pt>
                <c:pt idx="638">
                  <c:v>39172</c:v>
                </c:pt>
                <c:pt idx="639">
                  <c:v>39173</c:v>
                </c:pt>
                <c:pt idx="640">
                  <c:v>39174</c:v>
                </c:pt>
                <c:pt idx="641">
                  <c:v>39175</c:v>
                </c:pt>
                <c:pt idx="642">
                  <c:v>39176</c:v>
                </c:pt>
                <c:pt idx="643">
                  <c:v>39177</c:v>
                </c:pt>
                <c:pt idx="644">
                  <c:v>39178</c:v>
                </c:pt>
                <c:pt idx="645">
                  <c:v>39179</c:v>
                </c:pt>
                <c:pt idx="646">
                  <c:v>39180</c:v>
                </c:pt>
                <c:pt idx="647">
                  <c:v>39181</c:v>
                </c:pt>
                <c:pt idx="648">
                  <c:v>39182</c:v>
                </c:pt>
                <c:pt idx="649">
                  <c:v>39183</c:v>
                </c:pt>
                <c:pt idx="650">
                  <c:v>39184</c:v>
                </c:pt>
                <c:pt idx="651">
                  <c:v>39185</c:v>
                </c:pt>
                <c:pt idx="652">
                  <c:v>39186</c:v>
                </c:pt>
                <c:pt idx="653">
                  <c:v>39187</c:v>
                </c:pt>
                <c:pt idx="654">
                  <c:v>39188</c:v>
                </c:pt>
                <c:pt idx="655">
                  <c:v>39189</c:v>
                </c:pt>
                <c:pt idx="656">
                  <c:v>39190</c:v>
                </c:pt>
                <c:pt idx="657">
                  <c:v>39191</c:v>
                </c:pt>
                <c:pt idx="658">
                  <c:v>39192</c:v>
                </c:pt>
                <c:pt idx="659">
                  <c:v>39193</c:v>
                </c:pt>
                <c:pt idx="660">
                  <c:v>39194</c:v>
                </c:pt>
                <c:pt idx="661">
                  <c:v>39195</c:v>
                </c:pt>
                <c:pt idx="662">
                  <c:v>39196</c:v>
                </c:pt>
                <c:pt idx="663">
                  <c:v>39197</c:v>
                </c:pt>
                <c:pt idx="664">
                  <c:v>39198</c:v>
                </c:pt>
                <c:pt idx="665">
                  <c:v>39199</c:v>
                </c:pt>
                <c:pt idx="666">
                  <c:v>39200</c:v>
                </c:pt>
                <c:pt idx="667">
                  <c:v>39201</c:v>
                </c:pt>
                <c:pt idx="668">
                  <c:v>39202</c:v>
                </c:pt>
                <c:pt idx="669">
                  <c:v>39203</c:v>
                </c:pt>
                <c:pt idx="670">
                  <c:v>39204</c:v>
                </c:pt>
                <c:pt idx="671">
                  <c:v>39205</c:v>
                </c:pt>
                <c:pt idx="672">
                  <c:v>39206</c:v>
                </c:pt>
                <c:pt idx="673">
                  <c:v>39207</c:v>
                </c:pt>
                <c:pt idx="674">
                  <c:v>39208</c:v>
                </c:pt>
                <c:pt idx="675">
                  <c:v>39209</c:v>
                </c:pt>
                <c:pt idx="676">
                  <c:v>39210</c:v>
                </c:pt>
                <c:pt idx="677">
                  <c:v>39211</c:v>
                </c:pt>
                <c:pt idx="678">
                  <c:v>39212</c:v>
                </c:pt>
                <c:pt idx="679">
                  <c:v>39213</c:v>
                </c:pt>
                <c:pt idx="680">
                  <c:v>39214</c:v>
                </c:pt>
                <c:pt idx="681">
                  <c:v>39215</c:v>
                </c:pt>
                <c:pt idx="682">
                  <c:v>39216</c:v>
                </c:pt>
                <c:pt idx="683">
                  <c:v>39217</c:v>
                </c:pt>
                <c:pt idx="684">
                  <c:v>39218</c:v>
                </c:pt>
                <c:pt idx="685">
                  <c:v>39219</c:v>
                </c:pt>
                <c:pt idx="686">
                  <c:v>39220</c:v>
                </c:pt>
                <c:pt idx="687">
                  <c:v>39221</c:v>
                </c:pt>
                <c:pt idx="688">
                  <c:v>39222</c:v>
                </c:pt>
                <c:pt idx="689">
                  <c:v>39223</c:v>
                </c:pt>
                <c:pt idx="690">
                  <c:v>39224</c:v>
                </c:pt>
                <c:pt idx="691">
                  <c:v>39225</c:v>
                </c:pt>
                <c:pt idx="692">
                  <c:v>39226</c:v>
                </c:pt>
                <c:pt idx="693">
                  <c:v>39227</c:v>
                </c:pt>
                <c:pt idx="694">
                  <c:v>39228</c:v>
                </c:pt>
                <c:pt idx="695">
                  <c:v>39229</c:v>
                </c:pt>
                <c:pt idx="696">
                  <c:v>39230</c:v>
                </c:pt>
                <c:pt idx="697">
                  <c:v>39231</c:v>
                </c:pt>
                <c:pt idx="698">
                  <c:v>39232</c:v>
                </c:pt>
                <c:pt idx="699">
                  <c:v>39233</c:v>
                </c:pt>
                <c:pt idx="700">
                  <c:v>39234</c:v>
                </c:pt>
                <c:pt idx="701">
                  <c:v>39235</c:v>
                </c:pt>
                <c:pt idx="702">
                  <c:v>39236</c:v>
                </c:pt>
                <c:pt idx="703">
                  <c:v>39237</c:v>
                </c:pt>
                <c:pt idx="704">
                  <c:v>39238</c:v>
                </c:pt>
                <c:pt idx="705">
                  <c:v>39239</c:v>
                </c:pt>
                <c:pt idx="706">
                  <c:v>39240</c:v>
                </c:pt>
                <c:pt idx="707">
                  <c:v>39241</c:v>
                </c:pt>
                <c:pt idx="708">
                  <c:v>39242</c:v>
                </c:pt>
                <c:pt idx="709">
                  <c:v>39243</c:v>
                </c:pt>
                <c:pt idx="710">
                  <c:v>39244</c:v>
                </c:pt>
                <c:pt idx="711">
                  <c:v>39245</c:v>
                </c:pt>
                <c:pt idx="712">
                  <c:v>39246</c:v>
                </c:pt>
                <c:pt idx="713">
                  <c:v>39247</c:v>
                </c:pt>
                <c:pt idx="714">
                  <c:v>39248</c:v>
                </c:pt>
                <c:pt idx="715">
                  <c:v>39249</c:v>
                </c:pt>
                <c:pt idx="716">
                  <c:v>39250</c:v>
                </c:pt>
                <c:pt idx="717">
                  <c:v>39251</c:v>
                </c:pt>
                <c:pt idx="718">
                  <c:v>39252</c:v>
                </c:pt>
                <c:pt idx="719">
                  <c:v>39253</c:v>
                </c:pt>
                <c:pt idx="720">
                  <c:v>39254</c:v>
                </c:pt>
                <c:pt idx="721">
                  <c:v>39255</c:v>
                </c:pt>
                <c:pt idx="722">
                  <c:v>39256</c:v>
                </c:pt>
                <c:pt idx="723">
                  <c:v>39257</c:v>
                </c:pt>
                <c:pt idx="724">
                  <c:v>39258</c:v>
                </c:pt>
                <c:pt idx="725">
                  <c:v>39259</c:v>
                </c:pt>
                <c:pt idx="726">
                  <c:v>39260</c:v>
                </c:pt>
                <c:pt idx="727">
                  <c:v>39261</c:v>
                </c:pt>
                <c:pt idx="728">
                  <c:v>39262</c:v>
                </c:pt>
                <c:pt idx="729">
                  <c:v>39263</c:v>
                </c:pt>
                <c:pt idx="730">
                  <c:v>39264</c:v>
                </c:pt>
                <c:pt idx="731">
                  <c:v>39265</c:v>
                </c:pt>
                <c:pt idx="732">
                  <c:v>39266</c:v>
                </c:pt>
                <c:pt idx="733">
                  <c:v>39267</c:v>
                </c:pt>
                <c:pt idx="734">
                  <c:v>39268</c:v>
                </c:pt>
                <c:pt idx="735">
                  <c:v>39269</c:v>
                </c:pt>
                <c:pt idx="736">
                  <c:v>39270</c:v>
                </c:pt>
                <c:pt idx="737">
                  <c:v>39271</c:v>
                </c:pt>
                <c:pt idx="738">
                  <c:v>39272</c:v>
                </c:pt>
                <c:pt idx="739">
                  <c:v>39273</c:v>
                </c:pt>
                <c:pt idx="740">
                  <c:v>39274</c:v>
                </c:pt>
                <c:pt idx="741">
                  <c:v>39275</c:v>
                </c:pt>
                <c:pt idx="742">
                  <c:v>39276</c:v>
                </c:pt>
                <c:pt idx="743">
                  <c:v>39277</c:v>
                </c:pt>
                <c:pt idx="744">
                  <c:v>39278</c:v>
                </c:pt>
                <c:pt idx="745">
                  <c:v>39279</c:v>
                </c:pt>
                <c:pt idx="746">
                  <c:v>39280</c:v>
                </c:pt>
                <c:pt idx="747">
                  <c:v>39281</c:v>
                </c:pt>
                <c:pt idx="748">
                  <c:v>39282</c:v>
                </c:pt>
                <c:pt idx="749">
                  <c:v>39283</c:v>
                </c:pt>
                <c:pt idx="750">
                  <c:v>39284</c:v>
                </c:pt>
                <c:pt idx="751">
                  <c:v>39285</c:v>
                </c:pt>
                <c:pt idx="752">
                  <c:v>39286</c:v>
                </c:pt>
                <c:pt idx="753">
                  <c:v>39287</c:v>
                </c:pt>
                <c:pt idx="754">
                  <c:v>39288</c:v>
                </c:pt>
                <c:pt idx="755">
                  <c:v>39289</c:v>
                </c:pt>
                <c:pt idx="756">
                  <c:v>39290</c:v>
                </c:pt>
                <c:pt idx="757">
                  <c:v>39291</c:v>
                </c:pt>
                <c:pt idx="758">
                  <c:v>39292</c:v>
                </c:pt>
                <c:pt idx="759">
                  <c:v>39293</c:v>
                </c:pt>
                <c:pt idx="760">
                  <c:v>39294</c:v>
                </c:pt>
                <c:pt idx="761">
                  <c:v>39295</c:v>
                </c:pt>
                <c:pt idx="762">
                  <c:v>39296</c:v>
                </c:pt>
                <c:pt idx="763">
                  <c:v>39297</c:v>
                </c:pt>
                <c:pt idx="764">
                  <c:v>39298</c:v>
                </c:pt>
                <c:pt idx="765">
                  <c:v>39299</c:v>
                </c:pt>
                <c:pt idx="766">
                  <c:v>39300</c:v>
                </c:pt>
                <c:pt idx="767">
                  <c:v>39301</c:v>
                </c:pt>
                <c:pt idx="768">
                  <c:v>39302</c:v>
                </c:pt>
                <c:pt idx="769">
                  <c:v>39303</c:v>
                </c:pt>
                <c:pt idx="770">
                  <c:v>39304</c:v>
                </c:pt>
                <c:pt idx="771">
                  <c:v>39305</c:v>
                </c:pt>
                <c:pt idx="772">
                  <c:v>39306</c:v>
                </c:pt>
                <c:pt idx="773">
                  <c:v>39307</c:v>
                </c:pt>
                <c:pt idx="774">
                  <c:v>39308</c:v>
                </c:pt>
                <c:pt idx="775">
                  <c:v>39309</c:v>
                </c:pt>
                <c:pt idx="776">
                  <c:v>39310</c:v>
                </c:pt>
                <c:pt idx="777">
                  <c:v>39311</c:v>
                </c:pt>
                <c:pt idx="778">
                  <c:v>39312</c:v>
                </c:pt>
                <c:pt idx="779">
                  <c:v>39313</c:v>
                </c:pt>
                <c:pt idx="780">
                  <c:v>39314</c:v>
                </c:pt>
                <c:pt idx="781">
                  <c:v>39315</c:v>
                </c:pt>
                <c:pt idx="782">
                  <c:v>39316</c:v>
                </c:pt>
                <c:pt idx="783">
                  <c:v>39317</c:v>
                </c:pt>
                <c:pt idx="784">
                  <c:v>39318</c:v>
                </c:pt>
                <c:pt idx="785">
                  <c:v>39319</c:v>
                </c:pt>
                <c:pt idx="786">
                  <c:v>39320</c:v>
                </c:pt>
                <c:pt idx="787">
                  <c:v>39321</c:v>
                </c:pt>
                <c:pt idx="788">
                  <c:v>39322</c:v>
                </c:pt>
                <c:pt idx="789">
                  <c:v>39323</c:v>
                </c:pt>
                <c:pt idx="790">
                  <c:v>39324</c:v>
                </c:pt>
                <c:pt idx="791">
                  <c:v>39325</c:v>
                </c:pt>
                <c:pt idx="792">
                  <c:v>39326</c:v>
                </c:pt>
                <c:pt idx="793">
                  <c:v>39327</c:v>
                </c:pt>
                <c:pt idx="794">
                  <c:v>39328</c:v>
                </c:pt>
                <c:pt idx="795">
                  <c:v>39329</c:v>
                </c:pt>
                <c:pt idx="796">
                  <c:v>39330</c:v>
                </c:pt>
                <c:pt idx="797">
                  <c:v>39331</c:v>
                </c:pt>
                <c:pt idx="798">
                  <c:v>39332</c:v>
                </c:pt>
                <c:pt idx="799">
                  <c:v>39333</c:v>
                </c:pt>
                <c:pt idx="800">
                  <c:v>39334</c:v>
                </c:pt>
                <c:pt idx="801">
                  <c:v>39335</c:v>
                </c:pt>
                <c:pt idx="802">
                  <c:v>39336</c:v>
                </c:pt>
                <c:pt idx="803">
                  <c:v>39337</c:v>
                </c:pt>
                <c:pt idx="804">
                  <c:v>39338</c:v>
                </c:pt>
                <c:pt idx="805">
                  <c:v>39339</c:v>
                </c:pt>
                <c:pt idx="806">
                  <c:v>39340</c:v>
                </c:pt>
                <c:pt idx="807">
                  <c:v>39341</c:v>
                </c:pt>
                <c:pt idx="808">
                  <c:v>39342</c:v>
                </c:pt>
                <c:pt idx="809">
                  <c:v>39343</c:v>
                </c:pt>
                <c:pt idx="810">
                  <c:v>39344</c:v>
                </c:pt>
                <c:pt idx="811">
                  <c:v>39345</c:v>
                </c:pt>
                <c:pt idx="812">
                  <c:v>39346</c:v>
                </c:pt>
                <c:pt idx="813">
                  <c:v>39347</c:v>
                </c:pt>
                <c:pt idx="814">
                  <c:v>39348</c:v>
                </c:pt>
                <c:pt idx="815">
                  <c:v>39349</c:v>
                </c:pt>
                <c:pt idx="816">
                  <c:v>39350</c:v>
                </c:pt>
                <c:pt idx="817">
                  <c:v>39351</c:v>
                </c:pt>
                <c:pt idx="818">
                  <c:v>39352</c:v>
                </c:pt>
                <c:pt idx="819">
                  <c:v>39353</c:v>
                </c:pt>
                <c:pt idx="820">
                  <c:v>39354</c:v>
                </c:pt>
                <c:pt idx="821">
                  <c:v>39355</c:v>
                </c:pt>
                <c:pt idx="822">
                  <c:v>39356</c:v>
                </c:pt>
                <c:pt idx="823">
                  <c:v>39357</c:v>
                </c:pt>
                <c:pt idx="824">
                  <c:v>39358</c:v>
                </c:pt>
                <c:pt idx="825">
                  <c:v>39359</c:v>
                </c:pt>
                <c:pt idx="826">
                  <c:v>39360</c:v>
                </c:pt>
                <c:pt idx="827">
                  <c:v>39361</c:v>
                </c:pt>
                <c:pt idx="828">
                  <c:v>39362</c:v>
                </c:pt>
                <c:pt idx="829">
                  <c:v>39363</c:v>
                </c:pt>
                <c:pt idx="830">
                  <c:v>39364</c:v>
                </c:pt>
                <c:pt idx="831">
                  <c:v>39365</c:v>
                </c:pt>
                <c:pt idx="832">
                  <c:v>39366</c:v>
                </c:pt>
                <c:pt idx="833">
                  <c:v>39367</c:v>
                </c:pt>
                <c:pt idx="834">
                  <c:v>39368</c:v>
                </c:pt>
                <c:pt idx="835">
                  <c:v>39369</c:v>
                </c:pt>
                <c:pt idx="836">
                  <c:v>39370</c:v>
                </c:pt>
                <c:pt idx="837">
                  <c:v>39371</c:v>
                </c:pt>
                <c:pt idx="838">
                  <c:v>39372</c:v>
                </c:pt>
                <c:pt idx="839">
                  <c:v>39373</c:v>
                </c:pt>
                <c:pt idx="840">
                  <c:v>39374</c:v>
                </c:pt>
                <c:pt idx="841">
                  <c:v>39375</c:v>
                </c:pt>
                <c:pt idx="842">
                  <c:v>39376</c:v>
                </c:pt>
                <c:pt idx="843">
                  <c:v>39377</c:v>
                </c:pt>
                <c:pt idx="844">
                  <c:v>39378</c:v>
                </c:pt>
                <c:pt idx="845">
                  <c:v>39379</c:v>
                </c:pt>
                <c:pt idx="846">
                  <c:v>39380</c:v>
                </c:pt>
                <c:pt idx="847">
                  <c:v>39381</c:v>
                </c:pt>
                <c:pt idx="848">
                  <c:v>39382</c:v>
                </c:pt>
                <c:pt idx="849">
                  <c:v>39383</c:v>
                </c:pt>
                <c:pt idx="850">
                  <c:v>39384</c:v>
                </c:pt>
                <c:pt idx="851">
                  <c:v>39385</c:v>
                </c:pt>
                <c:pt idx="852">
                  <c:v>39386</c:v>
                </c:pt>
                <c:pt idx="853">
                  <c:v>39387</c:v>
                </c:pt>
                <c:pt idx="854">
                  <c:v>39388</c:v>
                </c:pt>
                <c:pt idx="855">
                  <c:v>39389</c:v>
                </c:pt>
                <c:pt idx="856">
                  <c:v>39390</c:v>
                </c:pt>
                <c:pt idx="857">
                  <c:v>39391</c:v>
                </c:pt>
                <c:pt idx="858">
                  <c:v>39392</c:v>
                </c:pt>
                <c:pt idx="859">
                  <c:v>39393</c:v>
                </c:pt>
                <c:pt idx="860">
                  <c:v>39394</c:v>
                </c:pt>
                <c:pt idx="861">
                  <c:v>39395</c:v>
                </c:pt>
                <c:pt idx="862">
                  <c:v>39396</c:v>
                </c:pt>
                <c:pt idx="863">
                  <c:v>39397</c:v>
                </c:pt>
                <c:pt idx="864">
                  <c:v>39398</c:v>
                </c:pt>
                <c:pt idx="865">
                  <c:v>39399</c:v>
                </c:pt>
                <c:pt idx="866">
                  <c:v>39400</c:v>
                </c:pt>
                <c:pt idx="867">
                  <c:v>39401</c:v>
                </c:pt>
                <c:pt idx="868">
                  <c:v>39402</c:v>
                </c:pt>
                <c:pt idx="869">
                  <c:v>39403</c:v>
                </c:pt>
                <c:pt idx="870">
                  <c:v>39404</c:v>
                </c:pt>
                <c:pt idx="871">
                  <c:v>39405</c:v>
                </c:pt>
                <c:pt idx="872">
                  <c:v>39406</c:v>
                </c:pt>
                <c:pt idx="873">
                  <c:v>39407</c:v>
                </c:pt>
                <c:pt idx="874">
                  <c:v>39408</c:v>
                </c:pt>
                <c:pt idx="875">
                  <c:v>39409</c:v>
                </c:pt>
                <c:pt idx="876">
                  <c:v>39410</c:v>
                </c:pt>
                <c:pt idx="877">
                  <c:v>39411</c:v>
                </c:pt>
                <c:pt idx="878">
                  <c:v>39412</c:v>
                </c:pt>
                <c:pt idx="879">
                  <c:v>39413</c:v>
                </c:pt>
                <c:pt idx="880">
                  <c:v>39414</c:v>
                </c:pt>
                <c:pt idx="881">
                  <c:v>39415</c:v>
                </c:pt>
                <c:pt idx="882">
                  <c:v>39416</c:v>
                </c:pt>
                <c:pt idx="883">
                  <c:v>39417</c:v>
                </c:pt>
                <c:pt idx="884">
                  <c:v>39418</c:v>
                </c:pt>
                <c:pt idx="885">
                  <c:v>39419</c:v>
                </c:pt>
                <c:pt idx="886">
                  <c:v>39420</c:v>
                </c:pt>
                <c:pt idx="887">
                  <c:v>39421</c:v>
                </c:pt>
                <c:pt idx="888">
                  <c:v>39422</c:v>
                </c:pt>
                <c:pt idx="889">
                  <c:v>39423</c:v>
                </c:pt>
                <c:pt idx="890">
                  <c:v>39424</c:v>
                </c:pt>
                <c:pt idx="891">
                  <c:v>39425</c:v>
                </c:pt>
                <c:pt idx="892">
                  <c:v>39426</c:v>
                </c:pt>
                <c:pt idx="893">
                  <c:v>39427</c:v>
                </c:pt>
                <c:pt idx="894">
                  <c:v>39428</c:v>
                </c:pt>
                <c:pt idx="895">
                  <c:v>39429</c:v>
                </c:pt>
                <c:pt idx="896">
                  <c:v>39430</c:v>
                </c:pt>
                <c:pt idx="897">
                  <c:v>39431</c:v>
                </c:pt>
                <c:pt idx="898">
                  <c:v>39432</c:v>
                </c:pt>
                <c:pt idx="899">
                  <c:v>39433</c:v>
                </c:pt>
                <c:pt idx="900">
                  <c:v>39434</c:v>
                </c:pt>
                <c:pt idx="901">
                  <c:v>39435</c:v>
                </c:pt>
                <c:pt idx="902">
                  <c:v>39436</c:v>
                </c:pt>
                <c:pt idx="903">
                  <c:v>39437</c:v>
                </c:pt>
                <c:pt idx="904">
                  <c:v>39438</c:v>
                </c:pt>
                <c:pt idx="905">
                  <c:v>39439</c:v>
                </c:pt>
                <c:pt idx="906">
                  <c:v>39440</c:v>
                </c:pt>
                <c:pt idx="907">
                  <c:v>39441</c:v>
                </c:pt>
                <c:pt idx="908">
                  <c:v>39442</c:v>
                </c:pt>
                <c:pt idx="909">
                  <c:v>39443</c:v>
                </c:pt>
                <c:pt idx="910">
                  <c:v>39444</c:v>
                </c:pt>
                <c:pt idx="911">
                  <c:v>39445</c:v>
                </c:pt>
                <c:pt idx="912">
                  <c:v>39446</c:v>
                </c:pt>
                <c:pt idx="913">
                  <c:v>39447</c:v>
                </c:pt>
                <c:pt idx="914">
                  <c:v>39448</c:v>
                </c:pt>
                <c:pt idx="915">
                  <c:v>39449</c:v>
                </c:pt>
                <c:pt idx="916">
                  <c:v>39450</c:v>
                </c:pt>
                <c:pt idx="917">
                  <c:v>39451</c:v>
                </c:pt>
                <c:pt idx="918">
                  <c:v>39452</c:v>
                </c:pt>
                <c:pt idx="919">
                  <c:v>39453</c:v>
                </c:pt>
                <c:pt idx="920">
                  <c:v>39454</c:v>
                </c:pt>
                <c:pt idx="921">
                  <c:v>39455</c:v>
                </c:pt>
                <c:pt idx="922">
                  <c:v>39456</c:v>
                </c:pt>
                <c:pt idx="923">
                  <c:v>39457</c:v>
                </c:pt>
                <c:pt idx="924">
                  <c:v>39458</c:v>
                </c:pt>
                <c:pt idx="925">
                  <c:v>39459</c:v>
                </c:pt>
                <c:pt idx="926">
                  <c:v>39460</c:v>
                </c:pt>
                <c:pt idx="927">
                  <c:v>39461</c:v>
                </c:pt>
                <c:pt idx="928">
                  <c:v>39462</c:v>
                </c:pt>
                <c:pt idx="929">
                  <c:v>39463</c:v>
                </c:pt>
                <c:pt idx="930">
                  <c:v>39464</c:v>
                </c:pt>
                <c:pt idx="931">
                  <c:v>39465</c:v>
                </c:pt>
                <c:pt idx="932">
                  <c:v>39466</c:v>
                </c:pt>
                <c:pt idx="933">
                  <c:v>39467</c:v>
                </c:pt>
                <c:pt idx="934">
                  <c:v>39468</c:v>
                </c:pt>
                <c:pt idx="935">
                  <c:v>39469</c:v>
                </c:pt>
                <c:pt idx="936">
                  <c:v>39470</c:v>
                </c:pt>
                <c:pt idx="937">
                  <c:v>39471</c:v>
                </c:pt>
                <c:pt idx="938">
                  <c:v>39472</c:v>
                </c:pt>
                <c:pt idx="939">
                  <c:v>39473</c:v>
                </c:pt>
                <c:pt idx="940">
                  <c:v>39474</c:v>
                </c:pt>
                <c:pt idx="941">
                  <c:v>39475</c:v>
                </c:pt>
                <c:pt idx="942">
                  <c:v>39476</c:v>
                </c:pt>
                <c:pt idx="943">
                  <c:v>39477</c:v>
                </c:pt>
                <c:pt idx="944">
                  <c:v>39478</c:v>
                </c:pt>
                <c:pt idx="945">
                  <c:v>39479</c:v>
                </c:pt>
                <c:pt idx="946">
                  <c:v>39480</c:v>
                </c:pt>
                <c:pt idx="947">
                  <c:v>39481</c:v>
                </c:pt>
                <c:pt idx="948">
                  <c:v>39482</c:v>
                </c:pt>
                <c:pt idx="949">
                  <c:v>39483</c:v>
                </c:pt>
                <c:pt idx="950">
                  <c:v>39484</c:v>
                </c:pt>
                <c:pt idx="951">
                  <c:v>39485</c:v>
                </c:pt>
                <c:pt idx="952">
                  <c:v>39486</c:v>
                </c:pt>
                <c:pt idx="953">
                  <c:v>39487</c:v>
                </c:pt>
                <c:pt idx="954">
                  <c:v>39488</c:v>
                </c:pt>
                <c:pt idx="955">
                  <c:v>39489</c:v>
                </c:pt>
                <c:pt idx="956">
                  <c:v>39490</c:v>
                </c:pt>
                <c:pt idx="957">
                  <c:v>39491</c:v>
                </c:pt>
                <c:pt idx="958">
                  <c:v>39492</c:v>
                </c:pt>
                <c:pt idx="959">
                  <c:v>39493</c:v>
                </c:pt>
                <c:pt idx="960">
                  <c:v>39494</c:v>
                </c:pt>
                <c:pt idx="961">
                  <c:v>39495</c:v>
                </c:pt>
                <c:pt idx="962">
                  <c:v>39496</c:v>
                </c:pt>
                <c:pt idx="963">
                  <c:v>39497</c:v>
                </c:pt>
                <c:pt idx="964">
                  <c:v>39498</c:v>
                </c:pt>
                <c:pt idx="965">
                  <c:v>39499</c:v>
                </c:pt>
                <c:pt idx="966">
                  <c:v>39500</c:v>
                </c:pt>
                <c:pt idx="967">
                  <c:v>39501</c:v>
                </c:pt>
                <c:pt idx="968">
                  <c:v>39502</c:v>
                </c:pt>
                <c:pt idx="969">
                  <c:v>39503</c:v>
                </c:pt>
                <c:pt idx="970">
                  <c:v>39504</c:v>
                </c:pt>
                <c:pt idx="971">
                  <c:v>39505</c:v>
                </c:pt>
                <c:pt idx="972">
                  <c:v>39506</c:v>
                </c:pt>
                <c:pt idx="973">
                  <c:v>39507</c:v>
                </c:pt>
                <c:pt idx="974">
                  <c:v>39508</c:v>
                </c:pt>
                <c:pt idx="975">
                  <c:v>39509</c:v>
                </c:pt>
                <c:pt idx="976">
                  <c:v>39510</c:v>
                </c:pt>
                <c:pt idx="977">
                  <c:v>39511</c:v>
                </c:pt>
                <c:pt idx="978">
                  <c:v>39512</c:v>
                </c:pt>
                <c:pt idx="979">
                  <c:v>39513</c:v>
                </c:pt>
                <c:pt idx="980">
                  <c:v>39514</c:v>
                </c:pt>
                <c:pt idx="981">
                  <c:v>39515</c:v>
                </c:pt>
                <c:pt idx="982">
                  <c:v>39516</c:v>
                </c:pt>
                <c:pt idx="983">
                  <c:v>39517</c:v>
                </c:pt>
                <c:pt idx="984">
                  <c:v>39518</c:v>
                </c:pt>
                <c:pt idx="985">
                  <c:v>39519</c:v>
                </c:pt>
                <c:pt idx="986">
                  <c:v>39520</c:v>
                </c:pt>
                <c:pt idx="987">
                  <c:v>39521</c:v>
                </c:pt>
                <c:pt idx="988">
                  <c:v>39522</c:v>
                </c:pt>
                <c:pt idx="989">
                  <c:v>39523</c:v>
                </c:pt>
                <c:pt idx="990">
                  <c:v>39524</c:v>
                </c:pt>
                <c:pt idx="991">
                  <c:v>39525</c:v>
                </c:pt>
                <c:pt idx="992">
                  <c:v>39526</c:v>
                </c:pt>
                <c:pt idx="993">
                  <c:v>39527</c:v>
                </c:pt>
                <c:pt idx="994">
                  <c:v>39528</c:v>
                </c:pt>
                <c:pt idx="995">
                  <c:v>39529</c:v>
                </c:pt>
                <c:pt idx="996">
                  <c:v>39530</c:v>
                </c:pt>
                <c:pt idx="997">
                  <c:v>39531</c:v>
                </c:pt>
                <c:pt idx="998">
                  <c:v>39532</c:v>
                </c:pt>
                <c:pt idx="999">
                  <c:v>39533</c:v>
                </c:pt>
                <c:pt idx="1000">
                  <c:v>39534</c:v>
                </c:pt>
                <c:pt idx="1001">
                  <c:v>39535</c:v>
                </c:pt>
                <c:pt idx="1002">
                  <c:v>39536</c:v>
                </c:pt>
                <c:pt idx="1003">
                  <c:v>39537</c:v>
                </c:pt>
                <c:pt idx="1004">
                  <c:v>39538</c:v>
                </c:pt>
                <c:pt idx="1005">
                  <c:v>39539</c:v>
                </c:pt>
                <c:pt idx="1006">
                  <c:v>39540</c:v>
                </c:pt>
                <c:pt idx="1007">
                  <c:v>39541</c:v>
                </c:pt>
                <c:pt idx="1008">
                  <c:v>39542</c:v>
                </c:pt>
                <c:pt idx="1009">
                  <c:v>39543</c:v>
                </c:pt>
                <c:pt idx="1010">
                  <c:v>39544</c:v>
                </c:pt>
                <c:pt idx="1011">
                  <c:v>39545</c:v>
                </c:pt>
                <c:pt idx="1012">
                  <c:v>39546</c:v>
                </c:pt>
                <c:pt idx="1013">
                  <c:v>39547</c:v>
                </c:pt>
                <c:pt idx="1014">
                  <c:v>39548</c:v>
                </c:pt>
                <c:pt idx="1015">
                  <c:v>39549</c:v>
                </c:pt>
                <c:pt idx="1016">
                  <c:v>39550</c:v>
                </c:pt>
                <c:pt idx="1017">
                  <c:v>39551</c:v>
                </c:pt>
                <c:pt idx="1018">
                  <c:v>39552</c:v>
                </c:pt>
                <c:pt idx="1019">
                  <c:v>39553</c:v>
                </c:pt>
                <c:pt idx="1020">
                  <c:v>39554</c:v>
                </c:pt>
                <c:pt idx="1021">
                  <c:v>39555</c:v>
                </c:pt>
                <c:pt idx="1022">
                  <c:v>39556</c:v>
                </c:pt>
                <c:pt idx="1023">
                  <c:v>39557</c:v>
                </c:pt>
                <c:pt idx="1024">
                  <c:v>39558</c:v>
                </c:pt>
                <c:pt idx="1025">
                  <c:v>39559</c:v>
                </c:pt>
                <c:pt idx="1026">
                  <c:v>39560</c:v>
                </c:pt>
                <c:pt idx="1027">
                  <c:v>39561</c:v>
                </c:pt>
                <c:pt idx="1028">
                  <c:v>39562</c:v>
                </c:pt>
                <c:pt idx="1029">
                  <c:v>39563</c:v>
                </c:pt>
                <c:pt idx="1030">
                  <c:v>39564</c:v>
                </c:pt>
                <c:pt idx="1031">
                  <c:v>39565</c:v>
                </c:pt>
                <c:pt idx="1032">
                  <c:v>39566</c:v>
                </c:pt>
                <c:pt idx="1033">
                  <c:v>39567</c:v>
                </c:pt>
                <c:pt idx="1034">
                  <c:v>39568</c:v>
                </c:pt>
                <c:pt idx="1035">
                  <c:v>39569</c:v>
                </c:pt>
                <c:pt idx="1036">
                  <c:v>39570</c:v>
                </c:pt>
                <c:pt idx="1037">
                  <c:v>39571</c:v>
                </c:pt>
                <c:pt idx="1038">
                  <c:v>39572</c:v>
                </c:pt>
                <c:pt idx="1039">
                  <c:v>39573</c:v>
                </c:pt>
                <c:pt idx="1040">
                  <c:v>39574</c:v>
                </c:pt>
                <c:pt idx="1041">
                  <c:v>39575</c:v>
                </c:pt>
                <c:pt idx="1042">
                  <c:v>39576</c:v>
                </c:pt>
                <c:pt idx="1043">
                  <c:v>39577</c:v>
                </c:pt>
                <c:pt idx="1044">
                  <c:v>39578</c:v>
                </c:pt>
                <c:pt idx="1045">
                  <c:v>39579</c:v>
                </c:pt>
                <c:pt idx="1046">
                  <c:v>39580</c:v>
                </c:pt>
                <c:pt idx="1047">
                  <c:v>39581</c:v>
                </c:pt>
                <c:pt idx="1048">
                  <c:v>39582</c:v>
                </c:pt>
                <c:pt idx="1049">
                  <c:v>39583</c:v>
                </c:pt>
                <c:pt idx="1050">
                  <c:v>39584</c:v>
                </c:pt>
                <c:pt idx="1051">
                  <c:v>39585</c:v>
                </c:pt>
                <c:pt idx="1052">
                  <c:v>39586</c:v>
                </c:pt>
                <c:pt idx="1053">
                  <c:v>39587</c:v>
                </c:pt>
                <c:pt idx="1054">
                  <c:v>39588</c:v>
                </c:pt>
                <c:pt idx="1055">
                  <c:v>39589</c:v>
                </c:pt>
                <c:pt idx="1056">
                  <c:v>39590</c:v>
                </c:pt>
                <c:pt idx="1057">
                  <c:v>39591</c:v>
                </c:pt>
                <c:pt idx="1058">
                  <c:v>39592</c:v>
                </c:pt>
                <c:pt idx="1059">
                  <c:v>39593</c:v>
                </c:pt>
                <c:pt idx="1060">
                  <c:v>39594</c:v>
                </c:pt>
                <c:pt idx="1061">
                  <c:v>39595</c:v>
                </c:pt>
                <c:pt idx="1062">
                  <c:v>39596</c:v>
                </c:pt>
                <c:pt idx="1063">
                  <c:v>39597</c:v>
                </c:pt>
                <c:pt idx="1064">
                  <c:v>39598</c:v>
                </c:pt>
                <c:pt idx="1065">
                  <c:v>39599</c:v>
                </c:pt>
                <c:pt idx="1066">
                  <c:v>39600</c:v>
                </c:pt>
                <c:pt idx="1067">
                  <c:v>39601</c:v>
                </c:pt>
                <c:pt idx="1068">
                  <c:v>39602</c:v>
                </c:pt>
                <c:pt idx="1069">
                  <c:v>39603</c:v>
                </c:pt>
                <c:pt idx="1070">
                  <c:v>39604</c:v>
                </c:pt>
                <c:pt idx="1071">
                  <c:v>39605</c:v>
                </c:pt>
                <c:pt idx="1072">
                  <c:v>39606</c:v>
                </c:pt>
                <c:pt idx="1073">
                  <c:v>39607</c:v>
                </c:pt>
                <c:pt idx="1074">
                  <c:v>39608</c:v>
                </c:pt>
                <c:pt idx="1075">
                  <c:v>39609</c:v>
                </c:pt>
                <c:pt idx="1076">
                  <c:v>39610</c:v>
                </c:pt>
                <c:pt idx="1077">
                  <c:v>39611</c:v>
                </c:pt>
                <c:pt idx="1078">
                  <c:v>39612</c:v>
                </c:pt>
                <c:pt idx="1079">
                  <c:v>39613</c:v>
                </c:pt>
                <c:pt idx="1080">
                  <c:v>39614</c:v>
                </c:pt>
                <c:pt idx="1081">
                  <c:v>39615</c:v>
                </c:pt>
                <c:pt idx="1082">
                  <c:v>39616</c:v>
                </c:pt>
                <c:pt idx="1083">
                  <c:v>39617</c:v>
                </c:pt>
                <c:pt idx="1084">
                  <c:v>39618</c:v>
                </c:pt>
                <c:pt idx="1085">
                  <c:v>39619</c:v>
                </c:pt>
                <c:pt idx="1086">
                  <c:v>39620</c:v>
                </c:pt>
                <c:pt idx="1087">
                  <c:v>39621</c:v>
                </c:pt>
                <c:pt idx="1088">
                  <c:v>39622</c:v>
                </c:pt>
                <c:pt idx="1089">
                  <c:v>39623</c:v>
                </c:pt>
                <c:pt idx="1090">
                  <c:v>39624</c:v>
                </c:pt>
                <c:pt idx="1091">
                  <c:v>39625</c:v>
                </c:pt>
                <c:pt idx="1092">
                  <c:v>39626</c:v>
                </c:pt>
                <c:pt idx="1093">
                  <c:v>39627</c:v>
                </c:pt>
                <c:pt idx="1094">
                  <c:v>39628</c:v>
                </c:pt>
                <c:pt idx="1095">
                  <c:v>39629</c:v>
                </c:pt>
                <c:pt idx="1096">
                  <c:v>39630</c:v>
                </c:pt>
                <c:pt idx="1097">
                  <c:v>39631</c:v>
                </c:pt>
                <c:pt idx="1098">
                  <c:v>39632</c:v>
                </c:pt>
                <c:pt idx="1099">
                  <c:v>39633</c:v>
                </c:pt>
                <c:pt idx="1100">
                  <c:v>39634</c:v>
                </c:pt>
                <c:pt idx="1101">
                  <c:v>39635</c:v>
                </c:pt>
                <c:pt idx="1102">
                  <c:v>39636</c:v>
                </c:pt>
                <c:pt idx="1103">
                  <c:v>39637</c:v>
                </c:pt>
                <c:pt idx="1104">
                  <c:v>39638</c:v>
                </c:pt>
                <c:pt idx="1105">
                  <c:v>39639</c:v>
                </c:pt>
                <c:pt idx="1106">
                  <c:v>39640</c:v>
                </c:pt>
                <c:pt idx="1107">
                  <c:v>39641</c:v>
                </c:pt>
                <c:pt idx="1108">
                  <c:v>39642</c:v>
                </c:pt>
                <c:pt idx="1109">
                  <c:v>39643</c:v>
                </c:pt>
                <c:pt idx="1110">
                  <c:v>39644</c:v>
                </c:pt>
                <c:pt idx="1111">
                  <c:v>39645</c:v>
                </c:pt>
                <c:pt idx="1112">
                  <c:v>39646</c:v>
                </c:pt>
                <c:pt idx="1113">
                  <c:v>39647</c:v>
                </c:pt>
                <c:pt idx="1114">
                  <c:v>39648</c:v>
                </c:pt>
                <c:pt idx="1115">
                  <c:v>39649</c:v>
                </c:pt>
                <c:pt idx="1116">
                  <c:v>39650</c:v>
                </c:pt>
                <c:pt idx="1117">
                  <c:v>39651</c:v>
                </c:pt>
                <c:pt idx="1118">
                  <c:v>39652</c:v>
                </c:pt>
                <c:pt idx="1119">
                  <c:v>39653</c:v>
                </c:pt>
                <c:pt idx="1120">
                  <c:v>39654</c:v>
                </c:pt>
                <c:pt idx="1121">
                  <c:v>39655</c:v>
                </c:pt>
                <c:pt idx="1122">
                  <c:v>39656</c:v>
                </c:pt>
                <c:pt idx="1123">
                  <c:v>39657</c:v>
                </c:pt>
                <c:pt idx="1124">
                  <c:v>39658</c:v>
                </c:pt>
                <c:pt idx="1125">
                  <c:v>39659</c:v>
                </c:pt>
                <c:pt idx="1126">
                  <c:v>39660</c:v>
                </c:pt>
                <c:pt idx="1127">
                  <c:v>39661</c:v>
                </c:pt>
                <c:pt idx="1128">
                  <c:v>39662</c:v>
                </c:pt>
                <c:pt idx="1129">
                  <c:v>39663</c:v>
                </c:pt>
                <c:pt idx="1130">
                  <c:v>39664</c:v>
                </c:pt>
                <c:pt idx="1131">
                  <c:v>39665</c:v>
                </c:pt>
                <c:pt idx="1132">
                  <c:v>39666</c:v>
                </c:pt>
                <c:pt idx="1133">
                  <c:v>39667</c:v>
                </c:pt>
                <c:pt idx="1134">
                  <c:v>39668</c:v>
                </c:pt>
                <c:pt idx="1135">
                  <c:v>39669</c:v>
                </c:pt>
                <c:pt idx="1136">
                  <c:v>39670</c:v>
                </c:pt>
                <c:pt idx="1137">
                  <c:v>39671</c:v>
                </c:pt>
                <c:pt idx="1138">
                  <c:v>39672</c:v>
                </c:pt>
                <c:pt idx="1139">
                  <c:v>39673</c:v>
                </c:pt>
                <c:pt idx="1140">
                  <c:v>39674</c:v>
                </c:pt>
                <c:pt idx="1141">
                  <c:v>39675</c:v>
                </c:pt>
                <c:pt idx="1142">
                  <c:v>39676</c:v>
                </c:pt>
                <c:pt idx="1143">
                  <c:v>39677</c:v>
                </c:pt>
                <c:pt idx="1144">
                  <c:v>39678</c:v>
                </c:pt>
                <c:pt idx="1145">
                  <c:v>39679</c:v>
                </c:pt>
                <c:pt idx="1146">
                  <c:v>39680</c:v>
                </c:pt>
                <c:pt idx="1147">
                  <c:v>39681</c:v>
                </c:pt>
                <c:pt idx="1148">
                  <c:v>39682</c:v>
                </c:pt>
                <c:pt idx="1149">
                  <c:v>39683</c:v>
                </c:pt>
                <c:pt idx="1150">
                  <c:v>39684</c:v>
                </c:pt>
                <c:pt idx="1151">
                  <c:v>39685</c:v>
                </c:pt>
                <c:pt idx="1152">
                  <c:v>39686</c:v>
                </c:pt>
                <c:pt idx="1153">
                  <c:v>39687</c:v>
                </c:pt>
                <c:pt idx="1154">
                  <c:v>39688</c:v>
                </c:pt>
                <c:pt idx="1155">
                  <c:v>39689</c:v>
                </c:pt>
                <c:pt idx="1156">
                  <c:v>39690</c:v>
                </c:pt>
                <c:pt idx="1157">
                  <c:v>39691</c:v>
                </c:pt>
                <c:pt idx="1158">
                  <c:v>39692</c:v>
                </c:pt>
                <c:pt idx="1159">
                  <c:v>39693</c:v>
                </c:pt>
                <c:pt idx="1160">
                  <c:v>39694</c:v>
                </c:pt>
                <c:pt idx="1161">
                  <c:v>39695</c:v>
                </c:pt>
                <c:pt idx="1162">
                  <c:v>39696</c:v>
                </c:pt>
                <c:pt idx="1163">
                  <c:v>39697</c:v>
                </c:pt>
                <c:pt idx="1164">
                  <c:v>39698</c:v>
                </c:pt>
                <c:pt idx="1165">
                  <c:v>39699</c:v>
                </c:pt>
                <c:pt idx="1166">
                  <c:v>39700</c:v>
                </c:pt>
                <c:pt idx="1167">
                  <c:v>39701</c:v>
                </c:pt>
                <c:pt idx="1168">
                  <c:v>39702</c:v>
                </c:pt>
                <c:pt idx="1169">
                  <c:v>39703</c:v>
                </c:pt>
                <c:pt idx="1170">
                  <c:v>39704</c:v>
                </c:pt>
                <c:pt idx="1171">
                  <c:v>39705</c:v>
                </c:pt>
                <c:pt idx="1172">
                  <c:v>39706</c:v>
                </c:pt>
                <c:pt idx="1173">
                  <c:v>39707</c:v>
                </c:pt>
                <c:pt idx="1174">
                  <c:v>39708</c:v>
                </c:pt>
                <c:pt idx="1175">
                  <c:v>39709</c:v>
                </c:pt>
                <c:pt idx="1176">
                  <c:v>39710</c:v>
                </c:pt>
                <c:pt idx="1177">
                  <c:v>39711</c:v>
                </c:pt>
                <c:pt idx="1178">
                  <c:v>39712</c:v>
                </c:pt>
                <c:pt idx="1179">
                  <c:v>39713</c:v>
                </c:pt>
                <c:pt idx="1180">
                  <c:v>39714</c:v>
                </c:pt>
                <c:pt idx="1181">
                  <c:v>39715</c:v>
                </c:pt>
                <c:pt idx="1182">
                  <c:v>39716</c:v>
                </c:pt>
                <c:pt idx="1183">
                  <c:v>39717</c:v>
                </c:pt>
                <c:pt idx="1184">
                  <c:v>39718</c:v>
                </c:pt>
                <c:pt idx="1185">
                  <c:v>39719</c:v>
                </c:pt>
                <c:pt idx="1186">
                  <c:v>39720</c:v>
                </c:pt>
                <c:pt idx="1187">
                  <c:v>39721</c:v>
                </c:pt>
                <c:pt idx="1188">
                  <c:v>39722</c:v>
                </c:pt>
                <c:pt idx="1189">
                  <c:v>39723</c:v>
                </c:pt>
                <c:pt idx="1190">
                  <c:v>39724</c:v>
                </c:pt>
                <c:pt idx="1191">
                  <c:v>39725</c:v>
                </c:pt>
                <c:pt idx="1192">
                  <c:v>39726</c:v>
                </c:pt>
                <c:pt idx="1193">
                  <c:v>39727</c:v>
                </c:pt>
                <c:pt idx="1194">
                  <c:v>39728</c:v>
                </c:pt>
                <c:pt idx="1195">
                  <c:v>39729</c:v>
                </c:pt>
                <c:pt idx="1196">
                  <c:v>39730</c:v>
                </c:pt>
                <c:pt idx="1197">
                  <c:v>39731</c:v>
                </c:pt>
                <c:pt idx="1198">
                  <c:v>39732</c:v>
                </c:pt>
                <c:pt idx="1199">
                  <c:v>39733</c:v>
                </c:pt>
                <c:pt idx="1200">
                  <c:v>39734</c:v>
                </c:pt>
                <c:pt idx="1201">
                  <c:v>39735</c:v>
                </c:pt>
                <c:pt idx="1202">
                  <c:v>39736</c:v>
                </c:pt>
                <c:pt idx="1203">
                  <c:v>39737</c:v>
                </c:pt>
                <c:pt idx="1204">
                  <c:v>39738</c:v>
                </c:pt>
                <c:pt idx="1205">
                  <c:v>39739</c:v>
                </c:pt>
                <c:pt idx="1206">
                  <c:v>39740</c:v>
                </c:pt>
                <c:pt idx="1207">
                  <c:v>39741</c:v>
                </c:pt>
                <c:pt idx="1208">
                  <c:v>39742</c:v>
                </c:pt>
                <c:pt idx="1209">
                  <c:v>39743</c:v>
                </c:pt>
                <c:pt idx="1210">
                  <c:v>39744</c:v>
                </c:pt>
                <c:pt idx="1211">
                  <c:v>39745</c:v>
                </c:pt>
                <c:pt idx="1212">
                  <c:v>39746</c:v>
                </c:pt>
                <c:pt idx="1213">
                  <c:v>39747</c:v>
                </c:pt>
                <c:pt idx="1214">
                  <c:v>39748</c:v>
                </c:pt>
                <c:pt idx="1215">
                  <c:v>39749</c:v>
                </c:pt>
                <c:pt idx="1216">
                  <c:v>39750</c:v>
                </c:pt>
                <c:pt idx="1217">
                  <c:v>39751</c:v>
                </c:pt>
                <c:pt idx="1218">
                  <c:v>39752</c:v>
                </c:pt>
                <c:pt idx="1219">
                  <c:v>39753</c:v>
                </c:pt>
                <c:pt idx="1220">
                  <c:v>39754</c:v>
                </c:pt>
                <c:pt idx="1221">
                  <c:v>39755</c:v>
                </c:pt>
                <c:pt idx="1222">
                  <c:v>39756</c:v>
                </c:pt>
                <c:pt idx="1223">
                  <c:v>39757</c:v>
                </c:pt>
                <c:pt idx="1224">
                  <c:v>39758</c:v>
                </c:pt>
                <c:pt idx="1225">
                  <c:v>39759</c:v>
                </c:pt>
                <c:pt idx="1226">
                  <c:v>39760</c:v>
                </c:pt>
                <c:pt idx="1227">
                  <c:v>39761</c:v>
                </c:pt>
                <c:pt idx="1228">
                  <c:v>39762</c:v>
                </c:pt>
                <c:pt idx="1229">
                  <c:v>39763</c:v>
                </c:pt>
                <c:pt idx="1230">
                  <c:v>39764</c:v>
                </c:pt>
                <c:pt idx="1231">
                  <c:v>39765</c:v>
                </c:pt>
                <c:pt idx="1232">
                  <c:v>39766</c:v>
                </c:pt>
                <c:pt idx="1233">
                  <c:v>39767</c:v>
                </c:pt>
                <c:pt idx="1234">
                  <c:v>39768</c:v>
                </c:pt>
                <c:pt idx="1235">
                  <c:v>39769</c:v>
                </c:pt>
                <c:pt idx="1236">
                  <c:v>39770</c:v>
                </c:pt>
                <c:pt idx="1237">
                  <c:v>39771</c:v>
                </c:pt>
                <c:pt idx="1238">
                  <c:v>39772</c:v>
                </c:pt>
                <c:pt idx="1239">
                  <c:v>39773</c:v>
                </c:pt>
                <c:pt idx="1240">
                  <c:v>39774</c:v>
                </c:pt>
                <c:pt idx="1241">
                  <c:v>39775</c:v>
                </c:pt>
                <c:pt idx="1242">
                  <c:v>39776</c:v>
                </c:pt>
                <c:pt idx="1243">
                  <c:v>39777</c:v>
                </c:pt>
                <c:pt idx="1244">
                  <c:v>39778</c:v>
                </c:pt>
                <c:pt idx="1245">
                  <c:v>39779</c:v>
                </c:pt>
                <c:pt idx="1246">
                  <c:v>39780</c:v>
                </c:pt>
                <c:pt idx="1247">
                  <c:v>39781</c:v>
                </c:pt>
                <c:pt idx="1248">
                  <c:v>39782</c:v>
                </c:pt>
                <c:pt idx="1249">
                  <c:v>39783</c:v>
                </c:pt>
                <c:pt idx="1250">
                  <c:v>39784</c:v>
                </c:pt>
                <c:pt idx="1251">
                  <c:v>39785</c:v>
                </c:pt>
                <c:pt idx="1252">
                  <c:v>39786</c:v>
                </c:pt>
                <c:pt idx="1253">
                  <c:v>39787</c:v>
                </c:pt>
                <c:pt idx="1254">
                  <c:v>39788</c:v>
                </c:pt>
                <c:pt idx="1255">
                  <c:v>39789</c:v>
                </c:pt>
                <c:pt idx="1256">
                  <c:v>39790</c:v>
                </c:pt>
                <c:pt idx="1257">
                  <c:v>39791</c:v>
                </c:pt>
                <c:pt idx="1258">
                  <c:v>39792</c:v>
                </c:pt>
                <c:pt idx="1259">
                  <c:v>39793</c:v>
                </c:pt>
                <c:pt idx="1260">
                  <c:v>39794</c:v>
                </c:pt>
                <c:pt idx="1261">
                  <c:v>39795</c:v>
                </c:pt>
                <c:pt idx="1262">
                  <c:v>39796</c:v>
                </c:pt>
                <c:pt idx="1263">
                  <c:v>39797</c:v>
                </c:pt>
                <c:pt idx="1264">
                  <c:v>39798</c:v>
                </c:pt>
                <c:pt idx="1265">
                  <c:v>39799</c:v>
                </c:pt>
                <c:pt idx="1266">
                  <c:v>39800</c:v>
                </c:pt>
                <c:pt idx="1267">
                  <c:v>39801</c:v>
                </c:pt>
                <c:pt idx="1268">
                  <c:v>39802</c:v>
                </c:pt>
                <c:pt idx="1269">
                  <c:v>39803</c:v>
                </c:pt>
                <c:pt idx="1270">
                  <c:v>39804</c:v>
                </c:pt>
                <c:pt idx="1271">
                  <c:v>39805</c:v>
                </c:pt>
                <c:pt idx="1272">
                  <c:v>39806</c:v>
                </c:pt>
                <c:pt idx="1273">
                  <c:v>39807</c:v>
                </c:pt>
                <c:pt idx="1274">
                  <c:v>39808</c:v>
                </c:pt>
                <c:pt idx="1275">
                  <c:v>39809</c:v>
                </c:pt>
                <c:pt idx="1276">
                  <c:v>39810</c:v>
                </c:pt>
                <c:pt idx="1277">
                  <c:v>39811</c:v>
                </c:pt>
                <c:pt idx="1278">
                  <c:v>39812</c:v>
                </c:pt>
                <c:pt idx="1279">
                  <c:v>39813</c:v>
                </c:pt>
                <c:pt idx="1280">
                  <c:v>39814</c:v>
                </c:pt>
                <c:pt idx="1281">
                  <c:v>39815</c:v>
                </c:pt>
                <c:pt idx="1282">
                  <c:v>39816</c:v>
                </c:pt>
                <c:pt idx="1283">
                  <c:v>39817</c:v>
                </c:pt>
                <c:pt idx="1284">
                  <c:v>39818</c:v>
                </c:pt>
                <c:pt idx="1285">
                  <c:v>39819</c:v>
                </c:pt>
                <c:pt idx="1286">
                  <c:v>39820</c:v>
                </c:pt>
                <c:pt idx="1287">
                  <c:v>39821</c:v>
                </c:pt>
                <c:pt idx="1288">
                  <c:v>39822</c:v>
                </c:pt>
                <c:pt idx="1289">
                  <c:v>39823</c:v>
                </c:pt>
                <c:pt idx="1290">
                  <c:v>39824</c:v>
                </c:pt>
                <c:pt idx="1291">
                  <c:v>39825</c:v>
                </c:pt>
                <c:pt idx="1292">
                  <c:v>39826</c:v>
                </c:pt>
                <c:pt idx="1293">
                  <c:v>39827</c:v>
                </c:pt>
                <c:pt idx="1294">
                  <c:v>39828</c:v>
                </c:pt>
                <c:pt idx="1295">
                  <c:v>39829</c:v>
                </c:pt>
                <c:pt idx="1296">
                  <c:v>39830</c:v>
                </c:pt>
                <c:pt idx="1297">
                  <c:v>39831</c:v>
                </c:pt>
                <c:pt idx="1298">
                  <c:v>39832</c:v>
                </c:pt>
                <c:pt idx="1299">
                  <c:v>39833</c:v>
                </c:pt>
                <c:pt idx="1300">
                  <c:v>39834</c:v>
                </c:pt>
                <c:pt idx="1301">
                  <c:v>39835</c:v>
                </c:pt>
                <c:pt idx="1302">
                  <c:v>39836</c:v>
                </c:pt>
                <c:pt idx="1303">
                  <c:v>39837</c:v>
                </c:pt>
                <c:pt idx="1304">
                  <c:v>39838</c:v>
                </c:pt>
                <c:pt idx="1305">
                  <c:v>39839</c:v>
                </c:pt>
                <c:pt idx="1306">
                  <c:v>39840</c:v>
                </c:pt>
                <c:pt idx="1307">
                  <c:v>39841</c:v>
                </c:pt>
                <c:pt idx="1308">
                  <c:v>39842</c:v>
                </c:pt>
                <c:pt idx="1309">
                  <c:v>39843</c:v>
                </c:pt>
                <c:pt idx="1310">
                  <c:v>39844</c:v>
                </c:pt>
                <c:pt idx="1311">
                  <c:v>39845</c:v>
                </c:pt>
                <c:pt idx="1312">
                  <c:v>39846</c:v>
                </c:pt>
                <c:pt idx="1313">
                  <c:v>39847</c:v>
                </c:pt>
                <c:pt idx="1314">
                  <c:v>39848</c:v>
                </c:pt>
                <c:pt idx="1315">
                  <c:v>39849</c:v>
                </c:pt>
                <c:pt idx="1316">
                  <c:v>39850</c:v>
                </c:pt>
                <c:pt idx="1317">
                  <c:v>39851</c:v>
                </c:pt>
                <c:pt idx="1318">
                  <c:v>39852</c:v>
                </c:pt>
                <c:pt idx="1319">
                  <c:v>39853</c:v>
                </c:pt>
                <c:pt idx="1320">
                  <c:v>39854</c:v>
                </c:pt>
                <c:pt idx="1321">
                  <c:v>39855</c:v>
                </c:pt>
                <c:pt idx="1322">
                  <c:v>39856</c:v>
                </c:pt>
                <c:pt idx="1323">
                  <c:v>39857</c:v>
                </c:pt>
                <c:pt idx="1324">
                  <c:v>39858</c:v>
                </c:pt>
                <c:pt idx="1325">
                  <c:v>39859</c:v>
                </c:pt>
                <c:pt idx="1326">
                  <c:v>39860</c:v>
                </c:pt>
                <c:pt idx="1327">
                  <c:v>39861</c:v>
                </c:pt>
                <c:pt idx="1328">
                  <c:v>39862</c:v>
                </c:pt>
                <c:pt idx="1329">
                  <c:v>39863</c:v>
                </c:pt>
                <c:pt idx="1330">
                  <c:v>39864</c:v>
                </c:pt>
                <c:pt idx="1331">
                  <c:v>39865</c:v>
                </c:pt>
                <c:pt idx="1332">
                  <c:v>39866</c:v>
                </c:pt>
                <c:pt idx="1333">
                  <c:v>39867</c:v>
                </c:pt>
                <c:pt idx="1334">
                  <c:v>39868</c:v>
                </c:pt>
                <c:pt idx="1335">
                  <c:v>39869</c:v>
                </c:pt>
                <c:pt idx="1336">
                  <c:v>39870</c:v>
                </c:pt>
                <c:pt idx="1337">
                  <c:v>39871</c:v>
                </c:pt>
                <c:pt idx="1338">
                  <c:v>39872</c:v>
                </c:pt>
                <c:pt idx="1339">
                  <c:v>39873</c:v>
                </c:pt>
                <c:pt idx="1340">
                  <c:v>39874</c:v>
                </c:pt>
                <c:pt idx="1341">
                  <c:v>39875</c:v>
                </c:pt>
                <c:pt idx="1342">
                  <c:v>39876</c:v>
                </c:pt>
                <c:pt idx="1343">
                  <c:v>39877</c:v>
                </c:pt>
                <c:pt idx="1344">
                  <c:v>39878</c:v>
                </c:pt>
                <c:pt idx="1345">
                  <c:v>39879</c:v>
                </c:pt>
                <c:pt idx="1346">
                  <c:v>39880</c:v>
                </c:pt>
                <c:pt idx="1347">
                  <c:v>39881</c:v>
                </c:pt>
                <c:pt idx="1348">
                  <c:v>39882</c:v>
                </c:pt>
                <c:pt idx="1349">
                  <c:v>39883</c:v>
                </c:pt>
                <c:pt idx="1350">
                  <c:v>39884</c:v>
                </c:pt>
                <c:pt idx="1351">
                  <c:v>39885</c:v>
                </c:pt>
                <c:pt idx="1352">
                  <c:v>39886</c:v>
                </c:pt>
                <c:pt idx="1353">
                  <c:v>39887</c:v>
                </c:pt>
                <c:pt idx="1354">
                  <c:v>39888</c:v>
                </c:pt>
                <c:pt idx="1355">
                  <c:v>39889</c:v>
                </c:pt>
                <c:pt idx="1356">
                  <c:v>39890</c:v>
                </c:pt>
                <c:pt idx="1357">
                  <c:v>39891</c:v>
                </c:pt>
                <c:pt idx="1358">
                  <c:v>39892</c:v>
                </c:pt>
                <c:pt idx="1359">
                  <c:v>39893</c:v>
                </c:pt>
                <c:pt idx="1360">
                  <c:v>39894</c:v>
                </c:pt>
                <c:pt idx="1361">
                  <c:v>39895</c:v>
                </c:pt>
                <c:pt idx="1362">
                  <c:v>39896</c:v>
                </c:pt>
                <c:pt idx="1363">
                  <c:v>39897</c:v>
                </c:pt>
                <c:pt idx="1364">
                  <c:v>39898</c:v>
                </c:pt>
                <c:pt idx="1365">
                  <c:v>39899</c:v>
                </c:pt>
                <c:pt idx="1366">
                  <c:v>39900</c:v>
                </c:pt>
                <c:pt idx="1367">
                  <c:v>39901</c:v>
                </c:pt>
                <c:pt idx="1368">
                  <c:v>39902</c:v>
                </c:pt>
                <c:pt idx="1369">
                  <c:v>39903</c:v>
                </c:pt>
                <c:pt idx="1370">
                  <c:v>39904</c:v>
                </c:pt>
                <c:pt idx="1371">
                  <c:v>39905</c:v>
                </c:pt>
                <c:pt idx="1372">
                  <c:v>39906</c:v>
                </c:pt>
                <c:pt idx="1373">
                  <c:v>39907</c:v>
                </c:pt>
                <c:pt idx="1374">
                  <c:v>39908</c:v>
                </c:pt>
                <c:pt idx="1375">
                  <c:v>39909</c:v>
                </c:pt>
                <c:pt idx="1376">
                  <c:v>39910</c:v>
                </c:pt>
                <c:pt idx="1377">
                  <c:v>39911</c:v>
                </c:pt>
                <c:pt idx="1378">
                  <c:v>39912</c:v>
                </c:pt>
                <c:pt idx="1379">
                  <c:v>39913</c:v>
                </c:pt>
                <c:pt idx="1380">
                  <c:v>39914</c:v>
                </c:pt>
                <c:pt idx="1381">
                  <c:v>39915</c:v>
                </c:pt>
                <c:pt idx="1382">
                  <c:v>39916</c:v>
                </c:pt>
                <c:pt idx="1383">
                  <c:v>39917</c:v>
                </c:pt>
                <c:pt idx="1384">
                  <c:v>39918</c:v>
                </c:pt>
                <c:pt idx="1385">
                  <c:v>39919</c:v>
                </c:pt>
                <c:pt idx="1386">
                  <c:v>39920</c:v>
                </c:pt>
                <c:pt idx="1387">
                  <c:v>39921</c:v>
                </c:pt>
                <c:pt idx="1388">
                  <c:v>39922</c:v>
                </c:pt>
                <c:pt idx="1389">
                  <c:v>39923</c:v>
                </c:pt>
                <c:pt idx="1390">
                  <c:v>39924</c:v>
                </c:pt>
                <c:pt idx="1391">
                  <c:v>39925</c:v>
                </c:pt>
                <c:pt idx="1392">
                  <c:v>39926</c:v>
                </c:pt>
                <c:pt idx="1393">
                  <c:v>39927</c:v>
                </c:pt>
                <c:pt idx="1394">
                  <c:v>39928</c:v>
                </c:pt>
                <c:pt idx="1395">
                  <c:v>39929</c:v>
                </c:pt>
                <c:pt idx="1396">
                  <c:v>39930</c:v>
                </c:pt>
                <c:pt idx="1397">
                  <c:v>39931</c:v>
                </c:pt>
                <c:pt idx="1398">
                  <c:v>39932</c:v>
                </c:pt>
                <c:pt idx="1399">
                  <c:v>39933</c:v>
                </c:pt>
                <c:pt idx="1400">
                  <c:v>39934</c:v>
                </c:pt>
                <c:pt idx="1401">
                  <c:v>39935</c:v>
                </c:pt>
                <c:pt idx="1402">
                  <c:v>39936</c:v>
                </c:pt>
                <c:pt idx="1403">
                  <c:v>39937</c:v>
                </c:pt>
                <c:pt idx="1404">
                  <c:v>39938</c:v>
                </c:pt>
                <c:pt idx="1405">
                  <c:v>39939</c:v>
                </c:pt>
                <c:pt idx="1406">
                  <c:v>39940</c:v>
                </c:pt>
                <c:pt idx="1407">
                  <c:v>39941</c:v>
                </c:pt>
                <c:pt idx="1408">
                  <c:v>39942</c:v>
                </c:pt>
                <c:pt idx="1409">
                  <c:v>39943</c:v>
                </c:pt>
                <c:pt idx="1410">
                  <c:v>39944</c:v>
                </c:pt>
                <c:pt idx="1411">
                  <c:v>39945</c:v>
                </c:pt>
                <c:pt idx="1412">
                  <c:v>39946</c:v>
                </c:pt>
                <c:pt idx="1413">
                  <c:v>39947</c:v>
                </c:pt>
                <c:pt idx="1414">
                  <c:v>39948</c:v>
                </c:pt>
                <c:pt idx="1415">
                  <c:v>39949</c:v>
                </c:pt>
                <c:pt idx="1416">
                  <c:v>39950</c:v>
                </c:pt>
                <c:pt idx="1417">
                  <c:v>39951</c:v>
                </c:pt>
                <c:pt idx="1418">
                  <c:v>39952</c:v>
                </c:pt>
                <c:pt idx="1419">
                  <c:v>39953</c:v>
                </c:pt>
                <c:pt idx="1420">
                  <c:v>39954</c:v>
                </c:pt>
                <c:pt idx="1421">
                  <c:v>39955</c:v>
                </c:pt>
                <c:pt idx="1422">
                  <c:v>39956</c:v>
                </c:pt>
                <c:pt idx="1423">
                  <c:v>39957</c:v>
                </c:pt>
                <c:pt idx="1424">
                  <c:v>39958</c:v>
                </c:pt>
                <c:pt idx="1425">
                  <c:v>39959</c:v>
                </c:pt>
                <c:pt idx="1426">
                  <c:v>39960</c:v>
                </c:pt>
                <c:pt idx="1427">
                  <c:v>39961</c:v>
                </c:pt>
                <c:pt idx="1428">
                  <c:v>39962</c:v>
                </c:pt>
                <c:pt idx="1429">
                  <c:v>39963</c:v>
                </c:pt>
                <c:pt idx="1430">
                  <c:v>39964</c:v>
                </c:pt>
                <c:pt idx="1431">
                  <c:v>39965</c:v>
                </c:pt>
                <c:pt idx="1432">
                  <c:v>39966</c:v>
                </c:pt>
                <c:pt idx="1433">
                  <c:v>39967</c:v>
                </c:pt>
                <c:pt idx="1434">
                  <c:v>39968</c:v>
                </c:pt>
                <c:pt idx="1435">
                  <c:v>39969</c:v>
                </c:pt>
                <c:pt idx="1436">
                  <c:v>39970</c:v>
                </c:pt>
                <c:pt idx="1437">
                  <c:v>39971</c:v>
                </c:pt>
                <c:pt idx="1438">
                  <c:v>39972</c:v>
                </c:pt>
                <c:pt idx="1439">
                  <c:v>39973</c:v>
                </c:pt>
                <c:pt idx="1440">
                  <c:v>39974</c:v>
                </c:pt>
                <c:pt idx="1441">
                  <c:v>39975</c:v>
                </c:pt>
                <c:pt idx="1442">
                  <c:v>39976</c:v>
                </c:pt>
                <c:pt idx="1443">
                  <c:v>39977</c:v>
                </c:pt>
                <c:pt idx="1444">
                  <c:v>39978</c:v>
                </c:pt>
                <c:pt idx="1445">
                  <c:v>39979</c:v>
                </c:pt>
                <c:pt idx="1446">
                  <c:v>39980</c:v>
                </c:pt>
                <c:pt idx="1447">
                  <c:v>39981</c:v>
                </c:pt>
                <c:pt idx="1448">
                  <c:v>39982</c:v>
                </c:pt>
                <c:pt idx="1449">
                  <c:v>39983</c:v>
                </c:pt>
                <c:pt idx="1450">
                  <c:v>39984</c:v>
                </c:pt>
                <c:pt idx="1451">
                  <c:v>39985</c:v>
                </c:pt>
                <c:pt idx="1452">
                  <c:v>39986</c:v>
                </c:pt>
                <c:pt idx="1453">
                  <c:v>39987</c:v>
                </c:pt>
                <c:pt idx="1454">
                  <c:v>39988</c:v>
                </c:pt>
                <c:pt idx="1455">
                  <c:v>39989</c:v>
                </c:pt>
                <c:pt idx="1456">
                  <c:v>39990</c:v>
                </c:pt>
                <c:pt idx="1457">
                  <c:v>39991</c:v>
                </c:pt>
                <c:pt idx="1458">
                  <c:v>39992</c:v>
                </c:pt>
                <c:pt idx="1459">
                  <c:v>39993</c:v>
                </c:pt>
                <c:pt idx="1460">
                  <c:v>39994</c:v>
                </c:pt>
                <c:pt idx="1461">
                  <c:v>39995</c:v>
                </c:pt>
                <c:pt idx="1462">
                  <c:v>39996</c:v>
                </c:pt>
                <c:pt idx="1463">
                  <c:v>39997</c:v>
                </c:pt>
                <c:pt idx="1464">
                  <c:v>39998</c:v>
                </c:pt>
                <c:pt idx="1465">
                  <c:v>39999</c:v>
                </c:pt>
                <c:pt idx="1466">
                  <c:v>40000</c:v>
                </c:pt>
                <c:pt idx="1467">
                  <c:v>40001</c:v>
                </c:pt>
                <c:pt idx="1468">
                  <c:v>40002</c:v>
                </c:pt>
                <c:pt idx="1469">
                  <c:v>40003</c:v>
                </c:pt>
                <c:pt idx="1470">
                  <c:v>40004</c:v>
                </c:pt>
                <c:pt idx="1471">
                  <c:v>40005</c:v>
                </c:pt>
                <c:pt idx="1472">
                  <c:v>40006</c:v>
                </c:pt>
                <c:pt idx="1473">
                  <c:v>40007</c:v>
                </c:pt>
                <c:pt idx="1474">
                  <c:v>40008</c:v>
                </c:pt>
                <c:pt idx="1475">
                  <c:v>40009</c:v>
                </c:pt>
                <c:pt idx="1476">
                  <c:v>40010</c:v>
                </c:pt>
                <c:pt idx="1477">
                  <c:v>40011</c:v>
                </c:pt>
                <c:pt idx="1478">
                  <c:v>40012</c:v>
                </c:pt>
                <c:pt idx="1479">
                  <c:v>40013</c:v>
                </c:pt>
                <c:pt idx="1480">
                  <c:v>40014</c:v>
                </c:pt>
                <c:pt idx="1481">
                  <c:v>40015</c:v>
                </c:pt>
                <c:pt idx="1482">
                  <c:v>40016</c:v>
                </c:pt>
                <c:pt idx="1483">
                  <c:v>40017</c:v>
                </c:pt>
                <c:pt idx="1484">
                  <c:v>40018</c:v>
                </c:pt>
                <c:pt idx="1485">
                  <c:v>40019</c:v>
                </c:pt>
                <c:pt idx="1486">
                  <c:v>40020</c:v>
                </c:pt>
                <c:pt idx="1487">
                  <c:v>40021</c:v>
                </c:pt>
                <c:pt idx="1488">
                  <c:v>40022</c:v>
                </c:pt>
                <c:pt idx="1489">
                  <c:v>40023</c:v>
                </c:pt>
                <c:pt idx="1490">
                  <c:v>40024</c:v>
                </c:pt>
                <c:pt idx="1491">
                  <c:v>40025</c:v>
                </c:pt>
                <c:pt idx="1492">
                  <c:v>40026</c:v>
                </c:pt>
                <c:pt idx="1493">
                  <c:v>40027</c:v>
                </c:pt>
                <c:pt idx="1494">
                  <c:v>40028</c:v>
                </c:pt>
                <c:pt idx="1495">
                  <c:v>40029</c:v>
                </c:pt>
                <c:pt idx="1496">
                  <c:v>40030</c:v>
                </c:pt>
                <c:pt idx="1497">
                  <c:v>40031</c:v>
                </c:pt>
                <c:pt idx="1498">
                  <c:v>40032</c:v>
                </c:pt>
                <c:pt idx="1499">
                  <c:v>40033</c:v>
                </c:pt>
                <c:pt idx="1500">
                  <c:v>40034</c:v>
                </c:pt>
                <c:pt idx="1501">
                  <c:v>40035</c:v>
                </c:pt>
                <c:pt idx="1502">
                  <c:v>40036</c:v>
                </c:pt>
                <c:pt idx="1503">
                  <c:v>40037</c:v>
                </c:pt>
                <c:pt idx="1504">
                  <c:v>40038</c:v>
                </c:pt>
                <c:pt idx="1505">
                  <c:v>40039</c:v>
                </c:pt>
                <c:pt idx="1506">
                  <c:v>40040</c:v>
                </c:pt>
                <c:pt idx="1507">
                  <c:v>40041</c:v>
                </c:pt>
                <c:pt idx="1508">
                  <c:v>40042</c:v>
                </c:pt>
                <c:pt idx="1509">
                  <c:v>40043</c:v>
                </c:pt>
                <c:pt idx="1510">
                  <c:v>40044</c:v>
                </c:pt>
                <c:pt idx="1511">
                  <c:v>40045</c:v>
                </c:pt>
                <c:pt idx="1512">
                  <c:v>40046</c:v>
                </c:pt>
                <c:pt idx="1513">
                  <c:v>40047</c:v>
                </c:pt>
                <c:pt idx="1514">
                  <c:v>40048</c:v>
                </c:pt>
                <c:pt idx="1515">
                  <c:v>40049</c:v>
                </c:pt>
                <c:pt idx="1516">
                  <c:v>40050</c:v>
                </c:pt>
                <c:pt idx="1517">
                  <c:v>40051</c:v>
                </c:pt>
                <c:pt idx="1518">
                  <c:v>40052</c:v>
                </c:pt>
                <c:pt idx="1519">
                  <c:v>40053</c:v>
                </c:pt>
                <c:pt idx="1520">
                  <c:v>40054</c:v>
                </c:pt>
                <c:pt idx="1521">
                  <c:v>40055</c:v>
                </c:pt>
                <c:pt idx="1522">
                  <c:v>40056</c:v>
                </c:pt>
                <c:pt idx="1523">
                  <c:v>40057</c:v>
                </c:pt>
                <c:pt idx="1524">
                  <c:v>40058</c:v>
                </c:pt>
                <c:pt idx="1525">
                  <c:v>40059</c:v>
                </c:pt>
                <c:pt idx="1526">
                  <c:v>40060</c:v>
                </c:pt>
                <c:pt idx="1527">
                  <c:v>40061</c:v>
                </c:pt>
                <c:pt idx="1528">
                  <c:v>40062</c:v>
                </c:pt>
                <c:pt idx="1529">
                  <c:v>40063</c:v>
                </c:pt>
                <c:pt idx="1530">
                  <c:v>40064</c:v>
                </c:pt>
                <c:pt idx="1531">
                  <c:v>40065</c:v>
                </c:pt>
                <c:pt idx="1532">
                  <c:v>40066</c:v>
                </c:pt>
                <c:pt idx="1533">
                  <c:v>40067</c:v>
                </c:pt>
                <c:pt idx="1534">
                  <c:v>40068</c:v>
                </c:pt>
                <c:pt idx="1535">
                  <c:v>40069</c:v>
                </c:pt>
                <c:pt idx="1536">
                  <c:v>40070</c:v>
                </c:pt>
                <c:pt idx="1537">
                  <c:v>40071</c:v>
                </c:pt>
                <c:pt idx="1538">
                  <c:v>40072</c:v>
                </c:pt>
                <c:pt idx="1539">
                  <c:v>40073</c:v>
                </c:pt>
                <c:pt idx="1540">
                  <c:v>40074</c:v>
                </c:pt>
                <c:pt idx="1541">
                  <c:v>40075</c:v>
                </c:pt>
                <c:pt idx="1542">
                  <c:v>40076</c:v>
                </c:pt>
                <c:pt idx="1543">
                  <c:v>40077</c:v>
                </c:pt>
                <c:pt idx="1544">
                  <c:v>40078</c:v>
                </c:pt>
                <c:pt idx="1545">
                  <c:v>40079</c:v>
                </c:pt>
                <c:pt idx="1546">
                  <c:v>40080</c:v>
                </c:pt>
                <c:pt idx="1547">
                  <c:v>40081</c:v>
                </c:pt>
                <c:pt idx="1548">
                  <c:v>40082</c:v>
                </c:pt>
                <c:pt idx="1549">
                  <c:v>40083</c:v>
                </c:pt>
                <c:pt idx="1550">
                  <c:v>40084</c:v>
                </c:pt>
                <c:pt idx="1551">
                  <c:v>40085</c:v>
                </c:pt>
                <c:pt idx="1552">
                  <c:v>40086</c:v>
                </c:pt>
                <c:pt idx="1553">
                  <c:v>40087</c:v>
                </c:pt>
                <c:pt idx="1554">
                  <c:v>40088</c:v>
                </c:pt>
                <c:pt idx="1555">
                  <c:v>40089</c:v>
                </c:pt>
                <c:pt idx="1556">
                  <c:v>40090</c:v>
                </c:pt>
                <c:pt idx="1557">
                  <c:v>40091</c:v>
                </c:pt>
                <c:pt idx="1558">
                  <c:v>40092</c:v>
                </c:pt>
                <c:pt idx="1559">
                  <c:v>40093</c:v>
                </c:pt>
                <c:pt idx="1560">
                  <c:v>40094</c:v>
                </c:pt>
                <c:pt idx="1561">
                  <c:v>40095</c:v>
                </c:pt>
                <c:pt idx="1562">
                  <c:v>40096</c:v>
                </c:pt>
                <c:pt idx="1563">
                  <c:v>40097</c:v>
                </c:pt>
                <c:pt idx="1564">
                  <c:v>40098</c:v>
                </c:pt>
                <c:pt idx="1565">
                  <c:v>40099</c:v>
                </c:pt>
                <c:pt idx="1566">
                  <c:v>40100</c:v>
                </c:pt>
                <c:pt idx="1567">
                  <c:v>40101</c:v>
                </c:pt>
                <c:pt idx="1568">
                  <c:v>40102</c:v>
                </c:pt>
                <c:pt idx="1569">
                  <c:v>40103</c:v>
                </c:pt>
                <c:pt idx="1570">
                  <c:v>40104</c:v>
                </c:pt>
                <c:pt idx="1571">
                  <c:v>40105</c:v>
                </c:pt>
                <c:pt idx="1572">
                  <c:v>40106</c:v>
                </c:pt>
                <c:pt idx="1573">
                  <c:v>40107</c:v>
                </c:pt>
                <c:pt idx="1574">
                  <c:v>40108</c:v>
                </c:pt>
                <c:pt idx="1575">
                  <c:v>40109</c:v>
                </c:pt>
                <c:pt idx="1576">
                  <c:v>40110</c:v>
                </c:pt>
                <c:pt idx="1577">
                  <c:v>40111</c:v>
                </c:pt>
                <c:pt idx="1578">
                  <c:v>40112</c:v>
                </c:pt>
                <c:pt idx="1579">
                  <c:v>40113</c:v>
                </c:pt>
                <c:pt idx="1580">
                  <c:v>40114</c:v>
                </c:pt>
                <c:pt idx="1581">
                  <c:v>40115</c:v>
                </c:pt>
                <c:pt idx="1582">
                  <c:v>40116</c:v>
                </c:pt>
                <c:pt idx="1583">
                  <c:v>40117</c:v>
                </c:pt>
                <c:pt idx="1584">
                  <c:v>40118</c:v>
                </c:pt>
                <c:pt idx="1585">
                  <c:v>40119</c:v>
                </c:pt>
                <c:pt idx="1586">
                  <c:v>40120</c:v>
                </c:pt>
                <c:pt idx="1587">
                  <c:v>40121</c:v>
                </c:pt>
                <c:pt idx="1588">
                  <c:v>40122</c:v>
                </c:pt>
                <c:pt idx="1589">
                  <c:v>40123</c:v>
                </c:pt>
                <c:pt idx="1590">
                  <c:v>40124</c:v>
                </c:pt>
                <c:pt idx="1591">
                  <c:v>40125</c:v>
                </c:pt>
                <c:pt idx="1592">
                  <c:v>40126</c:v>
                </c:pt>
                <c:pt idx="1593">
                  <c:v>40127</c:v>
                </c:pt>
                <c:pt idx="1594">
                  <c:v>40128</c:v>
                </c:pt>
                <c:pt idx="1595">
                  <c:v>40129</c:v>
                </c:pt>
                <c:pt idx="1596">
                  <c:v>40130</c:v>
                </c:pt>
                <c:pt idx="1597">
                  <c:v>40131</c:v>
                </c:pt>
                <c:pt idx="1598">
                  <c:v>40132</c:v>
                </c:pt>
                <c:pt idx="1599">
                  <c:v>40133</c:v>
                </c:pt>
                <c:pt idx="1600">
                  <c:v>40134</c:v>
                </c:pt>
                <c:pt idx="1601">
                  <c:v>40135</c:v>
                </c:pt>
                <c:pt idx="1602">
                  <c:v>40136</c:v>
                </c:pt>
                <c:pt idx="1603">
                  <c:v>40137</c:v>
                </c:pt>
                <c:pt idx="1604">
                  <c:v>40138</c:v>
                </c:pt>
                <c:pt idx="1605">
                  <c:v>40139</c:v>
                </c:pt>
                <c:pt idx="1606">
                  <c:v>40140</c:v>
                </c:pt>
                <c:pt idx="1607">
                  <c:v>40141</c:v>
                </c:pt>
                <c:pt idx="1608">
                  <c:v>40142</c:v>
                </c:pt>
                <c:pt idx="1609">
                  <c:v>40143</c:v>
                </c:pt>
                <c:pt idx="1610">
                  <c:v>40144</c:v>
                </c:pt>
                <c:pt idx="1611">
                  <c:v>40145</c:v>
                </c:pt>
                <c:pt idx="1612">
                  <c:v>40146</c:v>
                </c:pt>
                <c:pt idx="1613">
                  <c:v>40147</c:v>
                </c:pt>
                <c:pt idx="1614">
                  <c:v>40148</c:v>
                </c:pt>
                <c:pt idx="1615">
                  <c:v>40149</c:v>
                </c:pt>
                <c:pt idx="1616">
                  <c:v>40150</c:v>
                </c:pt>
                <c:pt idx="1617">
                  <c:v>40151</c:v>
                </c:pt>
                <c:pt idx="1618">
                  <c:v>40152</c:v>
                </c:pt>
                <c:pt idx="1619">
                  <c:v>40153</c:v>
                </c:pt>
                <c:pt idx="1620">
                  <c:v>40154</c:v>
                </c:pt>
                <c:pt idx="1621">
                  <c:v>40155</c:v>
                </c:pt>
                <c:pt idx="1622">
                  <c:v>40156</c:v>
                </c:pt>
                <c:pt idx="1623">
                  <c:v>40157</c:v>
                </c:pt>
                <c:pt idx="1624">
                  <c:v>40158</c:v>
                </c:pt>
                <c:pt idx="1625">
                  <c:v>40159</c:v>
                </c:pt>
                <c:pt idx="1626">
                  <c:v>40160</c:v>
                </c:pt>
                <c:pt idx="1627">
                  <c:v>40161</c:v>
                </c:pt>
                <c:pt idx="1628">
                  <c:v>40162</c:v>
                </c:pt>
                <c:pt idx="1629">
                  <c:v>40163</c:v>
                </c:pt>
                <c:pt idx="1630">
                  <c:v>40164</c:v>
                </c:pt>
                <c:pt idx="1631">
                  <c:v>40165</c:v>
                </c:pt>
                <c:pt idx="1632">
                  <c:v>40166</c:v>
                </c:pt>
                <c:pt idx="1633">
                  <c:v>40167</c:v>
                </c:pt>
                <c:pt idx="1634">
                  <c:v>40168</c:v>
                </c:pt>
                <c:pt idx="1635">
                  <c:v>40169</c:v>
                </c:pt>
                <c:pt idx="1636">
                  <c:v>40170</c:v>
                </c:pt>
                <c:pt idx="1637">
                  <c:v>40171</c:v>
                </c:pt>
                <c:pt idx="1638">
                  <c:v>40172</c:v>
                </c:pt>
                <c:pt idx="1639">
                  <c:v>40173</c:v>
                </c:pt>
                <c:pt idx="1640">
                  <c:v>40174</c:v>
                </c:pt>
                <c:pt idx="1641">
                  <c:v>40175</c:v>
                </c:pt>
                <c:pt idx="1642">
                  <c:v>40176</c:v>
                </c:pt>
                <c:pt idx="1643">
                  <c:v>40177</c:v>
                </c:pt>
                <c:pt idx="1644">
                  <c:v>40178</c:v>
                </c:pt>
                <c:pt idx="1645">
                  <c:v>40179</c:v>
                </c:pt>
                <c:pt idx="1646">
                  <c:v>40180</c:v>
                </c:pt>
                <c:pt idx="1647">
                  <c:v>40181</c:v>
                </c:pt>
                <c:pt idx="1648">
                  <c:v>40182</c:v>
                </c:pt>
                <c:pt idx="1649">
                  <c:v>40183</c:v>
                </c:pt>
                <c:pt idx="1650">
                  <c:v>40184</c:v>
                </c:pt>
                <c:pt idx="1651">
                  <c:v>40185</c:v>
                </c:pt>
                <c:pt idx="1652">
                  <c:v>40186</c:v>
                </c:pt>
                <c:pt idx="1653">
                  <c:v>40187</c:v>
                </c:pt>
                <c:pt idx="1654">
                  <c:v>40188</c:v>
                </c:pt>
                <c:pt idx="1655">
                  <c:v>40189</c:v>
                </c:pt>
                <c:pt idx="1656">
                  <c:v>40190</c:v>
                </c:pt>
                <c:pt idx="1657">
                  <c:v>40191</c:v>
                </c:pt>
                <c:pt idx="1658">
                  <c:v>40192</c:v>
                </c:pt>
                <c:pt idx="1659">
                  <c:v>40193</c:v>
                </c:pt>
                <c:pt idx="1660">
                  <c:v>40194</c:v>
                </c:pt>
                <c:pt idx="1661">
                  <c:v>40195</c:v>
                </c:pt>
                <c:pt idx="1662">
                  <c:v>40196</c:v>
                </c:pt>
                <c:pt idx="1663">
                  <c:v>40197</c:v>
                </c:pt>
                <c:pt idx="1664">
                  <c:v>40198</c:v>
                </c:pt>
                <c:pt idx="1665">
                  <c:v>40199</c:v>
                </c:pt>
                <c:pt idx="1666">
                  <c:v>40200</c:v>
                </c:pt>
                <c:pt idx="1667">
                  <c:v>40201</c:v>
                </c:pt>
                <c:pt idx="1668">
                  <c:v>40202</c:v>
                </c:pt>
                <c:pt idx="1669">
                  <c:v>40203</c:v>
                </c:pt>
                <c:pt idx="1670">
                  <c:v>40204</c:v>
                </c:pt>
                <c:pt idx="1671">
                  <c:v>40205</c:v>
                </c:pt>
                <c:pt idx="1672">
                  <c:v>40206</c:v>
                </c:pt>
                <c:pt idx="1673">
                  <c:v>40207</c:v>
                </c:pt>
                <c:pt idx="1674">
                  <c:v>40208</c:v>
                </c:pt>
                <c:pt idx="1675">
                  <c:v>40209</c:v>
                </c:pt>
                <c:pt idx="1676">
                  <c:v>40210</c:v>
                </c:pt>
                <c:pt idx="1677">
                  <c:v>40211</c:v>
                </c:pt>
                <c:pt idx="1678">
                  <c:v>40212</c:v>
                </c:pt>
                <c:pt idx="1679">
                  <c:v>40213</c:v>
                </c:pt>
                <c:pt idx="1680">
                  <c:v>40214</c:v>
                </c:pt>
                <c:pt idx="1681">
                  <c:v>40215</c:v>
                </c:pt>
                <c:pt idx="1682">
                  <c:v>40216</c:v>
                </c:pt>
                <c:pt idx="1683">
                  <c:v>40217</c:v>
                </c:pt>
                <c:pt idx="1684">
                  <c:v>40218</c:v>
                </c:pt>
                <c:pt idx="1685">
                  <c:v>40219</c:v>
                </c:pt>
                <c:pt idx="1686">
                  <c:v>40220</c:v>
                </c:pt>
                <c:pt idx="1687">
                  <c:v>40221</c:v>
                </c:pt>
                <c:pt idx="1688">
                  <c:v>40222</c:v>
                </c:pt>
                <c:pt idx="1689">
                  <c:v>40223</c:v>
                </c:pt>
                <c:pt idx="1690">
                  <c:v>40224</c:v>
                </c:pt>
                <c:pt idx="1691">
                  <c:v>40225</c:v>
                </c:pt>
                <c:pt idx="1692">
                  <c:v>40226</c:v>
                </c:pt>
                <c:pt idx="1693">
                  <c:v>40227</c:v>
                </c:pt>
                <c:pt idx="1694">
                  <c:v>40228</c:v>
                </c:pt>
                <c:pt idx="1695">
                  <c:v>40229</c:v>
                </c:pt>
                <c:pt idx="1696">
                  <c:v>40230</c:v>
                </c:pt>
                <c:pt idx="1697">
                  <c:v>40231</c:v>
                </c:pt>
                <c:pt idx="1698">
                  <c:v>40232</c:v>
                </c:pt>
                <c:pt idx="1699">
                  <c:v>40233</c:v>
                </c:pt>
                <c:pt idx="1700">
                  <c:v>40234</c:v>
                </c:pt>
                <c:pt idx="1701">
                  <c:v>40235</c:v>
                </c:pt>
                <c:pt idx="1702">
                  <c:v>40236</c:v>
                </c:pt>
                <c:pt idx="1703">
                  <c:v>40237</c:v>
                </c:pt>
                <c:pt idx="1704">
                  <c:v>40238</c:v>
                </c:pt>
                <c:pt idx="1705">
                  <c:v>40239</c:v>
                </c:pt>
                <c:pt idx="1706">
                  <c:v>40240</c:v>
                </c:pt>
                <c:pt idx="1707">
                  <c:v>40241</c:v>
                </c:pt>
                <c:pt idx="1708">
                  <c:v>40242</c:v>
                </c:pt>
                <c:pt idx="1709">
                  <c:v>40243</c:v>
                </c:pt>
                <c:pt idx="1710">
                  <c:v>40244</c:v>
                </c:pt>
                <c:pt idx="1711">
                  <c:v>40245</c:v>
                </c:pt>
                <c:pt idx="1712">
                  <c:v>40246</c:v>
                </c:pt>
                <c:pt idx="1713">
                  <c:v>40247</c:v>
                </c:pt>
                <c:pt idx="1714">
                  <c:v>40248</c:v>
                </c:pt>
                <c:pt idx="1715">
                  <c:v>40249</c:v>
                </c:pt>
                <c:pt idx="1716">
                  <c:v>40250</c:v>
                </c:pt>
                <c:pt idx="1717">
                  <c:v>40251</c:v>
                </c:pt>
                <c:pt idx="1718">
                  <c:v>40252</c:v>
                </c:pt>
                <c:pt idx="1719">
                  <c:v>40253</c:v>
                </c:pt>
                <c:pt idx="1720">
                  <c:v>40254</c:v>
                </c:pt>
                <c:pt idx="1721">
                  <c:v>40255</c:v>
                </c:pt>
                <c:pt idx="1722">
                  <c:v>40256</c:v>
                </c:pt>
                <c:pt idx="1723">
                  <c:v>40257</c:v>
                </c:pt>
                <c:pt idx="1724">
                  <c:v>40258</c:v>
                </c:pt>
                <c:pt idx="1725">
                  <c:v>40259</c:v>
                </c:pt>
                <c:pt idx="1726">
                  <c:v>40260</c:v>
                </c:pt>
                <c:pt idx="1727">
                  <c:v>40261</c:v>
                </c:pt>
                <c:pt idx="1728">
                  <c:v>40262</c:v>
                </c:pt>
                <c:pt idx="1729">
                  <c:v>40263</c:v>
                </c:pt>
                <c:pt idx="1730">
                  <c:v>40264</c:v>
                </c:pt>
                <c:pt idx="1731">
                  <c:v>40265</c:v>
                </c:pt>
                <c:pt idx="1732">
                  <c:v>40266</c:v>
                </c:pt>
                <c:pt idx="1733">
                  <c:v>40267</c:v>
                </c:pt>
                <c:pt idx="1734">
                  <c:v>40268</c:v>
                </c:pt>
                <c:pt idx="1735">
                  <c:v>40269</c:v>
                </c:pt>
                <c:pt idx="1736">
                  <c:v>40270</c:v>
                </c:pt>
                <c:pt idx="1737">
                  <c:v>40271</c:v>
                </c:pt>
                <c:pt idx="1738">
                  <c:v>40272</c:v>
                </c:pt>
                <c:pt idx="1739">
                  <c:v>40273</c:v>
                </c:pt>
                <c:pt idx="1740">
                  <c:v>40274</c:v>
                </c:pt>
                <c:pt idx="1741">
                  <c:v>40275</c:v>
                </c:pt>
                <c:pt idx="1742">
                  <c:v>40276</c:v>
                </c:pt>
                <c:pt idx="1743">
                  <c:v>40277</c:v>
                </c:pt>
                <c:pt idx="1744">
                  <c:v>40278</c:v>
                </c:pt>
                <c:pt idx="1745">
                  <c:v>40279</c:v>
                </c:pt>
                <c:pt idx="1746">
                  <c:v>40280</c:v>
                </c:pt>
                <c:pt idx="1747">
                  <c:v>40281</c:v>
                </c:pt>
                <c:pt idx="1748">
                  <c:v>40282</c:v>
                </c:pt>
                <c:pt idx="1749">
                  <c:v>40283</c:v>
                </c:pt>
                <c:pt idx="1750">
                  <c:v>40284</c:v>
                </c:pt>
                <c:pt idx="1751">
                  <c:v>40285</c:v>
                </c:pt>
                <c:pt idx="1752">
                  <c:v>40286</c:v>
                </c:pt>
                <c:pt idx="1753">
                  <c:v>40287</c:v>
                </c:pt>
                <c:pt idx="1754">
                  <c:v>40288</c:v>
                </c:pt>
                <c:pt idx="1755">
                  <c:v>40289</c:v>
                </c:pt>
                <c:pt idx="1756">
                  <c:v>40290</c:v>
                </c:pt>
                <c:pt idx="1757">
                  <c:v>40291</c:v>
                </c:pt>
                <c:pt idx="1758">
                  <c:v>40292</c:v>
                </c:pt>
                <c:pt idx="1759">
                  <c:v>40293</c:v>
                </c:pt>
                <c:pt idx="1760">
                  <c:v>40294</c:v>
                </c:pt>
                <c:pt idx="1761">
                  <c:v>40295</c:v>
                </c:pt>
                <c:pt idx="1762">
                  <c:v>40296</c:v>
                </c:pt>
                <c:pt idx="1763">
                  <c:v>40297</c:v>
                </c:pt>
                <c:pt idx="1764">
                  <c:v>40298</c:v>
                </c:pt>
                <c:pt idx="1765">
                  <c:v>40299</c:v>
                </c:pt>
                <c:pt idx="1766">
                  <c:v>40300</c:v>
                </c:pt>
                <c:pt idx="1767">
                  <c:v>40301</c:v>
                </c:pt>
                <c:pt idx="1768">
                  <c:v>40302</c:v>
                </c:pt>
                <c:pt idx="1769">
                  <c:v>40303</c:v>
                </c:pt>
                <c:pt idx="1770">
                  <c:v>40304</c:v>
                </c:pt>
                <c:pt idx="1771">
                  <c:v>40305</c:v>
                </c:pt>
                <c:pt idx="1772">
                  <c:v>40306</c:v>
                </c:pt>
                <c:pt idx="1773">
                  <c:v>40307</c:v>
                </c:pt>
                <c:pt idx="1774">
                  <c:v>40308</c:v>
                </c:pt>
                <c:pt idx="1775">
                  <c:v>40309</c:v>
                </c:pt>
                <c:pt idx="1776">
                  <c:v>40310</c:v>
                </c:pt>
                <c:pt idx="1777">
                  <c:v>40311</c:v>
                </c:pt>
                <c:pt idx="1778">
                  <c:v>40312</c:v>
                </c:pt>
                <c:pt idx="1779">
                  <c:v>40313</c:v>
                </c:pt>
                <c:pt idx="1780">
                  <c:v>40314</c:v>
                </c:pt>
                <c:pt idx="1781">
                  <c:v>40315</c:v>
                </c:pt>
                <c:pt idx="1782">
                  <c:v>40316</c:v>
                </c:pt>
                <c:pt idx="1783">
                  <c:v>40317</c:v>
                </c:pt>
                <c:pt idx="1784">
                  <c:v>40318</c:v>
                </c:pt>
                <c:pt idx="1785">
                  <c:v>40319</c:v>
                </c:pt>
                <c:pt idx="1786">
                  <c:v>40320</c:v>
                </c:pt>
                <c:pt idx="1787">
                  <c:v>40321</c:v>
                </c:pt>
                <c:pt idx="1788">
                  <c:v>40322</c:v>
                </c:pt>
                <c:pt idx="1789">
                  <c:v>40323</c:v>
                </c:pt>
                <c:pt idx="1790">
                  <c:v>40324</c:v>
                </c:pt>
                <c:pt idx="1791">
                  <c:v>40325</c:v>
                </c:pt>
                <c:pt idx="1792">
                  <c:v>40326</c:v>
                </c:pt>
                <c:pt idx="1793">
                  <c:v>40327</c:v>
                </c:pt>
                <c:pt idx="1794">
                  <c:v>40328</c:v>
                </c:pt>
                <c:pt idx="1795">
                  <c:v>40329</c:v>
                </c:pt>
                <c:pt idx="1796">
                  <c:v>40330</c:v>
                </c:pt>
                <c:pt idx="1797">
                  <c:v>40331</c:v>
                </c:pt>
                <c:pt idx="1798">
                  <c:v>40332</c:v>
                </c:pt>
                <c:pt idx="1799">
                  <c:v>40333</c:v>
                </c:pt>
                <c:pt idx="1800">
                  <c:v>40334</c:v>
                </c:pt>
                <c:pt idx="1801">
                  <c:v>40335</c:v>
                </c:pt>
                <c:pt idx="1802">
                  <c:v>40336</c:v>
                </c:pt>
                <c:pt idx="1803">
                  <c:v>40337</c:v>
                </c:pt>
                <c:pt idx="1804">
                  <c:v>40338</c:v>
                </c:pt>
                <c:pt idx="1805">
                  <c:v>40339</c:v>
                </c:pt>
                <c:pt idx="1806">
                  <c:v>40340</c:v>
                </c:pt>
                <c:pt idx="1807">
                  <c:v>40341</c:v>
                </c:pt>
                <c:pt idx="1808">
                  <c:v>40342</c:v>
                </c:pt>
                <c:pt idx="1809">
                  <c:v>40343</c:v>
                </c:pt>
                <c:pt idx="1810">
                  <c:v>40344</c:v>
                </c:pt>
                <c:pt idx="1811">
                  <c:v>40345</c:v>
                </c:pt>
                <c:pt idx="1812">
                  <c:v>40346</c:v>
                </c:pt>
                <c:pt idx="1813">
                  <c:v>40347</c:v>
                </c:pt>
                <c:pt idx="1814">
                  <c:v>40348</c:v>
                </c:pt>
                <c:pt idx="1815">
                  <c:v>40349</c:v>
                </c:pt>
                <c:pt idx="1816">
                  <c:v>40350</c:v>
                </c:pt>
                <c:pt idx="1817">
                  <c:v>40351</c:v>
                </c:pt>
                <c:pt idx="1818">
                  <c:v>40352</c:v>
                </c:pt>
                <c:pt idx="1819">
                  <c:v>40353</c:v>
                </c:pt>
                <c:pt idx="1820">
                  <c:v>40354</c:v>
                </c:pt>
                <c:pt idx="1821">
                  <c:v>40355</c:v>
                </c:pt>
                <c:pt idx="1822">
                  <c:v>40356</c:v>
                </c:pt>
                <c:pt idx="1823">
                  <c:v>40357</c:v>
                </c:pt>
                <c:pt idx="1824">
                  <c:v>40358</c:v>
                </c:pt>
                <c:pt idx="1825">
                  <c:v>40359</c:v>
                </c:pt>
                <c:pt idx="1826">
                  <c:v>40360</c:v>
                </c:pt>
                <c:pt idx="1827">
                  <c:v>40361</c:v>
                </c:pt>
                <c:pt idx="1828">
                  <c:v>40362</c:v>
                </c:pt>
                <c:pt idx="1829">
                  <c:v>40363</c:v>
                </c:pt>
                <c:pt idx="1830">
                  <c:v>40364</c:v>
                </c:pt>
                <c:pt idx="1831">
                  <c:v>40365</c:v>
                </c:pt>
                <c:pt idx="1832">
                  <c:v>40366</c:v>
                </c:pt>
                <c:pt idx="1833">
                  <c:v>40367</c:v>
                </c:pt>
                <c:pt idx="1834">
                  <c:v>40368</c:v>
                </c:pt>
                <c:pt idx="1835">
                  <c:v>40369</c:v>
                </c:pt>
                <c:pt idx="1836">
                  <c:v>40370</c:v>
                </c:pt>
                <c:pt idx="1837">
                  <c:v>40371</c:v>
                </c:pt>
                <c:pt idx="1838">
                  <c:v>40372</c:v>
                </c:pt>
                <c:pt idx="1839">
                  <c:v>40373</c:v>
                </c:pt>
                <c:pt idx="1840">
                  <c:v>40374</c:v>
                </c:pt>
                <c:pt idx="1841">
                  <c:v>40375</c:v>
                </c:pt>
                <c:pt idx="1842">
                  <c:v>40376</c:v>
                </c:pt>
                <c:pt idx="1843">
                  <c:v>40377</c:v>
                </c:pt>
                <c:pt idx="1844">
                  <c:v>40378</c:v>
                </c:pt>
                <c:pt idx="1845">
                  <c:v>40379</c:v>
                </c:pt>
                <c:pt idx="1846">
                  <c:v>40380</c:v>
                </c:pt>
                <c:pt idx="1847">
                  <c:v>40381</c:v>
                </c:pt>
                <c:pt idx="1848">
                  <c:v>40382</c:v>
                </c:pt>
                <c:pt idx="1849">
                  <c:v>40383</c:v>
                </c:pt>
                <c:pt idx="1850">
                  <c:v>40384</c:v>
                </c:pt>
                <c:pt idx="1851">
                  <c:v>40385</c:v>
                </c:pt>
                <c:pt idx="1852">
                  <c:v>40386</c:v>
                </c:pt>
                <c:pt idx="1853">
                  <c:v>40387</c:v>
                </c:pt>
                <c:pt idx="1854">
                  <c:v>40388</c:v>
                </c:pt>
                <c:pt idx="1855">
                  <c:v>40389</c:v>
                </c:pt>
                <c:pt idx="1856">
                  <c:v>40390</c:v>
                </c:pt>
                <c:pt idx="1857">
                  <c:v>40391</c:v>
                </c:pt>
                <c:pt idx="1858">
                  <c:v>40392</c:v>
                </c:pt>
                <c:pt idx="1859">
                  <c:v>40393</c:v>
                </c:pt>
                <c:pt idx="1860">
                  <c:v>40394</c:v>
                </c:pt>
                <c:pt idx="1861">
                  <c:v>40395</c:v>
                </c:pt>
                <c:pt idx="1862">
                  <c:v>40396</c:v>
                </c:pt>
                <c:pt idx="1863">
                  <c:v>40397</c:v>
                </c:pt>
                <c:pt idx="1864">
                  <c:v>40398</c:v>
                </c:pt>
                <c:pt idx="1865">
                  <c:v>40399</c:v>
                </c:pt>
                <c:pt idx="1866">
                  <c:v>40400</c:v>
                </c:pt>
                <c:pt idx="1867">
                  <c:v>40401</c:v>
                </c:pt>
                <c:pt idx="1868">
                  <c:v>40402</c:v>
                </c:pt>
                <c:pt idx="1869">
                  <c:v>40403</c:v>
                </c:pt>
                <c:pt idx="1870">
                  <c:v>40404</c:v>
                </c:pt>
                <c:pt idx="1871">
                  <c:v>40405</c:v>
                </c:pt>
                <c:pt idx="1872">
                  <c:v>40406</c:v>
                </c:pt>
                <c:pt idx="1873">
                  <c:v>40407</c:v>
                </c:pt>
                <c:pt idx="1874">
                  <c:v>40408</c:v>
                </c:pt>
                <c:pt idx="1875">
                  <c:v>40409</c:v>
                </c:pt>
                <c:pt idx="1876">
                  <c:v>40410</c:v>
                </c:pt>
                <c:pt idx="1877">
                  <c:v>40411</c:v>
                </c:pt>
                <c:pt idx="1878">
                  <c:v>40412</c:v>
                </c:pt>
                <c:pt idx="1879">
                  <c:v>40413</c:v>
                </c:pt>
                <c:pt idx="1880">
                  <c:v>40414</c:v>
                </c:pt>
                <c:pt idx="1881">
                  <c:v>40415</c:v>
                </c:pt>
                <c:pt idx="1882">
                  <c:v>40416</c:v>
                </c:pt>
                <c:pt idx="1883">
                  <c:v>40417</c:v>
                </c:pt>
                <c:pt idx="1884">
                  <c:v>40418</c:v>
                </c:pt>
                <c:pt idx="1885">
                  <c:v>40419</c:v>
                </c:pt>
                <c:pt idx="1886">
                  <c:v>40420</c:v>
                </c:pt>
                <c:pt idx="1887">
                  <c:v>40421</c:v>
                </c:pt>
                <c:pt idx="1888">
                  <c:v>40422</c:v>
                </c:pt>
                <c:pt idx="1889">
                  <c:v>40423</c:v>
                </c:pt>
                <c:pt idx="1890">
                  <c:v>40424</c:v>
                </c:pt>
                <c:pt idx="1891">
                  <c:v>40425</c:v>
                </c:pt>
                <c:pt idx="1892">
                  <c:v>40426</c:v>
                </c:pt>
                <c:pt idx="1893">
                  <c:v>40427</c:v>
                </c:pt>
                <c:pt idx="1894">
                  <c:v>40428</c:v>
                </c:pt>
                <c:pt idx="1895">
                  <c:v>40429</c:v>
                </c:pt>
                <c:pt idx="1896">
                  <c:v>40430</c:v>
                </c:pt>
                <c:pt idx="1897">
                  <c:v>40431</c:v>
                </c:pt>
                <c:pt idx="1898">
                  <c:v>40432</c:v>
                </c:pt>
                <c:pt idx="1899">
                  <c:v>40433</c:v>
                </c:pt>
                <c:pt idx="1900">
                  <c:v>40434</c:v>
                </c:pt>
                <c:pt idx="1901">
                  <c:v>40435</c:v>
                </c:pt>
                <c:pt idx="1902">
                  <c:v>40436</c:v>
                </c:pt>
                <c:pt idx="1903">
                  <c:v>40437</c:v>
                </c:pt>
                <c:pt idx="1904">
                  <c:v>40438</c:v>
                </c:pt>
                <c:pt idx="1905">
                  <c:v>40439</c:v>
                </c:pt>
                <c:pt idx="1906">
                  <c:v>40440</c:v>
                </c:pt>
                <c:pt idx="1907">
                  <c:v>40441</c:v>
                </c:pt>
                <c:pt idx="1908">
                  <c:v>40442</c:v>
                </c:pt>
                <c:pt idx="1909">
                  <c:v>40443</c:v>
                </c:pt>
                <c:pt idx="1910">
                  <c:v>40444</c:v>
                </c:pt>
                <c:pt idx="1911">
                  <c:v>40445</c:v>
                </c:pt>
                <c:pt idx="1912">
                  <c:v>40446</c:v>
                </c:pt>
                <c:pt idx="1913">
                  <c:v>40447</c:v>
                </c:pt>
                <c:pt idx="1914">
                  <c:v>40448</c:v>
                </c:pt>
                <c:pt idx="1915">
                  <c:v>40449</c:v>
                </c:pt>
                <c:pt idx="1916">
                  <c:v>40450</c:v>
                </c:pt>
                <c:pt idx="1917">
                  <c:v>40451</c:v>
                </c:pt>
                <c:pt idx="1918">
                  <c:v>40452</c:v>
                </c:pt>
                <c:pt idx="1919">
                  <c:v>40453</c:v>
                </c:pt>
                <c:pt idx="1920">
                  <c:v>40454</c:v>
                </c:pt>
                <c:pt idx="1921">
                  <c:v>40455</c:v>
                </c:pt>
                <c:pt idx="1922">
                  <c:v>40456</c:v>
                </c:pt>
                <c:pt idx="1923">
                  <c:v>40457</c:v>
                </c:pt>
                <c:pt idx="1924">
                  <c:v>40458</c:v>
                </c:pt>
                <c:pt idx="1925">
                  <c:v>40459</c:v>
                </c:pt>
                <c:pt idx="1926">
                  <c:v>40460</c:v>
                </c:pt>
                <c:pt idx="1927">
                  <c:v>40461</c:v>
                </c:pt>
                <c:pt idx="1928">
                  <c:v>40462</c:v>
                </c:pt>
                <c:pt idx="1929">
                  <c:v>40463</c:v>
                </c:pt>
                <c:pt idx="1930">
                  <c:v>40464</c:v>
                </c:pt>
                <c:pt idx="1931">
                  <c:v>40465</c:v>
                </c:pt>
                <c:pt idx="1932">
                  <c:v>40466</c:v>
                </c:pt>
                <c:pt idx="1933">
                  <c:v>40467</c:v>
                </c:pt>
                <c:pt idx="1934">
                  <c:v>40468</c:v>
                </c:pt>
                <c:pt idx="1935">
                  <c:v>40469</c:v>
                </c:pt>
                <c:pt idx="1936">
                  <c:v>40470</c:v>
                </c:pt>
                <c:pt idx="1937">
                  <c:v>40471</c:v>
                </c:pt>
                <c:pt idx="1938">
                  <c:v>40472</c:v>
                </c:pt>
                <c:pt idx="1939">
                  <c:v>40473</c:v>
                </c:pt>
                <c:pt idx="1940">
                  <c:v>40474</c:v>
                </c:pt>
                <c:pt idx="1941">
                  <c:v>40475</c:v>
                </c:pt>
                <c:pt idx="1942">
                  <c:v>40476</c:v>
                </c:pt>
                <c:pt idx="1943">
                  <c:v>40477</c:v>
                </c:pt>
                <c:pt idx="1944">
                  <c:v>40478</c:v>
                </c:pt>
                <c:pt idx="1945">
                  <c:v>40479</c:v>
                </c:pt>
                <c:pt idx="1946">
                  <c:v>40480</c:v>
                </c:pt>
                <c:pt idx="1947">
                  <c:v>40481</c:v>
                </c:pt>
                <c:pt idx="1948">
                  <c:v>40482</c:v>
                </c:pt>
                <c:pt idx="1949">
                  <c:v>40483</c:v>
                </c:pt>
                <c:pt idx="1950">
                  <c:v>40484</c:v>
                </c:pt>
                <c:pt idx="1951">
                  <c:v>40485</c:v>
                </c:pt>
                <c:pt idx="1952">
                  <c:v>40486</c:v>
                </c:pt>
                <c:pt idx="1953">
                  <c:v>40487</c:v>
                </c:pt>
                <c:pt idx="1954">
                  <c:v>40488</c:v>
                </c:pt>
                <c:pt idx="1955">
                  <c:v>40489</c:v>
                </c:pt>
                <c:pt idx="1956">
                  <c:v>40490</c:v>
                </c:pt>
                <c:pt idx="1957">
                  <c:v>40491</c:v>
                </c:pt>
                <c:pt idx="1958">
                  <c:v>40492</c:v>
                </c:pt>
                <c:pt idx="1959">
                  <c:v>40493</c:v>
                </c:pt>
                <c:pt idx="1960">
                  <c:v>40494</c:v>
                </c:pt>
                <c:pt idx="1961">
                  <c:v>40495</c:v>
                </c:pt>
                <c:pt idx="1962">
                  <c:v>40496</c:v>
                </c:pt>
                <c:pt idx="1963">
                  <c:v>40497</c:v>
                </c:pt>
                <c:pt idx="1964">
                  <c:v>40498</c:v>
                </c:pt>
                <c:pt idx="1965">
                  <c:v>40499</c:v>
                </c:pt>
                <c:pt idx="1966">
                  <c:v>40500</c:v>
                </c:pt>
                <c:pt idx="1967">
                  <c:v>40501</c:v>
                </c:pt>
                <c:pt idx="1968">
                  <c:v>40502</c:v>
                </c:pt>
                <c:pt idx="1969">
                  <c:v>40503</c:v>
                </c:pt>
                <c:pt idx="1970">
                  <c:v>40504</c:v>
                </c:pt>
                <c:pt idx="1971">
                  <c:v>40505</c:v>
                </c:pt>
                <c:pt idx="1972">
                  <c:v>40506</c:v>
                </c:pt>
                <c:pt idx="1973">
                  <c:v>40507</c:v>
                </c:pt>
                <c:pt idx="1974">
                  <c:v>40508</c:v>
                </c:pt>
                <c:pt idx="1975">
                  <c:v>40509</c:v>
                </c:pt>
                <c:pt idx="1976">
                  <c:v>40510</c:v>
                </c:pt>
                <c:pt idx="1977">
                  <c:v>40511</c:v>
                </c:pt>
                <c:pt idx="1978">
                  <c:v>40512</c:v>
                </c:pt>
                <c:pt idx="1979">
                  <c:v>40513</c:v>
                </c:pt>
                <c:pt idx="1980">
                  <c:v>40514</c:v>
                </c:pt>
                <c:pt idx="1981">
                  <c:v>40515</c:v>
                </c:pt>
                <c:pt idx="1982">
                  <c:v>40516</c:v>
                </c:pt>
                <c:pt idx="1983">
                  <c:v>40517</c:v>
                </c:pt>
                <c:pt idx="1984">
                  <c:v>40518</c:v>
                </c:pt>
                <c:pt idx="1985">
                  <c:v>40519</c:v>
                </c:pt>
                <c:pt idx="1986">
                  <c:v>40520</c:v>
                </c:pt>
                <c:pt idx="1987">
                  <c:v>40521</c:v>
                </c:pt>
                <c:pt idx="1988">
                  <c:v>40522</c:v>
                </c:pt>
                <c:pt idx="1989">
                  <c:v>40523</c:v>
                </c:pt>
                <c:pt idx="1990">
                  <c:v>40524</c:v>
                </c:pt>
                <c:pt idx="1991">
                  <c:v>40525</c:v>
                </c:pt>
                <c:pt idx="1992">
                  <c:v>40526</c:v>
                </c:pt>
                <c:pt idx="1993">
                  <c:v>40527</c:v>
                </c:pt>
                <c:pt idx="1994">
                  <c:v>40528</c:v>
                </c:pt>
                <c:pt idx="1995">
                  <c:v>40529</c:v>
                </c:pt>
                <c:pt idx="1996">
                  <c:v>40530</c:v>
                </c:pt>
                <c:pt idx="1997">
                  <c:v>40531</c:v>
                </c:pt>
                <c:pt idx="1998">
                  <c:v>40532</c:v>
                </c:pt>
                <c:pt idx="1999">
                  <c:v>40533</c:v>
                </c:pt>
                <c:pt idx="2000">
                  <c:v>40534</c:v>
                </c:pt>
                <c:pt idx="2001">
                  <c:v>40535</c:v>
                </c:pt>
                <c:pt idx="2002">
                  <c:v>40536</c:v>
                </c:pt>
                <c:pt idx="2003">
                  <c:v>40537</c:v>
                </c:pt>
                <c:pt idx="2004">
                  <c:v>40538</c:v>
                </c:pt>
                <c:pt idx="2005">
                  <c:v>40539</c:v>
                </c:pt>
                <c:pt idx="2006">
                  <c:v>40540</c:v>
                </c:pt>
                <c:pt idx="2007">
                  <c:v>40541</c:v>
                </c:pt>
                <c:pt idx="2008">
                  <c:v>40542</c:v>
                </c:pt>
                <c:pt idx="2009">
                  <c:v>40543</c:v>
                </c:pt>
                <c:pt idx="2010">
                  <c:v>40544</c:v>
                </c:pt>
                <c:pt idx="2011">
                  <c:v>40545</c:v>
                </c:pt>
                <c:pt idx="2012">
                  <c:v>40546</c:v>
                </c:pt>
                <c:pt idx="2013">
                  <c:v>40547</c:v>
                </c:pt>
                <c:pt idx="2014">
                  <c:v>40548</c:v>
                </c:pt>
                <c:pt idx="2015">
                  <c:v>40549</c:v>
                </c:pt>
                <c:pt idx="2016">
                  <c:v>40550</c:v>
                </c:pt>
                <c:pt idx="2017">
                  <c:v>40551</c:v>
                </c:pt>
                <c:pt idx="2018">
                  <c:v>40552</c:v>
                </c:pt>
                <c:pt idx="2019">
                  <c:v>40553</c:v>
                </c:pt>
                <c:pt idx="2020">
                  <c:v>40554</c:v>
                </c:pt>
                <c:pt idx="2021">
                  <c:v>40555</c:v>
                </c:pt>
                <c:pt idx="2022">
                  <c:v>40556</c:v>
                </c:pt>
                <c:pt idx="2023">
                  <c:v>40557</c:v>
                </c:pt>
                <c:pt idx="2024">
                  <c:v>40558</c:v>
                </c:pt>
                <c:pt idx="2025">
                  <c:v>40559</c:v>
                </c:pt>
                <c:pt idx="2026">
                  <c:v>40560</c:v>
                </c:pt>
                <c:pt idx="2027">
                  <c:v>40561</c:v>
                </c:pt>
                <c:pt idx="2028">
                  <c:v>40562</c:v>
                </c:pt>
                <c:pt idx="2029">
                  <c:v>40563</c:v>
                </c:pt>
                <c:pt idx="2030">
                  <c:v>40564</c:v>
                </c:pt>
                <c:pt idx="2031">
                  <c:v>40565</c:v>
                </c:pt>
                <c:pt idx="2032">
                  <c:v>40566</c:v>
                </c:pt>
                <c:pt idx="2033">
                  <c:v>40567</c:v>
                </c:pt>
                <c:pt idx="2034">
                  <c:v>40568</c:v>
                </c:pt>
                <c:pt idx="2035">
                  <c:v>40569</c:v>
                </c:pt>
                <c:pt idx="2036">
                  <c:v>40570</c:v>
                </c:pt>
                <c:pt idx="2037">
                  <c:v>40571</c:v>
                </c:pt>
                <c:pt idx="2038">
                  <c:v>40572</c:v>
                </c:pt>
                <c:pt idx="2039">
                  <c:v>40573</c:v>
                </c:pt>
                <c:pt idx="2040">
                  <c:v>40574</c:v>
                </c:pt>
                <c:pt idx="2041">
                  <c:v>40575</c:v>
                </c:pt>
                <c:pt idx="2042">
                  <c:v>40576</c:v>
                </c:pt>
                <c:pt idx="2043">
                  <c:v>40577</c:v>
                </c:pt>
                <c:pt idx="2044">
                  <c:v>40578</c:v>
                </c:pt>
                <c:pt idx="2045">
                  <c:v>40579</c:v>
                </c:pt>
                <c:pt idx="2046">
                  <c:v>40580</c:v>
                </c:pt>
                <c:pt idx="2047">
                  <c:v>40581</c:v>
                </c:pt>
                <c:pt idx="2048">
                  <c:v>40582</c:v>
                </c:pt>
                <c:pt idx="2049">
                  <c:v>40583</c:v>
                </c:pt>
                <c:pt idx="2050">
                  <c:v>40584</c:v>
                </c:pt>
                <c:pt idx="2051">
                  <c:v>40585</c:v>
                </c:pt>
                <c:pt idx="2052">
                  <c:v>40586</c:v>
                </c:pt>
                <c:pt idx="2053">
                  <c:v>40587</c:v>
                </c:pt>
                <c:pt idx="2054">
                  <c:v>40588</c:v>
                </c:pt>
                <c:pt idx="2055">
                  <c:v>40589</c:v>
                </c:pt>
                <c:pt idx="2056">
                  <c:v>40590</c:v>
                </c:pt>
                <c:pt idx="2057">
                  <c:v>40591</c:v>
                </c:pt>
                <c:pt idx="2058">
                  <c:v>40592</c:v>
                </c:pt>
                <c:pt idx="2059">
                  <c:v>40593</c:v>
                </c:pt>
                <c:pt idx="2060">
                  <c:v>40594</c:v>
                </c:pt>
                <c:pt idx="2061">
                  <c:v>40595</c:v>
                </c:pt>
                <c:pt idx="2062">
                  <c:v>40596</c:v>
                </c:pt>
                <c:pt idx="2063">
                  <c:v>40597</c:v>
                </c:pt>
                <c:pt idx="2064">
                  <c:v>40598</c:v>
                </c:pt>
                <c:pt idx="2065">
                  <c:v>40599</c:v>
                </c:pt>
                <c:pt idx="2066">
                  <c:v>40600</c:v>
                </c:pt>
                <c:pt idx="2067">
                  <c:v>40601</c:v>
                </c:pt>
                <c:pt idx="2068">
                  <c:v>40602</c:v>
                </c:pt>
                <c:pt idx="2069">
                  <c:v>40603</c:v>
                </c:pt>
                <c:pt idx="2070">
                  <c:v>40604</c:v>
                </c:pt>
                <c:pt idx="2071">
                  <c:v>40605</c:v>
                </c:pt>
                <c:pt idx="2072">
                  <c:v>40606</c:v>
                </c:pt>
                <c:pt idx="2073">
                  <c:v>40607</c:v>
                </c:pt>
                <c:pt idx="2074">
                  <c:v>40608</c:v>
                </c:pt>
                <c:pt idx="2075">
                  <c:v>40609</c:v>
                </c:pt>
                <c:pt idx="2076">
                  <c:v>40610</c:v>
                </c:pt>
                <c:pt idx="2077">
                  <c:v>40611</c:v>
                </c:pt>
                <c:pt idx="2078">
                  <c:v>40612</c:v>
                </c:pt>
                <c:pt idx="2079">
                  <c:v>40613</c:v>
                </c:pt>
                <c:pt idx="2080">
                  <c:v>40614</c:v>
                </c:pt>
                <c:pt idx="2081">
                  <c:v>40615</c:v>
                </c:pt>
                <c:pt idx="2082">
                  <c:v>40616</c:v>
                </c:pt>
                <c:pt idx="2083">
                  <c:v>40617</c:v>
                </c:pt>
                <c:pt idx="2084">
                  <c:v>40618</c:v>
                </c:pt>
                <c:pt idx="2085">
                  <c:v>40619</c:v>
                </c:pt>
                <c:pt idx="2086">
                  <c:v>40620</c:v>
                </c:pt>
                <c:pt idx="2087">
                  <c:v>40621</c:v>
                </c:pt>
                <c:pt idx="2088">
                  <c:v>40622</c:v>
                </c:pt>
                <c:pt idx="2089">
                  <c:v>40623</c:v>
                </c:pt>
                <c:pt idx="2090">
                  <c:v>40624</c:v>
                </c:pt>
                <c:pt idx="2091">
                  <c:v>40625</c:v>
                </c:pt>
                <c:pt idx="2092">
                  <c:v>40626</c:v>
                </c:pt>
                <c:pt idx="2093">
                  <c:v>40627</c:v>
                </c:pt>
                <c:pt idx="2094">
                  <c:v>40628</c:v>
                </c:pt>
                <c:pt idx="2095">
                  <c:v>40629</c:v>
                </c:pt>
                <c:pt idx="2096">
                  <c:v>40630</c:v>
                </c:pt>
                <c:pt idx="2097">
                  <c:v>40631</c:v>
                </c:pt>
                <c:pt idx="2098">
                  <c:v>40632</c:v>
                </c:pt>
                <c:pt idx="2099">
                  <c:v>40633</c:v>
                </c:pt>
                <c:pt idx="2100">
                  <c:v>40634</c:v>
                </c:pt>
                <c:pt idx="2101">
                  <c:v>40635</c:v>
                </c:pt>
                <c:pt idx="2102">
                  <c:v>40636</c:v>
                </c:pt>
                <c:pt idx="2103">
                  <c:v>40637</c:v>
                </c:pt>
                <c:pt idx="2104">
                  <c:v>40638</c:v>
                </c:pt>
                <c:pt idx="2105">
                  <c:v>40639</c:v>
                </c:pt>
                <c:pt idx="2106">
                  <c:v>40640</c:v>
                </c:pt>
                <c:pt idx="2107">
                  <c:v>40641</c:v>
                </c:pt>
                <c:pt idx="2108">
                  <c:v>40642</c:v>
                </c:pt>
                <c:pt idx="2109">
                  <c:v>40643</c:v>
                </c:pt>
                <c:pt idx="2110">
                  <c:v>40644</c:v>
                </c:pt>
                <c:pt idx="2111">
                  <c:v>40645</c:v>
                </c:pt>
                <c:pt idx="2112">
                  <c:v>40646</c:v>
                </c:pt>
                <c:pt idx="2113">
                  <c:v>40647</c:v>
                </c:pt>
                <c:pt idx="2114">
                  <c:v>40648</c:v>
                </c:pt>
                <c:pt idx="2115">
                  <c:v>40649</c:v>
                </c:pt>
                <c:pt idx="2116">
                  <c:v>40650</c:v>
                </c:pt>
                <c:pt idx="2117">
                  <c:v>40651</c:v>
                </c:pt>
                <c:pt idx="2118">
                  <c:v>40652</c:v>
                </c:pt>
                <c:pt idx="2119">
                  <c:v>40653</c:v>
                </c:pt>
                <c:pt idx="2120">
                  <c:v>40654</c:v>
                </c:pt>
                <c:pt idx="2121">
                  <c:v>40655</c:v>
                </c:pt>
                <c:pt idx="2122">
                  <c:v>40656</c:v>
                </c:pt>
                <c:pt idx="2123">
                  <c:v>40657</c:v>
                </c:pt>
                <c:pt idx="2124">
                  <c:v>40658</c:v>
                </c:pt>
                <c:pt idx="2125">
                  <c:v>40659</c:v>
                </c:pt>
                <c:pt idx="2126">
                  <c:v>40660</c:v>
                </c:pt>
                <c:pt idx="2127">
                  <c:v>40661</c:v>
                </c:pt>
                <c:pt idx="2128">
                  <c:v>40662</c:v>
                </c:pt>
                <c:pt idx="2129">
                  <c:v>40663</c:v>
                </c:pt>
                <c:pt idx="2130">
                  <c:v>40664</c:v>
                </c:pt>
                <c:pt idx="2131">
                  <c:v>40665</c:v>
                </c:pt>
                <c:pt idx="2132">
                  <c:v>40666</c:v>
                </c:pt>
                <c:pt idx="2133">
                  <c:v>40667</c:v>
                </c:pt>
                <c:pt idx="2134">
                  <c:v>40668</c:v>
                </c:pt>
                <c:pt idx="2135">
                  <c:v>40669</c:v>
                </c:pt>
                <c:pt idx="2136">
                  <c:v>40670</c:v>
                </c:pt>
                <c:pt idx="2137">
                  <c:v>40671</c:v>
                </c:pt>
                <c:pt idx="2138">
                  <c:v>40672</c:v>
                </c:pt>
                <c:pt idx="2139">
                  <c:v>40673</c:v>
                </c:pt>
                <c:pt idx="2140">
                  <c:v>40674</c:v>
                </c:pt>
                <c:pt idx="2141">
                  <c:v>40675</c:v>
                </c:pt>
                <c:pt idx="2142">
                  <c:v>40676</c:v>
                </c:pt>
                <c:pt idx="2143">
                  <c:v>40677</c:v>
                </c:pt>
                <c:pt idx="2144">
                  <c:v>40678</c:v>
                </c:pt>
                <c:pt idx="2145">
                  <c:v>40679</c:v>
                </c:pt>
                <c:pt idx="2146">
                  <c:v>40680</c:v>
                </c:pt>
                <c:pt idx="2147">
                  <c:v>40681</c:v>
                </c:pt>
                <c:pt idx="2148">
                  <c:v>40682</c:v>
                </c:pt>
                <c:pt idx="2149">
                  <c:v>40683</c:v>
                </c:pt>
                <c:pt idx="2150">
                  <c:v>40684</c:v>
                </c:pt>
                <c:pt idx="2151">
                  <c:v>40685</c:v>
                </c:pt>
                <c:pt idx="2152">
                  <c:v>40686</c:v>
                </c:pt>
                <c:pt idx="2153">
                  <c:v>40687</c:v>
                </c:pt>
                <c:pt idx="2154">
                  <c:v>40688</c:v>
                </c:pt>
                <c:pt idx="2155">
                  <c:v>40689</c:v>
                </c:pt>
                <c:pt idx="2156">
                  <c:v>40690</c:v>
                </c:pt>
                <c:pt idx="2157">
                  <c:v>40691</c:v>
                </c:pt>
                <c:pt idx="2158">
                  <c:v>40692</c:v>
                </c:pt>
                <c:pt idx="2159">
                  <c:v>40693</c:v>
                </c:pt>
                <c:pt idx="2160">
                  <c:v>40694</c:v>
                </c:pt>
                <c:pt idx="2161">
                  <c:v>40695</c:v>
                </c:pt>
                <c:pt idx="2162">
                  <c:v>40696</c:v>
                </c:pt>
                <c:pt idx="2163">
                  <c:v>40697</c:v>
                </c:pt>
                <c:pt idx="2164">
                  <c:v>40698</c:v>
                </c:pt>
                <c:pt idx="2165">
                  <c:v>40699</c:v>
                </c:pt>
                <c:pt idx="2166">
                  <c:v>40700</c:v>
                </c:pt>
                <c:pt idx="2167">
                  <c:v>40701</c:v>
                </c:pt>
                <c:pt idx="2168">
                  <c:v>40702</c:v>
                </c:pt>
                <c:pt idx="2169">
                  <c:v>40703</c:v>
                </c:pt>
                <c:pt idx="2170">
                  <c:v>40704</c:v>
                </c:pt>
                <c:pt idx="2171">
                  <c:v>40705</c:v>
                </c:pt>
                <c:pt idx="2172">
                  <c:v>40706</c:v>
                </c:pt>
                <c:pt idx="2173">
                  <c:v>40707</c:v>
                </c:pt>
                <c:pt idx="2174">
                  <c:v>40708</c:v>
                </c:pt>
                <c:pt idx="2175">
                  <c:v>40709</c:v>
                </c:pt>
                <c:pt idx="2176">
                  <c:v>40710</c:v>
                </c:pt>
                <c:pt idx="2177">
                  <c:v>40711</c:v>
                </c:pt>
                <c:pt idx="2178">
                  <c:v>40712</c:v>
                </c:pt>
                <c:pt idx="2179">
                  <c:v>40713</c:v>
                </c:pt>
                <c:pt idx="2180">
                  <c:v>40714</c:v>
                </c:pt>
                <c:pt idx="2181">
                  <c:v>40715</c:v>
                </c:pt>
                <c:pt idx="2182">
                  <c:v>40716</c:v>
                </c:pt>
                <c:pt idx="2183">
                  <c:v>40717</c:v>
                </c:pt>
                <c:pt idx="2184">
                  <c:v>40718</c:v>
                </c:pt>
                <c:pt idx="2185">
                  <c:v>40719</c:v>
                </c:pt>
                <c:pt idx="2186">
                  <c:v>40720</c:v>
                </c:pt>
                <c:pt idx="2187">
                  <c:v>40721</c:v>
                </c:pt>
                <c:pt idx="2188">
                  <c:v>40722</c:v>
                </c:pt>
                <c:pt idx="2189">
                  <c:v>40723</c:v>
                </c:pt>
                <c:pt idx="2190">
                  <c:v>40724</c:v>
                </c:pt>
                <c:pt idx="2191">
                  <c:v>40725</c:v>
                </c:pt>
                <c:pt idx="2192">
                  <c:v>40726</c:v>
                </c:pt>
                <c:pt idx="2193">
                  <c:v>40727</c:v>
                </c:pt>
                <c:pt idx="2194">
                  <c:v>40728</c:v>
                </c:pt>
                <c:pt idx="2195">
                  <c:v>40729</c:v>
                </c:pt>
                <c:pt idx="2196">
                  <c:v>40730</c:v>
                </c:pt>
                <c:pt idx="2197">
                  <c:v>40731</c:v>
                </c:pt>
                <c:pt idx="2198">
                  <c:v>40732</c:v>
                </c:pt>
                <c:pt idx="2199">
                  <c:v>40733</c:v>
                </c:pt>
                <c:pt idx="2200">
                  <c:v>40734</c:v>
                </c:pt>
                <c:pt idx="2201">
                  <c:v>40735</c:v>
                </c:pt>
                <c:pt idx="2202">
                  <c:v>40736</c:v>
                </c:pt>
                <c:pt idx="2203">
                  <c:v>40737</c:v>
                </c:pt>
                <c:pt idx="2204">
                  <c:v>40738</c:v>
                </c:pt>
                <c:pt idx="2205">
                  <c:v>40739</c:v>
                </c:pt>
                <c:pt idx="2206">
                  <c:v>40740</c:v>
                </c:pt>
                <c:pt idx="2207">
                  <c:v>40741</c:v>
                </c:pt>
                <c:pt idx="2208">
                  <c:v>40742</c:v>
                </c:pt>
                <c:pt idx="2209">
                  <c:v>40743</c:v>
                </c:pt>
                <c:pt idx="2210">
                  <c:v>40744</c:v>
                </c:pt>
                <c:pt idx="2211">
                  <c:v>40745</c:v>
                </c:pt>
                <c:pt idx="2212">
                  <c:v>40746</c:v>
                </c:pt>
                <c:pt idx="2213">
                  <c:v>40747</c:v>
                </c:pt>
                <c:pt idx="2214">
                  <c:v>40748</c:v>
                </c:pt>
                <c:pt idx="2215">
                  <c:v>40749</c:v>
                </c:pt>
                <c:pt idx="2216">
                  <c:v>40750</c:v>
                </c:pt>
                <c:pt idx="2217">
                  <c:v>40751</c:v>
                </c:pt>
                <c:pt idx="2218">
                  <c:v>40752</c:v>
                </c:pt>
                <c:pt idx="2219">
                  <c:v>40753</c:v>
                </c:pt>
                <c:pt idx="2220">
                  <c:v>40754</c:v>
                </c:pt>
                <c:pt idx="2221">
                  <c:v>40755</c:v>
                </c:pt>
                <c:pt idx="2222">
                  <c:v>40756</c:v>
                </c:pt>
                <c:pt idx="2223">
                  <c:v>40757</c:v>
                </c:pt>
                <c:pt idx="2224">
                  <c:v>40758</c:v>
                </c:pt>
                <c:pt idx="2225">
                  <c:v>40759</c:v>
                </c:pt>
                <c:pt idx="2226">
                  <c:v>40760</c:v>
                </c:pt>
                <c:pt idx="2227">
                  <c:v>40761</c:v>
                </c:pt>
                <c:pt idx="2228">
                  <c:v>40762</c:v>
                </c:pt>
                <c:pt idx="2229">
                  <c:v>40763</c:v>
                </c:pt>
                <c:pt idx="2230">
                  <c:v>40764</c:v>
                </c:pt>
                <c:pt idx="2231">
                  <c:v>40765</c:v>
                </c:pt>
                <c:pt idx="2232">
                  <c:v>40766</c:v>
                </c:pt>
                <c:pt idx="2233">
                  <c:v>40767</c:v>
                </c:pt>
                <c:pt idx="2234">
                  <c:v>40768</c:v>
                </c:pt>
                <c:pt idx="2235">
                  <c:v>40769</c:v>
                </c:pt>
                <c:pt idx="2236">
                  <c:v>40770</c:v>
                </c:pt>
                <c:pt idx="2237">
                  <c:v>40771</c:v>
                </c:pt>
                <c:pt idx="2238">
                  <c:v>40772</c:v>
                </c:pt>
                <c:pt idx="2239">
                  <c:v>40773</c:v>
                </c:pt>
                <c:pt idx="2240">
                  <c:v>40774</c:v>
                </c:pt>
                <c:pt idx="2241">
                  <c:v>40775</c:v>
                </c:pt>
                <c:pt idx="2242">
                  <c:v>40776</c:v>
                </c:pt>
                <c:pt idx="2243">
                  <c:v>40777</c:v>
                </c:pt>
                <c:pt idx="2244">
                  <c:v>40778</c:v>
                </c:pt>
                <c:pt idx="2245">
                  <c:v>40779</c:v>
                </c:pt>
                <c:pt idx="2246">
                  <c:v>40780</c:v>
                </c:pt>
                <c:pt idx="2247">
                  <c:v>40781</c:v>
                </c:pt>
                <c:pt idx="2248">
                  <c:v>40782</c:v>
                </c:pt>
                <c:pt idx="2249">
                  <c:v>40783</c:v>
                </c:pt>
                <c:pt idx="2250">
                  <c:v>40784</c:v>
                </c:pt>
                <c:pt idx="2251">
                  <c:v>40785</c:v>
                </c:pt>
                <c:pt idx="2252">
                  <c:v>40786</c:v>
                </c:pt>
                <c:pt idx="2253">
                  <c:v>40787</c:v>
                </c:pt>
                <c:pt idx="2254">
                  <c:v>40788</c:v>
                </c:pt>
                <c:pt idx="2255">
                  <c:v>40789</c:v>
                </c:pt>
                <c:pt idx="2256">
                  <c:v>40790</c:v>
                </c:pt>
                <c:pt idx="2257">
                  <c:v>40791</c:v>
                </c:pt>
                <c:pt idx="2258">
                  <c:v>40792</c:v>
                </c:pt>
                <c:pt idx="2259">
                  <c:v>40793</c:v>
                </c:pt>
                <c:pt idx="2260">
                  <c:v>40794</c:v>
                </c:pt>
                <c:pt idx="2261">
                  <c:v>40795</c:v>
                </c:pt>
                <c:pt idx="2262">
                  <c:v>40796</c:v>
                </c:pt>
                <c:pt idx="2263">
                  <c:v>40797</c:v>
                </c:pt>
                <c:pt idx="2264">
                  <c:v>40798</c:v>
                </c:pt>
                <c:pt idx="2265">
                  <c:v>40799</c:v>
                </c:pt>
                <c:pt idx="2266">
                  <c:v>40800</c:v>
                </c:pt>
                <c:pt idx="2267">
                  <c:v>40801</c:v>
                </c:pt>
                <c:pt idx="2268">
                  <c:v>40802</c:v>
                </c:pt>
                <c:pt idx="2269">
                  <c:v>40803</c:v>
                </c:pt>
                <c:pt idx="2270">
                  <c:v>40804</c:v>
                </c:pt>
                <c:pt idx="2271">
                  <c:v>40805</c:v>
                </c:pt>
                <c:pt idx="2272">
                  <c:v>40806</c:v>
                </c:pt>
                <c:pt idx="2273">
                  <c:v>40807</c:v>
                </c:pt>
                <c:pt idx="2274">
                  <c:v>40808</c:v>
                </c:pt>
                <c:pt idx="2275">
                  <c:v>40809</c:v>
                </c:pt>
                <c:pt idx="2276">
                  <c:v>40810</c:v>
                </c:pt>
                <c:pt idx="2277">
                  <c:v>40811</c:v>
                </c:pt>
                <c:pt idx="2278">
                  <c:v>40812</c:v>
                </c:pt>
                <c:pt idx="2279">
                  <c:v>40813</c:v>
                </c:pt>
                <c:pt idx="2280">
                  <c:v>40814</c:v>
                </c:pt>
                <c:pt idx="2281">
                  <c:v>40815</c:v>
                </c:pt>
                <c:pt idx="2282">
                  <c:v>40816</c:v>
                </c:pt>
                <c:pt idx="2283">
                  <c:v>40817</c:v>
                </c:pt>
                <c:pt idx="2284">
                  <c:v>40818</c:v>
                </c:pt>
                <c:pt idx="2285">
                  <c:v>40819</c:v>
                </c:pt>
                <c:pt idx="2286">
                  <c:v>40820</c:v>
                </c:pt>
                <c:pt idx="2287">
                  <c:v>40821</c:v>
                </c:pt>
                <c:pt idx="2288">
                  <c:v>40822</c:v>
                </c:pt>
                <c:pt idx="2289">
                  <c:v>40823</c:v>
                </c:pt>
                <c:pt idx="2290">
                  <c:v>40824</c:v>
                </c:pt>
                <c:pt idx="2291">
                  <c:v>40825</c:v>
                </c:pt>
                <c:pt idx="2292">
                  <c:v>40826</c:v>
                </c:pt>
                <c:pt idx="2293">
                  <c:v>40827</c:v>
                </c:pt>
                <c:pt idx="2294">
                  <c:v>40828</c:v>
                </c:pt>
                <c:pt idx="2295">
                  <c:v>40829</c:v>
                </c:pt>
                <c:pt idx="2296">
                  <c:v>40830</c:v>
                </c:pt>
                <c:pt idx="2297">
                  <c:v>40831</c:v>
                </c:pt>
                <c:pt idx="2298">
                  <c:v>40832</c:v>
                </c:pt>
                <c:pt idx="2299">
                  <c:v>40833</c:v>
                </c:pt>
                <c:pt idx="2300">
                  <c:v>40834</c:v>
                </c:pt>
                <c:pt idx="2301">
                  <c:v>40835</c:v>
                </c:pt>
                <c:pt idx="2302">
                  <c:v>40836</c:v>
                </c:pt>
                <c:pt idx="2303">
                  <c:v>40837</c:v>
                </c:pt>
                <c:pt idx="2304">
                  <c:v>40838</c:v>
                </c:pt>
                <c:pt idx="2305">
                  <c:v>40839</c:v>
                </c:pt>
                <c:pt idx="2306">
                  <c:v>40840</c:v>
                </c:pt>
                <c:pt idx="2307">
                  <c:v>40841</c:v>
                </c:pt>
                <c:pt idx="2308">
                  <c:v>40842</c:v>
                </c:pt>
                <c:pt idx="2309">
                  <c:v>40843</c:v>
                </c:pt>
                <c:pt idx="2310">
                  <c:v>40844</c:v>
                </c:pt>
                <c:pt idx="2311">
                  <c:v>40845</c:v>
                </c:pt>
                <c:pt idx="2312">
                  <c:v>40846</c:v>
                </c:pt>
                <c:pt idx="2313">
                  <c:v>40847</c:v>
                </c:pt>
                <c:pt idx="2314">
                  <c:v>40848</c:v>
                </c:pt>
                <c:pt idx="2315">
                  <c:v>40849</c:v>
                </c:pt>
                <c:pt idx="2316">
                  <c:v>40850</c:v>
                </c:pt>
                <c:pt idx="2317">
                  <c:v>40851</c:v>
                </c:pt>
                <c:pt idx="2318">
                  <c:v>40852</c:v>
                </c:pt>
                <c:pt idx="2319">
                  <c:v>40853</c:v>
                </c:pt>
                <c:pt idx="2320">
                  <c:v>40854</c:v>
                </c:pt>
                <c:pt idx="2321">
                  <c:v>40855</c:v>
                </c:pt>
                <c:pt idx="2322">
                  <c:v>40856</c:v>
                </c:pt>
                <c:pt idx="2323">
                  <c:v>40857</c:v>
                </c:pt>
                <c:pt idx="2324">
                  <c:v>40858</c:v>
                </c:pt>
                <c:pt idx="2325">
                  <c:v>40859</c:v>
                </c:pt>
                <c:pt idx="2326">
                  <c:v>40860</c:v>
                </c:pt>
                <c:pt idx="2327">
                  <c:v>40861</c:v>
                </c:pt>
                <c:pt idx="2328">
                  <c:v>40862</c:v>
                </c:pt>
                <c:pt idx="2329">
                  <c:v>40863</c:v>
                </c:pt>
                <c:pt idx="2330">
                  <c:v>40864</c:v>
                </c:pt>
                <c:pt idx="2331">
                  <c:v>40865</c:v>
                </c:pt>
                <c:pt idx="2332">
                  <c:v>40866</c:v>
                </c:pt>
                <c:pt idx="2333">
                  <c:v>40867</c:v>
                </c:pt>
                <c:pt idx="2334">
                  <c:v>40868</c:v>
                </c:pt>
                <c:pt idx="2335">
                  <c:v>40869</c:v>
                </c:pt>
                <c:pt idx="2336">
                  <c:v>40870</c:v>
                </c:pt>
                <c:pt idx="2337">
                  <c:v>40871</c:v>
                </c:pt>
                <c:pt idx="2338">
                  <c:v>40872</c:v>
                </c:pt>
                <c:pt idx="2339">
                  <c:v>40873</c:v>
                </c:pt>
                <c:pt idx="2340">
                  <c:v>40874</c:v>
                </c:pt>
                <c:pt idx="2341">
                  <c:v>40875</c:v>
                </c:pt>
                <c:pt idx="2342">
                  <c:v>40876</c:v>
                </c:pt>
                <c:pt idx="2343">
                  <c:v>40877</c:v>
                </c:pt>
                <c:pt idx="2344">
                  <c:v>40878</c:v>
                </c:pt>
                <c:pt idx="2345">
                  <c:v>40879</c:v>
                </c:pt>
                <c:pt idx="2346">
                  <c:v>40880</c:v>
                </c:pt>
                <c:pt idx="2347">
                  <c:v>40881</c:v>
                </c:pt>
                <c:pt idx="2348">
                  <c:v>40882</c:v>
                </c:pt>
                <c:pt idx="2349">
                  <c:v>40883</c:v>
                </c:pt>
                <c:pt idx="2350">
                  <c:v>40884</c:v>
                </c:pt>
                <c:pt idx="2351">
                  <c:v>40885</c:v>
                </c:pt>
                <c:pt idx="2352">
                  <c:v>40886</c:v>
                </c:pt>
                <c:pt idx="2353">
                  <c:v>40887</c:v>
                </c:pt>
                <c:pt idx="2354">
                  <c:v>40888</c:v>
                </c:pt>
                <c:pt idx="2355">
                  <c:v>40889</c:v>
                </c:pt>
                <c:pt idx="2356">
                  <c:v>40890</c:v>
                </c:pt>
                <c:pt idx="2357">
                  <c:v>40891</c:v>
                </c:pt>
                <c:pt idx="2358">
                  <c:v>40892</c:v>
                </c:pt>
                <c:pt idx="2359">
                  <c:v>40893</c:v>
                </c:pt>
                <c:pt idx="2360">
                  <c:v>40894</c:v>
                </c:pt>
                <c:pt idx="2361">
                  <c:v>40895</c:v>
                </c:pt>
                <c:pt idx="2362">
                  <c:v>40896</c:v>
                </c:pt>
                <c:pt idx="2363">
                  <c:v>40897</c:v>
                </c:pt>
                <c:pt idx="2364">
                  <c:v>40898</c:v>
                </c:pt>
                <c:pt idx="2365">
                  <c:v>40899</c:v>
                </c:pt>
                <c:pt idx="2366">
                  <c:v>40900</c:v>
                </c:pt>
                <c:pt idx="2367">
                  <c:v>40901</c:v>
                </c:pt>
                <c:pt idx="2368">
                  <c:v>40902</c:v>
                </c:pt>
                <c:pt idx="2369">
                  <c:v>40903</c:v>
                </c:pt>
                <c:pt idx="2370">
                  <c:v>40904</c:v>
                </c:pt>
                <c:pt idx="2371">
                  <c:v>40905</c:v>
                </c:pt>
                <c:pt idx="2372">
                  <c:v>40906</c:v>
                </c:pt>
                <c:pt idx="2373">
                  <c:v>40907</c:v>
                </c:pt>
                <c:pt idx="2374">
                  <c:v>40908</c:v>
                </c:pt>
                <c:pt idx="2375">
                  <c:v>40909</c:v>
                </c:pt>
                <c:pt idx="2376">
                  <c:v>40910</c:v>
                </c:pt>
                <c:pt idx="2377">
                  <c:v>40911</c:v>
                </c:pt>
                <c:pt idx="2378">
                  <c:v>40912</c:v>
                </c:pt>
                <c:pt idx="2379">
                  <c:v>40913</c:v>
                </c:pt>
                <c:pt idx="2380">
                  <c:v>40914</c:v>
                </c:pt>
                <c:pt idx="2381">
                  <c:v>40915</c:v>
                </c:pt>
                <c:pt idx="2382">
                  <c:v>40916</c:v>
                </c:pt>
                <c:pt idx="2383">
                  <c:v>40917</c:v>
                </c:pt>
                <c:pt idx="2384">
                  <c:v>40918</c:v>
                </c:pt>
                <c:pt idx="2385">
                  <c:v>40919</c:v>
                </c:pt>
                <c:pt idx="2386">
                  <c:v>40920</c:v>
                </c:pt>
                <c:pt idx="2387">
                  <c:v>40921</c:v>
                </c:pt>
                <c:pt idx="2388">
                  <c:v>40922</c:v>
                </c:pt>
                <c:pt idx="2389">
                  <c:v>40923</c:v>
                </c:pt>
                <c:pt idx="2390">
                  <c:v>40924</c:v>
                </c:pt>
                <c:pt idx="2391">
                  <c:v>40925</c:v>
                </c:pt>
                <c:pt idx="2392">
                  <c:v>40926</c:v>
                </c:pt>
                <c:pt idx="2393">
                  <c:v>40927</c:v>
                </c:pt>
                <c:pt idx="2394">
                  <c:v>40928</c:v>
                </c:pt>
                <c:pt idx="2395">
                  <c:v>40929</c:v>
                </c:pt>
                <c:pt idx="2396">
                  <c:v>40930</c:v>
                </c:pt>
                <c:pt idx="2397">
                  <c:v>40931</c:v>
                </c:pt>
                <c:pt idx="2398">
                  <c:v>40932</c:v>
                </c:pt>
                <c:pt idx="2399">
                  <c:v>40933</c:v>
                </c:pt>
                <c:pt idx="2400">
                  <c:v>40934</c:v>
                </c:pt>
                <c:pt idx="2401">
                  <c:v>40935</c:v>
                </c:pt>
                <c:pt idx="2402">
                  <c:v>40936</c:v>
                </c:pt>
                <c:pt idx="2403">
                  <c:v>40937</c:v>
                </c:pt>
                <c:pt idx="2404">
                  <c:v>40938</c:v>
                </c:pt>
                <c:pt idx="2405">
                  <c:v>40939</c:v>
                </c:pt>
                <c:pt idx="2406">
                  <c:v>40940</c:v>
                </c:pt>
                <c:pt idx="2407">
                  <c:v>40941</c:v>
                </c:pt>
                <c:pt idx="2408">
                  <c:v>40942</c:v>
                </c:pt>
                <c:pt idx="2409">
                  <c:v>40943</c:v>
                </c:pt>
                <c:pt idx="2410">
                  <c:v>40944</c:v>
                </c:pt>
                <c:pt idx="2411">
                  <c:v>40945</c:v>
                </c:pt>
                <c:pt idx="2412">
                  <c:v>40946</c:v>
                </c:pt>
                <c:pt idx="2413">
                  <c:v>40947</c:v>
                </c:pt>
                <c:pt idx="2414">
                  <c:v>40948</c:v>
                </c:pt>
                <c:pt idx="2415">
                  <c:v>40949</c:v>
                </c:pt>
                <c:pt idx="2416">
                  <c:v>40950</c:v>
                </c:pt>
                <c:pt idx="2417">
                  <c:v>40951</c:v>
                </c:pt>
                <c:pt idx="2418">
                  <c:v>40952</c:v>
                </c:pt>
                <c:pt idx="2419">
                  <c:v>40953</c:v>
                </c:pt>
                <c:pt idx="2420">
                  <c:v>40954</c:v>
                </c:pt>
                <c:pt idx="2421">
                  <c:v>40955</c:v>
                </c:pt>
                <c:pt idx="2422">
                  <c:v>40956</c:v>
                </c:pt>
                <c:pt idx="2423">
                  <c:v>40957</c:v>
                </c:pt>
                <c:pt idx="2424">
                  <c:v>40958</c:v>
                </c:pt>
                <c:pt idx="2425">
                  <c:v>40959</c:v>
                </c:pt>
                <c:pt idx="2426">
                  <c:v>40960</c:v>
                </c:pt>
                <c:pt idx="2427">
                  <c:v>40961</c:v>
                </c:pt>
                <c:pt idx="2428">
                  <c:v>40962</c:v>
                </c:pt>
                <c:pt idx="2429">
                  <c:v>40963</c:v>
                </c:pt>
                <c:pt idx="2430">
                  <c:v>40964</c:v>
                </c:pt>
                <c:pt idx="2431">
                  <c:v>40965</c:v>
                </c:pt>
                <c:pt idx="2432">
                  <c:v>40966</c:v>
                </c:pt>
                <c:pt idx="2433">
                  <c:v>40967</c:v>
                </c:pt>
                <c:pt idx="2434">
                  <c:v>40968</c:v>
                </c:pt>
                <c:pt idx="2435">
                  <c:v>40969</c:v>
                </c:pt>
                <c:pt idx="2436">
                  <c:v>40970</c:v>
                </c:pt>
                <c:pt idx="2437">
                  <c:v>40971</c:v>
                </c:pt>
                <c:pt idx="2438">
                  <c:v>40972</c:v>
                </c:pt>
                <c:pt idx="2439">
                  <c:v>40973</c:v>
                </c:pt>
                <c:pt idx="2440">
                  <c:v>40974</c:v>
                </c:pt>
                <c:pt idx="2441">
                  <c:v>40975</c:v>
                </c:pt>
                <c:pt idx="2442">
                  <c:v>40976</c:v>
                </c:pt>
                <c:pt idx="2443">
                  <c:v>40977</c:v>
                </c:pt>
                <c:pt idx="2444">
                  <c:v>40978</c:v>
                </c:pt>
                <c:pt idx="2445">
                  <c:v>40979</c:v>
                </c:pt>
                <c:pt idx="2446">
                  <c:v>40980</c:v>
                </c:pt>
                <c:pt idx="2447">
                  <c:v>40981</c:v>
                </c:pt>
                <c:pt idx="2448">
                  <c:v>40982</c:v>
                </c:pt>
                <c:pt idx="2449">
                  <c:v>40983</c:v>
                </c:pt>
                <c:pt idx="2450">
                  <c:v>40984</c:v>
                </c:pt>
                <c:pt idx="2451">
                  <c:v>40985</c:v>
                </c:pt>
                <c:pt idx="2452">
                  <c:v>40986</c:v>
                </c:pt>
                <c:pt idx="2453">
                  <c:v>40987</c:v>
                </c:pt>
                <c:pt idx="2454">
                  <c:v>40988</c:v>
                </c:pt>
                <c:pt idx="2455">
                  <c:v>40989</c:v>
                </c:pt>
                <c:pt idx="2456">
                  <c:v>40990</c:v>
                </c:pt>
                <c:pt idx="2457">
                  <c:v>40991</c:v>
                </c:pt>
                <c:pt idx="2458">
                  <c:v>40992</c:v>
                </c:pt>
                <c:pt idx="2459">
                  <c:v>40993</c:v>
                </c:pt>
                <c:pt idx="2460">
                  <c:v>40994</c:v>
                </c:pt>
                <c:pt idx="2461">
                  <c:v>40995</c:v>
                </c:pt>
                <c:pt idx="2462">
                  <c:v>40996</c:v>
                </c:pt>
                <c:pt idx="2463">
                  <c:v>40997</c:v>
                </c:pt>
                <c:pt idx="2464">
                  <c:v>40998</c:v>
                </c:pt>
                <c:pt idx="2465">
                  <c:v>40999</c:v>
                </c:pt>
                <c:pt idx="2466">
                  <c:v>41000</c:v>
                </c:pt>
                <c:pt idx="2467">
                  <c:v>41001</c:v>
                </c:pt>
                <c:pt idx="2468">
                  <c:v>41002</c:v>
                </c:pt>
                <c:pt idx="2469">
                  <c:v>41003</c:v>
                </c:pt>
                <c:pt idx="2470">
                  <c:v>41004</c:v>
                </c:pt>
                <c:pt idx="2471">
                  <c:v>41005</c:v>
                </c:pt>
                <c:pt idx="2472">
                  <c:v>41006</c:v>
                </c:pt>
                <c:pt idx="2473">
                  <c:v>41007</c:v>
                </c:pt>
                <c:pt idx="2474">
                  <c:v>41008</c:v>
                </c:pt>
                <c:pt idx="2475">
                  <c:v>41009</c:v>
                </c:pt>
                <c:pt idx="2476">
                  <c:v>41010</c:v>
                </c:pt>
                <c:pt idx="2477">
                  <c:v>41011</c:v>
                </c:pt>
                <c:pt idx="2478">
                  <c:v>41012</c:v>
                </c:pt>
                <c:pt idx="2479">
                  <c:v>41013</c:v>
                </c:pt>
                <c:pt idx="2480">
                  <c:v>41014</c:v>
                </c:pt>
                <c:pt idx="2481">
                  <c:v>41015</c:v>
                </c:pt>
                <c:pt idx="2482">
                  <c:v>41016</c:v>
                </c:pt>
                <c:pt idx="2483">
                  <c:v>41017</c:v>
                </c:pt>
                <c:pt idx="2484">
                  <c:v>41018</c:v>
                </c:pt>
                <c:pt idx="2485">
                  <c:v>41019</c:v>
                </c:pt>
                <c:pt idx="2486">
                  <c:v>41020</c:v>
                </c:pt>
                <c:pt idx="2487">
                  <c:v>41021</c:v>
                </c:pt>
                <c:pt idx="2488">
                  <c:v>41022</c:v>
                </c:pt>
                <c:pt idx="2489">
                  <c:v>41023</c:v>
                </c:pt>
                <c:pt idx="2490">
                  <c:v>41024</c:v>
                </c:pt>
                <c:pt idx="2491">
                  <c:v>41025</c:v>
                </c:pt>
                <c:pt idx="2492">
                  <c:v>41026</c:v>
                </c:pt>
                <c:pt idx="2493">
                  <c:v>41027</c:v>
                </c:pt>
                <c:pt idx="2494">
                  <c:v>41028</c:v>
                </c:pt>
                <c:pt idx="2495">
                  <c:v>41029</c:v>
                </c:pt>
                <c:pt idx="2496">
                  <c:v>41030</c:v>
                </c:pt>
                <c:pt idx="2497">
                  <c:v>41031</c:v>
                </c:pt>
                <c:pt idx="2498">
                  <c:v>41032</c:v>
                </c:pt>
                <c:pt idx="2499">
                  <c:v>41033</c:v>
                </c:pt>
                <c:pt idx="2500">
                  <c:v>41034</c:v>
                </c:pt>
                <c:pt idx="2501">
                  <c:v>41035</c:v>
                </c:pt>
                <c:pt idx="2502">
                  <c:v>41036</c:v>
                </c:pt>
                <c:pt idx="2503">
                  <c:v>41037</c:v>
                </c:pt>
                <c:pt idx="2504">
                  <c:v>41038</c:v>
                </c:pt>
                <c:pt idx="2505">
                  <c:v>41039</c:v>
                </c:pt>
                <c:pt idx="2506">
                  <c:v>41040</c:v>
                </c:pt>
                <c:pt idx="2507">
                  <c:v>41041</c:v>
                </c:pt>
                <c:pt idx="2508">
                  <c:v>41042</c:v>
                </c:pt>
                <c:pt idx="2509">
                  <c:v>41043</c:v>
                </c:pt>
                <c:pt idx="2510">
                  <c:v>41044</c:v>
                </c:pt>
                <c:pt idx="2511">
                  <c:v>41045</c:v>
                </c:pt>
                <c:pt idx="2512">
                  <c:v>41046</c:v>
                </c:pt>
                <c:pt idx="2513">
                  <c:v>41047</c:v>
                </c:pt>
                <c:pt idx="2514">
                  <c:v>41048</c:v>
                </c:pt>
                <c:pt idx="2515">
                  <c:v>41049</c:v>
                </c:pt>
                <c:pt idx="2516">
                  <c:v>41050</c:v>
                </c:pt>
                <c:pt idx="2517">
                  <c:v>41051</c:v>
                </c:pt>
                <c:pt idx="2518">
                  <c:v>41052</c:v>
                </c:pt>
                <c:pt idx="2519">
                  <c:v>41053</c:v>
                </c:pt>
                <c:pt idx="2520">
                  <c:v>41054</c:v>
                </c:pt>
                <c:pt idx="2521">
                  <c:v>41055</c:v>
                </c:pt>
                <c:pt idx="2522">
                  <c:v>41056</c:v>
                </c:pt>
                <c:pt idx="2523">
                  <c:v>41057</c:v>
                </c:pt>
                <c:pt idx="2524">
                  <c:v>41058</c:v>
                </c:pt>
                <c:pt idx="2525">
                  <c:v>41059</c:v>
                </c:pt>
                <c:pt idx="2526">
                  <c:v>41060</c:v>
                </c:pt>
                <c:pt idx="2527">
                  <c:v>41061</c:v>
                </c:pt>
                <c:pt idx="2528">
                  <c:v>41062</c:v>
                </c:pt>
                <c:pt idx="2529">
                  <c:v>41063</c:v>
                </c:pt>
                <c:pt idx="2530">
                  <c:v>41064</c:v>
                </c:pt>
                <c:pt idx="2531">
                  <c:v>41065</c:v>
                </c:pt>
                <c:pt idx="2532">
                  <c:v>41066</c:v>
                </c:pt>
                <c:pt idx="2533">
                  <c:v>41067</c:v>
                </c:pt>
                <c:pt idx="2534">
                  <c:v>41068</c:v>
                </c:pt>
                <c:pt idx="2535">
                  <c:v>41069</c:v>
                </c:pt>
                <c:pt idx="2536">
                  <c:v>41070</c:v>
                </c:pt>
                <c:pt idx="2537">
                  <c:v>41071</c:v>
                </c:pt>
                <c:pt idx="2538">
                  <c:v>41072</c:v>
                </c:pt>
                <c:pt idx="2539">
                  <c:v>41073</c:v>
                </c:pt>
                <c:pt idx="2540">
                  <c:v>41074</c:v>
                </c:pt>
                <c:pt idx="2541">
                  <c:v>41075</c:v>
                </c:pt>
                <c:pt idx="2542">
                  <c:v>41076</c:v>
                </c:pt>
                <c:pt idx="2543">
                  <c:v>41077</c:v>
                </c:pt>
                <c:pt idx="2544">
                  <c:v>41078</c:v>
                </c:pt>
                <c:pt idx="2545">
                  <c:v>41079</c:v>
                </c:pt>
                <c:pt idx="2546">
                  <c:v>41080</c:v>
                </c:pt>
                <c:pt idx="2547">
                  <c:v>41081</c:v>
                </c:pt>
                <c:pt idx="2548">
                  <c:v>41082</c:v>
                </c:pt>
                <c:pt idx="2549">
                  <c:v>41083</c:v>
                </c:pt>
                <c:pt idx="2550">
                  <c:v>41084</c:v>
                </c:pt>
                <c:pt idx="2551">
                  <c:v>41085</c:v>
                </c:pt>
                <c:pt idx="2552">
                  <c:v>41086</c:v>
                </c:pt>
                <c:pt idx="2553">
                  <c:v>41087</c:v>
                </c:pt>
                <c:pt idx="2554">
                  <c:v>41088</c:v>
                </c:pt>
                <c:pt idx="2555">
                  <c:v>41089</c:v>
                </c:pt>
                <c:pt idx="2556">
                  <c:v>41090</c:v>
                </c:pt>
                <c:pt idx="2557">
                  <c:v>41091</c:v>
                </c:pt>
                <c:pt idx="2558">
                  <c:v>41092</c:v>
                </c:pt>
                <c:pt idx="2559">
                  <c:v>41093</c:v>
                </c:pt>
                <c:pt idx="2560">
                  <c:v>41094</c:v>
                </c:pt>
                <c:pt idx="2561">
                  <c:v>41095</c:v>
                </c:pt>
                <c:pt idx="2562">
                  <c:v>41096</c:v>
                </c:pt>
                <c:pt idx="2563">
                  <c:v>41097</c:v>
                </c:pt>
                <c:pt idx="2564">
                  <c:v>41098</c:v>
                </c:pt>
                <c:pt idx="2565">
                  <c:v>41099</c:v>
                </c:pt>
                <c:pt idx="2566">
                  <c:v>41100</c:v>
                </c:pt>
                <c:pt idx="2567">
                  <c:v>41101</c:v>
                </c:pt>
                <c:pt idx="2568">
                  <c:v>41102</c:v>
                </c:pt>
                <c:pt idx="2569">
                  <c:v>41103</c:v>
                </c:pt>
                <c:pt idx="2570">
                  <c:v>41104</c:v>
                </c:pt>
                <c:pt idx="2571">
                  <c:v>41105</c:v>
                </c:pt>
                <c:pt idx="2572">
                  <c:v>41106</c:v>
                </c:pt>
                <c:pt idx="2573">
                  <c:v>41107</c:v>
                </c:pt>
                <c:pt idx="2574">
                  <c:v>41108</c:v>
                </c:pt>
                <c:pt idx="2575">
                  <c:v>41109</c:v>
                </c:pt>
                <c:pt idx="2576">
                  <c:v>41110</c:v>
                </c:pt>
                <c:pt idx="2577">
                  <c:v>41111</c:v>
                </c:pt>
                <c:pt idx="2578">
                  <c:v>41112</c:v>
                </c:pt>
                <c:pt idx="2579">
                  <c:v>41113</c:v>
                </c:pt>
                <c:pt idx="2580">
                  <c:v>41114</c:v>
                </c:pt>
                <c:pt idx="2581">
                  <c:v>41115</c:v>
                </c:pt>
                <c:pt idx="2582">
                  <c:v>41116</c:v>
                </c:pt>
                <c:pt idx="2583">
                  <c:v>41117</c:v>
                </c:pt>
                <c:pt idx="2584">
                  <c:v>41118</c:v>
                </c:pt>
                <c:pt idx="2585">
                  <c:v>41119</c:v>
                </c:pt>
                <c:pt idx="2586">
                  <c:v>41120</c:v>
                </c:pt>
                <c:pt idx="2587">
                  <c:v>41121</c:v>
                </c:pt>
                <c:pt idx="2588">
                  <c:v>41122</c:v>
                </c:pt>
                <c:pt idx="2589">
                  <c:v>41123</c:v>
                </c:pt>
                <c:pt idx="2590">
                  <c:v>41124</c:v>
                </c:pt>
                <c:pt idx="2591">
                  <c:v>41125</c:v>
                </c:pt>
                <c:pt idx="2592">
                  <c:v>41126</c:v>
                </c:pt>
                <c:pt idx="2593">
                  <c:v>41127</c:v>
                </c:pt>
                <c:pt idx="2594">
                  <c:v>41128</c:v>
                </c:pt>
                <c:pt idx="2595">
                  <c:v>41129</c:v>
                </c:pt>
                <c:pt idx="2596">
                  <c:v>41130</c:v>
                </c:pt>
                <c:pt idx="2597">
                  <c:v>41131</c:v>
                </c:pt>
                <c:pt idx="2598">
                  <c:v>41132</c:v>
                </c:pt>
                <c:pt idx="2599">
                  <c:v>41133</c:v>
                </c:pt>
                <c:pt idx="2600">
                  <c:v>41134</c:v>
                </c:pt>
                <c:pt idx="2601">
                  <c:v>41135</c:v>
                </c:pt>
                <c:pt idx="2602">
                  <c:v>41136</c:v>
                </c:pt>
                <c:pt idx="2603">
                  <c:v>41137</c:v>
                </c:pt>
                <c:pt idx="2604">
                  <c:v>41138</c:v>
                </c:pt>
                <c:pt idx="2605">
                  <c:v>41139</c:v>
                </c:pt>
                <c:pt idx="2606">
                  <c:v>41140</c:v>
                </c:pt>
                <c:pt idx="2607">
                  <c:v>41141</c:v>
                </c:pt>
                <c:pt idx="2608">
                  <c:v>41142</c:v>
                </c:pt>
                <c:pt idx="2609">
                  <c:v>41143</c:v>
                </c:pt>
                <c:pt idx="2610">
                  <c:v>41144</c:v>
                </c:pt>
                <c:pt idx="2611">
                  <c:v>41145</c:v>
                </c:pt>
                <c:pt idx="2612">
                  <c:v>41146</c:v>
                </c:pt>
                <c:pt idx="2613">
                  <c:v>41147</c:v>
                </c:pt>
                <c:pt idx="2614">
                  <c:v>41148</c:v>
                </c:pt>
                <c:pt idx="2615">
                  <c:v>41149</c:v>
                </c:pt>
                <c:pt idx="2616">
                  <c:v>41150</c:v>
                </c:pt>
                <c:pt idx="2617">
                  <c:v>41151</c:v>
                </c:pt>
                <c:pt idx="2618">
                  <c:v>41152</c:v>
                </c:pt>
                <c:pt idx="2619">
                  <c:v>41153</c:v>
                </c:pt>
                <c:pt idx="2620">
                  <c:v>41154</c:v>
                </c:pt>
                <c:pt idx="2621">
                  <c:v>41155</c:v>
                </c:pt>
                <c:pt idx="2622">
                  <c:v>41156</c:v>
                </c:pt>
                <c:pt idx="2623">
                  <c:v>41157</c:v>
                </c:pt>
                <c:pt idx="2624">
                  <c:v>41158</c:v>
                </c:pt>
                <c:pt idx="2625">
                  <c:v>41159</c:v>
                </c:pt>
                <c:pt idx="2626">
                  <c:v>41160</c:v>
                </c:pt>
                <c:pt idx="2627">
                  <c:v>41161</c:v>
                </c:pt>
                <c:pt idx="2628">
                  <c:v>41162</c:v>
                </c:pt>
                <c:pt idx="2629">
                  <c:v>41163</c:v>
                </c:pt>
                <c:pt idx="2630">
                  <c:v>41164</c:v>
                </c:pt>
                <c:pt idx="2631">
                  <c:v>41165</c:v>
                </c:pt>
                <c:pt idx="2632">
                  <c:v>41166</c:v>
                </c:pt>
                <c:pt idx="2633">
                  <c:v>41167</c:v>
                </c:pt>
                <c:pt idx="2634">
                  <c:v>41168</c:v>
                </c:pt>
                <c:pt idx="2635">
                  <c:v>41169</c:v>
                </c:pt>
                <c:pt idx="2636">
                  <c:v>41170</c:v>
                </c:pt>
                <c:pt idx="2637">
                  <c:v>41171</c:v>
                </c:pt>
                <c:pt idx="2638">
                  <c:v>41172</c:v>
                </c:pt>
                <c:pt idx="2639">
                  <c:v>41173</c:v>
                </c:pt>
                <c:pt idx="2640">
                  <c:v>41174</c:v>
                </c:pt>
                <c:pt idx="2641">
                  <c:v>41175</c:v>
                </c:pt>
                <c:pt idx="2642">
                  <c:v>41176</c:v>
                </c:pt>
                <c:pt idx="2643">
                  <c:v>41177</c:v>
                </c:pt>
                <c:pt idx="2644">
                  <c:v>41178</c:v>
                </c:pt>
                <c:pt idx="2645">
                  <c:v>41179</c:v>
                </c:pt>
                <c:pt idx="2646">
                  <c:v>41180</c:v>
                </c:pt>
                <c:pt idx="2647">
                  <c:v>41181</c:v>
                </c:pt>
                <c:pt idx="2648">
                  <c:v>41182</c:v>
                </c:pt>
                <c:pt idx="2649">
                  <c:v>41183</c:v>
                </c:pt>
                <c:pt idx="2650">
                  <c:v>41184</c:v>
                </c:pt>
                <c:pt idx="2651">
                  <c:v>41185</c:v>
                </c:pt>
                <c:pt idx="2652">
                  <c:v>41186</c:v>
                </c:pt>
                <c:pt idx="2653">
                  <c:v>41187</c:v>
                </c:pt>
                <c:pt idx="2654">
                  <c:v>41188</c:v>
                </c:pt>
                <c:pt idx="2655">
                  <c:v>41189</c:v>
                </c:pt>
                <c:pt idx="2656">
                  <c:v>41190</c:v>
                </c:pt>
                <c:pt idx="2657">
                  <c:v>41191</c:v>
                </c:pt>
                <c:pt idx="2658">
                  <c:v>41192</c:v>
                </c:pt>
                <c:pt idx="2659">
                  <c:v>41193</c:v>
                </c:pt>
                <c:pt idx="2660">
                  <c:v>41194</c:v>
                </c:pt>
                <c:pt idx="2661">
                  <c:v>41195</c:v>
                </c:pt>
                <c:pt idx="2662">
                  <c:v>41196</c:v>
                </c:pt>
                <c:pt idx="2663">
                  <c:v>41197</c:v>
                </c:pt>
                <c:pt idx="2664">
                  <c:v>41198</c:v>
                </c:pt>
                <c:pt idx="2665">
                  <c:v>41199</c:v>
                </c:pt>
                <c:pt idx="2666">
                  <c:v>41200</c:v>
                </c:pt>
                <c:pt idx="2667">
                  <c:v>41201</c:v>
                </c:pt>
                <c:pt idx="2668">
                  <c:v>41202</c:v>
                </c:pt>
                <c:pt idx="2669">
                  <c:v>41203</c:v>
                </c:pt>
                <c:pt idx="2670">
                  <c:v>41204</c:v>
                </c:pt>
                <c:pt idx="2671">
                  <c:v>41205</c:v>
                </c:pt>
                <c:pt idx="2672">
                  <c:v>41206</c:v>
                </c:pt>
                <c:pt idx="2673">
                  <c:v>41207</c:v>
                </c:pt>
                <c:pt idx="2674">
                  <c:v>41208</c:v>
                </c:pt>
                <c:pt idx="2675">
                  <c:v>41209</c:v>
                </c:pt>
                <c:pt idx="2676">
                  <c:v>41210</c:v>
                </c:pt>
                <c:pt idx="2677">
                  <c:v>41211</c:v>
                </c:pt>
                <c:pt idx="2678">
                  <c:v>41212</c:v>
                </c:pt>
                <c:pt idx="2679">
                  <c:v>41213</c:v>
                </c:pt>
                <c:pt idx="2680">
                  <c:v>41214</c:v>
                </c:pt>
                <c:pt idx="2681">
                  <c:v>41215</c:v>
                </c:pt>
                <c:pt idx="2682">
                  <c:v>41216</c:v>
                </c:pt>
                <c:pt idx="2683">
                  <c:v>41217</c:v>
                </c:pt>
                <c:pt idx="2684">
                  <c:v>41218</c:v>
                </c:pt>
                <c:pt idx="2685">
                  <c:v>41219</c:v>
                </c:pt>
                <c:pt idx="2686">
                  <c:v>41220</c:v>
                </c:pt>
                <c:pt idx="2687">
                  <c:v>41221</c:v>
                </c:pt>
                <c:pt idx="2688">
                  <c:v>41222</c:v>
                </c:pt>
                <c:pt idx="2689">
                  <c:v>41223</c:v>
                </c:pt>
                <c:pt idx="2690">
                  <c:v>41224</c:v>
                </c:pt>
                <c:pt idx="2691">
                  <c:v>41225</c:v>
                </c:pt>
                <c:pt idx="2692">
                  <c:v>41226</c:v>
                </c:pt>
                <c:pt idx="2693">
                  <c:v>41227</c:v>
                </c:pt>
                <c:pt idx="2694">
                  <c:v>41228</c:v>
                </c:pt>
                <c:pt idx="2695">
                  <c:v>41229</c:v>
                </c:pt>
                <c:pt idx="2696">
                  <c:v>41230</c:v>
                </c:pt>
                <c:pt idx="2697">
                  <c:v>41231</c:v>
                </c:pt>
                <c:pt idx="2698">
                  <c:v>41232</c:v>
                </c:pt>
                <c:pt idx="2699">
                  <c:v>41233</c:v>
                </c:pt>
                <c:pt idx="2700">
                  <c:v>41234</c:v>
                </c:pt>
                <c:pt idx="2701">
                  <c:v>41235</c:v>
                </c:pt>
                <c:pt idx="2702">
                  <c:v>41236</c:v>
                </c:pt>
                <c:pt idx="2703">
                  <c:v>41237</c:v>
                </c:pt>
                <c:pt idx="2704">
                  <c:v>41238</c:v>
                </c:pt>
                <c:pt idx="2705">
                  <c:v>41239</c:v>
                </c:pt>
                <c:pt idx="2706">
                  <c:v>41240</c:v>
                </c:pt>
                <c:pt idx="2707">
                  <c:v>41241</c:v>
                </c:pt>
                <c:pt idx="2708">
                  <c:v>41242</c:v>
                </c:pt>
                <c:pt idx="2709">
                  <c:v>41243</c:v>
                </c:pt>
                <c:pt idx="2710">
                  <c:v>41244</c:v>
                </c:pt>
                <c:pt idx="2711">
                  <c:v>41245</c:v>
                </c:pt>
                <c:pt idx="2712">
                  <c:v>41246</c:v>
                </c:pt>
                <c:pt idx="2713">
                  <c:v>41247</c:v>
                </c:pt>
                <c:pt idx="2714">
                  <c:v>41248</c:v>
                </c:pt>
                <c:pt idx="2715">
                  <c:v>41249</c:v>
                </c:pt>
                <c:pt idx="2716">
                  <c:v>41250</c:v>
                </c:pt>
                <c:pt idx="2717">
                  <c:v>41251</c:v>
                </c:pt>
                <c:pt idx="2718">
                  <c:v>41252</c:v>
                </c:pt>
                <c:pt idx="2719">
                  <c:v>41253</c:v>
                </c:pt>
                <c:pt idx="2720">
                  <c:v>41254</c:v>
                </c:pt>
                <c:pt idx="2721">
                  <c:v>41255</c:v>
                </c:pt>
                <c:pt idx="2722">
                  <c:v>41256</c:v>
                </c:pt>
                <c:pt idx="2723">
                  <c:v>41257</c:v>
                </c:pt>
                <c:pt idx="2724">
                  <c:v>41258</c:v>
                </c:pt>
                <c:pt idx="2725">
                  <c:v>41259</c:v>
                </c:pt>
                <c:pt idx="2726">
                  <c:v>41260</c:v>
                </c:pt>
                <c:pt idx="2727">
                  <c:v>41261</c:v>
                </c:pt>
                <c:pt idx="2728">
                  <c:v>41262</c:v>
                </c:pt>
                <c:pt idx="2729">
                  <c:v>41263</c:v>
                </c:pt>
                <c:pt idx="2730">
                  <c:v>41264</c:v>
                </c:pt>
                <c:pt idx="2731">
                  <c:v>41265</c:v>
                </c:pt>
                <c:pt idx="2732">
                  <c:v>41266</c:v>
                </c:pt>
                <c:pt idx="2733">
                  <c:v>41267</c:v>
                </c:pt>
                <c:pt idx="2734">
                  <c:v>41268</c:v>
                </c:pt>
                <c:pt idx="2735">
                  <c:v>41269</c:v>
                </c:pt>
                <c:pt idx="2736">
                  <c:v>41270</c:v>
                </c:pt>
                <c:pt idx="2737">
                  <c:v>41271</c:v>
                </c:pt>
                <c:pt idx="2738">
                  <c:v>41272</c:v>
                </c:pt>
                <c:pt idx="2739">
                  <c:v>41273</c:v>
                </c:pt>
                <c:pt idx="2740">
                  <c:v>41274</c:v>
                </c:pt>
                <c:pt idx="2741">
                  <c:v>41275</c:v>
                </c:pt>
                <c:pt idx="2742">
                  <c:v>41276</c:v>
                </c:pt>
                <c:pt idx="2743">
                  <c:v>41277</c:v>
                </c:pt>
                <c:pt idx="2744">
                  <c:v>41278</c:v>
                </c:pt>
                <c:pt idx="2745">
                  <c:v>41279</c:v>
                </c:pt>
                <c:pt idx="2746">
                  <c:v>41280</c:v>
                </c:pt>
                <c:pt idx="2747">
                  <c:v>41281</c:v>
                </c:pt>
                <c:pt idx="2748">
                  <c:v>41282</c:v>
                </c:pt>
                <c:pt idx="2749">
                  <c:v>41283</c:v>
                </c:pt>
                <c:pt idx="2750">
                  <c:v>41284</c:v>
                </c:pt>
                <c:pt idx="2751">
                  <c:v>41285</c:v>
                </c:pt>
                <c:pt idx="2752">
                  <c:v>41286</c:v>
                </c:pt>
                <c:pt idx="2753">
                  <c:v>41287</c:v>
                </c:pt>
                <c:pt idx="2754">
                  <c:v>41288</c:v>
                </c:pt>
                <c:pt idx="2755">
                  <c:v>41289</c:v>
                </c:pt>
                <c:pt idx="2756">
                  <c:v>41290</c:v>
                </c:pt>
                <c:pt idx="2757">
                  <c:v>41291</c:v>
                </c:pt>
                <c:pt idx="2758">
                  <c:v>41292</c:v>
                </c:pt>
                <c:pt idx="2759">
                  <c:v>41293</c:v>
                </c:pt>
                <c:pt idx="2760">
                  <c:v>41294</c:v>
                </c:pt>
                <c:pt idx="2761">
                  <c:v>41295</c:v>
                </c:pt>
                <c:pt idx="2762">
                  <c:v>41296</c:v>
                </c:pt>
                <c:pt idx="2763">
                  <c:v>41297</c:v>
                </c:pt>
                <c:pt idx="2764">
                  <c:v>41298</c:v>
                </c:pt>
                <c:pt idx="2765">
                  <c:v>41299</c:v>
                </c:pt>
                <c:pt idx="2766">
                  <c:v>41300</c:v>
                </c:pt>
                <c:pt idx="2767">
                  <c:v>41301</c:v>
                </c:pt>
                <c:pt idx="2768">
                  <c:v>41302</c:v>
                </c:pt>
                <c:pt idx="2769">
                  <c:v>41303</c:v>
                </c:pt>
                <c:pt idx="2770">
                  <c:v>41304</c:v>
                </c:pt>
                <c:pt idx="2771">
                  <c:v>41305</c:v>
                </c:pt>
                <c:pt idx="2772">
                  <c:v>41306</c:v>
                </c:pt>
                <c:pt idx="2773">
                  <c:v>41307</c:v>
                </c:pt>
                <c:pt idx="2774">
                  <c:v>41308</c:v>
                </c:pt>
                <c:pt idx="2775">
                  <c:v>41309</c:v>
                </c:pt>
                <c:pt idx="2776">
                  <c:v>41310</c:v>
                </c:pt>
                <c:pt idx="2777">
                  <c:v>41311</c:v>
                </c:pt>
                <c:pt idx="2778">
                  <c:v>41312</c:v>
                </c:pt>
                <c:pt idx="2779">
                  <c:v>41313</c:v>
                </c:pt>
                <c:pt idx="2780">
                  <c:v>41314</c:v>
                </c:pt>
                <c:pt idx="2781">
                  <c:v>41315</c:v>
                </c:pt>
                <c:pt idx="2782">
                  <c:v>41316</c:v>
                </c:pt>
                <c:pt idx="2783">
                  <c:v>41317</c:v>
                </c:pt>
                <c:pt idx="2784">
                  <c:v>41318</c:v>
                </c:pt>
                <c:pt idx="2785">
                  <c:v>41319</c:v>
                </c:pt>
                <c:pt idx="2786">
                  <c:v>41320</c:v>
                </c:pt>
                <c:pt idx="2787">
                  <c:v>41321</c:v>
                </c:pt>
                <c:pt idx="2788">
                  <c:v>41322</c:v>
                </c:pt>
                <c:pt idx="2789">
                  <c:v>41323</c:v>
                </c:pt>
                <c:pt idx="2790">
                  <c:v>41324</c:v>
                </c:pt>
                <c:pt idx="2791">
                  <c:v>41325</c:v>
                </c:pt>
                <c:pt idx="2792">
                  <c:v>41326</c:v>
                </c:pt>
                <c:pt idx="2793">
                  <c:v>41327</c:v>
                </c:pt>
                <c:pt idx="2794">
                  <c:v>41328</c:v>
                </c:pt>
                <c:pt idx="2795">
                  <c:v>41329</c:v>
                </c:pt>
                <c:pt idx="2796">
                  <c:v>41330</c:v>
                </c:pt>
                <c:pt idx="2797">
                  <c:v>41331</c:v>
                </c:pt>
                <c:pt idx="2798">
                  <c:v>41332</c:v>
                </c:pt>
                <c:pt idx="2799">
                  <c:v>41333</c:v>
                </c:pt>
                <c:pt idx="2800">
                  <c:v>41334</c:v>
                </c:pt>
                <c:pt idx="2801">
                  <c:v>41335</c:v>
                </c:pt>
                <c:pt idx="2802">
                  <c:v>41336</c:v>
                </c:pt>
                <c:pt idx="2803">
                  <c:v>41337</c:v>
                </c:pt>
                <c:pt idx="2804">
                  <c:v>41338</c:v>
                </c:pt>
                <c:pt idx="2805">
                  <c:v>41339</c:v>
                </c:pt>
                <c:pt idx="2806">
                  <c:v>41340</c:v>
                </c:pt>
                <c:pt idx="2807">
                  <c:v>41341</c:v>
                </c:pt>
                <c:pt idx="2808">
                  <c:v>41342</c:v>
                </c:pt>
                <c:pt idx="2809">
                  <c:v>41343</c:v>
                </c:pt>
                <c:pt idx="2810">
                  <c:v>41344</c:v>
                </c:pt>
                <c:pt idx="2811">
                  <c:v>41345</c:v>
                </c:pt>
                <c:pt idx="2812">
                  <c:v>41346</c:v>
                </c:pt>
                <c:pt idx="2813">
                  <c:v>41347</c:v>
                </c:pt>
                <c:pt idx="2814">
                  <c:v>41348</c:v>
                </c:pt>
                <c:pt idx="2815">
                  <c:v>41349</c:v>
                </c:pt>
                <c:pt idx="2816">
                  <c:v>41350</c:v>
                </c:pt>
                <c:pt idx="2817">
                  <c:v>41351</c:v>
                </c:pt>
                <c:pt idx="2818">
                  <c:v>41352</c:v>
                </c:pt>
                <c:pt idx="2819">
                  <c:v>41353</c:v>
                </c:pt>
                <c:pt idx="2820">
                  <c:v>41354</c:v>
                </c:pt>
                <c:pt idx="2821">
                  <c:v>41355</c:v>
                </c:pt>
                <c:pt idx="2822">
                  <c:v>41356</c:v>
                </c:pt>
                <c:pt idx="2823">
                  <c:v>41357</c:v>
                </c:pt>
                <c:pt idx="2824">
                  <c:v>41358</c:v>
                </c:pt>
                <c:pt idx="2825">
                  <c:v>41359</c:v>
                </c:pt>
                <c:pt idx="2826">
                  <c:v>41360</c:v>
                </c:pt>
                <c:pt idx="2827">
                  <c:v>41361</c:v>
                </c:pt>
                <c:pt idx="2828">
                  <c:v>41362</c:v>
                </c:pt>
                <c:pt idx="2829">
                  <c:v>41363</c:v>
                </c:pt>
                <c:pt idx="2830">
                  <c:v>41364</c:v>
                </c:pt>
                <c:pt idx="2831">
                  <c:v>41365</c:v>
                </c:pt>
                <c:pt idx="2832">
                  <c:v>41366</c:v>
                </c:pt>
                <c:pt idx="2833">
                  <c:v>41367</c:v>
                </c:pt>
                <c:pt idx="2834">
                  <c:v>41368</c:v>
                </c:pt>
                <c:pt idx="2835">
                  <c:v>41369</c:v>
                </c:pt>
                <c:pt idx="2836">
                  <c:v>41370</c:v>
                </c:pt>
                <c:pt idx="2837">
                  <c:v>41371</c:v>
                </c:pt>
                <c:pt idx="2838">
                  <c:v>41372</c:v>
                </c:pt>
                <c:pt idx="2839">
                  <c:v>41373</c:v>
                </c:pt>
                <c:pt idx="2840">
                  <c:v>41374</c:v>
                </c:pt>
                <c:pt idx="2841">
                  <c:v>41375</c:v>
                </c:pt>
                <c:pt idx="2842">
                  <c:v>41376</c:v>
                </c:pt>
                <c:pt idx="2843">
                  <c:v>41377</c:v>
                </c:pt>
                <c:pt idx="2844">
                  <c:v>41378</c:v>
                </c:pt>
                <c:pt idx="2845">
                  <c:v>41379</c:v>
                </c:pt>
                <c:pt idx="2846">
                  <c:v>41380</c:v>
                </c:pt>
                <c:pt idx="2847">
                  <c:v>41381</c:v>
                </c:pt>
                <c:pt idx="2848">
                  <c:v>41382</c:v>
                </c:pt>
                <c:pt idx="2849">
                  <c:v>41383</c:v>
                </c:pt>
                <c:pt idx="2850">
                  <c:v>41384</c:v>
                </c:pt>
                <c:pt idx="2851">
                  <c:v>41385</c:v>
                </c:pt>
                <c:pt idx="2852">
                  <c:v>41386</c:v>
                </c:pt>
                <c:pt idx="2853">
                  <c:v>41387</c:v>
                </c:pt>
                <c:pt idx="2854">
                  <c:v>41388</c:v>
                </c:pt>
                <c:pt idx="2855">
                  <c:v>41389</c:v>
                </c:pt>
                <c:pt idx="2856">
                  <c:v>41390</c:v>
                </c:pt>
                <c:pt idx="2857">
                  <c:v>41391</c:v>
                </c:pt>
                <c:pt idx="2858">
                  <c:v>41392</c:v>
                </c:pt>
                <c:pt idx="2859">
                  <c:v>41393</c:v>
                </c:pt>
                <c:pt idx="2860">
                  <c:v>41394</c:v>
                </c:pt>
                <c:pt idx="2861">
                  <c:v>41395</c:v>
                </c:pt>
                <c:pt idx="2862">
                  <c:v>41396</c:v>
                </c:pt>
                <c:pt idx="2863">
                  <c:v>41397</c:v>
                </c:pt>
                <c:pt idx="2864">
                  <c:v>41398</c:v>
                </c:pt>
                <c:pt idx="2865">
                  <c:v>41399</c:v>
                </c:pt>
                <c:pt idx="2866">
                  <c:v>41400</c:v>
                </c:pt>
                <c:pt idx="2867">
                  <c:v>41401</c:v>
                </c:pt>
                <c:pt idx="2868">
                  <c:v>41402</c:v>
                </c:pt>
                <c:pt idx="2869">
                  <c:v>41403</c:v>
                </c:pt>
                <c:pt idx="2870">
                  <c:v>41404</c:v>
                </c:pt>
                <c:pt idx="2871">
                  <c:v>41405</c:v>
                </c:pt>
                <c:pt idx="2872">
                  <c:v>41406</c:v>
                </c:pt>
                <c:pt idx="2873">
                  <c:v>41407</c:v>
                </c:pt>
                <c:pt idx="2874">
                  <c:v>41408</c:v>
                </c:pt>
                <c:pt idx="2875">
                  <c:v>41409</c:v>
                </c:pt>
                <c:pt idx="2876">
                  <c:v>41410</c:v>
                </c:pt>
                <c:pt idx="2877">
                  <c:v>41411</c:v>
                </c:pt>
                <c:pt idx="2878">
                  <c:v>41412</c:v>
                </c:pt>
                <c:pt idx="2879">
                  <c:v>41413</c:v>
                </c:pt>
                <c:pt idx="2880">
                  <c:v>41414</c:v>
                </c:pt>
                <c:pt idx="2881">
                  <c:v>41415</c:v>
                </c:pt>
                <c:pt idx="2882">
                  <c:v>41416</c:v>
                </c:pt>
                <c:pt idx="2883">
                  <c:v>41417</c:v>
                </c:pt>
                <c:pt idx="2884">
                  <c:v>41418</c:v>
                </c:pt>
                <c:pt idx="2885">
                  <c:v>41419</c:v>
                </c:pt>
                <c:pt idx="2886">
                  <c:v>41420</c:v>
                </c:pt>
                <c:pt idx="2887">
                  <c:v>41421</c:v>
                </c:pt>
                <c:pt idx="2888">
                  <c:v>41422</c:v>
                </c:pt>
                <c:pt idx="2889">
                  <c:v>41423</c:v>
                </c:pt>
                <c:pt idx="2890">
                  <c:v>41424</c:v>
                </c:pt>
                <c:pt idx="2891">
                  <c:v>41425</c:v>
                </c:pt>
                <c:pt idx="2892">
                  <c:v>41426</c:v>
                </c:pt>
                <c:pt idx="2893">
                  <c:v>41427</c:v>
                </c:pt>
                <c:pt idx="2894">
                  <c:v>41428</c:v>
                </c:pt>
                <c:pt idx="2895">
                  <c:v>41429</c:v>
                </c:pt>
                <c:pt idx="2896">
                  <c:v>41430</c:v>
                </c:pt>
                <c:pt idx="2897">
                  <c:v>41431</c:v>
                </c:pt>
                <c:pt idx="2898">
                  <c:v>41432</c:v>
                </c:pt>
                <c:pt idx="2899">
                  <c:v>41433</c:v>
                </c:pt>
                <c:pt idx="2900">
                  <c:v>41434</c:v>
                </c:pt>
                <c:pt idx="2901">
                  <c:v>41435</c:v>
                </c:pt>
                <c:pt idx="2902">
                  <c:v>41436</c:v>
                </c:pt>
                <c:pt idx="2903">
                  <c:v>41437</c:v>
                </c:pt>
                <c:pt idx="2904">
                  <c:v>41438</c:v>
                </c:pt>
                <c:pt idx="2905">
                  <c:v>41439</c:v>
                </c:pt>
                <c:pt idx="2906">
                  <c:v>41440</c:v>
                </c:pt>
                <c:pt idx="2907">
                  <c:v>41441</c:v>
                </c:pt>
                <c:pt idx="2908">
                  <c:v>41442</c:v>
                </c:pt>
                <c:pt idx="2909">
                  <c:v>41443</c:v>
                </c:pt>
                <c:pt idx="2910">
                  <c:v>41444</c:v>
                </c:pt>
                <c:pt idx="2911">
                  <c:v>41445</c:v>
                </c:pt>
                <c:pt idx="2912">
                  <c:v>41446</c:v>
                </c:pt>
                <c:pt idx="2913">
                  <c:v>41447</c:v>
                </c:pt>
                <c:pt idx="2914">
                  <c:v>41448</c:v>
                </c:pt>
                <c:pt idx="2915">
                  <c:v>41449</c:v>
                </c:pt>
                <c:pt idx="2916">
                  <c:v>41450</c:v>
                </c:pt>
                <c:pt idx="2917">
                  <c:v>41451</c:v>
                </c:pt>
                <c:pt idx="2918">
                  <c:v>41452</c:v>
                </c:pt>
                <c:pt idx="2919">
                  <c:v>41453</c:v>
                </c:pt>
                <c:pt idx="2920">
                  <c:v>41454</c:v>
                </c:pt>
                <c:pt idx="2921">
                  <c:v>41455</c:v>
                </c:pt>
                <c:pt idx="2922">
                  <c:v>41456</c:v>
                </c:pt>
                <c:pt idx="2923">
                  <c:v>41457</c:v>
                </c:pt>
                <c:pt idx="2924">
                  <c:v>41458</c:v>
                </c:pt>
                <c:pt idx="2925">
                  <c:v>41459</c:v>
                </c:pt>
                <c:pt idx="2926">
                  <c:v>41460</c:v>
                </c:pt>
                <c:pt idx="2927">
                  <c:v>41461</c:v>
                </c:pt>
                <c:pt idx="2928">
                  <c:v>41462</c:v>
                </c:pt>
                <c:pt idx="2929">
                  <c:v>41463</c:v>
                </c:pt>
                <c:pt idx="2930">
                  <c:v>41464</c:v>
                </c:pt>
                <c:pt idx="2931">
                  <c:v>41465</c:v>
                </c:pt>
                <c:pt idx="2932">
                  <c:v>41466</c:v>
                </c:pt>
                <c:pt idx="2933">
                  <c:v>41467</c:v>
                </c:pt>
                <c:pt idx="2934">
                  <c:v>41468</c:v>
                </c:pt>
                <c:pt idx="2935">
                  <c:v>41469</c:v>
                </c:pt>
                <c:pt idx="2936">
                  <c:v>41470</c:v>
                </c:pt>
                <c:pt idx="2937">
                  <c:v>41471</c:v>
                </c:pt>
                <c:pt idx="2938">
                  <c:v>41472</c:v>
                </c:pt>
                <c:pt idx="2939">
                  <c:v>41473</c:v>
                </c:pt>
                <c:pt idx="2940">
                  <c:v>41474</c:v>
                </c:pt>
                <c:pt idx="2941">
                  <c:v>41475</c:v>
                </c:pt>
                <c:pt idx="2942">
                  <c:v>41476</c:v>
                </c:pt>
                <c:pt idx="2943">
                  <c:v>41477</c:v>
                </c:pt>
                <c:pt idx="2944">
                  <c:v>41478</c:v>
                </c:pt>
                <c:pt idx="2945">
                  <c:v>41479</c:v>
                </c:pt>
                <c:pt idx="2946">
                  <c:v>41480</c:v>
                </c:pt>
                <c:pt idx="2947">
                  <c:v>41481</c:v>
                </c:pt>
                <c:pt idx="2948">
                  <c:v>41482</c:v>
                </c:pt>
                <c:pt idx="2949">
                  <c:v>41483</c:v>
                </c:pt>
                <c:pt idx="2950">
                  <c:v>41484</c:v>
                </c:pt>
                <c:pt idx="2951">
                  <c:v>41485</c:v>
                </c:pt>
                <c:pt idx="2952">
                  <c:v>41486</c:v>
                </c:pt>
                <c:pt idx="2953">
                  <c:v>41487</c:v>
                </c:pt>
                <c:pt idx="2954">
                  <c:v>41488</c:v>
                </c:pt>
                <c:pt idx="2955">
                  <c:v>41489</c:v>
                </c:pt>
                <c:pt idx="2956">
                  <c:v>41490</c:v>
                </c:pt>
                <c:pt idx="2957">
                  <c:v>41491</c:v>
                </c:pt>
                <c:pt idx="2958">
                  <c:v>41492</c:v>
                </c:pt>
                <c:pt idx="2959">
                  <c:v>41493</c:v>
                </c:pt>
                <c:pt idx="2960">
                  <c:v>41494</c:v>
                </c:pt>
                <c:pt idx="2961">
                  <c:v>41495</c:v>
                </c:pt>
                <c:pt idx="2962">
                  <c:v>41496</c:v>
                </c:pt>
                <c:pt idx="2963">
                  <c:v>41497</c:v>
                </c:pt>
                <c:pt idx="2964">
                  <c:v>41498</c:v>
                </c:pt>
                <c:pt idx="2965">
                  <c:v>41499</c:v>
                </c:pt>
                <c:pt idx="2966">
                  <c:v>41500</c:v>
                </c:pt>
                <c:pt idx="2967">
                  <c:v>41501</c:v>
                </c:pt>
                <c:pt idx="2968">
                  <c:v>41502</c:v>
                </c:pt>
                <c:pt idx="2969">
                  <c:v>41503</c:v>
                </c:pt>
                <c:pt idx="2970">
                  <c:v>41504</c:v>
                </c:pt>
                <c:pt idx="2971">
                  <c:v>41505</c:v>
                </c:pt>
                <c:pt idx="2972">
                  <c:v>41506</c:v>
                </c:pt>
                <c:pt idx="2973">
                  <c:v>41507</c:v>
                </c:pt>
                <c:pt idx="2974">
                  <c:v>41508</c:v>
                </c:pt>
                <c:pt idx="2975">
                  <c:v>41509</c:v>
                </c:pt>
                <c:pt idx="2976">
                  <c:v>41510</c:v>
                </c:pt>
                <c:pt idx="2977">
                  <c:v>41511</c:v>
                </c:pt>
                <c:pt idx="2978">
                  <c:v>41512</c:v>
                </c:pt>
                <c:pt idx="2979">
                  <c:v>41513</c:v>
                </c:pt>
                <c:pt idx="2980">
                  <c:v>41514</c:v>
                </c:pt>
                <c:pt idx="2981">
                  <c:v>41515</c:v>
                </c:pt>
                <c:pt idx="2982">
                  <c:v>41516</c:v>
                </c:pt>
                <c:pt idx="2983">
                  <c:v>41517</c:v>
                </c:pt>
                <c:pt idx="2984">
                  <c:v>41518</c:v>
                </c:pt>
                <c:pt idx="2985">
                  <c:v>41519</c:v>
                </c:pt>
                <c:pt idx="2986">
                  <c:v>41520</c:v>
                </c:pt>
                <c:pt idx="2987">
                  <c:v>41521</c:v>
                </c:pt>
                <c:pt idx="2988">
                  <c:v>41522</c:v>
                </c:pt>
                <c:pt idx="2989">
                  <c:v>41523</c:v>
                </c:pt>
                <c:pt idx="2990">
                  <c:v>41524</c:v>
                </c:pt>
                <c:pt idx="2991">
                  <c:v>41525</c:v>
                </c:pt>
                <c:pt idx="2992">
                  <c:v>41526</c:v>
                </c:pt>
                <c:pt idx="2993">
                  <c:v>41527</c:v>
                </c:pt>
                <c:pt idx="2994">
                  <c:v>41528</c:v>
                </c:pt>
                <c:pt idx="2995">
                  <c:v>41529</c:v>
                </c:pt>
                <c:pt idx="2996">
                  <c:v>41530</c:v>
                </c:pt>
                <c:pt idx="2997">
                  <c:v>41531</c:v>
                </c:pt>
                <c:pt idx="2998">
                  <c:v>41532</c:v>
                </c:pt>
                <c:pt idx="2999">
                  <c:v>41533</c:v>
                </c:pt>
                <c:pt idx="3000">
                  <c:v>41534</c:v>
                </c:pt>
                <c:pt idx="3001">
                  <c:v>41535</c:v>
                </c:pt>
                <c:pt idx="3002">
                  <c:v>41536</c:v>
                </c:pt>
                <c:pt idx="3003">
                  <c:v>41537</c:v>
                </c:pt>
                <c:pt idx="3004">
                  <c:v>41538</c:v>
                </c:pt>
                <c:pt idx="3005">
                  <c:v>41539</c:v>
                </c:pt>
                <c:pt idx="3006">
                  <c:v>41540</c:v>
                </c:pt>
                <c:pt idx="3007">
                  <c:v>41541</c:v>
                </c:pt>
                <c:pt idx="3008">
                  <c:v>41542</c:v>
                </c:pt>
                <c:pt idx="3009">
                  <c:v>41543</c:v>
                </c:pt>
                <c:pt idx="3010">
                  <c:v>41544</c:v>
                </c:pt>
                <c:pt idx="3011">
                  <c:v>41545</c:v>
                </c:pt>
                <c:pt idx="3012">
                  <c:v>41546</c:v>
                </c:pt>
                <c:pt idx="3013">
                  <c:v>41547</c:v>
                </c:pt>
                <c:pt idx="3014">
                  <c:v>41548</c:v>
                </c:pt>
                <c:pt idx="3015">
                  <c:v>41549</c:v>
                </c:pt>
                <c:pt idx="3016">
                  <c:v>41550</c:v>
                </c:pt>
                <c:pt idx="3017">
                  <c:v>41551</c:v>
                </c:pt>
                <c:pt idx="3018">
                  <c:v>41552</c:v>
                </c:pt>
                <c:pt idx="3019">
                  <c:v>41553</c:v>
                </c:pt>
                <c:pt idx="3020">
                  <c:v>41554</c:v>
                </c:pt>
                <c:pt idx="3021">
                  <c:v>41555</c:v>
                </c:pt>
                <c:pt idx="3022">
                  <c:v>41556</c:v>
                </c:pt>
                <c:pt idx="3023">
                  <c:v>41557</c:v>
                </c:pt>
                <c:pt idx="3024">
                  <c:v>41558</c:v>
                </c:pt>
                <c:pt idx="3025">
                  <c:v>41559</c:v>
                </c:pt>
                <c:pt idx="3026">
                  <c:v>41560</c:v>
                </c:pt>
                <c:pt idx="3027">
                  <c:v>41561</c:v>
                </c:pt>
                <c:pt idx="3028">
                  <c:v>41562</c:v>
                </c:pt>
                <c:pt idx="3029">
                  <c:v>41563</c:v>
                </c:pt>
                <c:pt idx="3030">
                  <c:v>41564</c:v>
                </c:pt>
                <c:pt idx="3031">
                  <c:v>41565</c:v>
                </c:pt>
                <c:pt idx="3032">
                  <c:v>41566</c:v>
                </c:pt>
                <c:pt idx="3033">
                  <c:v>41567</c:v>
                </c:pt>
                <c:pt idx="3034">
                  <c:v>41568</c:v>
                </c:pt>
                <c:pt idx="3035">
                  <c:v>41569</c:v>
                </c:pt>
                <c:pt idx="3036">
                  <c:v>41570</c:v>
                </c:pt>
                <c:pt idx="3037">
                  <c:v>41571</c:v>
                </c:pt>
                <c:pt idx="3038">
                  <c:v>41572</c:v>
                </c:pt>
                <c:pt idx="3039">
                  <c:v>41573</c:v>
                </c:pt>
                <c:pt idx="3040">
                  <c:v>41574</c:v>
                </c:pt>
                <c:pt idx="3041">
                  <c:v>41575</c:v>
                </c:pt>
                <c:pt idx="3042">
                  <c:v>41576</c:v>
                </c:pt>
                <c:pt idx="3043">
                  <c:v>41577</c:v>
                </c:pt>
                <c:pt idx="3044">
                  <c:v>41578</c:v>
                </c:pt>
                <c:pt idx="3045">
                  <c:v>41579</c:v>
                </c:pt>
                <c:pt idx="3046">
                  <c:v>41580</c:v>
                </c:pt>
                <c:pt idx="3047">
                  <c:v>41581</c:v>
                </c:pt>
                <c:pt idx="3048">
                  <c:v>41582</c:v>
                </c:pt>
                <c:pt idx="3049">
                  <c:v>41583</c:v>
                </c:pt>
                <c:pt idx="3050">
                  <c:v>41584</c:v>
                </c:pt>
                <c:pt idx="3051">
                  <c:v>41585</c:v>
                </c:pt>
                <c:pt idx="3052">
                  <c:v>41586</c:v>
                </c:pt>
                <c:pt idx="3053">
                  <c:v>41587</c:v>
                </c:pt>
                <c:pt idx="3054">
                  <c:v>41588</c:v>
                </c:pt>
                <c:pt idx="3055">
                  <c:v>41589</c:v>
                </c:pt>
                <c:pt idx="3056">
                  <c:v>41590</c:v>
                </c:pt>
                <c:pt idx="3057">
                  <c:v>41591</c:v>
                </c:pt>
                <c:pt idx="3058">
                  <c:v>41592</c:v>
                </c:pt>
                <c:pt idx="3059">
                  <c:v>41593</c:v>
                </c:pt>
                <c:pt idx="3060">
                  <c:v>41594</c:v>
                </c:pt>
                <c:pt idx="3061">
                  <c:v>41595</c:v>
                </c:pt>
                <c:pt idx="3062">
                  <c:v>41596</c:v>
                </c:pt>
                <c:pt idx="3063">
                  <c:v>41597</c:v>
                </c:pt>
                <c:pt idx="3064">
                  <c:v>41598</c:v>
                </c:pt>
                <c:pt idx="3065">
                  <c:v>41599</c:v>
                </c:pt>
                <c:pt idx="3066">
                  <c:v>41600</c:v>
                </c:pt>
                <c:pt idx="3067">
                  <c:v>41601</c:v>
                </c:pt>
                <c:pt idx="3068">
                  <c:v>41602</c:v>
                </c:pt>
                <c:pt idx="3069">
                  <c:v>41603</c:v>
                </c:pt>
                <c:pt idx="3070">
                  <c:v>41604</c:v>
                </c:pt>
                <c:pt idx="3071">
                  <c:v>41605</c:v>
                </c:pt>
                <c:pt idx="3072">
                  <c:v>41606</c:v>
                </c:pt>
                <c:pt idx="3073">
                  <c:v>41607</c:v>
                </c:pt>
                <c:pt idx="3074">
                  <c:v>41608</c:v>
                </c:pt>
                <c:pt idx="3075">
                  <c:v>41609</c:v>
                </c:pt>
                <c:pt idx="3076">
                  <c:v>41610</c:v>
                </c:pt>
                <c:pt idx="3077">
                  <c:v>41611</c:v>
                </c:pt>
                <c:pt idx="3078">
                  <c:v>41612</c:v>
                </c:pt>
                <c:pt idx="3079">
                  <c:v>41613</c:v>
                </c:pt>
                <c:pt idx="3080">
                  <c:v>41614</c:v>
                </c:pt>
                <c:pt idx="3081">
                  <c:v>41615</c:v>
                </c:pt>
                <c:pt idx="3082">
                  <c:v>41616</c:v>
                </c:pt>
                <c:pt idx="3083">
                  <c:v>41617</c:v>
                </c:pt>
                <c:pt idx="3084">
                  <c:v>41618</c:v>
                </c:pt>
                <c:pt idx="3085">
                  <c:v>41619</c:v>
                </c:pt>
                <c:pt idx="3086">
                  <c:v>41620</c:v>
                </c:pt>
                <c:pt idx="3087">
                  <c:v>41621</c:v>
                </c:pt>
                <c:pt idx="3088">
                  <c:v>41622</c:v>
                </c:pt>
                <c:pt idx="3089">
                  <c:v>41623</c:v>
                </c:pt>
                <c:pt idx="3090">
                  <c:v>41624</c:v>
                </c:pt>
                <c:pt idx="3091">
                  <c:v>41625</c:v>
                </c:pt>
                <c:pt idx="3092">
                  <c:v>41626</c:v>
                </c:pt>
                <c:pt idx="3093">
                  <c:v>41627</c:v>
                </c:pt>
                <c:pt idx="3094">
                  <c:v>41628</c:v>
                </c:pt>
                <c:pt idx="3095">
                  <c:v>41629</c:v>
                </c:pt>
                <c:pt idx="3096">
                  <c:v>41630</c:v>
                </c:pt>
                <c:pt idx="3097">
                  <c:v>41631</c:v>
                </c:pt>
                <c:pt idx="3098">
                  <c:v>41632</c:v>
                </c:pt>
                <c:pt idx="3099">
                  <c:v>41633</c:v>
                </c:pt>
                <c:pt idx="3100">
                  <c:v>41634</c:v>
                </c:pt>
                <c:pt idx="3101">
                  <c:v>41635</c:v>
                </c:pt>
                <c:pt idx="3102">
                  <c:v>41636</c:v>
                </c:pt>
                <c:pt idx="3103">
                  <c:v>41637</c:v>
                </c:pt>
                <c:pt idx="3104">
                  <c:v>41638</c:v>
                </c:pt>
                <c:pt idx="3105">
                  <c:v>41639</c:v>
                </c:pt>
                <c:pt idx="3106">
                  <c:v>41640</c:v>
                </c:pt>
                <c:pt idx="3107">
                  <c:v>41641</c:v>
                </c:pt>
                <c:pt idx="3108">
                  <c:v>41642</c:v>
                </c:pt>
                <c:pt idx="3109">
                  <c:v>41643</c:v>
                </c:pt>
                <c:pt idx="3110">
                  <c:v>41644</c:v>
                </c:pt>
                <c:pt idx="3111">
                  <c:v>41645</c:v>
                </c:pt>
                <c:pt idx="3112">
                  <c:v>41646</c:v>
                </c:pt>
                <c:pt idx="3113">
                  <c:v>41647</c:v>
                </c:pt>
                <c:pt idx="3114">
                  <c:v>41648</c:v>
                </c:pt>
                <c:pt idx="3115">
                  <c:v>41649</c:v>
                </c:pt>
                <c:pt idx="3116">
                  <c:v>41650</c:v>
                </c:pt>
                <c:pt idx="3117">
                  <c:v>41651</c:v>
                </c:pt>
                <c:pt idx="3118">
                  <c:v>41652</c:v>
                </c:pt>
                <c:pt idx="3119">
                  <c:v>41653</c:v>
                </c:pt>
                <c:pt idx="3120">
                  <c:v>41654</c:v>
                </c:pt>
                <c:pt idx="3121">
                  <c:v>41655</c:v>
                </c:pt>
                <c:pt idx="3122">
                  <c:v>41656</c:v>
                </c:pt>
                <c:pt idx="3123">
                  <c:v>41657</c:v>
                </c:pt>
                <c:pt idx="3124">
                  <c:v>41658</c:v>
                </c:pt>
                <c:pt idx="3125">
                  <c:v>41659</c:v>
                </c:pt>
                <c:pt idx="3126">
                  <c:v>41660</c:v>
                </c:pt>
                <c:pt idx="3127">
                  <c:v>41661</c:v>
                </c:pt>
                <c:pt idx="3128">
                  <c:v>41662</c:v>
                </c:pt>
                <c:pt idx="3129">
                  <c:v>41663</c:v>
                </c:pt>
                <c:pt idx="3130">
                  <c:v>41664</c:v>
                </c:pt>
                <c:pt idx="3131">
                  <c:v>41665</c:v>
                </c:pt>
                <c:pt idx="3132">
                  <c:v>41666</c:v>
                </c:pt>
                <c:pt idx="3133">
                  <c:v>41667</c:v>
                </c:pt>
                <c:pt idx="3134">
                  <c:v>41668</c:v>
                </c:pt>
                <c:pt idx="3135">
                  <c:v>41669</c:v>
                </c:pt>
                <c:pt idx="3136">
                  <c:v>41670</c:v>
                </c:pt>
                <c:pt idx="3137">
                  <c:v>41671</c:v>
                </c:pt>
                <c:pt idx="3138">
                  <c:v>41672</c:v>
                </c:pt>
                <c:pt idx="3139">
                  <c:v>41673</c:v>
                </c:pt>
                <c:pt idx="3140">
                  <c:v>41674</c:v>
                </c:pt>
                <c:pt idx="3141">
                  <c:v>41675</c:v>
                </c:pt>
                <c:pt idx="3142">
                  <c:v>41676</c:v>
                </c:pt>
                <c:pt idx="3143">
                  <c:v>41677</c:v>
                </c:pt>
                <c:pt idx="3144">
                  <c:v>41678</c:v>
                </c:pt>
                <c:pt idx="3145">
                  <c:v>41679</c:v>
                </c:pt>
                <c:pt idx="3146">
                  <c:v>41680</c:v>
                </c:pt>
                <c:pt idx="3147">
                  <c:v>41681</c:v>
                </c:pt>
                <c:pt idx="3148">
                  <c:v>41682</c:v>
                </c:pt>
                <c:pt idx="3149">
                  <c:v>41683</c:v>
                </c:pt>
                <c:pt idx="3150">
                  <c:v>41684</c:v>
                </c:pt>
                <c:pt idx="3151">
                  <c:v>41685</c:v>
                </c:pt>
                <c:pt idx="3152">
                  <c:v>41686</c:v>
                </c:pt>
                <c:pt idx="3153">
                  <c:v>41687</c:v>
                </c:pt>
                <c:pt idx="3154">
                  <c:v>41688</c:v>
                </c:pt>
                <c:pt idx="3155">
                  <c:v>41689</c:v>
                </c:pt>
                <c:pt idx="3156">
                  <c:v>41690</c:v>
                </c:pt>
                <c:pt idx="3157">
                  <c:v>41691</c:v>
                </c:pt>
                <c:pt idx="3158">
                  <c:v>41692</c:v>
                </c:pt>
                <c:pt idx="3159">
                  <c:v>41693</c:v>
                </c:pt>
                <c:pt idx="3160">
                  <c:v>41694</c:v>
                </c:pt>
                <c:pt idx="3161">
                  <c:v>41695</c:v>
                </c:pt>
                <c:pt idx="3162">
                  <c:v>41696</c:v>
                </c:pt>
                <c:pt idx="3163">
                  <c:v>41697</c:v>
                </c:pt>
                <c:pt idx="3164">
                  <c:v>41698</c:v>
                </c:pt>
                <c:pt idx="3165">
                  <c:v>41699</c:v>
                </c:pt>
                <c:pt idx="3166">
                  <c:v>41700</c:v>
                </c:pt>
                <c:pt idx="3167">
                  <c:v>41701</c:v>
                </c:pt>
                <c:pt idx="3168">
                  <c:v>41702</c:v>
                </c:pt>
                <c:pt idx="3169">
                  <c:v>41703</c:v>
                </c:pt>
                <c:pt idx="3170">
                  <c:v>41704</c:v>
                </c:pt>
                <c:pt idx="3171">
                  <c:v>41705</c:v>
                </c:pt>
                <c:pt idx="3172">
                  <c:v>41706</c:v>
                </c:pt>
                <c:pt idx="3173">
                  <c:v>41707</c:v>
                </c:pt>
                <c:pt idx="3174">
                  <c:v>41708</c:v>
                </c:pt>
                <c:pt idx="3175">
                  <c:v>41709</c:v>
                </c:pt>
                <c:pt idx="3176">
                  <c:v>41710</c:v>
                </c:pt>
                <c:pt idx="3177">
                  <c:v>41711</c:v>
                </c:pt>
                <c:pt idx="3178">
                  <c:v>41712</c:v>
                </c:pt>
                <c:pt idx="3179">
                  <c:v>41713</c:v>
                </c:pt>
                <c:pt idx="3180">
                  <c:v>41714</c:v>
                </c:pt>
                <c:pt idx="3181">
                  <c:v>41715</c:v>
                </c:pt>
                <c:pt idx="3182">
                  <c:v>41716</c:v>
                </c:pt>
                <c:pt idx="3183">
                  <c:v>41717</c:v>
                </c:pt>
                <c:pt idx="3184">
                  <c:v>41718</c:v>
                </c:pt>
                <c:pt idx="3185">
                  <c:v>41719</c:v>
                </c:pt>
                <c:pt idx="3186">
                  <c:v>41720</c:v>
                </c:pt>
                <c:pt idx="3187">
                  <c:v>41721</c:v>
                </c:pt>
                <c:pt idx="3188">
                  <c:v>41722</c:v>
                </c:pt>
                <c:pt idx="3189">
                  <c:v>41723</c:v>
                </c:pt>
                <c:pt idx="3190">
                  <c:v>41724</c:v>
                </c:pt>
                <c:pt idx="3191">
                  <c:v>41725</c:v>
                </c:pt>
                <c:pt idx="3192">
                  <c:v>41726</c:v>
                </c:pt>
                <c:pt idx="3193">
                  <c:v>41727</c:v>
                </c:pt>
                <c:pt idx="3194">
                  <c:v>41728</c:v>
                </c:pt>
                <c:pt idx="3195">
                  <c:v>41729</c:v>
                </c:pt>
                <c:pt idx="3196">
                  <c:v>41730</c:v>
                </c:pt>
                <c:pt idx="3197">
                  <c:v>41731</c:v>
                </c:pt>
                <c:pt idx="3198">
                  <c:v>41732</c:v>
                </c:pt>
                <c:pt idx="3199">
                  <c:v>41733</c:v>
                </c:pt>
                <c:pt idx="3200">
                  <c:v>41734</c:v>
                </c:pt>
                <c:pt idx="3201">
                  <c:v>41735</c:v>
                </c:pt>
                <c:pt idx="3202">
                  <c:v>41736</c:v>
                </c:pt>
                <c:pt idx="3203">
                  <c:v>41737</c:v>
                </c:pt>
                <c:pt idx="3204">
                  <c:v>41738</c:v>
                </c:pt>
                <c:pt idx="3205">
                  <c:v>41739</c:v>
                </c:pt>
                <c:pt idx="3206">
                  <c:v>41740</c:v>
                </c:pt>
                <c:pt idx="3207">
                  <c:v>41741</c:v>
                </c:pt>
                <c:pt idx="3208">
                  <c:v>41742</c:v>
                </c:pt>
                <c:pt idx="3209">
                  <c:v>41743</c:v>
                </c:pt>
                <c:pt idx="3210">
                  <c:v>41744</c:v>
                </c:pt>
                <c:pt idx="3211">
                  <c:v>41745</c:v>
                </c:pt>
                <c:pt idx="3212">
                  <c:v>41746</c:v>
                </c:pt>
                <c:pt idx="3213">
                  <c:v>41747</c:v>
                </c:pt>
                <c:pt idx="3214">
                  <c:v>41748</c:v>
                </c:pt>
                <c:pt idx="3215">
                  <c:v>41749</c:v>
                </c:pt>
                <c:pt idx="3216">
                  <c:v>41750</c:v>
                </c:pt>
                <c:pt idx="3217">
                  <c:v>41751</c:v>
                </c:pt>
                <c:pt idx="3218">
                  <c:v>41752</c:v>
                </c:pt>
                <c:pt idx="3219">
                  <c:v>41753</c:v>
                </c:pt>
                <c:pt idx="3220">
                  <c:v>41754</c:v>
                </c:pt>
                <c:pt idx="3221">
                  <c:v>41755</c:v>
                </c:pt>
                <c:pt idx="3222">
                  <c:v>41756</c:v>
                </c:pt>
                <c:pt idx="3223">
                  <c:v>41757</c:v>
                </c:pt>
                <c:pt idx="3224">
                  <c:v>41758</c:v>
                </c:pt>
                <c:pt idx="3225">
                  <c:v>41759</c:v>
                </c:pt>
                <c:pt idx="3226">
                  <c:v>41760</c:v>
                </c:pt>
                <c:pt idx="3227">
                  <c:v>41761</c:v>
                </c:pt>
                <c:pt idx="3228">
                  <c:v>41762</c:v>
                </c:pt>
                <c:pt idx="3229">
                  <c:v>41763</c:v>
                </c:pt>
                <c:pt idx="3230">
                  <c:v>41764</c:v>
                </c:pt>
                <c:pt idx="3231">
                  <c:v>41765</c:v>
                </c:pt>
                <c:pt idx="3232">
                  <c:v>41766</c:v>
                </c:pt>
                <c:pt idx="3233">
                  <c:v>41767</c:v>
                </c:pt>
                <c:pt idx="3234">
                  <c:v>41768</c:v>
                </c:pt>
                <c:pt idx="3235">
                  <c:v>41769</c:v>
                </c:pt>
                <c:pt idx="3236">
                  <c:v>41770</c:v>
                </c:pt>
                <c:pt idx="3237">
                  <c:v>41771</c:v>
                </c:pt>
                <c:pt idx="3238">
                  <c:v>41772</c:v>
                </c:pt>
                <c:pt idx="3239">
                  <c:v>41773</c:v>
                </c:pt>
                <c:pt idx="3240">
                  <c:v>41774</c:v>
                </c:pt>
                <c:pt idx="3241">
                  <c:v>41775</c:v>
                </c:pt>
                <c:pt idx="3242">
                  <c:v>41776</c:v>
                </c:pt>
                <c:pt idx="3243">
                  <c:v>41777</c:v>
                </c:pt>
                <c:pt idx="3244">
                  <c:v>41778</c:v>
                </c:pt>
                <c:pt idx="3245">
                  <c:v>41779</c:v>
                </c:pt>
                <c:pt idx="3246">
                  <c:v>41780</c:v>
                </c:pt>
                <c:pt idx="3247">
                  <c:v>41781</c:v>
                </c:pt>
                <c:pt idx="3248">
                  <c:v>41782</c:v>
                </c:pt>
                <c:pt idx="3249">
                  <c:v>41783</c:v>
                </c:pt>
                <c:pt idx="3250">
                  <c:v>41784</c:v>
                </c:pt>
                <c:pt idx="3251">
                  <c:v>41785</c:v>
                </c:pt>
                <c:pt idx="3252">
                  <c:v>41786</c:v>
                </c:pt>
                <c:pt idx="3253">
                  <c:v>41787</c:v>
                </c:pt>
                <c:pt idx="3254">
                  <c:v>41788</c:v>
                </c:pt>
                <c:pt idx="3255">
                  <c:v>41789</c:v>
                </c:pt>
                <c:pt idx="3256">
                  <c:v>41790</c:v>
                </c:pt>
                <c:pt idx="3257">
                  <c:v>41791</c:v>
                </c:pt>
                <c:pt idx="3258">
                  <c:v>41792</c:v>
                </c:pt>
                <c:pt idx="3259">
                  <c:v>41793</c:v>
                </c:pt>
                <c:pt idx="3260">
                  <c:v>41794</c:v>
                </c:pt>
                <c:pt idx="3261">
                  <c:v>41795</c:v>
                </c:pt>
                <c:pt idx="3262">
                  <c:v>41796</c:v>
                </c:pt>
                <c:pt idx="3263">
                  <c:v>41797</c:v>
                </c:pt>
                <c:pt idx="3264">
                  <c:v>41798</c:v>
                </c:pt>
                <c:pt idx="3265">
                  <c:v>41799</c:v>
                </c:pt>
                <c:pt idx="3266">
                  <c:v>41800</c:v>
                </c:pt>
                <c:pt idx="3267">
                  <c:v>41801</c:v>
                </c:pt>
                <c:pt idx="3268">
                  <c:v>41802</c:v>
                </c:pt>
                <c:pt idx="3269">
                  <c:v>41803</c:v>
                </c:pt>
                <c:pt idx="3270">
                  <c:v>41804</c:v>
                </c:pt>
                <c:pt idx="3271">
                  <c:v>41805</c:v>
                </c:pt>
                <c:pt idx="3272">
                  <c:v>41806</c:v>
                </c:pt>
                <c:pt idx="3273">
                  <c:v>41807</c:v>
                </c:pt>
                <c:pt idx="3274">
                  <c:v>41808</c:v>
                </c:pt>
                <c:pt idx="3275">
                  <c:v>41809</c:v>
                </c:pt>
                <c:pt idx="3276">
                  <c:v>41810</c:v>
                </c:pt>
                <c:pt idx="3277">
                  <c:v>41811</c:v>
                </c:pt>
                <c:pt idx="3278">
                  <c:v>41812</c:v>
                </c:pt>
                <c:pt idx="3279">
                  <c:v>41813</c:v>
                </c:pt>
                <c:pt idx="3280">
                  <c:v>41814</c:v>
                </c:pt>
                <c:pt idx="3281">
                  <c:v>41815</c:v>
                </c:pt>
                <c:pt idx="3282">
                  <c:v>41816</c:v>
                </c:pt>
                <c:pt idx="3283">
                  <c:v>41817</c:v>
                </c:pt>
                <c:pt idx="3284">
                  <c:v>41818</c:v>
                </c:pt>
                <c:pt idx="3285">
                  <c:v>41819</c:v>
                </c:pt>
                <c:pt idx="3286">
                  <c:v>41820</c:v>
                </c:pt>
                <c:pt idx="3287">
                  <c:v>41821</c:v>
                </c:pt>
                <c:pt idx="3288">
                  <c:v>41822</c:v>
                </c:pt>
                <c:pt idx="3289">
                  <c:v>41823</c:v>
                </c:pt>
                <c:pt idx="3290">
                  <c:v>41824</c:v>
                </c:pt>
                <c:pt idx="3291">
                  <c:v>41825</c:v>
                </c:pt>
                <c:pt idx="3292">
                  <c:v>41826</c:v>
                </c:pt>
                <c:pt idx="3293">
                  <c:v>41827</c:v>
                </c:pt>
                <c:pt idx="3294">
                  <c:v>41828</c:v>
                </c:pt>
                <c:pt idx="3295">
                  <c:v>41829</c:v>
                </c:pt>
                <c:pt idx="3296">
                  <c:v>41830</c:v>
                </c:pt>
                <c:pt idx="3297">
                  <c:v>41831</c:v>
                </c:pt>
                <c:pt idx="3298">
                  <c:v>41832</c:v>
                </c:pt>
                <c:pt idx="3299">
                  <c:v>41833</c:v>
                </c:pt>
                <c:pt idx="3300">
                  <c:v>41834</c:v>
                </c:pt>
                <c:pt idx="3301">
                  <c:v>41835</c:v>
                </c:pt>
                <c:pt idx="3302">
                  <c:v>41836</c:v>
                </c:pt>
                <c:pt idx="3303">
                  <c:v>41837</c:v>
                </c:pt>
                <c:pt idx="3304">
                  <c:v>41838</c:v>
                </c:pt>
                <c:pt idx="3305">
                  <c:v>41839</c:v>
                </c:pt>
                <c:pt idx="3306">
                  <c:v>41840</c:v>
                </c:pt>
                <c:pt idx="3307">
                  <c:v>41841</c:v>
                </c:pt>
                <c:pt idx="3308">
                  <c:v>41842</c:v>
                </c:pt>
                <c:pt idx="3309">
                  <c:v>41843</c:v>
                </c:pt>
                <c:pt idx="3310">
                  <c:v>41844</c:v>
                </c:pt>
                <c:pt idx="3311">
                  <c:v>41845</c:v>
                </c:pt>
                <c:pt idx="3312">
                  <c:v>41846</c:v>
                </c:pt>
                <c:pt idx="3313">
                  <c:v>41847</c:v>
                </c:pt>
                <c:pt idx="3314">
                  <c:v>41848</c:v>
                </c:pt>
                <c:pt idx="3315">
                  <c:v>41849</c:v>
                </c:pt>
                <c:pt idx="3316">
                  <c:v>41850</c:v>
                </c:pt>
                <c:pt idx="3317">
                  <c:v>41851</c:v>
                </c:pt>
                <c:pt idx="3318">
                  <c:v>41852</c:v>
                </c:pt>
                <c:pt idx="3319">
                  <c:v>41853</c:v>
                </c:pt>
                <c:pt idx="3320">
                  <c:v>41854</c:v>
                </c:pt>
                <c:pt idx="3321">
                  <c:v>41855</c:v>
                </c:pt>
                <c:pt idx="3322">
                  <c:v>41856</c:v>
                </c:pt>
                <c:pt idx="3323">
                  <c:v>41857</c:v>
                </c:pt>
                <c:pt idx="3324">
                  <c:v>41858</c:v>
                </c:pt>
                <c:pt idx="3325">
                  <c:v>41859</c:v>
                </c:pt>
                <c:pt idx="3326">
                  <c:v>41860</c:v>
                </c:pt>
                <c:pt idx="3327">
                  <c:v>41861</c:v>
                </c:pt>
                <c:pt idx="3328">
                  <c:v>41862</c:v>
                </c:pt>
                <c:pt idx="3329">
                  <c:v>41863</c:v>
                </c:pt>
                <c:pt idx="3330">
                  <c:v>41864</c:v>
                </c:pt>
                <c:pt idx="3331">
                  <c:v>41865</c:v>
                </c:pt>
                <c:pt idx="3332">
                  <c:v>41866</c:v>
                </c:pt>
                <c:pt idx="3333">
                  <c:v>41867</c:v>
                </c:pt>
                <c:pt idx="3334">
                  <c:v>41868</c:v>
                </c:pt>
                <c:pt idx="3335">
                  <c:v>41869</c:v>
                </c:pt>
                <c:pt idx="3336">
                  <c:v>41870</c:v>
                </c:pt>
                <c:pt idx="3337">
                  <c:v>41871</c:v>
                </c:pt>
                <c:pt idx="3338">
                  <c:v>41872</c:v>
                </c:pt>
                <c:pt idx="3339">
                  <c:v>41873</c:v>
                </c:pt>
                <c:pt idx="3340">
                  <c:v>41874</c:v>
                </c:pt>
                <c:pt idx="3341">
                  <c:v>41875</c:v>
                </c:pt>
                <c:pt idx="3342">
                  <c:v>41876</c:v>
                </c:pt>
                <c:pt idx="3343">
                  <c:v>41877</c:v>
                </c:pt>
                <c:pt idx="3344">
                  <c:v>41878</c:v>
                </c:pt>
                <c:pt idx="3345">
                  <c:v>41879</c:v>
                </c:pt>
                <c:pt idx="3346">
                  <c:v>41880</c:v>
                </c:pt>
                <c:pt idx="3347">
                  <c:v>41881</c:v>
                </c:pt>
                <c:pt idx="3348">
                  <c:v>41882</c:v>
                </c:pt>
                <c:pt idx="3349">
                  <c:v>41883</c:v>
                </c:pt>
                <c:pt idx="3350">
                  <c:v>41884</c:v>
                </c:pt>
                <c:pt idx="3351">
                  <c:v>41885</c:v>
                </c:pt>
                <c:pt idx="3352">
                  <c:v>41886</c:v>
                </c:pt>
                <c:pt idx="3353">
                  <c:v>41887</c:v>
                </c:pt>
                <c:pt idx="3354">
                  <c:v>41888</c:v>
                </c:pt>
                <c:pt idx="3355">
                  <c:v>41889</c:v>
                </c:pt>
                <c:pt idx="3356">
                  <c:v>41890</c:v>
                </c:pt>
                <c:pt idx="3357">
                  <c:v>41891</c:v>
                </c:pt>
                <c:pt idx="3358">
                  <c:v>41892</c:v>
                </c:pt>
                <c:pt idx="3359">
                  <c:v>41893</c:v>
                </c:pt>
                <c:pt idx="3360">
                  <c:v>41894</c:v>
                </c:pt>
                <c:pt idx="3361">
                  <c:v>41895</c:v>
                </c:pt>
                <c:pt idx="3362">
                  <c:v>41896</c:v>
                </c:pt>
                <c:pt idx="3363">
                  <c:v>41897</c:v>
                </c:pt>
                <c:pt idx="3364">
                  <c:v>41898</c:v>
                </c:pt>
                <c:pt idx="3365">
                  <c:v>41899</c:v>
                </c:pt>
                <c:pt idx="3366">
                  <c:v>41900</c:v>
                </c:pt>
                <c:pt idx="3367">
                  <c:v>41901</c:v>
                </c:pt>
                <c:pt idx="3368">
                  <c:v>41902</c:v>
                </c:pt>
                <c:pt idx="3369">
                  <c:v>41903</c:v>
                </c:pt>
                <c:pt idx="3370">
                  <c:v>41904</c:v>
                </c:pt>
                <c:pt idx="3371">
                  <c:v>41905</c:v>
                </c:pt>
                <c:pt idx="3372">
                  <c:v>41906</c:v>
                </c:pt>
                <c:pt idx="3373">
                  <c:v>41907</c:v>
                </c:pt>
                <c:pt idx="3374">
                  <c:v>41908</c:v>
                </c:pt>
                <c:pt idx="3375">
                  <c:v>41909</c:v>
                </c:pt>
                <c:pt idx="3376">
                  <c:v>41910</c:v>
                </c:pt>
                <c:pt idx="3377">
                  <c:v>41911</c:v>
                </c:pt>
                <c:pt idx="3378">
                  <c:v>41912</c:v>
                </c:pt>
                <c:pt idx="3379">
                  <c:v>41913</c:v>
                </c:pt>
                <c:pt idx="3380">
                  <c:v>41914</c:v>
                </c:pt>
                <c:pt idx="3381">
                  <c:v>41915</c:v>
                </c:pt>
                <c:pt idx="3382">
                  <c:v>41916</c:v>
                </c:pt>
                <c:pt idx="3383">
                  <c:v>41917</c:v>
                </c:pt>
                <c:pt idx="3384">
                  <c:v>41918</c:v>
                </c:pt>
                <c:pt idx="3385">
                  <c:v>41919</c:v>
                </c:pt>
                <c:pt idx="3386">
                  <c:v>41920</c:v>
                </c:pt>
                <c:pt idx="3387">
                  <c:v>41921</c:v>
                </c:pt>
                <c:pt idx="3388">
                  <c:v>41922</c:v>
                </c:pt>
                <c:pt idx="3389">
                  <c:v>41923</c:v>
                </c:pt>
                <c:pt idx="3390">
                  <c:v>41924</c:v>
                </c:pt>
                <c:pt idx="3391">
                  <c:v>41925</c:v>
                </c:pt>
                <c:pt idx="3392">
                  <c:v>41926</c:v>
                </c:pt>
                <c:pt idx="3393">
                  <c:v>41927</c:v>
                </c:pt>
                <c:pt idx="3394">
                  <c:v>41928</c:v>
                </c:pt>
                <c:pt idx="3395">
                  <c:v>41929</c:v>
                </c:pt>
                <c:pt idx="3396">
                  <c:v>41930</c:v>
                </c:pt>
                <c:pt idx="3397">
                  <c:v>41931</c:v>
                </c:pt>
                <c:pt idx="3398">
                  <c:v>41932</c:v>
                </c:pt>
                <c:pt idx="3399">
                  <c:v>41933</c:v>
                </c:pt>
                <c:pt idx="3400">
                  <c:v>41934</c:v>
                </c:pt>
                <c:pt idx="3401">
                  <c:v>41935</c:v>
                </c:pt>
                <c:pt idx="3402">
                  <c:v>41936</c:v>
                </c:pt>
                <c:pt idx="3403">
                  <c:v>41937</c:v>
                </c:pt>
                <c:pt idx="3404">
                  <c:v>41938</c:v>
                </c:pt>
                <c:pt idx="3405">
                  <c:v>41939</c:v>
                </c:pt>
                <c:pt idx="3406">
                  <c:v>41940</c:v>
                </c:pt>
                <c:pt idx="3407">
                  <c:v>41941</c:v>
                </c:pt>
                <c:pt idx="3408">
                  <c:v>41942</c:v>
                </c:pt>
                <c:pt idx="3409">
                  <c:v>41943</c:v>
                </c:pt>
                <c:pt idx="3410">
                  <c:v>41944</c:v>
                </c:pt>
                <c:pt idx="3411">
                  <c:v>41945</c:v>
                </c:pt>
                <c:pt idx="3412">
                  <c:v>41946</c:v>
                </c:pt>
                <c:pt idx="3413">
                  <c:v>41947</c:v>
                </c:pt>
                <c:pt idx="3414">
                  <c:v>41948</c:v>
                </c:pt>
                <c:pt idx="3415">
                  <c:v>41949</c:v>
                </c:pt>
                <c:pt idx="3416">
                  <c:v>41950</c:v>
                </c:pt>
                <c:pt idx="3417">
                  <c:v>41951</c:v>
                </c:pt>
                <c:pt idx="3418">
                  <c:v>41952</c:v>
                </c:pt>
                <c:pt idx="3419">
                  <c:v>41953</c:v>
                </c:pt>
                <c:pt idx="3420">
                  <c:v>41954</c:v>
                </c:pt>
                <c:pt idx="3421">
                  <c:v>41955</c:v>
                </c:pt>
                <c:pt idx="3422">
                  <c:v>41956</c:v>
                </c:pt>
                <c:pt idx="3423">
                  <c:v>41957</c:v>
                </c:pt>
                <c:pt idx="3424">
                  <c:v>41958</c:v>
                </c:pt>
                <c:pt idx="3425">
                  <c:v>41959</c:v>
                </c:pt>
                <c:pt idx="3426">
                  <c:v>41960</c:v>
                </c:pt>
                <c:pt idx="3427">
                  <c:v>41961</c:v>
                </c:pt>
                <c:pt idx="3428">
                  <c:v>41962</c:v>
                </c:pt>
                <c:pt idx="3429">
                  <c:v>41963</c:v>
                </c:pt>
                <c:pt idx="3430">
                  <c:v>41964</c:v>
                </c:pt>
                <c:pt idx="3431">
                  <c:v>41965</c:v>
                </c:pt>
                <c:pt idx="3432">
                  <c:v>41966</c:v>
                </c:pt>
                <c:pt idx="3433">
                  <c:v>41967</c:v>
                </c:pt>
                <c:pt idx="3434">
                  <c:v>41968</c:v>
                </c:pt>
                <c:pt idx="3435">
                  <c:v>41969</c:v>
                </c:pt>
                <c:pt idx="3436">
                  <c:v>41970</c:v>
                </c:pt>
                <c:pt idx="3437">
                  <c:v>41971</c:v>
                </c:pt>
                <c:pt idx="3438">
                  <c:v>41972</c:v>
                </c:pt>
                <c:pt idx="3439">
                  <c:v>41973</c:v>
                </c:pt>
                <c:pt idx="3440">
                  <c:v>41974</c:v>
                </c:pt>
                <c:pt idx="3441">
                  <c:v>41975</c:v>
                </c:pt>
                <c:pt idx="3442">
                  <c:v>41976</c:v>
                </c:pt>
                <c:pt idx="3443">
                  <c:v>41977</c:v>
                </c:pt>
                <c:pt idx="3444">
                  <c:v>41978</c:v>
                </c:pt>
                <c:pt idx="3445">
                  <c:v>41979</c:v>
                </c:pt>
                <c:pt idx="3446">
                  <c:v>41980</c:v>
                </c:pt>
                <c:pt idx="3447">
                  <c:v>41981</c:v>
                </c:pt>
                <c:pt idx="3448">
                  <c:v>41982</c:v>
                </c:pt>
                <c:pt idx="3449">
                  <c:v>41983</c:v>
                </c:pt>
                <c:pt idx="3450">
                  <c:v>41984</c:v>
                </c:pt>
                <c:pt idx="3451">
                  <c:v>41985</c:v>
                </c:pt>
                <c:pt idx="3452">
                  <c:v>41986</c:v>
                </c:pt>
                <c:pt idx="3453">
                  <c:v>41987</c:v>
                </c:pt>
                <c:pt idx="3454">
                  <c:v>41988</c:v>
                </c:pt>
                <c:pt idx="3455">
                  <c:v>41989</c:v>
                </c:pt>
                <c:pt idx="3456">
                  <c:v>41990</c:v>
                </c:pt>
                <c:pt idx="3457">
                  <c:v>41991</c:v>
                </c:pt>
                <c:pt idx="3458">
                  <c:v>41992</c:v>
                </c:pt>
                <c:pt idx="3459">
                  <c:v>41993</c:v>
                </c:pt>
                <c:pt idx="3460">
                  <c:v>41994</c:v>
                </c:pt>
                <c:pt idx="3461">
                  <c:v>41995</c:v>
                </c:pt>
                <c:pt idx="3462">
                  <c:v>41996</c:v>
                </c:pt>
                <c:pt idx="3463">
                  <c:v>41997</c:v>
                </c:pt>
                <c:pt idx="3464">
                  <c:v>41998</c:v>
                </c:pt>
                <c:pt idx="3465">
                  <c:v>41999</c:v>
                </c:pt>
                <c:pt idx="3466">
                  <c:v>42000</c:v>
                </c:pt>
                <c:pt idx="3467">
                  <c:v>42001</c:v>
                </c:pt>
                <c:pt idx="3468">
                  <c:v>42002</c:v>
                </c:pt>
                <c:pt idx="3469">
                  <c:v>42003</c:v>
                </c:pt>
                <c:pt idx="3470">
                  <c:v>42004</c:v>
                </c:pt>
                <c:pt idx="3471">
                  <c:v>42005</c:v>
                </c:pt>
                <c:pt idx="3472">
                  <c:v>42006</c:v>
                </c:pt>
                <c:pt idx="3473">
                  <c:v>42007</c:v>
                </c:pt>
                <c:pt idx="3474">
                  <c:v>42008</c:v>
                </c:pt>
                <c:pt idx="3475">
                  <c:v>42009</c:v>
                </c:pt>
                <c:pt idx="3476">
                  <c:v>42010</c:v>
                </c:pt>
                <c:pt idx="3477">
                  <c:v>42011</c:v>
                </c:pt>
                <c:pt idx="3478">
                  <c:v>42012</c:v>
                </c:pt>
                <c:pt idx="3479">
                  <c:v>42013</c:v>
                </c:pt>
                <c:pt idx="3480">
                  <c:v>42014</c:v>
                </c:pt>
                <c:pt idx="3481">
                  <c:v>42015</c:v>
                </c:pt>
                <c:pt idx="3482">
                  <c:v>42016</c:v>
                </c:pt>
                <c:pt idx="3483">
                  <c:v>42017</c:v>
                </c:pt>
                <c:pt idx="3484">
                  <c:v>42018</c:v>
                </c:pt>
                <c:pt idx="3485">
                  <c:v>42019</c:v>
                </c:pt>
                <c:pt idx="3486">
                  <c:v>42020</c:v>
                </c:pt>
                <c:pt idx="3487">
                  <c:v>42021</c:v>
                </c:pt>
                <c:pt idx="3488">
                  <c:v>42022</c:v>
                </c:pt>
                <c:pt idx="3489">
                  <c:v>42023</c:v>
                </c:pt>
                <c:pt idx="3490">
                  <c:v>42024</c:v>
                </c:pt>
                <c:pt idx="3491">
                  <c:v>42025</c:v>
                </c:pt>
                <c:pt idx="3492">
                  <c:v>42026</c:v>
                </c:pt>
                <c:pt idx="3493">
                  <c:v>42027</c:v>
                </c:pt>
                <c:pt idx="3494">
                  <c:v>42028</c:v>
                </c:pt>
                <c:pt idx="3495">
                  <c:v>42029</c:v>
                </c:pt>
                <c:pt idx="3496">
                  <c:v>42030</c:v>
                </c:pt>
                <c:pt idx="3497">
                  <c:v>42031</c:v>
                </c:pt>
                <c:pt idx="3498">
                  <c:v>42032</c:v>
                </c:pt>
                <c:pt idx="3499">
                  <c:v>42033</c:v>
                </c:pt>
                <c:pt idx="3500">
                  <c:v>42034</c:v>
                </c:pt>
                <c:pt idx="3501">
                  <c:v>42035</c:v>
                </c:pt>
                <c:pt idx="3502">
                  <c:v>42036</c:v>
                </c:pt>
                <c:pt idx="3503">
                  <c:v>42037</c:v>
                </c:pt>
                <c:pt idx="3504">
                  <c:v>42038</c:v>
                </c:pt>
                <c:pt idx="3505">
                  <c:v>42039</c:v>
                </c:pt>
                <c:pt idx="3506">
                  <c:v>42040</c:v>
                </c:pt>
                <c:pt idx="3507">
                  <c:v>42041</c:v>
                </c:pt>
                <c:pt idx="3508">
                  <c:v>42042</c:v>
                </c:pt>
                <c:pt idx="3509">
                  <c:v>42043</c:v>
                </c:pt>
                <c:pt idx="3510">
                  <c:v>42044</c:v>
                </c:pt>
                <c:pt idx="3511">
                  <c:v>42045</c:v>
                </c:pt>
                <c:pt idx="3512">
                  <c:v>42046</c:v>
                </c:pt>
                <c:pt idx="3513">
                  <c:v>42047</c:v>
                </c:pt>
                <c:pt idx="3514">
                  <c:v>42048</c:v>
                </c:pt>
                <c:pt idx="3515">
                  <c:v>42049</c:v>
                </c:pt>
                <c:pt idx="3516">
                  <c:v>42050</c:v>
                </c:pt>
                <c:pt idx="3517">
                  <c:v>42051</c:v>
                </c:pt>
                <c:pt idx="3518">
                  <c:v>42052</c:v>
                </c:pt>
                <c:pt idx="3519">
                  <c:v>42053</c:v>
                </c:pt>
                <c:pt idx="3520">
                  <c:v>42054</c:v>
                </c:pt>
                <c:pt idx="3521">
                  <c:v>42055</c:v>
                </c:pt>
                <c:pt idx="3522">
                  <c:v>42056</c:v>
                </c:pt>
                <c:pt idx="3523">
                  <c:v>42057</c:v>
                </c:pt>
                <c:pt idx="3524">
                  <c:v>42058</c:v>
                </c:pt>
                <c:pt idx="3525">
                  <c:v>42059</c:v>
                </c:pt>
                <c:pt idx="3526">
                  <c:v>42060</c:v>
                </c:pt>
                <c:pt idx="3527">
                  <c:v>42061</c:v>
                </c:pt>
                <c:pt idx="3528">
                  <c:v>42062</c:v>
                </c:pt>
                <c:pt idx="3529">
                  <c:v>42063</c:v>
                </c:pt>
                <c:pt idx="3530">
                  <c:v>42064</c:v>
                </c:pt>
                <c:pt idx="3531">
                  <c:v>42065</c:v>
                </c:pt>
                <c:pt idx="3532">
                  <c:v>42066</c:v>
                </c:pt>
                <c:pt idx="3533">
                  <c:v>42067</c:v>
                </c:pt>
                <c:pt idx="3534">
                  <c:v>42068</c:v>
                </c:pt>
                <c:pt idx="3535">
                  <c:v>42069</c:v>
                </c:pt>
                <c:pt idx="3536">
                  <c:v>42070</c:v>
                </c:pt>
                <c:pt idx="3537">
                  <c:v>42071</c:v>
                </c:pt>
                <c:pt idx="3538">
                  <c:v>42072</c:v>
                </c:pt>
                <c:pt idx="3539">
                  <c:v>42073</c:v>
                </c:pt>
                <c:pt idx="3540">
                  <c:v>42074</c:v>
                </c:pt>
                <c:pt idx="3541">
                  <c:v>42075</c:v>
                </c:pt>
                <c:pt idx="3542">
                  <c:v>42076</c:v>
                </c:pt>
                <c:pt idx="3543">
                  <c:v>42077</c:v>
                </c:pt>
                <c:pt idx="3544">
                  <c:v>42078</c:v>
                </c:pt>
                <c:pt idx="3545">
                  <c:v>42079</c:v>
                </c:pt>
                <c:pt idx="3546">
                  <c:v>42080</c:v>
                </c:pt>
                <c:pt idx="3547">
                  <c:v>42081</c:v>
                </c:pt>
                <c:pt idx="3548">
                  <c:v>42082</c:v>
                </c:pt>
                <c:pt idx="3549">
                  <c:v>42083</c:v>
                </c:pt>
                <c:pt idx="3550">
                  <c:v>42084</c:v>
                </c:pt>
                <c:pt idx="3551">
                  <c:v>42085</c:v>
                </c:pt>
                <c:pt idx="3552">
                  <c:v>42086</c:v>
                </c:pt>
                <c:pt idx="3553">
                  <c:v>42087</c:v>
                </c:pt>
                <c:pt idx="3554">
                  <c:v>42088</c:v>
                </c:pt>
                <c:pt idx="3555">
                  <c:v>42089</c:v>
                </c:pt>
                <c:pt idx="3556">
                  <c:v>42090</c:v>
                </c:pt>
                <c:pt idx="3557">
                  <c:v>42091</c:v>
                </c:pt>
                <c:pt idx="3558">
                  <c:v>42092</c:v>
                </c:pt>
                <c:pt idx="3559">
                  <c:v>42093</c:v>
                </c:pt>
                <c:pt idx="3560">
                  <c:v>42094</c:v>
                </c:pt>
                <c:pt idx="3561">
                  <c:v>42095</c:v>
                </c:pt>
                <c:pt idx="3562">
                  <c:v>42096</c:v>
                </c:pt>
                <c:pt idx="3563">
                  <c:v>42097</c:v>
                </c:pt>
                <c:pt idx="3564">
                  <c:v>42098</c:v>
                </c:pt>
                <c:pt idx="3565">
                  <c:v>42099</c:v>
                </c:pt>
                <c:pt idx="3566">
                  <c:v>42100</c:v>
                </c:pt>
                <c:pt idx="3567">
                  <c:v>42101</c:v>
                </c:pt>
                <c:pt idx="3568">
                  <c:v>42102</c:v>
                </c:pt>
                <c:pt idx="3569">
                  <c:v>42103</c:v>
                </c:pt>
                <c:pt idx="3570">
                  <c:v>42104</c:v>
                </c:pt>
                <c:pt idx="3571">
                  <c:v>42105</c:v>
                </c:pt>
                <c:pt idx="3572">
                  <c:v>42106</c:v>
                </c:pt>
                <c:pt idx="3573">
                  <c:v>42107</c:v>
                </c:pt>
                <c:pt idx="3574">
                  <c:v>42108</c:v>
                </c:pt>
                <c:pt idx="3575">
                  <c:v>42109</c:v>
                </c:pt>
                <c:pt idx="3576">
                  <c:v>42110</c:v>
                </c:pt>
                <c:pt idx="3577">
                  <c:v>42111</c:v>
                </c:pt>
                <c:pt idx="3578">
                  <c:v>42112</c:v>
                </c:pt>
                <c:pt idx="3579">
                  <c:v>42113</c:v>
                </c:pt>
                <c:pt idx="3580">
                  <c:v>42114</c:v>
                </c:pt>
                <c:pt idx="3581">
                  <c:v>42115</c:v>
                </c:pt>
                <c:pt idx="3582">
                  <c:v>42116</c:v>
                </c:pt>
                <c:pt idx="3583">
                  <c:v>42117</c:v>
                </c:pt>
                <c:pt idx="3584">
                  <c:v>42118</c:v>
                </c:pt>
                <c:pt idx="3585">
                  <c:v>42119</c:v>
                </c:pt>
                <c:pt idx="3586">
                  <c:v>42120</c:v>
                </c:pt>
                <c:pt idx="3587">
                  <c:v>42121</c:v>
                </c:pt>
                <c:pt idx="3588">
                  <c:v>42122</c:v>
                </c:pt>
                <c:pt idx="3589">
                  <c:v>42123</c:v>
                </c:pt>
                <c:pt idx="3590">
                  <c:v>42124</c:v>
                </c:pt>
                <c:pt idx="3591">
                  <c:v>42125</c:v>
                </c:pt>
                <c:pt idx="3592">
                  <c:v>42126</c:v>
                </c:pt>
                <c:pt idx="3593">
                  <c:v>42127</c:v>
                </c:pt>
                <c:pt idx="3594">
                  <c:v>42128</c:v>
                </c:pt>
                <c:pt idx="3595">
                  <c:v>42129</c:v>
                </c:pt>
                <c:pt idx="3596">
                  <c:v>42130</c:v>
                </c:pt>
                <c:pt idx="3597">
                  <c:v>42131</c:v>
                </c:pt>
                <c:pt idx="3598">
                  <c:v>42132</c:v>
                </c:pt>
                <c:pt idx="3599">
                  <c:v>42133</c:v>
                </c:pt>
                <c:pt idx="3600">
                  <c:v>42134</c:v>
                </c:pt>
                <c:pt idx="3601">
                  <c:v>42135</c:v>
                </c:pt>
                <c:pt idx="3602">
                  <c:v>42136</c:v>
                </c:pt>
                <c:pt idx="3603">
                  <c:v>42137</c:v>
                </c:pt>
                <c:pt idx="3604">
                  <c:v>42138</c:v>
                </c:pt>
                <c:pt idx="3605">
                  <c:v>42139</c:v>
                </c:pt>
                <c:pt idx="3606">
                  <c:v>42140</c:v>
                </c:pt>
                <c:pt idx="3607">
                  <c:v>42141</c:v>
                </c:pt>
                <c:pt idx="3608">
                  <c:v>42142</c:v>
                </c:pt>
                <c:pt idx="3609">
                  <c:v>42143</c:v>
                </c:pt>
                <c:pt idx="3610">
                  <c:v>42144</c:v>
                </c:pt>
                <c:pt idx="3611">
                  <c:v>42145</c:v>
                </c:pt>
                <c:pt idx="3612">
                  <c:v>42146</c:v>
                </c:pt>
                <c:pt idx="3613">
                  <c:v>42147</c:v>
                </c:pt>
                <c:pt idx="3614">
                  <c:v>42148</c:v>
                </c:pt>
                <c:pt idx="3615">
                  <c:v>42149</c:v>
                </c:pt>
                <c:pt idx="3616">
                  <c:v>42150</c:v>
                </c:pt>
                <c:pt idx="3617">
                  <c:v>42151</c:v>
                </c:pt>
                <c:pt idx="3618">
                  <c:v>42152</c:v>
                </c:pt>
                <c:pt idx="3619">
                  <c:v>42153</c:v>
                </c:pt>
                <c:pt idx="3620">
                  <c:v>42154</c:v>
                </c:pt>
                <c:pt idx="3621">
                  <c:v>42155</c:v>
                </c:pt>
                <c:pt idx="3622">
                  <c:v>42156</c:v>
                </c:pt>
                <c:pt idx="3623">
                  <c:v>42157</c:v>
                </c:pt>
                <c:pt idx="3624">
                  <c:v>42158</c:v>
                </c:pt>
                <c:pt idx="3625">
                  <c:v>42159</c:v>
                </c:pt>
                <c:pt idx="3626">
                  <c:v>42160</c:v>
                </c:pt>
                <c:pt idx="3627">
                  <c:v>42161</c:v>
                </c:pt>
                <c:pt idx="3628">
                  <c:v>42162</c:v>
                </c:pt>
                <c:pt idx="3629">
                  <c:v>42163</c:v>
                </c:pt>
                <c:pt idx="3630">
                  <c:v>42164</c:v>
                </c:pt>
                <c:pt idx="3631">
                  <c:v>42165</c:v>
                </c:pt>
                <c:pt idx="3632">
                  <c:v>42166</c:v>
                </c:pt>
                <c:pt idx="3633">
                  <c:v>42167</c:v>
                </c:pt>
                <c:pt idx="3634">
                  <c:v>42168</c:v>
                </c:pt>
                <c:pt idx="3635">
                  <c:v>42169</c:v>
                </c:pt>
                <c:pt idx="3636">
                  <c:v>42170</c:v>
                </c:pt>
                <c:pt idx="3637">
                  <c:v>42171</c:v>
                </c:pt>
                <c:pt idx="3638">
                  <c:v>42172</c:v>
                </c:pt>
                <c:pt idx="3639">
                  <c:v>42173</c:v>
                </c:pt>
                <c:pt idx="3640">
                  <c:v>42174</c:v>
                </c:pt>
                <c:pt idx="3641">
                  <c:v>42175</c:v>
                </c:pt>
                <c:pt idx="3642">
                  <c:v>42176</c:v>
                </c:pt>
                <c:pt idx="3643">
                  <c:v>42177</c:v>
                </c:pt>
                <c:pt idx="3644">
                  <c:v>42178</c:v>
                </c:pt>
                <c:pt idx="3645">
                  <c:v>42179</c:v>
                </c:pt>
                <c:pt idx="3646">
                  <c:v>42180</c:v>
                </c:pt>
                <c:pt idx="3647">
                  <c:v>42181</c:v>
                </c:pt>
                <c:pt idx="3648">
                  <c:v>42182</c:v>
                </c:pt>
                <c:pt idx="3649">
                  <c:v>42183</c:v>
                </c:pt>
                <c:pt idx="3650">
                  <c:v>42184</c:v>
                </c:pt>
                <c:pt idx="3651">
                  <c:v>42185</c:v>
                </c:pt>
                <c:pt idx="3652">
                  <c:v>42186</c:v>
                </c:pt>
                <c:pt idx="3653">
                  <c:v>42187</c:v>
                </c:pt>
                <c:pt idx="3654">
                  <c:v>42188</c:v>
                </c:pt>
                <c:pt idx="3655">
                  <c:v>42189</c:v>
                </c:pt>
                <c:pt idx="3656">
                  <c:v>42190</c:v>
                </c:pt>
                <c:pt idx="3657">
                  <c:v>42191</c:v>
                </c:pt>
                <c:pt idx="3658">
                  <c:v>42192</c:v>
                </c:pt>
                <c:pt idx="3659">
                  <c:v>42193</c:v>
                </c:pt>
                <c:pt idx="3660">
                  <c:v>42194</c:v>
                </c:pt>
                <c:pt idx="3661">
                  <c:v>42195</c:v>
                </c:pt>
                <c:pt idx="3662">
                  <c:v>42196</c:v>
                </c:pt>
                <c:pt idx="3663">
                  <c:v>42197</c:v>
                </c:pt>
                <c:pt idx="3664">
                  <c:v>42198</c:v>
                </c:pt>
                <c:pt idx="3665">
                  <c:v>42199</c:v>
                </c:pt>
                <c:pt idx="3666">
                  <c:v>42200</c:v>
                </c:pt>
                <c:pt idx="3667">
                  <c:v>42201</c:v>
                </c:pt>
                <c:pt idx="3668">
                  <c:v>42202</c:v>
                </c:pt>
                <c:pt idx="3669">
                  <c:v>42203</c:v>
                </c:pt>
                <c:pt idx="3670">
                  <c:v>42204</c:v>
                </c:pt>
                <c:pt idx="3671">
                  <c:v>42205</c:v>
                </c:pt>
                <c:pt idx="3672">
                  <c:v>42206</c:v>
                </c:pt>
                <c:pt idx="3673">
                  <c:v>42207</c:v>
                </c:pt>
                <c:pt idx="3674">
                  <c:v>42208</c:v>
                </c:pt>
                <c:pt idx="3675">
                  <c:v>42209</c:v>
                </c:pt>
                <c:pt idx="3676">
                  <c:v>42210</c:v>
                </c:pt>
                <c:pt idx="3677">
                  <c:v>42211</c:v>
                </c:pt>
                <c:pt idx="3678">
                  <c:v>42212</c:v>
                </c:pt>
                <c:pt idx="3679">
                  <c:v>42213</c:v>
                </c:pt>
                <c:pt idx="3680">
                  <c:v>42214</c:v>
                </c:pt>
                <c:pt idx="3681">
                  <c:v>42215</c:v>
                </c:pt>
                <c:pt idx="3682">
                  <c:v>42216</c:v>
                </c:pt>
                <c:pt idx="3683">
                  <c:v>42217</c:v>
                </c:pt>
                <c:pt idx="3684">
                  <c:v>42218</c:v>
                </c:pt>
                <c:pt idx="3685">
                  <c:v>42219</c:v>
                </c:pt>
                <c:pt idx="3686">
                  <c:v>42220</c:v>
                </c:pt>
                <c:pt idx="3687">
                  <c:v>42221</c:v>
                </c:pt>
                <c:pt idx="3688">
                  <c:v>42222</c:v>
                </c:pt>
                <c:pt idx="3689">
                  <c:v>42223</c:v>
                </c:pt>
                <c:pt idx="3690">
                  <c:v>42224</c:v>
                </c:pt>
                <c:pt idx="3691">
                  <c:v>42225</c:v>
                </c:pt>
                <c:pt idx="3692">
                  <c:v>42226</c:v>
                </c:pt>
                <c:pt idx="3693">
                  <c:v>42227</c:v>
                </c:pt>
                <c:pt idx="3694">
                  <c:v>42228</c:v>
                </c:pt>
                <c:pt idx="3695">
                  <c:v>42229</c:v>
                </c:pt>
                <c:pt idx="3696">
                  <c:v>42230</c:v>
                </c:pt>
                <c:pt idx="3697">
                  <c:v>42231</c:v>
                </c:pt>
                <c:pt idx="3698">
                  <c:v>42232</c:v>
                </c:pt>
                <c:pt idx="3699">
                  <c:v>42233</c:v>
                </c:pt>
                <c:pt idx="3700">
                  <c:v>42234</c:v>
                </c:pt>
                <c:pt idx="3701">
                  <c:v>42235</c:v>
                </c:pt>
                <c:pt idx="3702">
                  <c:v>42236</c:v>
                </c:pt>
                <c:pt idx="3703">
                  <c:v>42237</c:v>
                </c:pt>
                <c:pt idx="3704">
                  <c:v>42238</c:v>
                </c:pt>
                <c:pt idx="3705">
                  <c:v>42239</c:v>
                </c:pt>
                <c:pt idx="3706">
                  <c:v>42240</c:v>
                </c:pt>
                <c:pt idx="3707">
                  <c:v>42241</c:v>
                </c:pt>
                <c:pt idx="3708">
                  <c:v>42242</c:v>
                </c:pt>
                <c:pt idx="3709">
                  <c:v>42243</c:v>
                </c:pt>
                <c:pt idx="3710">
                  <c:v>42244</c:v>
                </c:pt>
                <c:pt idx="3711">
                  <c:v>42245</c:v>
                </c:pt>
                <c:pt idx="3712">
                  <c:v>42246</c:v>
                </c:pt>
                <c:pt idx="3713">
                  <c:v>42247</c:v>
                </c:pt>
                <c:pt idx="3714">
                  <c:v>42248</c:v>
                </c:pt>
                <c:pt idx="3715">
                  <c:v>42249</c:v>
                </c:pt>
                <c:pt idx="3716">
                  <c:v>42250</c:v>
                </c:pt>
                <c:pt idx="3717">
                  <c:v>42251</c:v>
                </c:pt>
                <c:pt idx="3718">
                  <c:v>42252</c:v>
                </c:pt>
                <c:pt idx="3719">
                  <c:v>42253</c:v>
                </c:pt>
                <c:pt idx="3720">
                  <c:v>42254</c:v>
                </c:pt>
                <c:pt idx="3721">
                  <c:v>42255</c:v>
                </c:pt>
                <c:pt idx="3722">
                  <c:v>42256</c:v>
                </c:pt>
                <c:pt idx="3723">
                  <c:v>42257</c:v>
                </c:pt>
                <c:pt idx="3724">
                  <c:v>42258</c:v>
                </c:pt>
                <c:pt idx="3725">
                  <c:v>42259</c:v>
                </c:pt>
                <c:pt idx="3726">
                  <c:v>42260</c:v>
                </c:pt>
                <c:pt idx="3727">
                  <c:v>42261</c:v>
                </c:pt>
                <c:pt idx="3728">
                  <c:v>42262</c:v>
                </c:pt>
                <c:pt idx="3729">
                  <c:v>42263</c:v>
                </c:pt>
                <c:pt idx="3730">
                  <c:v>42264</c:v>
                </c:pt>
                <c:pt idx="3731">
                  <c:v>42265</c:v>
                </c:pt>
                <c:pt idx="3732">
                  <c:v>42266</c:v>
                </c:pt>
                <c:pt idx="3733">
                  <c:v>42267</c:v>
                </c:pt>
                <c:pt idx="3734">
                  <c:v>42268</c:v>
                </c:pt>
                <c:pt idx="3735">
                  <c:v>42269</c:v>
                </c:pt>
                <c:pt idx="3736">
                  <c:v>42270</c:v>
                </c:pt>
                <c:pt idx="3737">
                  <c:v>42271</c:v>
                </c:pt>
                <c:pt idx="3738">
                  <c:v>42272</c:v>
                </c:pt>
                <c:pt idx="3739">
                  <c:v>42273</c:v>
                </c:pt>
                <c:pt idx="3740">
                  <c:v>42274</c:v>
                </c:pt>
                <c:pt idx="3741">
                  <c:v>42275</c:v>
                </c:pt>
                <c:pt idx="3742">
                  <c:v>42276</c:v>
                </c:pt>
                <c:pt idx="3743">
                  <c:v>42277</c:v>
                </c:pt>
                <c:pt idx="3744">
                  <c:v>42278</c:v>
                </c:pt>
                <c:pt idx="3745">
                  <c:v>42279</c:v>
                </c:pt>
                <c:pt idx="3746">
                  <c:v>42280</c:v>
                </c:pt>
                <c:pt idx="3747">
                  <c:v>42281</c:v>
                </c:pt>
                <c:pt idx="3748">
                  <c:v>42282</c:v>
                </c:pt>
                <c:pt idx="3749">
                  <c:v>42283</c:v>
                </c:pt>
                <c:pt idx="3750">
                  <c:v>42284</c:v>
                </c:pt>
                <c:pt idx="3751">
                  <c:v>42285</c:v>
                </c:pt>
                <c:pt idx="3752">
                  <c:v>42286</c:v>
                </c:pt>
                <c:pt idx="3753">
                  <c:v>42287</c:v>
                </c:pt>
                <c:pt idx="3754">
                  <c:v>42288</c:v>
                </c:pt>
                <c:pt idx="3755">
                  <c:v>42289</c:v>
                </c:pt>
                <c:pt idx="3756">
                  <c:v>42290</c:v>
                </c:pt>
                <c:pt idx="3757">
                  <c:v>42291</c:v>
                </c:pt>
                <c:pt idx="3758">
                  <c:v>42292</c:v>
                </c:pt>
                <c:pt idx="3759">
                  <c:v>42293</c:v>
                </c:pt>
                <c:pt idx="3760">
                  <c:v>42294</c:v>
                </c:pt>
                <c:pt idx="3761">
                  <c:v>42295</c:v>
                </c:pt>
                <c:pt idx="3762">
                  <c:v>42296</c:v>
                </c:pt>
                <c:pt idx="3763">
                  <c:v>42297</c:v>
                </c:pt>
                <c:pt idx="3764">
                  <c:v>42298</c:v>
                </c:pt>
                <c:pt idx="3765">
                  <c:v>42299</c:v>
                </c:pt>
                <c:pt idx="3766">
                  <c:v>42300</c:v>
                </c:pt>
                <c:pt idx="3767">
                  <c:v>42301</c:v>
                </c:pt>
                <c:pt idx="3768">
                  <c:v>42302</c:v>
                </c:pt>
                <c:pt idx="3769">
                  <c:v>42303</c:v>
                </c:pt>
                <c:pt idx="3770">
                  <c:v>42304</c:v>
                </c:pt>
                <c:pt idx="3771">
                  <c:v>42305</c:v>
                </c:pt>
                <c:pt idx="3772">
                  <c:v>42306</c:v>
                </c:pt>
                <c:pt idx="3773">
                  <c:v>42307</c:v>
                </c:pt>
                <c:pt idx="3774">
                  <c:v>42308</c:v>
                </c:pt>
                <c:pt idx="3775">
                  <c:v>42309</c:v>
                </c:pt>
                <c:pt idx="3776">
                  <c:v>42310</c:v>
                </c:pt>
                <c:pt idx="3777">
                  <c:v>42311</c:v>
                </c:pt>
                <c:pt idx="3778">
                  <c:v>42312</c:v>
                </c:pt>
                <c:pt idx="3779">
                  <c:v>42313</c:v>
                </c:pt>
                <c:pt idx="3780">
                  <c:v>42314</c:v>
                </c:pt>
                <c:pt idx="3781">
                  <c:v>42315</c:v>
                </c:pt>
                <c:pt idx="3782">
                  <c:v>42316</c:v>
                </c:pt>
                <c:pt idx="3783">
                  <c:v>42317</c:v>
                </c:pt>
                <c:pt idx="3784">
                  <c:v>42318</c:v>
                </c:pt>
                <c:pt idx="3785">
                  <c:v>42319</c:v>
                </c:pt>
                <c:pt idx="3786">
                  <c:v>42320</c:v>
                </c:pt>
                <c:pt idx="3787">
                  <c:v>42321</c:v>
                </c:pt>
                <c:pt idx="3788">
                  <c:v>42322</c:v>
                </c:pt>
                <c:pt idx="3789">
                  <c:v>42323</c:v>
                </c:pt>
                <c:pt idx="3790">
                  <c:v>42324</c:v>
                </c:pt>
                <c:pt idx="3791">
                  <c:v>42325</c:v>
                </c:pt>
                <c:pt idx="3792">
                  <c:v>42326</c:v>
                </c:pt>
                <c:pt idx="3793">
                  <c:v>42327</c:v>
                </c:pt>
                <c:pt idx="3794">
                  <c:v>42328</c:v>
                </c:pt>
                <c:pt idx="3795">
                  <c:v>42329</c:v>
                </c:pt>
                <c:pt idx="3796">
                  <c:v>42330</c:v>
                </c:pt>
                <c:pt idx="3797">
                  <c:v>42331</c:v>
                </c:pt>
                <c:pt idx="3798">
                  <c:v>42332</c:v>
                </c:pt>
                <c:pt idx="3799">
                  <c:v>42333</c:v>
                </c:pt>
                <c:pt idx="3800">
                  <c:v>42334</c:v>
                </c:pt>
                <c:pt idx="3801">
                  <c:v>42335</c:v>
                </c:pt>
                <c:pt idx="3802">
                  <c:v>42336</c:v>
                </c:pt>
                <c:pt idx="3803">
                  <c:v>42337</c:v>
                </c:pt>
                <c:pt idx="3804">
                  <c:v>42338</c:v>
                </c:pt>
                <c:pt idx="3805">
                  <c:v>42339</c:v>
                </c:pt>
                <c:pt idx="3806">
                  <c:v>42340</c:v>
                </c:pt>
                <c:pt idx="3807">
                  <c:v>42341</c:v>
                </c:pt>
                <c:pt idx="3808">
                  <c:v>42342</c:v>
                </c:pt>
                <c:pt idx="3809">
                  <c:v>42343</c:v>
                </c:pt>
                <c:pt idx="3810">
                  <c:v>42344</c:v>
                </c:pt>
                <c:pt idx="3811">
                  <c:v>42345</c:v>
                </c:pt>
                <c:pt idx="3812">
                  <c:v>42346</c:v>
                </c:pt>
                <c:pt idx="3813">
                  <c:v>42347</c:v>
                </c:pt>
                <c:pt idx="3814">
                  <c:v>42348</c:v>
                </c:pt>
                <c:pt idx="3815">
                  <c:v>42349</c:v>
                </c:pt>
                <c:pt idx="3816">
                  <c:v>42350</c:v>
                </c:pt>
                <c:pt idx="3817">
                  <c:v>42351</c:v>
                </c:pt>
                <c:pt idx="3818">
                  <c:v>42352</c:v>
                </c:pt>
                <c:pt idx="3819">
                  <c:v>42353</c:v>
                </c:pt>
                <c:pt idx="3820">
                  <c:v>42354</c:v>
                </c:pt>
                <c:pt idx="3821">
                  <c:v>42355</c:v>
                </c:pt>
                <c:pt idx="3822">
                  <c:v>42356</c:v>
                </c:pt>
                <c:pt idx="3823">
                  <c:v>42357</c:v>
                </c:pt>
                <c:pt idx="3824">
                  <c:v>42358</c:v>
                </c:pt>
                <c:pt idx="3825">
                  <c:v>42359</c:v>
                </c:pt>
                <c:pt idx="3826">
                  <c:v>42360</c:v>
                </c:pt>
                <c:pt idx="3827">
                  <c:v>42361</c:v>
                </c:pt>
                <c:pt idx="3828">
                  <c:v>42362</c:v>
                </c:pt>
                <c:pt idx="3829">
                  <c:v>42363</c:v>
                </c:pt>
                <c:pt idx="3830">
                  <c:v>42364</c:v>
                </c:pt>
                <c:pt idx="3831">
                  <c:v>42365</c:v>
                </c:pt>
                <c:pt idx="3832">
                  <c:v>42366</c:v>
                </c:pt>
                <c:pt idx="3833">
                  <c:v>42367</c:v>
                </c:pt>
                <c:pt idx="3834">
                  <c:v>42368</c:v>
                </c:pt>
                <c:pt idx="3835">
                  <c:v>42369</c:v>
                </c:pt>
                <c:pt idx="3836">
                  <c:v>42370</c:v>
                </c:pt>
                <c:pt idx="3837">
                  <c:v>42371</c:v>
                </c:pt>
                <c:pt idx="3838">
                  <c:v>42372</c:v>
                </c:pt>
                <c:pt idx="3839">
                  <c:v>42373</c:v>
                </c:pt>
                <c:pt idx="3840">
                  <c:v>42374</c:v>
                </c:pt>
                <c:pt idx="3841">
                  <c:v>42375</c:v>
                </c:pt>
                <c:pt idx="3842">
                  <c:v>42376</c:v>
                </c:pt>
                <c:pt idx="3843">
                  <c:v>42377</c:v>
                </c:pt>
                <c:pt idx="3844">
                  <c:v>42378</c:v>
                </c:pt>
                <c:pt idx="3845">
                  <c:v>42379</c:v>
                </c:pt>
                <c:pt idx="3846">
                  <c:v>42380</c:v>
                </c:pt>
                <c:pt idx="3847">
                  <c:v>42381</c:v>
                </c:pt>
                <c:pt idx="3848">
                  <c:v>42382</c:v>
                </c:pt>
                <c:pt idx="3849">
                  <c:v>42383</c:v>
                </c:pt>
                <c:pt idx="3850">
                  <c:v>42384</c:v>
                </c:pt>
                <c:pt idx="3851">
                  <c:v>42385</c:v>
                </c:pt>
                <c:pt idx="3852">
                  <c:v>42386</c:v>
                </c:pt>
                <c:pt idx="3853">
                  <c:v>42387</c:v>
                </c:pt>
                <c:pt idx="3854">
                  <c:v>42388</c:v>
                </c:pt>
                <c:pt idx="3855">
                  <c:v>42389</c:v>
                </c:pt>
                <c:pt idx="3856">
                  <c:v>42390</c:v>
                </c:pt>
                <c:pt idx="3857">
                  <c:v>42391</c:v>
                </c:pt>
                <c:pt idx="3858">
                  <c:v>42392</c:v>
                </c:pt>
                <c:pt idx="3859">
                  <c:v>42393</c:v>
                </c:pt>
                <c:pt idx="3860">
                  <c:v>42394</c:v>
                </c:pt>
                <c:pt idx="3861">
                  <c:v>42395</c:v>
                </c:pt>
                <c:pt idx="3862">
                  <c:v>42396</c:v>
                </c:pt>
                <c:pt idx="3863">
                  <c:v>42397</c:v>
                </c:pt>
                <c:pt idx="3864">
                  <c:v>42398</c:v>
                </c:pt>
                <c:pt idx="3865">
                  <c:v>42399</c:v>
                </c:pt>
                <c:pt idx="3866">
                  <c:v>42400</c:v>
                </c:pt>
                <c:pt idx="3867">
                  <c:v>42401</c:v>
                </c:pt>
                <c:pt idx="3868">
                  <c:v>42402</c:v>
                </c:pt>
                <c:pt idx="3869">
                  <c:v>42403</c:v>
                </c:pt>
                <c:pt idx="3870">
                  <c:v>42404</c:v>
                </c:pt>
                <c:pt idx="3871">
                  <c:v>42405</c:v>
                </c:pt>
                <c:pt idx="3872">
                  <c:v>42406</c:v>
                </c:pt>
                <c:pt idx="3873">
                  <c:v>42407</c:v>
                </c:pt>
                <c:pt idx="3874">
                  <c:v>42408</c:v>
                </c:pt>
                <c:pt idx="3875">
                  <c:v>42409</c:v>
                </c:pt>
                <c:pt idx="3876">
                  <c:v>42410</c:v>
                </c:pt>
                <c:pt idx="3877">
                  <c:v>42411</c:v>
                </c:pt>
                <c:pt idx="3878">
                  <c:v>42412</c:v>
                </c:pt>
                <c:pt idx="3879">
                  <c:v>42413</c:v>
                </c:pt>
                <c:pt idx="3880">
                  <c:v>42414</c:v>
                </c:pt>
                <c:pt idx="3881">
                  <c:v>42415</c:v>
                </c:pt>
                <c:pt idx="3882">
                  <c:v>42416</c:v>
                </c:pt>
                <c:pt idx="3883">
                  <c:v>42417</c:v>
                </c:pt>
                <c:pt idx="3884">
                  <c:v>42418</c:v>
                </c:pt>
                <c:pt idx="3885">
                  <c:v>42419</c:v>
                </c:pt>
                <c:pt idx="3886">
                  <c:v>42420</c:v>
                </c:pt>
                <c:pt idx="3887">
                  <c:v>42421</c:v>
                </c:pt>
                <c:pt idx="3888">
                  <c:v>42422</c:v>
                </c:pt>
                <c:pt idx="3889">
                  <c:v>42423</c:v>
                </c:pt>
                <c:pt idx="3890">
                  <c:v>42424</c:v>
                </c:pt>
                <c:pt idx="3891">
                  <c:v>42425</c:v>
                </c:pt>
                <c:pt idx="3892">
                  <c:v>42426</c:v>
                </c:pt>
                <c:pt idx="3893">
                  <c:v>42427</c:v>
                </c:pt>
                <c:pt idx="3894">
                  <c:v>42428</c:v>
                </c:pt>
                <c:pt idx="3895">
                  <c:v>42429</c:v>
                </c:pt>
                <c:pt idx="3896">
                  <c:v>42430</c:v>
                </c:pt>
                <c:pt idx="3897">
                  <c:v>42431</c:v>
                </c:pt>
                <c:pt idx="3898">
                  <c:v>42432</c:v>
                </c:pt>
                <c:pt idx="3899">
                  <c:v>42433</c:v>
                </c:pt>
                <c:pt idx="3900">
                  <c:v>42434</c:v>
                </c:pt>
                <c:pt idx="3901">
                  <c:v>42435</c:v>
                </c:pt>
                <c:pt idx="3902">
                  <c:v>42436</c:v>
                </c:pt>
                <c:pt idx="3903">
                  <c:v>42437</c:v>
                </c:pt>
                <c:pt idx="3904">
                  <c:v>42438</c:v>
                </c:pt>
                <c:pt idx="3905">
                  <c:v>42439</c:v>
                </c:pt>
                <c:pt idx="3906">
                  <c:v>42440</c:v>
                </c:pt>
                <c:pt idx="3907">
                  <c:v>42441</c:v>
                </c:pt>
                <c:pt idx="3908">
                  <c:v>42442</c:v>
                </c:pt>
                <c:pt idx="3909">
                  <c:v>42443</c:v>
                </c:pt>
                <c:pt idx="3910">
                  <c:v>42444</c:v>
                </c:pt>
                <c:pt idx="3911">
                  <c:v>42445</c:v>
                </c:pt>
                <c:pt idx="3912">
                  <c:v>42446</c:v>
                </c:pt>
                <c:pt idx="3913">
                  <c:v>42447</c:v>
                </c:pt>
                <c:pt idx="3914">
                  <c:v>42448</c:v>
                </c:pt>
                <c:pt idx="3915">
                  <c:v>42449</c:v>
                </c:pt>
                <c:pt idx="3916">
                  <c:v>42450</c:v>
                </c:pt>
                <c:pt idx="3917">
                  <c:v>42451</c:v>
                </c:pt>
                <c:pt idx="3918">
                  <c:v>42452</c:v>
                </c:pt>
                <c:pt idx="3919">
                  <c:v>42453</c:v>
                </c:pt>
                <c:pt idx="3920">
                  <c:v>42454</c:v>
                </c:pt>
                <c:pt idx="3921">
                  <c:v>42455</c:v>
                </c:pt>
                <c:pt idx="3922">
                  <c:v>42456</c:v>
                </c:pt>
                <c:pt idx="3923">
                  <c:v>42457</c:v>
                </c:pt>
                <c:pt idx="3924">
                  <c:v>42458</c:v>
                </c:pt>
                <c:pt idx="3925">
                  <c:v>42459</c:v>
                </c:pt>
                <c:pt idx="3926">
                  <c:v>42460</c:v>
                </c:pt>
                <c:pt idx="3927">
                  <c:v>42461</c:v>
                </c:pt>
                <c:pt idx="3928">
                  <c:v>42462</c:v>
                </c:pt>
                <c:pt idx="3929">
                  <c:v>42463</c:v>
                </c:pt>
                <c:pt idx="3930">
                  <c:v>42464</c:v>
                </c:pt>
                <c:pt idx="3931">
                  <c:v>42465</c:v>
                </c:pt>
                <c:pt idx="3932">
                  <c:v>42466</c:v>
                </c:pt>
                <c:pt idx="3933">
                  <c:v>42467</c:v>
                </c:pt>
                <c:pt idx="3934">
                  <c:v>42468</c:v>
                </c:pt>
                <c:pt idx="3935">
                  <c:v>42469</c:v>
                </c:pt>
                <c:pt idx="3936">
                  <c:v>42470</c:v>
                </c:pt>
                <c:pt idx="3937">
                  <c:v>42471</c:v>
                </c:pt>
                <c:pt idx="3938">
                  <c:v>42472</c:v>
                </c:pt>
                <c:pt idx="3939">
                  <c:v>42473</c:v>
                </c:pt>
                <c:pt idx="3940">
                  <c:v>42474</c:v>
                </c:pt>
                <c:pt idx="3941">
                  <c:v>42475</c:v>
                </c:pt>
                <c:pt idx="3942">
                  <c:v>42476</c:v>
                </c:pt>
                <c:pt idx="3943">
                  <c:v>42477</c:v>
                </c:pt>
                <c:pt idx="3944">
                  <c:v>42478</c:v>
                </c:pt>
                <c:pt idx="3945">
                  <c:v>42479</c:v>
                </c:pt>
                <c:pt idx="3946">
                  <c:v>42480</c:v>
                </c:pt>
                <c:pt idx="3947">
                  <c:v>42481</c:v>
                </c:pt>
                <c:pt idx="3948">
                  <c:v>42482</c:v>
                </c:pt>
                <c:pt idx="3949">
                  <c:v>42483</c:v>
                </c:pt>
                <c:pt idx="3950">
                  <c:v>42484</c:v>
                </c:pt>
                <c:pt idx="3951">
                  <c:v>42485</c:v>
                </c:pt>
                <c:pt idx="3952">
                  <c:v>42486</c:v>
                </c:pt>
                <c:pt idx="3953">
                  <c:v>42487</c:v>
                </c:pt>
                <c:pt idx="3954">
                  <c:v>42488</c:v>
                </c:pt>
                <c:pt idx="3955">
                  <c:v>42489</c:v>
                </c:pt>
                <c:pt idx="3956">
                  <c:v>42490</c:v>
                </c:pt>
                <c:pt idx="3957">
                  <c:v>42491</c:v>
                </c:pt>
                <c:pt idx="3958">
                  <c:v>42492</c:v>
                </c:pt>
                <c:pt idx="3959">
                  <c:v>42493</c:v>
                </c:pt>
                <c:pt idx="3960">
                  <c:v>42494</c:v>
                </c:pt>
                <c:pt idx="3961">
                  <c:v>42495</c:v>
                </c:pt>
                <c:pt idx="3962">
                  <c:v>42496</c:v>
                </c:pt>
                <c:pt idx="3963">
                  <c:v>42497</c:v>
                </c:pt>
                <c:pt idx="3964">
                  <c:v>42498</c:v>
                </c:pt>
                <c:pt idx="3965">
                  <c:v>42499</c:v>
                </c:pt>
                <c:pt idx="3966">
                  <c:v>42500</c:v>
                </c:pt>
                <c:pt idx="3967">
                  <c:v>42501</c:v>
                </c:pt>
                <c:pt idx="3968">
                  <c:v>42502</c:v>
                </c:pt>
                <c:pt idx="3969">
                  <c:v>42503</c:v>
                </c:pt>
                <c:pt idx="3970">
                  <c:v>42504</c:v>
                </c:pt>
                <c:pt idx="3971">
                  <c:v>42505</c:v>
                </c:pt>
                <c:pt idx="3972">
                  <c:v>42506</c:v>
                </c:pt>
                <c:pt idx="3973">
                  <c:v>42507</c:v>
                </c:pt>
                <c:pt idx="3974">
                  <c:v>42508</c:v>
                </c:pt>
                <c:pt idx="3975">
                  <c:v>42509</c:v>
                </c:pt>
                <c:pt idx="3976">
                  <c:v>42510</c:v>
                </c:pt>
                <c:pt idx="3977">
                  <c:v>42511</c:v>
                </c:pt>
                <c:pt idx="3978">
                  <c:v>42512</c:v>
                </c:pt>
                <c:pt idx="3979">
                  <c:v>42513</c:v>
                </c:pt>
                <c:pt idx="3980">
                  <c:v>42514</c:v>
                </c:pt>
                <c:pt idx="3981">
                  <c:v>42515</c:v>
                </c:pt>
                <c:pt idx="3982">
                  <c:v>42516</c:v>
                </c:pt>
                <c:pt idx="3983">
                  <c:v>42517</c:v>
                </c:pt>
                <c:pt idx="3984">
                  <c:v>42518</c:v>
                </c:pt>
                <c:pt idx="3985">
                  <c:v>42519</c:v>
                </c:pt>
                <c:pt idx="3986">
                  <c:v>42520</c:v>
                </c:pt>
                <c:pt idx="3987">
                  <c:v>42521</c:v>
                </c:pt>
                <c:pt idx="3988">
                  <c:v>42522</c:v>
                </c:pt>
                <c:pt idx="3989">
                  <c:v>42523</c:v>
                </c:pt>
                <c:pt idx="3990">
                  <c:v>42524</c:v>
                </c:pt>
                <c:pt idx="3991">
                  <c:v>42525</c:v>
                </c:pt>
                <c:pt idx="3992">
                  <c:v>42526</c:v>
                </c:pt>
                <c:pt idx="3993">
                  <c:v>42527</c:v>
                </c:pt>
                <c:pt idx="3994">
                  <c:v>42528</c:v>
                </c:pt>
                <c:pt idx="3995">
                  <c:v>42529</c:v>
                </c:pt>
                <c:pt idx="3996">
                  <c:v>42530</c:v>
                </c:pt>
                <c:pt idx="3997">
                  <c:v>42531</c:v>
                </c:pt>
                <c:pt idx="3998">
                  <c:v>42532</c:v>
                </c:pt>
                <c:pt idx="3999">
                  <c:v>42533</c:v>
                </c:pt>
                <c:pt idx="4000">
                  <c:v>42534</c:v>
                </c:pt>
                <c:pt idx="4001">
                  <c:v>42535</c:v>
                </c:pt>
                <c:pt idx="4002">
                  <c:v>42536</c:v>
                </c:pt>
                <c:pt idx="4003">
                  <c:v>42537</c:v>
                </c:pt>
                <c:pt idx="4004">
                  <c:v>42538</c:v>
                </c:pt>
                <c:pt idx="4005">
                  <c:v>42539</c:v>
                </c:pt>
                <c:pt idx="4006">
                  <c:v>42540</c:v>
                </c:pt>
                <c:pt idx="4007">
                  <c:v>42541</c:v>
                </c:pt>
                <c:pt idx="4008">
                  <c:v>42542</c:v>
                </c:pt>
                <c:pt idx="4009">
                  <c:v>42543</c:v>
                </c:pt>
                <c:pt idx="4010">
                  <c:v>42544</c:v>
                </c:pt>
                <c:pt idx="4011">
                  <c:v>42545</c:v>
                </c:pt>
                <c:pt idx="4012">
                  <c:v>42546</c:v>
                </c:pt>
                <c:pt idx="4013">
                  <c:v>42547</c:v>
                </c:pt>
                <c:pt idx="4014">
                  <c:v>42548</c:v>
                </c:pt>
                <c:pt idx="4015">
                  <c:v>42549</c:v>
                </c:pt>
                <c:pt idx="4016">
                  <c:v>42550</c:v>
                </c:pt>
                <c:pt idx="4017">
                  <c:v>42551</c:v>
                </c:pt>
                <c:pt idx="4018">
                  <c:v>42552</c:v>
                </c:pt>
                <c:pt idx="4019">
                  <c:v>42553</c:v>
                </c:pt>
                <c:pt idx="4020">
                  <c:v>42554</c:v>
                </c:pt>
                <c:pt idx="4021">
                  <c:v>42555</c:v>
                </c:pt>
                <c:pt idx="4022">
                  <c:v>42556</c:v>
                </c:pt>
                <c:pt idx="4023">
                  <c:v>42557</c:v>
                </c:pt>
                <c:pt idx="4024">
                  <c:v>42558</c:v>
                </c:pt>
                <c:pt idx="4025">
                  <c:v>42559</c:v>
                </c:pt>
                <c:pt idx="4026">
                  <c:v>42560</c:v>
                </c:pt>
                <c:pt idx="4027">
                  <c:v>42561</c:v>
                </c:pt>
                <c:pt idx="4028">
                  <c:v>42562</c:v>
                </c:pt>
                <c:pt idx="4029">
                  <c:v>42563</c:v>
                </c:pt>
                <c:pt idx="4030">
                  <c:v>42564</c:v>
                </c:pt>
                <c:pt idx="4031">
                  <c:v>42565</c:v>
                </c:pt>
                <c:pt idx="4032">
                  <c:v>42566</c:v>
                </c:pt>
                <c:pt idx="4033">
                  <c:v>42567</c:v>
                </c:pt>
                <c:pt idx="4034">
                  <c:v>42568</c:v>
                </c:pt>
                <c:pt idx="4035">
                  <c:v>42569</c:v>
                </c:pt>
                <c:pt idx="4036">
                  <c:v>42570</c:v>
                </c:pt>
                <c:pt idx="4037">
                  <c:v>42571</c:v>
                </c:pt>
                <c:pt idx="4038">
                  <c:v>42572</c:v>
                </c:pt>
                <c:pt idx="4039">
                  <c:v>42573</c:v>
                </c:pt>
                <c:pt idx="4040">
                  <c:v>42574</c:v>
                </c:pt>
                <c:pt idx="4041">
                  <c:v>42575</c:v>
                </c:pt>
                <c:pt idx="4042">
                  <c:v>42576</c:v>
                </c:pt>
                <c:pt idx="4043">
                  <c:v>42577</c:v>
                </c:pt>
                <c:pt idx="4044">
                  <c:v>42578</c:v>
                </c:pt>
                <c:pt idx="4045">
                  <c:v>42579</c:v>
                </c:pt>
                <c:pt idx="4046">
                  <c:v>42580</c:v>
                </c:pt>
                <c:pt idx="4047">
                  <c:v>42581</c:v>
                </c:pt>
                <c:pt idx="4048">
                  <c:v>42582</c:v>
                </c:pt>
                <c:pt idx="4049">
                  <c:v>42583</c:v>
                </c:pt>
                <c:pt idx="4050">
                  <c:v>42584</c:v>
                </c:pt>
                <c:pt idx="4051">
                  <c:v>42585</c:v>
                </c:pt>
                <c:pt idx="4052">
                  <c:v>42586</c:v>
                </c:pt>
                <c:pt idx="4053">
                  <c:v>42587</c:v>
                </c:pt>
                <c:pt idx="4054">
                  <c:v>42588</c:v>
                </c:pt>
                <c:pt idx="4055">
                  <c:v>42589</c:v>
                </c:pt>
                <c:pt idx="4056">
                  <c:v>42590</c:v>
                </c:pt>
                <c:pt idx="4057">
                  <c:v>42591</c:v>
                </c:pt>
                <c:pt idx="4058">
                  <c:v>42592</c:v>
                </c:pt>
                <c:pt idx="4059">
                  <c:v>42593</c:v>
                </c:pt>
                <c:pt idx="4060">
                  <c:v>42594</c:v>
                </c:pt>
                <c:pt idx="4061">
                  <c:v>42595</c:v>
                </c:pt>
                <c:pt idx="4062">
                  <c:v>42596</c:v>
                </c:pt>
                <c:pt idx="4063">
                  <c:v>42597</c:v>
                </c:pt>
                <c:pt idx="4064">
                  <c:v>42598</c:v>
                </c:pt>
                <c:pt idx="4065">
                  <c:v>42599</c:v>
                </c:pt>
                <c:pt idx="4066">
                  <c:v>42600</c:v>
                </c:pt>
                <c:pt idx="4067">
                  <c:v>42601</c:v>
                </c:pt>
                <c:pt idx="4068">
                  <c:v>42602</c:v>
                </c:pt>
                <c:pt idx="4069">
                  <c:v>42603</c:v>
                </c:pt>
                <c:pt idx="4070">
                  <c:v>42604</c:v>
                </c:pt>
                <c:pt idx="4071">
                  <c:v>42605</c:v>
                </c:pt>
                <c:pt idx="4072">
                  <c:v>42606</c:v>
                </c:pt>
                <c:pt idx="4073">
                  <c:v>42607</c:v>
                </c:pt>
                <c:pt idx="4074">
                  <c:v>42608</c:v>
                </c:pt>
                <c:pt idx="4075">
                  <c:v>42609</c:v>
                </c:pt>
                <c:pt idx="4076">
                  <c:v>42610</c:v>
                </c:pt>
                <c:pt idx="4077">
                  <c:v>42611</c:v>
                </c:pt>
                <c:pt idx="4078">
                  <c:v>42612</c:v>
                </c:pt>
                <c:pt idx="4079">
                  <c:v>42613</c:v>
                </c:pt>
              </c:numCache>
            </c:numRef>
          </c:cat>
          <c:val>
            <c:numRef>
              <c:f>'NSW avg daily spot pric'!$B$3:$B$4082</c:f>
              <c:numCache>
                <c:formatCode>0.00</c:formatCode>
                <c:ptCount val="4080"/>
                <c:pt idx="0">
                  <c:v>21.88</c:v>
                </c:pt>
                <c:pt idx="1">
                  <c:v>21.08</c:v>
                </c:pt>
                <c:pt idx="2">
                  <c:v>20.83000000000002</c:v>
                </c:pt>
                <c:pt idx="3">
                  <c:v>24.67</c:v>
                </c:pt>
                <c:pt idx="4">
                  <c:v>21.15000000000002</c:v>
                </c:pt>
                <c:pt idx="5">
                  <c:v>21.17</c:v>
                </c:pt>
                <c:pt idx="6">
                  <c:v>27.33000000000002</c:v>
                </c:pt>
                <c:pt idx="7">
                  <c:v>27.56</c:v>
                </c:pt>
                <c:pt idx="8">
                  <c:v>23.73</c:v>
                </c:pt>
                <c:pt idx="9">
                  <c:v>25.439999999999987</c:v>
                </c:pt>
                <c:pt idx="10">
                  <c:v>23</c:v>
                </c:pt>
                <c:pt idx="11">
                  <c:v>29.93</c:v>
                </c:pt>
                <c:pt idx="12">
                  <c:v>23.56</c:v>
                </c:pt>
                <c:pt idx="13">
                  <c:v>24.49</c:v>
                </c:pt>
                <c:pt idx="14">
                  <c:v>24.88</c:v>
                </c:pt>
                <c:pt idx="15">
                  <c:v>25.79</c:v>
                </c:pt>
                <c:pt idx="16">
                  <c:v>30.19</c:v>
                </c:pt>
                <c:pt idx="17">
                  <c:v>34.15</c:v>
                </c:pt>
                <c:pt idx="18">
                  <c:v>33.230000000000011</c:v>
                </c:pt>
                <c:pt idx="19">
                  <c:v>24.25</c:v>
                </c:pt>
                <c:pt idx="20">
                  <c:v>23.43</c:v>
                </c:pt>
                <c:pt idx="21">
                  <c:v>22.3</c:v>
                </c:pt>
                <c:pt idx="22">
                  <c:v>23.15000000000002</c:v>
                </c:pt>
                <c:pt idx="23">
                  <c:v>21.55</c:v>
                </c:pt>
                <c:pt idx="24">
                  <c:v>23.01</c:v>
                </c:pt>
                <c:pt idx="25">
                  <c:v>26.6</c:v>
                </c:pt>
                <c:pt idx="26">
                  <c:v>22.439999999999987</c:v>
                </c:pt>
                <c:pt idx="27">
                  <c:v>22.110000000000021</c:v>
                </c:pt>
                <c:pt idx="28">
                  <c:v>20.759999999999987</c:v>
                </c:pt>
                <c:pt idx="29">
                  <c:v>20.919999999999987</c:v>
                </c:pt>
                <c:pt idx="30">
                  <c:v>18.72</c:v>
                </c:pt>
                <c:pt idx="31">
                  <c:v>36.200000000000003</c:v>
                </c:pt>
                <c:pt idx="32">
                  <c:v>25.13000000000002</c:v>
                </c:pt>
                <c:pt idx="33">
                  <c:v>22.03</c:v>
                </c:pt>
                <c:pt idx="34">
                  <c:v>40.01</c:v>
                </c:pt>
                <c:pt idx="35">
                  <c:v>37.1</c:v>
                </c:pt>
                <c:pt idx="36">
                  <c:v>27.18</c:v>
                </c:pt>
                <c:pt idx="37">
                  <c:v>22.04</c:v>
                </c:pt>
                <c:pt idx="38">
                  <c:v>25.56</c:v>
                </c:pt>
                <c:pt idx="39">
                  <c:v>23.86</c:v>
                </c:pt>
                <c:pt idx="40">
                  <c:v>53.720000000000013</c:v>
                </c:pt>
                <c:pt idx="41">
                  <c:v>53.849999999999994</c:v>
                </c:pt>
                <c:pt idx="42">
                  <c:v>60.43</c:v>
                </c:pt>
                <c:pt idx="43">
                  <c:v>27.51</c:v>
                </c:pt>
                <c:pt idx="44">
                  <c:v>23.13000000000002</c:v>
                </c:pt>
                <c:pt idx="45">
                  <c:v>25</c:v>
                </c:pt>
                <c:pt idx="46">
                  <c:v>24.8</c:v>
                </c:pt>
                <c:pt idx="47">
                  <c:v>23.85</c:v>
                </c:pt>
                <c:pt idx="48">
                  <c:v>20.49</c:v>
                </c:pt>
                <c:pt idx="49">
                  <c:v>21.939999999999987</c:v>
                </c:pt>
                <c:pt idx="50">
                  <c:v>22.1</c:v>
                </c:pt>
                <c:pt idx="51">
                  <c:v>20.420000000000002</c:v>
                </c:pt>
                <c:pt idx="52">
                  <c:v>25.479999999999986</c:v>
                </c:pt>
                <c:pt idx="53">
                  <c:v>41.3</c:v>
                </c:pt>
                <c:pt idx="54">
                  <c:v>28.27</c:v>
                </c:pt>
                <c:pt idx="55">
                  <c:v>26.39</c:v>
                </c:pt>
                <c:pt idx="56">
                  <c:v>24.31000000000002</c:v>
                </c:pt>
                <c:pt idx="57">
                  <c:v>20.52</c:v>
                </c:pt>
                <c:pt idx="58">
                  <c:v>18.149999999999999</c:v>
                </c:pt>
                <c:pt idx="59">
                  <c:v>18.55</c:v>
                </c:pt>
                <c:pt idx="60">
                  <c:v>21.82</c:v>
                </c:pt>
                <c:pt idx="61">
                  <c:v>21.36</c:v>
                </c:pt>
                <c:pt idx="62">
                  <c:v>27.22</c:v>
                </c:pt>
                <c:pt idx="63">
                  <c:v>26.02</c:v>
                </c:pt>
                <c:pt idx="64">
                  <c:v>25.41</c:v>
                </c:pt>
                <c:pt idx="65">
                  <c:v>30.08</c:v>
                </c:pt>
                <c:pt idx="66">
                  <c:v>32.300000000000004</c:v>
                </c:pt>
                <c:pt idx="67">
                  <c:v>26.419999999999987</c:v>
                </c:pt>
                <c:pt idx="68">
                  <c:v>23.58</c:v>
                </c:pt>
                <c:pt idx="69">
                  <c:v>23.07</c:v>
                </c:pt>
                <c:pt idx="70">
                  <c:v>25.15000000000002</c:v>
                </c:pt>
                <c:pt idx="71">
                  <c:v>21.06</c:v>
                </c:pt>
                <c:pt idx="72">
                  <c:v>17.93</c:v>
                </c:pt>
                <c:pt idx="73">
                  <c:v>68.75</c:v>
                </c:pt>
                <c:pt idx="74">
                  <c:v>39.449999999999996</c:v>
                </c:pt>
                <c:pt idx="75">
                  <c:v>33.57</c:v>
                </c:pt>
                <c:pt idx="76">
                  <c:v>28.84</c:v>
                </c:pt>
                <c:pt idx="77">
                  <c:v>55.949999999999996</c:v>
                </c:pt>
                <c:pt idx="78">
                  <c:v>31.35</c:v>
                </c:pt>
                <c:pt idx="79">
                  <c:v>25.110000000000021</c:v>
                </c:pt>
                <c:pt idx="80">
                  <c:v>30.610000000000021</c:v>
                </c:pt>
                <c:pt idx="81">
                  <c:v>31.89</c:v>
                </c:pt>
                <c:pt idx="82">
                  <c:v>21.91</c:v>
                </c:pt>
                <c:pt idx="83">
                  <c:v>26.79</c:v>
                </c:pt>
                <c:pt idx="84">
                  <c:v>22.06</c:v>
                </c:pt>
                <c:pt idx="85">
                  <c:v>21.21</c:v>
                </c:pt>
                <c:pt idx="86">
                  <c:v>19.14</c:v>
                </c:pt>
                <c:pt idx="87">
                  <c:v>28.83000000000002</c:v>
                </c:pt>
                <c:pt idx="88">
                  <c:v>21.72</c:v>
                </c:pt>
                <c:pt idx="89">
                  <c:v>20.54</c:v>
                </c:pt>
                <c:pt idx="90">
                  <c:v>28.6</c:v>
                </c:pt>
                <c:pt idx="91">
                  <c:v>24.29</c:v>
                </c:pt>
                <c:pt idx="92">
                  <c:v>21.59</c:v>
                </c:pt>
                <c:pt idx="93">
                  <c:v>17.72</c:v>
                </c:pt>
                <c:pt idx="94">
                  <c:v>22.32</c:v>
                </c:pt>
                <c:pt idx="95">
                  <c:v>21.439999999999987</c:v>
                </c:pt>
                <c:pt idx="96">
                  <c:v>27.439999999999987</c:v>
                </c:pt>
                <c:pt idx="97">
                  <c:v>28.479999999999986</c:v>
                </c:pt>
                <c:pt idx="98">
                  <c:v>32.46</c:v>
                </c:pt>
                <c:pt idx="99">
                  <c:v>24.49</c:v>
                </c:pt>
                <c:pt idx="100">
                  <c:v>24.04</c:v>
                </c:pt>
                <c:pt idx="101">
                  <c:v>24.89</c:v>
                </c:pt>
                <c:pt idx="102">
                  <c:v>28.7</c:v>
                </c:pt>
                <c:pt idx="103">
                  <c:v>28.81000000000002</c:v>
                </c:pt>
                <c:pt idx="104">
                  <c:v>25.759999999999987</c:v>
                </c:pt>
                <c:pt idx="105">
                  <c:v>22.05</c:v>
                </c:pt>
                <c:pt idx="106">
                  <c:v>18.07</c:v>
                </c:pt>
                <c:pt idx="107">
                  <c:v>17.479999999999986</c:v>
                </c:pt>
                <c:pt idx="108">
                  <c:v>20.8</c:v>
                </c:pt>
                <c:pt idx="109">
                  <c:v>19.959999999999987</c:v>
                </c:pt>
                <c:pt idx="110">
                  <c:v>18.279999999999987</c:v>
                </c:pt>
                <c:pt idx="111">
                  <c:v>22.17</c:v>
                </c:pt>
                <c:pt idx="112">
                  <c:v>20.02</c:v>
                </c:pt>
                <c:pt idx="113">
                  <c:v>16.63000000000002</c:v>
                </c:pt>
                <c:pt idx="114">
                  <c:v>16.610000000000021</c:v>
                </c:pt>
                <c:pt idx="115">
                  <c:v>23.32</c:v>
                </c:pt>
                <c:pt idx="116">
                  <c:v>27.279999999999987</c:v>
                </c:pt>
                <c:pt idx="117">
                  <c:v>26.7</c:v>
                </c:pt>
                <c:pt idx="118">
                  <c:v>23.979999999999986</c:v>
                </c:pt>
                <c:pt idx="119">
                  <c:v>24.39</c:v>
                </c:pt>
                <c:pt idx="120">
                  <c:v>20.95</c:v>
                </c:pt>
                <c:pt idx="121">
                  <c:v>19.309999999999999</c:v>
                </c:pt>
                <c:pt idx="122">
                  <c:v>783.04</c:v>
                </c:pt>
                <c:pt idx="123">
                  <c:v>20.04</c:v>
                </c:pt>
                <c:pt idx="124">
                  <c:v>47.87</c:v>
                </c:pt>
                <c:pt idx="125">
                  <c:v>55.83</c:v>
                </c:pt>
                <c:pt idx="126">
                  <c:v>21.75</c:v>
                </c:pt>
                <c:pt idx="127">
                  <c:v>18.52</c:v>
                </c:pt>
                <c:pt idx="128">
                  <c:v>19.690000000000001</c:v>
                </c:pt>
                <c:pt idx="129">
                  <c:v>21.959999999999987</c:v>
                </c:pt>
                <c:pt idx="130">
                  <c:v>24.02</c:v>
                </c:pt>
                <c:pt idx="131">
                  <c:v>784.37</c:v>
                </c:pt>
                <c:pt idx="132">
                  <c:v>305.47000000000003</c:v>
                </c:pt>
                <c:pt idx="133">
                  <c:v>26.38</c:v>
                </c:pt>
                <c:pt idx="134">
                  <c:v>20.779999999999987</c:v>
                </c:pt>
                <c:pt idx="135">
                  <c:v>17.979999999999986</c:v>
                </c:pt>
                <c:pt idx="136">
                  <c:v>27.5</c:v>
                </c:pt>
                <c:pt idx="137">
                  <c:v>20.6</c:v>
                </c:pt>
                <c:pt idx="138">
                  <c:v>17.63000000000002</c:v>
                </c:pt>
                <c:pt idx="139">
                  <c:v>20.22</c:v>
                </c:pt>
                <c:pt idx="140">
                  <c:v>22.6</c:v>
                </c:pt>
                <c:pt idx="141">
                  <c:v>20.36</c:v>
                </c:pt>
                <c:pt idx="142">
                  <c:v>17.439999999999987</c:v>
                </c:pt>
                <c:pt idx="143">
                  <c:v>19.21</c:v>
                </c:pt>
                <c:pt idx="144">
                  <c:v>20.13000000000002</c:v>
                </c:pt>
                <c:pt idx="145">
                  <c:v>17.64</c:v>
                </c:pt>
                <c:pt idx="146">
                  <c:v>19.13000000000002</c:v>
                </c:pt>
                <c:pt idx="147">
                  <c:v>18.7</c:v>
                </c:pt>
                <c:pt idx="148">
                  <c:v>18.36</c:v>
                </c:pt>
                <c:pt idx="149">
                  <c:v>17.479999999999986</c:v>
                </c:pt>
                <c:pt idx="150">
                  <c:v>19.439999999999987</c:v>
                </c:pt>
                <c:pt idx="151">
                  <c:v>21.03</c:v>
                </c:pt>
                <c:pt idx="152">
                  <c:v>22.51</c:v>
                </c:pt>
                <c:pt idx="153">
                  <c:v>22.979999999999986</c:v>
                </c:pt>
                <c:pt idx="154">
                  <c:v>18.64</c:v>
                </c:pt>
                <c:pt idx="155">
                  <c:v>15.88</c:v>
                </c:pt>
                <c:pt idx="156">
                  <c:v>17.14</c:v>
                </c:pt>
                <c:pt idx="157">
                  <c:v>65.05</c:v>
                </c:pt>
                <c:pt idx="158">
                  <c:v>64.540000000000006</c:v>
                </c:pt>
                <c:pt idx="159">
                  <c:v>939.54</c:v>
                </c:pt>
                <c:pt idx="160">
                  <c:v>66.58</c:v>
                </c:pt>
                <c:pt idx="161">
                  <c:v>22.77</c:v>
                </c:pt>
                <c:pt idx="162">
                  <c:v>19.149999999999999</c:v>
                </c:pt>
                <c:pt idx="163">
                  <c:v>17.579999999999988</c:v>
                </c:pt>
                <c:pt idx="164">
                  <c:v>20.51</c:v>
                </c:pt>
                <c:pt idx="165">
                  <c:v>21.17</c:v>
                </c:pt>
                <c:pt idx="166">
                  <c:v>21.5</c:v>
                </c:pt>
                <c:pt idx="167">
                  <c:v>18.5</c:v>
                </c:pt>
                <c:pt idx="168">
                  <c:v>17.850000000000001</c:v>
                </c:pt>
                <c:pt idx="169">
                  <c:v>15.99</c:v>
                </c:pt>
                <c:pt idx="170">
                  <c:v>15.32</c:v>
                </c:pt>
                <c:pt idx="171">
                  <c:v>16.43</c:v>
                </c:pt>
                <c:pt idx="172">
                  <c:v>28.779999999999987</c:v>
                </c:pt>
                <c:pt idx="173">
                  <c:v>32</c:v>
                </c:pt>
                <c:pt idx="174">
                  <c:v>18.239999999999988</c:v>
                </c:pt>
                <c:pt idx="175">
                  <c:v>20.95</c:v>
                </c:pt>
                <c:pt idx="176">
                  <c:v>57.15</c:v>
                </c:pt>
                <c:pt idx="177">
                  <c:v>15.9</c:v>
                </c:pt>
                <c:pt idx="178">
                  <c:v>16.21</c:v>
                </c:pt>
                <c:pt idx="179">
                  <c:v>22.65000000000002</c:v>
                </c:pt>
                <c:pt idx="180">
                  <c:v>51.11</c:v>
                </c:pt>
                <c:pt idx="181">
                  <c:v>47.1</c:v>
                </c:pt>
                <c:pt idx="182">
                  <c:v>340.3</c:v>
                </c:pt>
                <c:pt idx="183">
                  <c:v>150.60999999999999</c:v>
                </c:pt>
                <c:pt idx="184">
                  <c:v>43.15</c:v>
                </c:pt>
                <c:pt idx="185">
                  <c:v>16.260000000000002</c:v>
                </c:pt>
                <c:pt idx="186">
                  <c:v>43.879999999999995</c:v>
                </c:pt>
                <c:pt idx="187">
                  <c:v>16.95</c:v>
                </c:pt>
                <c:pt idx="188">
                  <c:v>16.52</c:v>
                </c:pt>
                <c:pt idx="189">
                  <c:v>16.93</c:v>
                </c:pt>
                <c:pt idx="190">
                  <c:v>15.870000000000005</c:v>
                </c:pt>
                <c:pt idx="191">
                  <c:v>16.279999999999987</c:v>
                </c:pt>
                <c:pt idx="192">
                  <c:v>19.77</c:v>
                </c:pt>
                <c:pt idx="193">
                  <c:v>32.94</c:v>
                </c:pt>
                <c:pt idx="194">
                  <c:v>31.759999999999987</c:v>
                </c:pt>
                <c:pt idx="195">
                  <c:v>25.17</c:v>
                </c:pt>
                <c:pt idx="196">
                  <c:v>19.829999999999988</c:v>
                </c:pt>
                <c:pt idx="197">
                  <c:v>20.979999999999986</c:v>
                </c:pt>
                <c:pt idx="198">
                  <c:v>15.729999999999999</c:v>
                </c:pt>
                <c:pt idx="199">
                  <c:v>17.920000000000002</c:v>
                </c:pt>
                <c:pt idx="200">
                  <c:v>18.5</c:v>
                </c:pt>
                <c:pt idx="201">
                  <c:v>16.329999999999988</c:v>
                </c:pt>
                <c:pt idx="202">
                  <c:v>20.91</c:v>
                </c:pt>
                <c:pt idx="203">
                  <c:v>22.439999999999987</c:v>
                </c:pt>
                <c:pt idx="204">
                  <c:v>46.05</c:v>
                </c:pt>
                <c:pt idx="205">
                  <c:v>36.660000000000011</c:v>
                </c:pt>
                <c:pt idx="206">
                  <c:v>106.59</c:v>
                </c:pt>
                <c:pt idx="207">
                  <c:v>22.54</c:v>
                </c:pt>
                <c:pt idx="208">
                  <c:v>22.959999999999987</c:v>
                </c:pt>
                <c:pt idx="209">
                  <c:v>23.19</c:v>
                </c:pt>
                <c:pt idx="210">
                  <c:v>39.25</c:v>
                </c:pt>
                <c:pt idx="211">
                  <c:v>19.68</c:v>
                </c:pt>
                <c:pt idx="212">
                  <c:v>21.479999999999986</c:v>
                </c:pt>
                <c:pt idx="213">
                  <c:v>25.21</c:v>
                </c:pt>
                <c:pt idx="214">
                  <c:v>20.170000000000019</c:v>
                </c:pt>
                <c:pt idx="215">
                  <c:v>42.55</c:v>
                </c:pt>
                <c:pt idx="216">
                  <c:v>1213.03</c:v>
                </c:pt>
                <c:pt idx="217">
                  <c:v>21.5</c:v>
                </c:pt>
                <c:pt idx="218">
                  <c:v>16.459999999999987</c:v>
                </c:pt>
                <c:pt idx="219">
                  <c:v>17.07</c:v>
                </c:pt>
                <c:pt idx="220">
                  <c:v>31.59</c:v>
                </c:pt>
                <c:pt idx="221">
                  <c:v>16.649999999999999</c:v>
                </c:pt>
                <c:pt idx="222">
                  <c:v>16.41</c:v>
                </c:pt>
                <c:pt idx="223">
                  <c:v>17.88</c:v>
                </c:pt>
                <c:pt idx="224">
                  <c:v>16.66</c:v>
                </c:pt>
                <c:pt idx="225">
                  <c:v>15.78</c:v>
                </c:pt>
                <c:pt idx="226">
                  <c:v>16.739999999999988</c:v>
                </c:pt>
                <c:pt idx="227">
                  <c:v>18.239999999999988</c:v>
                </c:pt>
                <c:pt idx="228">
                  <c:v>18.239999999999988</c:v>
                </c:pt>
                <c:pt idx="229">
                  <c:v>20.75</c:v>
                </c:pt>
                <c:pt idx="230">
                  <c:v>23.97</c:v>
                </c:pt>
                <c:pt idx="231">
                  <c:v>36.809999999999995</c:v>
                </c:pt>
                <c:pt idx="232">
                  <c:v>24.979999999999986</c:v>
                </c:pt>
                <c:pt idx="233">
                  <c:v>22.3</c:v>
                </c:pt>
                <c:pt idx="234">
                  <c:v>21.65000000000002</c:v>
                </c:pt>
                <c:pt idx="235">
                  <c:v>24.439999999999987</c:v>
                </c:pt>
                <c:pt idx="236">
                  <c:v>22.5</c:v>
                </c:pt>
                <c:pt idx="237">
                  <c:v>23.74</c:v>
                </c:pt>
                <c:pt idx="238">
                  <c:v>31.259999999999987</c:v>
                </c:pt>
                <c:pt idx="239">
                  <c:v>17.37</c:v>
                </c:pt>
                <c:pt idx="240">
                  <c:v>16.04</c:v>
                </c:pt>
                <c:pt idx="241">
                  <c:v>18.100000000000001</c:v>
                </c:pt>
                <c:pt idx="242">
                  <c:v>21.82</c:v>
                </c:pt>
                <c:pt idx="243">
                  <c:v>19.41</c:v>
                </c:pt>
                <c:pt idx="244">
                  <c:v>25.08</c:v>
                </c:pt>
                <c:pt idx="245">
                  <c:v>30.610000000000021</c:v>
                </c:pt>
                <c:pt idx="246">
                  <c:v>22.65000000000002</c:v>
                </c:pt>
                <c:pt idx="247">
                  <c:v>20.69</c:v>
                </c:pt>
                <c:pt idx="248">
                  <c:v>27.45</c:v>
                </c:pt>
                <c:pt idx="249">
                  <c:v>21.979999999999986</c:v>
                </c:pt>
                <c:pt idx="250">
                  <c:v>25.09</c:v>
                </c:pt>
                <c:pt idx="251">
                  <c:v>31.56</c:v>
                </c:pt>
                <c:pt idx="252">
                  <c:v>26.979999999999986</c:v>
                </c:pt>
                <c:pt idx="253">
                  <c:v>21.49</c:v>
                </c:pt>
                <c:pt idx="254">
                  <c:v>23.610000000000021</c:v>
                </c:pt>
                <c:pt idx="255">
                  <c:v>27.08</c:v>
                </c:pt>
                <c:pt idx="256">
                  <c:v>21.83000000000002</c:v>
                </c:pt>
                <c:pt idx="257">
                  <c:v>22.67</c:v>
                </c:pt>
                <c:pt idx="258">
                  <c:v>24.07</c:v>
                </c:pt>
                <c:pt idx="259">
                  <c:v>22.31000000000002</c:v>
                </c:pt>
                <c:pt idx="260">
                  <c:v>17.79</c:v>
                </c:pt>
                <c:pt idx="261">
                  <c:v>17.899999999999999</c:v>
                </c:pt>
                <c:pt idx="262">
                  <c:v>20.83000000000002</c:v>
                </c:pt>
                <c:pt idx="263">
                  <c:v>22.279999999999987</c:v>
                </c:pt>
                <c:pt idx="264">
                  <c:v>24.16</c:v>
                </c:pt>
                <c:pt idx="265">
                  <c:v>24.31000000000002</c:v>
                </c:pt>
                <c:pt idx="266">
                  <c:v>19.79</c:v>
                </c:pt>
                <c:pt idx="267">
                  <c:v>16.939999999999987</c:v>
                </c:pt>
                <c:pt idx="268">
                  <c:v>17.07</c:v>
                </c:pt>
                <c:pt idx="269">
                  <c:v>18.610000000000021</c:v>
                </c:pt>
                <c:pt idx="270">
                  <c:v>19.100000000000001</c:v>
                </c:pt>
                <c:pt idx="271">
                  <c:v>22.43</c:v>
                </c:pt>
                <c:pt idx="272">
                  <c:v>22.38</c:v>
                </c:pt>
                <c:pt idx="273">
                  <c:v>21.72</c:v>
                </c:pt>
                <c:pt idx="274">
                  <c:v>18.979999999999986</c:v>
                </c:pt>
                <c:pt idx="275">
                  <c:v>17.41</c:v>
                </c:pt>
                <c:pt idx="276">
                  <c:v>22.64</c:v>
                </c:pt>
                <c:pt idx="277">
                  <c:v>23.38</c:v>
                </c:pt>
                <c:pt idx="278">
                  <c:v>21.52</c:v>
                </c:pt>
                <c:pt idx="279">
                  <c:v>21.03</c:v>
                </c:pt>
                <c:pt idx="280">
                  <c:v>20.89</c:v>
                </c:pt>
                <c:pt idx="281">
                  <c:v>19.53</c:v>
                </c:pt>
                <c:pt idx="282">
                  <c:v>18.27</c:v>
                </c:pt>
                <c:pt idx="283">
                  <c:v>18.75</c:v>
                </c:pt>
                <c:pt idx="284">
                  <c:v>20.49</c:v>
                </c:pt>
                <c:pt idx="285">
                  <c:v>22.610000000000021</c:v>
                </c:pt>
                <c:pt idx="286">
                  <c:v>22.03</c:v>
                </c:pt>
                <c:pt idx="287">
                  <c:v>17.53</c:v>
                </c:pt>
                <c:pt idx="288">
                  <c:v>16.760000000000002</c:v>
                </c:pt>
                <c:pt idx="289">
                  <c:v>16.64</c:v>
                </c:pt>
                <c:pt idx="290">
                  <c:v>16.52</c:v>
                </c:pt>
                <c:pt idx="291">
                  <c:v>18.010000000000019</c:v>
                </c:pt>
                <c:pt idx="292">
                  <c:v>19.3</c:v>
                </c:pt>
                <c:pt idx="293">
                  <c:v>24.29</c:v>
                </c:pt>
                <c:pt idx="294">
                  <c:v>23.97</c:v>
                </c:pt>
                <c:pt idx="295">
                  <c:v>27.47</c:v>
                </c:pt>
                <c:pt idx="296">
                  <c:v>20.63000000000002</c:v>
                </c:pt>
                <c:pt idx="297">
                  <c:v>20.89</c:v>
                </c:pt>
                <c:pt idx="298">
                  <c:v>18.39</c:v>
                </c:pt>
                <c:pt idx="299">
                  <c:v>23.72</c:v>
                </c:pt>
                <c:pt idx="300">
                  <c:v>22.68</c:v>
                </c:pt>
                <c:pt idx="301">
                  <c:v>23.03</c:v>
                </c:pt>
                <c:pt idx="302">
                  <c:v>20.350000000000001</c:v>
                </c:pt>
                <c:pt idx="303">
                  <c:v>20.71</c:v>
                </c:pt>
                <c:pt idx="304">
                  <c:v>19.690000000000001</c:v>
                </c:pt>
                <c:pt idx="305">
                  <c:v>19.04</c:v>
                </c:pt>
                <c:pt idx="306">
                  <c:v>19.62</c:v>
                </c:pt>
                <c:pt idx="307">
                  <c:v>19.87</c:v>
                </c:pt>
                <c:pt idx="308">
                  <c:v>20.7</c:v>
                </c:pt>
                <c:pt idx="309">
                  <c:v>19.05</c:v>
                </c:pt>
                <c:pt idx="310">
                  <c:v>21.24</c:v>
                </c:pt>
                <c:pt idx="311">
                  <c:v>28.24</c:v>
                </c:pt>
                <c:pt idx="312">
                  <c:v>26.23</c:v>
                </c:pt>
                <c:pt idx="313">
                  <c:v>23.02</c:v>
                </c:pt>
                <c:pt idx="314">
                  <c:v>21.69</c:v>
                </c:pt>
                <c:pt idx="315">
                  <c:v>18.66</c:v>
                </c:pt>
                <c:pt idx="316">
                  <c:v>18.12</c:v>
                </c:pt>
                <c:pt idx="317">
                  <c:v>17.920000000000002</c:v>
                </c:pt>
                <c:pt idx="318">
                  <c:v>19.09</c:v>
                </c:pt>
                <c:pt idx="319">
                  <c:v>19.38</c:v>
                </c:pt>
                <c:pt idx="320">
                  <c:v>18.899999999999999</c:v>
                </c:pt>
                <c:pt idx="321">
                  <c:v>19.610000000000021</c:v>
                </c:pt>
                <c:pt idx="322">
                  <c:v>19.41</c:v>
                </c:pt>
                <c:pt idx="323">
                  <c:v>21.04</c:v>
                </c:pt>
                <c:pt idx="324">
                  <c:v>20.260000000000002</c:v>
                </c:pt>
                <c:pt idx="325">
                  <c:v>28.85</c:v>
                </c:pt>
                <c:pt idx="326">
                  <c:v>37.49</c:v>
                </c:pt>
                <c:pt idx="327">
                  <c:v>24.05</c:v>
                </c:pt>
                <c:pt idx="328">
                  <c:v>24.66</c:v>
                </c:pt>
                <c:pt idx="329">
                  <c:v>24.24</c:v>
                </c:pt>
                <c:pt idx="330">
                  <c:v>25.34</c:v>
                </c:pt>
                <c:pt idx="331">
                  <c:v>26.89</c:v>
                </c:pt>
                <c:pt idx="332">
                  <c:v>79.36</c:v>
                </c:pt>
                <c:pt idx="333">
                  <c:v>52.46</c:v>
                </c:pt>
                <c:pt idx="334">
                  <c:v>34.720000000000013</c:v>
                </c:pt>
                <c:pt idx="335">
                  <c:v>26.18</c:v>
                </c:pt>
                <c:pt idx="336">
                  <c:v>29.19</c:v>
                </c:pt>
                <c:pt idx="337">
                  <c:v>25.279999999999987</c:v>
                </c:pt>
                <c:pt idx="338">
                  <c:v>25.74</c:v>
                </c:pt>
                <c:pt idx="339">
                  <c:v>36.49</c:v>
                </c:pt>
                <c:pt idx="340">
                  <c:v>30.01</c:v>
                </c:pt>
                <c:pt idx="341">
                  <c:v>28.57</c:v>
                </c:pt>
                <c:pt idx="342">
                  <c:v>27.74</c:v>
                </c:pt>
                <c:pt idx="343">
                  <c:v>26.82</c:v>
                </c:pt>
                <c:pt idx="344">
                  <c:v>25.91</c:v>
                </c:pt>
                <c:pt idx="345">
                  <c:v>28.88</c:v>
                </c:pt>
                <c:pt idx="346">
                  <c:v>28.02</c:v>
                </c:pt>
                <c:pt idx="347">
                  <c:v>30.71</c:v>
                </c:pt>
                <c:pt idx="348">
                  <c:v>39.32</c:v>
                </c:pt>
                <c:pt idx="349">
                  <c:v>38.630000000000003</c:v>
                </c:pt>
                <c:pt idx="350">
                  <c:v>36.68</c:v>
                </c:pt>
                <c:pt idx="351">
                  <c:v>33.879999999999995</c:v>
                </c:pt>
                <c:pt idx="352">
                  <c:v>29.97</c:v>
                </c:pt>
                <c:pt idx="353">
                  <c:v>36.300000000000004</c:v>
                </c:pt>
                <c:pt idx="354">
                  <c:v>34.020000000000003</c:v>
                </c:pt>
                <c:pt idx="355">
                  <c:v>34.71</c:v>
                </c:pt>
                <c:pt idx="356">
                  <c:v>31.27</c:v>
                </c:pt>
                <c:pt idx="357">
                  <c:v>29.439999999999987</c:v>
                </c:pt>
                <c:pt idx="358">
                  <c:v>26.79</c:v>
                </c:pt>
                <c:pt idx="359">
                  <c:v>28.27</c:v>
                </c:pt>
                <c:pt idx="360">
                  <c:v>33.849999999999994</c:v>
                </c:pt>
                <c:pt idx="361">
                  <c:v>34.06</c:v>
                </c:pt>
                <c:pt idx="362">
                  <c:v>31.85</c:v>
                </c:pt>
                <c:pt idx="363">
                  <c:v>36.07</c:v>
                </c:pt>
                <c:pt idx="364">
                  <c:v>39.58</c:v>
                </c:pt>
                <c:pt idx="365">
                  <c:v>41.57</c:v>
                </c:pt>
                <c:pt idx="366">
                  <c:v>32.86</c:v>
                </c:pt>
                <c:pt idx="367">
                  <c:v>57.21</c:v>
                </c:pt>
                <c:pt idx="368">
                  <c:v>32.230000000000011</c:v>
                </c:pt>
                <c:pt idx="369">
                  <c:v>27.97</c:v>
                </c:pt>
                <c:pt idx="370">
                  <c:v>30.34</c:v>
                </c:pt>
                <c:pt idx="371">
                  <c:v>37.11</c:v>
                </c:pt>
                <c:pt idx="372">
                  <c:v>39.04</c:v>
                </c:pt>
                <c:pt idx="373">
                  <c:v>35.230000000000011</c:v>
                </c:pt>
                <c:pt idx="374">
                  <c:v>44.349999999999994</c:v>
                </c:pt>
                <c:pt idx="375">
                  <c:v>44.349999999999994</c:v>
                </c:pt>
                <c:pt idx="376">
                  <c:v>37.93</c:v>
                </c:pt>
                <c:pt idx="377">
                  <c:v>43.87</c:v>
                </c:pt>
                <c:pt idx="378">
                  <c:v>41.43</c:v>
                </c:pt>
                <c:pt idx="379">
                  <c:v>35.520000000000003</c:v>
                </c:pt>
                <c:pt idx="380">
                  <c:v>24.24</c:v>
                </c:pt>
                <c:pt idx="381">
                  <c:v>27.85</c:v>
                </c:pt>
                <c:pt idx="382">
                  <c:v>31.52</c:v>
                </c:pt>
                <c:pt idx="383">
                  <c:v>224.23999999999998</c:v>
                </c:pt>
                <c:pt idx="384">
                  <c:v>229.83</c:v>
                </c:pt>
                <c:pt idx="385">
                  <c:v>35.520000000000003</c:v>
                </c:pt>
                <c:pt idx="386">
                  <c:v>32.64</c:v>
                </c:pt>
                <c:pt idx="387">
                  <c:v>32.67</c:v>
                </c:pt>
                <c:pt idx="388">
                  <c:v>58.49</c:v>
                </c:pt>
                <c:pt idx="389">
                  <c:v>31.75</c:v>
                </c:pt>
                <c:pt idx="390">
                  <c:v>30.87</c:v>
                </c:pt>
                <c:pt idx="391">
                  <c:v>28.82</c:v>
                </c:pt>
                <c:pt idx="392">
                  <c:v>26.01</c:v>
                </c:pt>
                <c:pt idx="393">
                  <c:v>23.73</c:v>
                </c:pt>
                <c:pt idx="394">
                  <c:v>22.49</c:v>
                </c:pt>
                <c:pt idx="395">
                  <c:v>37.339999999999996</c:v>
                </c:pt>
                <c:pt idx="396">
                  <c:v>31.79</c:v>
                </c:pt>
                <c:pt idx="397">
                  <c:v>39.33</c:v>
                </c:pt>
                <c:pt idx="398">
                  <c:v>33.07</c:v>
                </c:pt>
                <c:pt idx="399">
                  <c:v>37.809999999999995</c:v>
                </c:pt>
                <c:pt idx="400">
                  <c:v>30.86</c:v>
                </c:pt>
                <c:pt idx="401">
                  <c:v>29.69</c:v>
                </c:pt>
                <c:pt idx="402">
                  <c:v>40.620000000000012</c:v>
                </c:pt>
                <c:pt idx="403">
                  <c:v>32.190000000000012</c:v>
                </c:pt>
                <c:pt idx="404">
                  <c:v>30.259999999999987</c:v>
                </c:pt>
                <c:pt idx="405">
                  <c:v>31.63000000000002</c:v>
                </c:pt>
                <c:pt idx="406">
                  <c:v>26.59</c:v>
                </c:pt>
                <c:pt idx="407">
                  <c:v>25.47</c:v>
                </c:pt>
                <c:pt idx="408">
                  <c:v>22.05</c:v>
                </c:pt>
                <c:pt idx="409">
                  <c:v>24.91</c:v>
                </c:pt>
                <c:pt idx="410">
                  <c:v>26.67</c:v>
                </c:pt>
                <c:pt idx="411">
                  <c:v>24.919999999999987</c:v>
                </c:pt>
                <c:pt idx="412">
                  <c:v>24.6</c:v>
                </c:pt>
                <c:pt idx="413">
                  <c:v>25.72</c:v>
                </c:pt>
                <c:pt idx="414">
                  <c:v>24.99</c:v>
                </c:pt>
                <c:pt idx="415">
                  <c:v>22.64</c:v>
                </c:pt>
                <c:pt idx="416">
                  <c:v>28.64</c:v>
                </c:pt>
                <c:pt idx="417">
                  <c:v>31.31000000000002</c:v>
                </c:pt>
                <c:pt idx="418">
                  <c:v>31.41</c:v>
                </c:pt>
                <c:pt idx="419">
                  <c:v>38.690000000000012</c:v>
                </c:pt>
                <c:pt idx="420">
                  <c:v>34.03</c:v>
                </c:pt>
                <c:pt idx="421">
                  <c:v>27.95</c:v>
                </c:pt>
                <c:pt idx="422">
                  <c:v>23.07</c:v>
                </c:pt>
                <c:pt idx="423">
                  <c:v>31.02</c:v>
                </c:pt>
                <c:pt idx="424">
                  <c:v>31.99</c:v>
                </c:pt>
                <c:pt idx="425">
                  <c:v>28.72</c:v>
                </c:pt>
                <c:pt idx="426">
                  <c:v>31.03</c:v>
                </c:pt>
                <c:pt idx="427">
                  <c:v>25.97</c:v>
                </c:pt>
                <c:pt idx="428">
                  <c:v>19.48999999999997</c:v>
                </c:pt>
                <c:pt idx="429">
                  <c:v>18.43</c:v>
                </c:pt>
                <c:pt idx="430">
                  <c:v>24.4</c:v>
                </c:pt>
                <c:pt idx="431">
                  <c:v>24.8</c:v>
                </c:pt>
                <c:pt idx="432">
                  <c:v>30.479999999999986</c:v>
                </c:pt>
                <c:pt idx="433">
                  <c:v>35.86</c:v>
                </c:pt>
                <c:pt idx="434">
                  <c:v>28.01</c:v>
                </c:pt>
                <c:pt idx="435">
                  <c:v>38.730000000000011</c:v>
                </c:pt>
                <c:pt idx="436">
                  <c:v>31</c:v>
                </c:pt>
                <c:pt idx="437">
                  <c:v>61.620000000000012</c:v>
                </c:pt>
                <c:pt idx="438">
                  <c:v>40.61</c:v>
                </c:pt>
                <c:pt idx="439">
                  <c:v>35.9</c:v>
                </c:pt>
                <c:pt idx="440">
                  <c:v>28.95</c:v>
                </c:pt>
                <c:pt idx="441">
                  <c:v>32.83</c:v>
                </c:pt>
                <c:pt idx="442">
                  <c:v>27.31000000000002</c:v>
                </c:pt>
                <c:pt idx="443">
                  <c:v>20.84</c:v>
                </c:pt>
                <c:pt idx="444">
                  <c:v>24.93</c:v>
                </c:pt>
                <c:pt idx="445">
                  <c:v>25.52</c:v>
                </c:pt>
                <c:pt idx="446">
                  <c:v>29.59</c:v>
                </c:pt>
                <c:pt idx="447">
                  <c:v>25.31000000000002</c:v>
                </c:pt>
                <c:pt idx="448">
                  <c:v>22.610000000000021</c:v>
                </c:pt>
                <c:pt idx="449">
                  <c:v>20.02</c:v>
                </c:pt>
                <c:pt idx="450">
                  <c:v>22.68</c:v>
                </c:pt>
                <c:pt idx="451">
                  <c:v>31.18</c:v>
                </c:pt>
                <c:pt idx="452">
                  <c:v>24.610000000000021</c:v>
                </c:pt>
                <c:pt idx="453">
                  <c:v>26.259999999999987</c:v>
                </c:pt>
                <c:pt idx="454">
                  <c:v>27.81000000000002</c:v>
                </c:pt>
                <c:pt idx="455">
                  <c:v>22.36</c:v>
                </c:pt>
                <c:pt idx="456">
                  <c:v>19.29</c:v>
                </c:pt>
                <c:pt idx="457">
                  <c:v>17.350000000000001</c:v>
                </c:pt>
                <c:pt idx="458">
                  <c:v>19.059999999999999</c:v>
                </c:pt>
                <c:pt idx="459">
                  <c:v>22.64</c:v>
                </c:pt>
                <c:pt idx="460">
                  <c:v>21.47</c:v>
                </c:pt>
                <c:pt idx="461">
                  <c:v>22.4</c:v>
                </c:pt>
                <c:pt idx="462">
                  <c:v>22.8</c:v>
                </c:pt>
                <c:pt idx="463">
                  <c:v>18.86</c:v>
                </c:pt>
                <c:pt idx="464">
                  <c:v>17.100000000000001</c:v>
                </c:pt>
                <c:pt idx="465">
                  <c:v>22.25</c:v>
                </c:pt>
                <c:pt idx="466">
                  <c:v>26.3</c:v>
                </c:pt>
                <c:pt idx="467">
                  <c:v>25.99</c:v>
                </c:pt>
                <c:pt idx="468">
                  <c:v>38.78</c:v>
                </c:pt>
                <c:pt idx="469">
                  <c:v>40.590000000000003</c:v>
                </c:pt>
                <c:pt idx="470">
                  <c:v>33.44</c:v>
                </c:pt>
                <c:pt idx="471">
                  <c:v>23.54</c:v>
                </c:pt>
                <c:pt idx="472">
                  <c:v>32.290000000000013</c:v>
                </c:pt>
                <c:pt idx="473">
                  <c:v>30.55</c:v>
                </c:pt>
                <c:pt idx="474">
                  <c:v>28</c:v>
                </c:pt>
                <c:pt idx="475">
                  <c:v>25.88</c:v>
                </c:pt>
                <c:pt idx="476">
                  <c:v>26.51</c:v>
                </c:pt>
                <c:pt idx="477">
                  <c:v>20.49</c:v>
                </c:pt>
                <c:pt idx="478">
                  <c:v>19.62</c:v>
                </c:pt>
                <c:pt idx="479">
                  <c:v>25.32</c:v>
                </c:pt>
                <c:pt idx="480">
                  <c:v>26.95</c:v>
                </c:pt>
                <c:pt idx="481">
                  <c:v>23.83000000000002</c:v>
                </c:pt>
                <c:pt idx="482">
                  <c:v>26.43</c:v>
                </c:pt>
                <c:pt idx="483">
                  <c:v>30.14</c:v>
                </c:pt>
                <c:pt idx="484">
                  <c:v>28.15000000000002</c:v>
                </c:pt>
                <c:pt idx="485">
                  <c:v>21.65000000000002</c:v>
                </c:pt>
                <c:pt idx="486">
                  <c:v>22.09</c:v>
                </c:pt>
                <c:pt idx="487">
                  <c:v>24.68</c:v>
                </c:pt>
                <c:pt idx="488">
                  <c:v>23.17</c:v>
                </c:pt>
                <c:pt idx="489">
                  <c:v>26.66</c:v>
                </c:pt>
                <c:pt idx="490">
                  <c:v>25.759999999999987</c:v>
                </c:pt>
                <c:pt idx="491">
                  <c:v>26.479999999999986</c:v>
                </c:pt>
                <c:pt idx="492">
                  <c:v>23.17</c:v>
                </c:pt>
                <c:pt idx="493">
                  <c:v>24.939999999999987</c:v>
                </c:pt>
                <c:pt idx="494">
                  <c:v>27.45</c:v>
                </c:pt>
                <c:pt idx="495">
                  <c:v>37.870000000000005</c:v>
                </c:pt>
                <c:pt idx="496">
                  <c:v>26.7</c:v>
                </c:pt>
                <c:pt idx="497">
                  <c:v>26.16</c:v>
                </c:pt>
                <c:pt idx="498">
                  <c:v>25.62</c:v>
                </c:pt>
                <c:pt idx="499">
                  <c:v>21.67</c:v>
                </c:pt>
                <c:pt idx="500">
                  <c:v>25.99</c:v>
                </c:pt>
                <c:pt idx="501">
                  <c:v>25.52</c:v>
                </c:pt>
                <c:pt idx="502">
                  <c:v>24.25</c:v>
                </c:pt>
                <c:pt idx="503">
                  <c:v>22.08</c:v>
                </c:pt>
                <c:pt idx="504">
                  <c:v>20.100000000000001</c:v>
                </c:pt>
                <c:pt idx="505">
                  <c:v>19.3</c:v>
                </c:pt>
                <c:pt idx="506">
                  <c:v>20.329999999999988</c:v>
                </c:pt>
                <c:pt idx="507">
                  <c:v>48.91</c:v>
                </c:pt>
                <c:pt idx="508">
                  <c:v>94.92</c:v>
                </c:pt>
                <c:pt idx="509">
                  <c:v>73.25</c:v>
                </c:pt>
                <c:pt idx="510">
                  <c:v>34.120000000000012</c:v>
                </c:pt>
                <c:pt idx="511">
                  <c:v>30.73</c:v>
                </c:pt>
                <c:pt idx="512">
                  <c:v>38.349999999999994</c:v>
                </c:pt>
                <c:pt idx="513">
                  <c:v>24.56</c:v>
                </c:pt>
                <c:pt idx="514">
                  <c:v>31.5</c:v>
                </c:pt>
                <c:pt idx="515">
                  <c:v>44.839999999999996</c:v>
                </c:pt>
                <c:pt idx="516">
                  <c:v>28.03</c:v>
                </c:pt>
                <c:pt idx="517">
                  <c:v>21.56</c:v>
                </c:pt>
                <c:pt idx="518">
                  <c:v>33.44</c:v>
                </c:pt>
                <c:pt idx="519">
                  <c:v>21.63000000000002</c:v>
                </c:pt>
                <c:pt idx="520">
                  <c:v>16.98999999999997</c:v>
                </c:pt>
                <c:pt idx="521">
                  <c:v>19.149999999999999</c:v>
                </c:pt>
                <c:pt idx="522">
                  <c:v>25.259999999999987</c:v>
                </c:pt>
                <c:pt idx="523">
                  <c:v>23.89</c:v>
                </c:pt>
                <c:pt idx="524">
                  <c:v>25.21</c:v>
                </c:pt>
                <c:pt idx="525">
                  <c:v>27.18</c:v>
                </c:pt>
                <c:pt idx="526">
                  <c:v>26.87</c:v>
                </c:pt>
                <c:pt idx="527">
                  <c:v>23.83000000000002</c:v>
                </c:pt>
                <c:pt idx="528">
                  <c:v>25.25</c:v>
                </c:pt>
                <c:pt idx="529">
                  <c:v>17.89</c:v>
                </c:pt>
                <c:pt idx="530">
                  <c:v>19.54</c:v>
                </c:pt>
                <c:pt idx="531">
                  <c:v>28.91</c:v>
                </c:pt>
                <c:pt idx="532">
                  <c:v>19.36</c:v>
                </c:pt>
                <c:pt idx="533">
                  <c:v>17.260000000000002</c:v>
                </c:pt>
                <c:pt idx="534">
                  <c:v>15.43</c:v>
                </c:pt>
                <c:pt idx="535">
                  <c:v>19.41</c:v>
                </c:pt>
                <c:pt idx="536">
                  <c:v>23.09</c:v>
                </c:pt>
                <c:pt idx="537">
                  <c:v>22.77</c:v>
                </c:pt>
                <c:pt idx="538">
                  <c:v>35.44</c:v>
                </c:pt>
                <c:pt idx="539">
                  <c:v>21.84</c:v>
                </c:pt>
                <c:pt idx="540">
                  <c:v>17.48999999999997</c:v>
                </c:pt>
                <c:pt idx="541">
                  <c:v>16.279999999999987</c:v>
                </c:pt>
                <c:pt idx="542">
                  <c:v>13.91</c:v>
                </c:pt>
                <c:pt idx="543">
                  <c:v>13.870000000000005</c:v>
                </c:pt>
                <c:pt idx="544">
                  <c:v>15.16</c:v>
                </c:pt>
                <c:pt idx="545">
                  <c:v>15.88</c:v>
                </c:pt>
                <c:pt idx="546">
                  <c:v>16.48999999999997</c:v>
                </c:pt>
                <c:pt idx="547">
                  <c:v>16.47</c:v>
                </c:pt>
                <c:pt idx="548">
                  <c:v>15.82</c:v>
                </c:pt>
                <c:pt idx="549">
                  <c:v>16.05</c:v>
                </c:pt>
                <c:pt idx="550">
                  <c:v>21.33000000000002</c:v>
                </c:pt>
                <c:pt idx="551">
                  <c:v>21.31000000000002</c:v>
                </c:pt>
                <c:pt idx="552">
                  <c:v>25.47</c:v>
                </c:pt>
                <c:pt idx="553">
                  <c:v>32.75</c:v>
                </c:pt>
                <c:pt idx="554">
                  <c:v>32.300000000000004</c:v>
                </c:pt>
                <c:pt idx="555">
                  <c:v>19.45</c:v>
                </c:pt>
                <c:pt idx="556">
                  <c:v>27.459999999999987</c:v>
                </c:pt>
                <c:pt idx="557">
                  <c:v>25.25</c:v>
                </c:pt>
                <c:pt idx="558">
                  <c:v>31.22</c:v>
                </c:pt>
                <c:pt idx="559">
                  <c:v>265.7</c:v>
                </c:pt>
                <c:pt idx="560">
                  <c:v>277.67</c:v>
                </c:pt>
                <c:pt idx="561">
                  <c:v>29.09</c:v>
                </c:pt>
                <c:pt idx="562">
                  <c:v>32.53</c:v>
                </c:pt>
                <c:pt idx="563">
                  <c:v>35.520000000000003</c:v>
                </c:pt>
                <c:pt idx="564">
                  <c:v>67.489999999999995</c:v>
                </c:pt>
                <c:pt idx="565">
                  <c:v>64.33</c:v>
                </c:pt>
                <c:pt idx="566">
                  <c:v>66.349999999999994</c:v>
                </c:pt>
                <c:pt idx="567">
                  <c:v>54.05</c:v>
                </c:pt>
                <c:pt idx="568">
                  <c:v>42.05</c:v>
                </c:pt>
                <c:pt idx="569">
                  <c:v>46.44</c:v>
                </c:pt>
                <c:pt idx="570">
                  <c:v>61.04</c:v>
                </c:pt>
                <c:pt idx="571">
                  <c:v>154.23999999999998</c:v>
                </c:pt>
                <c:pt idx="572">
                  <c:v>44.760000000000012</c:v>
                </c:pt>
                <c:pt idx="573">
                  <c:v>35.39</c:v>
                </c:pt>
                <c:pt idx="574">
                  <c:v>24.459999999999987</c:v>
                </c:pt>
                <c:pt idx="575">
                  <c:v>20.079999999999988</c:v>
                </c:pt>
                <c:pt idx="576">
                  <c:v>20.59</c:v>
                </c:pt>
                <c:pt idx="577">
                  <c:v>35.220000000000013</c:v>
                </c:pt>
                <c:pt idx="578">
                  <c:v>65.790000000000006</c:v>
                </c:pt>
                <c:pt idx="579">
                  <c:v>37.800000000000004</c:v>
                </c:pt>
                <c:pt idx="580">
                  <c:v>28.29</c:v>
                </c:pt>
                <c:pt idx="581">
                  <c:v>38.980000000000004</c:v>
                </c:pt>
                <c:pt idx="582">
                  <c:v>50.55</c:v>
                </c:pt>
                <c:pt idx="583">
                  <c:v>35.42</c:v>
                </c:pt>
                <c:pt idx="584">
                  <c:v>84</c:v>
                </c:pt>
                <c:pt idx="585">
                  <c:v>32.870000000000005</c:v>
                </c:pt>
                <c:pt idx="586">
                  <c:v>35.15</c:v>
                </c:pt>
                <c:pt idx="587">
                  <c:v>35.130000000000003</c:v>
                </c:pt>
                <c:pt idx="588">
                  <c:v>37.42</c:v>
                </c:pt>
                <c:pt idx="589">
                  <c:v>23.24</c:v>
                </c:pt>
                <c:pt idx="590">
                  <c:v>24.459999999999987</c:v>
                </c:pt>
                <c:pt idx="591">
                  <c:v>32.1</c:v>
                </c:pt>
                <c:pt idx="592">
                  <c:v>33.93</c:v>
                </c:pt>
                <c:pt idx="593">
                  <c:v>46.13</c:v>
                </c:pt>
                <c:pt idx="594">
                  <c:v>61.8</c:v>
                </c:pt>
                <c:pt idx="595">
                  <c:v>86.98</c:v>
                </c:pt>
                <c:pt idx="596">
                  <c:v>54.58</c:v>
                </c:pt>
                <c:pt idx="597">
                  <c:v>32.449999999999996</c:v>
                </c:pt>
                <c:pt idx="598">
                  <c:v>69.02</c:v>
                </c:pt>
                <c:pt idx="599">
                  <c:v>83.36</c:v>
                </c:pt>
                <c:pt idx="600">
                  <c:v>57.160000000000011</c:v>
                </c:pt>
                <c:pt idx="601">
                  <c:v>56.27</c:v>
                </c:pt>
                <c:pt idx="602">
                  <c:v>50.25</c:v>
                </c:pt>
                <c:pt idx="603">
                  <c:v>36.4</c:v>
                </c:pt>
                <c:pt idx="604">
                  <c:v>23.29</c:v>
                </c:pt>
                <c:pt idx="605">
                  <c:v>30.99</c:v>
                </c:pt>
                <c:pt idx="606">
                  <c:v>34.11</c:v>
                </c:pt>
                <c:pt idx="607">
                  <c:v>39.020000000000003</c:v>
                </c:pt>
                <c:pt idx="608">
                  <c:v>43.47</c:v>
                </c:pt>
                <c:pt idx="609">
                  <c:v>72.8</c:v>
                </c:pt>
                <c:pt idx="610">
                  <c:v>134.41</c:v>
                </c:pt>
                <c:pt idx="611">
                  <c:v>54.3</c:v>
                </c:pt>
                <c:pt idx="612">
                  <c:v>42.18</c:v>
                </c:pt>
                <c:pt idx="613">
                  <c:v>35.550000000000004</c:v>
                </c:pt>
                <c:pt idx="614">
                  <c:v>32.17</c:v>
                </c:pt>
                <c:pt idx="615">
                  <c:v>35.86</c:v>
                </c:pt>
                <c:pt idx="616">
                  <c:v>30.6</c:v>
                </c:pt>
                <c:pt idx="617">
                  <c:v>27.12</c:v>
                </c:pt>
                <c:pt idx="618">
                  <c:v>32.89</c:v>
                </c:pt>
                <c:pt idx="619">
                  <c:v>33.28</c:v>
                </c:pt>
                <c:pt idx="620">
                  <c:v>33.39</c:v>
                </c:pt>
                <c:pt idx="621">
                  <c:v>37.93</c:v>
                </c:pt>
                <c:pt idx="622">
                  <c:v>45.54</c:v>
                </c:pt>
                <c:pt idx="623">
                  <c:v>47.5</c:v>
                </c:pt>
                <c:pt idx="624">
                  <c:v>50.05</c:v>
                </c:pt>
                <c:pt idx="625">
                  <c:v>33.449999999999996</c:v>
                </c:pt>
                <c:pt idx="626">
                  <c:v>46.11</c:v>
                </c:pt>
                <c:pt idx="627">
                  <c:v>59.92</c:v>
                </c:pt>
                <c:pt idx="628">
                  <c:v>80.25</c:v>
                </c:pt>
                <c:pt idx="629">
                  <c:v>123.98</c:v>
                </c:pt>
                <c:pt idx="630">
                  <c:v>128.32000000000008</c:v>
                </c:pt>
                <c:pt idx="631">
                  <c:v>52.25</c:v>
                </c:pt>
                <c:pt idx="632">
                  <c:v>28.91</c:v>
                </c:pt>
                <c:pt idx="633">
                  <c:v>38.6</c:v>
                </c:pt>
                <c:pt idx="634">
                  <c:v>41.17</c:v>
                </c:pt>
                <c:pt idx="635">
                  <c:v>42.08</c:v>
                </c:pt>
                <c:pt idx="636">
                  <c:v>42.1</c:v>
                </c:pt>
                <c:pt idx="637">
                  <c:v>41.91</c:v>
                </c:pt>
                <c:pt idx="638">
                  <c:v>41.46</c:v>
                </c:pt>
                <c:pt idx="639">
                  <c:v>53.790000000000013</c:v>
                </c:pt>
                <c:pt idx="640">
                  <c:v>78.66</c:v>
                </c:pt>
                <c:pt idx="641">
                  <c:v>85.64</c:v>
                </c:pt>
                <c:pt idx="642">
                  <c:v>96.02</c:v>
                </c:pt>
                <c:pt idx="643">
                  <c:v>85.669999999999973</c:v>
                </c:pt>
                <c:pt idx="644">
                  <c:v>55.42</c:v>
                </c:pt>
                <c:pt idx="645">
                  <c:v>50.7</c:v>
                </c:pt>
                <c:pt idx="646">
                  <c:v>38.51</c:v>
                </c:pt>
                <c:pt idx="647">
                  <c:v>54.48</c:v>
                </c:pt>
                <c:pt idx="648">
                  <c:v>64.169999999999973</c:v>
                </c:pt>
                <c:pt idx="649">
                  <c:v>59.339999999999996</c:v>
                </c:pt>
                <c:pt idx="650">
                  <c:v>63.9</c:v>
                </c:pt>
                <c:pt idx="651">
                  <c:v>78.179999999999978</c:v>
                </c:pt>
                <c:pt idx="652">
                  <c:v>67.400000000000006</c:v>
                </c:pt>
                <c:pt idx="653">
                  <c:v>58.14</c:v>
                </c:pt>
                <c:pt idx="654">
                  <c:v>97.61999999999999</c:v>
                </c:pt>
                <c:pt idx="655">
                  <c:v>89.6</c:v>
                </c:pt>
                <c:pt idx="656">
                  <c:v>84.48</c:v>
                </c:pt>
                <c:pt idx="657">
                  <c:v>179.76</c:v>
                </c:pt>
                <c:pt idx="658">
                  <c:v>151.6</c:v>
                </c:pt>
                <c:pt idx="659">
                  <c:v>61.82</c:v>
                </c:pt>
                <c:pt idx="660">
                  <c:v>58.67</c:v>
                </c:pt>
                <c:pt idx="661">
                  <c:v>80.95</c:v>
                </c:pt>
                <c:pt idx="662">
                  <c:v>98.76</c:v>
                </c:pt>
                <c:pt idx="663">
                  <c:v>63.290000000000013</c:v>
                </c:pt>
                <c:pt idx="664">
                  <c:v>93.410000000000025</c:v>
                </c:pt>
                <c:pt idx="665">
                  <c:v>94</c:v>
                </c:pt>
                <c:pt idx="666">
                  <c:v>76.25</c:v>
                </c:pt>
                <c:pt idx="667">
                  <c:v>50.349999999999994</c:v>
                </c:pt>
                <c:pt idx="668">
                  <c:v>75.7</c:v>
                </c:pt>
                <c:pt idx="669">
                  <c:v>64.010000000000005</c:v>
                </c:pt>
                <c:pt idx="670">
                  <c:v>68.349999999999994</c:v>
                </c:pt>
                <c:pt idx="671">
                  <c:v>75.13</c:v>
                </c:pt>
                <c:pt idx="672">
                  <c:v>69.739999999999995</c:v>
                </c:pt>
                <c:pt idx="673">
                  <c:v>45.98</c:v>
                </c:pt>
                <c:pt idx="674">
                  <c:v>37.690000000000012</c:v>
                </c:pt>
                <c:pt idx="675">
                  <c:v>53.68</c:v>
                </c:pt>
                <c:pt idx="676">
                  <c:v>65.010000000000005</c:v>
                </c:pt>
                <c:pt idx="677">
                  <c:v>65.489999999999995</c:v>
                </c:pt>
                <c:pt idx="678">
                  <c:v>75.599999999999994</c:v>
                </c:pt>
                <c:pt idx="679">
                  <c:v>87.57</c:v>
                </c:pt>
                <c:pt idx="680">
                  <c:v>95.31</c:v>
                </c:pt>
                <c:pt idx="681">
                  <c:v>59.28</c:v>
                </c:pt>
                <c:pt idx="682">
                  <c:v>56.77</c:v>
                </c:pt>
                <c:pt idx="683">
                  <c:v>53.47</c:v>
                </c:pt>
                <c:pt idx="684">
                  <c:v>53.01</c:v>
                </c:pt>
                <c:pt idx="685">
                  <c:v>58.660000000000011</c:v>
                </c:pt>
                <c:pt idx="686">
                  <c:v>56.220000000000013</c:v>
                </c:pt>
                <c:pt idx="687">
                  <c:v>42.24</c:v>
                </c:pt>
                <c:pt idx="688">
                  <c:v>40.190000000000012</c:v>
                </c:pt>
                <c:pt idx="689">
                  <c:v>58.11</c:v>
                </c:pt>
                <c:pt idx="690">
                  <c:v>59.89</c:v>
                </c:pt>
                <c:pt idx="691">
                  <c:v>61.13</c:v>
                </c:pt>
                <c:pt idx="692">
                  <c:v>64.27</c:v>
                </c:pt>
                <c:pt idx="693">
                  <c:v>58.49</c:v>
                </c:pt>
                <c:pt idx="694">
                  <c:v>59.07</c:v>
                </c:pt>
                <c:pt idx="695">
                  <c:v>52.43</c:v>
                </c:pt>
                <c:pt idx="696">
                  <c:v>68.52</c:v>
                </c:pt>
                <c:pt idx="697">
                  <c:v>69.11</c:v>
                </c:pt>
                <c:pt idx="698">
                  <c:v>90.38</c:v>
                </c:pt>
                <c:pt idx="699">
                  <c:v>96.75</c:v>
                </c:pt>
                <c:pt idx="700">
                  <c:v>68.760000000000005</c:v>
                </c:pt>
                <c:pt idx="701">
                  <c:v>58.39</c:v>
                </c:pt>
                <c:pt idx="702">
                  <c:v>53.87</c:v>
                </c:pt>
                <c:pt idx="703">
                  <c:v>64.540000000000006</c:v>
                </c:pt>
                <c:pt idx="704">
                  <c:v>63.96</c:v>
                </c:pt>
                <c:pt idx="705">
                  <c:v>60.97</c:v>
                </c:pt>
                <c:pt idx="706">
                  <c:v>78.73</c:v>
                </c:pt>
                <c:pt idx="707">
                  <c:v>99.08</c:v>
                </c:pt>
                <c:pt idx="708">
                  <c:v>87.77</c:v>
                </c:pt>
                <c:pt idx="709">
                  <c:v>60.89</c:v>
                </c:pt>
                <c:pt idx="710">
                  <c:v>80.66</c:v>
                </c:pt>
                <c:pt idx="711">
                  <c:v>248.86</c:v>
                </c:pt>
                <c:pt idx="712">
                  <c:v>863.13</c:v>
                </c:pt>
                <c:pt idx="713">
                  <c:v>521.33999999999946</c:v>
                </c:pt>
                <c:pt idx="714">
                  <c:v>329.48999999999967</c:v>
                </c:pt>
                <c:pt idx="715">
                  <c:v>302.02</c:v>
                </c:pt>
                <c:pt idx="716">
                  <c:v>87.85</c:v>
                </c:pt>
                <c:pt idx="717">
                  <c:v>212.73999999999998</c:v>
                </c:pt>
                <c:pt idx="718">
                  <c:v>458.68</c:v>
                </c:pt>
                <c:pt idx="719">
                  <c:v>375.2</c:v>
                </c:pt>
                <c:pt idx="720">
                  <c:v>143.47</c:v>
                </c:pt>
                <c:pt idx="721">
                  <c:v>168.79</c:v>
                </c:pt>
                <c:pt idx="722">
                  <c:v>152.84</c:v>
                </c:pt>
                <c:pt idx="723">
                  <c:v>128.36000000000001</c:v>
                </c:pt>
                <c:pt idx="724">
                  <c:v>136.28</c:v>
                </c:pt>
                <c:pt idx="725">
                  <c:v>360.38</c:v>
                </c:pt>
                <c:pt idx="726">
                  <c:v>773.31</c:v>
                </c:pt>
                <c:pt idx="727">
                  <c:v>670.75</c:v>
                </c:pt>
                <c:pt idx="728">
                  <c:v>141.22999999999999</c:v>
                </c:pt>
                <c:pt idx="729">
                  <c:v>67.45</c:v>
                </c:pt>
                <c:pt idx="730">
                  <c:v>68.959999999999994</c:v>
                </c:pt>
                <c:pt idx="731">
                  <c:v>71.45</c:v>
                </c:pt>
                <c:pt idx="732">
                  <c:v>66.61</c:v>
                </c:pt>
                <c:pt idx="733">
                  <c:v>66.430000000000007</c:v>
                </c:pt>
                <c:pt idx="734">
                  <c:v>68.48</c:v>
                </c:pt>
                <c:pt idx="735">
                  <c:v>58.87</c:v>
                </c:pt>
                <c:pt idx="736">
                  <c:v>60.160000000000011</c:v>
                </c:pt>
                <c:pt idx="737">
                  <c:v>91.03</c:v>
                </c:pt>
                <c:pt idx="738">
                  <c:v>201.18</c:v>
                </c:pt>
                <c:pt idx="739">
                  <c:v>99.63</c:v>
                </c:pt>
                <c:pt idx="740">
                  <c:v>64.45</c:v>
                </c:pt>
                <c:pt idx="741">
                  <c:v>65.900000000000006</c:v>
                </c:pt>
                <c:pt idx="742">
                  <c:v>96.460000000000022</c:v>
                </c:pt>
                <c:pt idx="743">
                  <c:v>63.07</c:v>
                </c:pt>
                <c:pt idx="744">
                  <c:v>75.11999999999999</c:v>
                </c:pt>
                <c:pt idx="745">
                  <c:v>102.4</c:v>
                </c:pt>
                <c:pt idx="746">
                  <c:v>151.5</c:v>
                </c:pt>
                <c:pt idx="747">
                  <c:v>129.25</c:v>
                </c:pt>
                <c:pt idx="748">
                  <c:v>103.83</c:v>
                </c:pt>
                <c:pt idx="749">
                  <c:v>76.27</c:v>
                </c:pt>
                <c:pt idx="750">
                  <c:v>51.33</c:v>
                </c:pt>
                <c:pt idx="751">
                  <c:v>56.21</c:v>
                </c:pt>
                <c:pt idx="752">
                  <c:v>78.72</c:v>
                </c:pt>
                <c:pt idx="753">
                  <c:v>73.290000000000006</c:v>
                </c:pt>
                <c:pt idx="754">
                  <c:v>54.449999999999996</c:v>
                </c:pt>
                <c:pt idx="755">
                  <c:v>52.41</c:v>
                </c:pt>
                <c:pt idx="756">
                  <c:v>48.08</c:v>
                </c:pt>
                <c:pt idx="757">
                  <c:v>38.700000000000003</c:v>
                </c:pt>
                <c:pt idx="758">
                  <c:v>42.290000000000013</c:v>
                </c:pt>
                <c:pt idx="759">
                  <c:v>72.64</c:v>
                </c:pt>
                <c:pt idx="760">
                  <c:v>64.89</c:v>
                </c:pt>
                <c:pt idx="761">
                  <c:v>47.120000000000012</c:v>
                </c:pt>
                <c:pt idx="762">
                  <c:v>45.690000000000012</c:v>
                </c:pt>
                <c:pt idx="763">
                  <c:v>47.67</c:v>
                </c:pt>
                <c:pt idx="764">
                  <c:v>51.32</c:v>
                </c:pt>
                <c:pt idx="765">
                  <c:v>42.75</c:v>
                </c:pt>
                <c:pt idx="766">
                  <c:v>55.98</c:v>
                </c:pt>
                <c:pt idx="767">
                  <c:v>46.690000000000012</c:v>
                </c:pt>
                <c:pt idx="768">
                  <c:v>41.3</c:v>
                </c:pt>
                <c:pt idx="769">
                  <c:v>39.4</c:v>
                </c:pt>
                <c:pt idx="770">
                  <c:v>32.74</c:v>
                </c:pt>
                <c:pt idx="771">
                  <c:v>27.279999999999987</c:v>
                </c:pt>
                <c:pt idx="772">
                  <c:v>25.66</c:v>
                </c:pt>
                <c:pt idx="773">
                  <c:v>36.65</c:v>
                </c:pt>
                <c:pt idx="774">
                  <c:v>41.720000000000013</c:v>
                </c:pt>
                <c:pt idx="775">
                  <c:v>40.230000000000011</c:v>
                </c:pt>
                <c:pt idx="776">
                  <c:v>44.04</c:v>
                </c:pt>
                <c:pt idx="777">
                  <c:v>40.86</c:v>
                </c:pt>
                <c:pt idx="778">
                  <c:v>34.28</c:v>
                </c:pt>
                <c:pt idx="779">
                  <c:v>38.06</c:v>
                </c:pt>
                <c:pt idx="780">
                  <c:v>52.41</c:v>
                </c:pt>
                <c:pt idx="781">
                  <c:v>46.75</c:v>
                </c:pt>
                <c:pt idx="782">
                  <c:v>41.44</c:v>
                </c:pt>
                <c:pt idx="783">
                  <c:v>41.03</c:v>
                </c:pt>
                <c:pt idx="784">
                  <c:v>39.01</c:v>
                </c:pt>
                <c:pt idx="785">
                  <c:v>29.68</c:v>
                </c:pt>
                <c:pt idx="786">
                  <c:v>29.52</c:v>
                </c:pt>
                <c:pt idx="787">
                  <c:v>34.04</c:v>
                </c:pt>
                <c:pt idx="788">
                  <c:v>35.5</c:v>
                </c:pt>
                <c:pt idx="789">
                  <c:v>35.54</c:v>
                </c:pt>
                <c:pt idx="790">
                  <c:v>35.04</c:v>
                </c:pt>
                <c:pt idx="791">
                  <c:v>38.61</c:v>
                </c:pt>
                <c:pt idx="792">
                  <c:v>33.730000000000011</c:v>
                </c:pt>
                <c:pt idx="793">
                  <c:v>31.979999999999986</c:v>
                </c:pt>
                <c:pt idx="794">
                  <c:v>48.01</c:v>
                </c:pt>
                <c:pt idx="795">
                  <c:v>60.37</c:v>
                </c:pt>
                <c:pt idx="796">
                  <c:v>78.69</c:v>
                </c:pt>
                <c:pt idx="797">
                  <c:v>52.06</c:v>
                </c:pt>
                <c:pt idx="798">
                  <c:v>59.92</c:v>
                </c:pt>
                <c:pt idx="799">
                  <c:v>42.47</c:v>
                </c:pt>
                <c:pt idx="800">
                  <c:v>41.949999999999996</c:v>
                </c:pt>
                <c:pt idx="801">
                  <c:v>44.65</c:v>
                </c:pt>
                <c:pt idx="802">
                  <c:v>47.06</c:v>
                </c:pt>
                <c:pt idx="803">
                  <c:v>44.53</c:v>
                </c:pt>
                <c:pt idx="804">
                  <c:v>51.42</c:v>
                </c:pt>
                <c:pt idx="805">
                  <c:v>50.83</c:v>
                </c:pt>
                <c:pt idx="806">
                  <c:v>40.720000000000013</c:v>
                </c:pt>
                <c:pt idx="807">
                  <c:v>38.090000000000003</c:v>
                </c:pt>
                <c:pt idx="808">
                  <c:v>51.68</c:v>
                </c:pt>
                <c:pt idx="809">
                  <c:v>44.660000000000011</c:v>
                </c:pt>
                <c:pt idx="810">
                  <c:v>43.790000000000013</c:v>
                </c:pt>
                <c:pt idx="811">
                  <c:v>57.18</c:v>
                </c:pt>
                <c:pt idx="812">
                  <c:v>51.67</c:v>
                </c:pt>
                <c:pt idx="813">
                  <c:v>59.44</c:v>
                </c:pt>
                <c:pt idx="814">
                  <c:v>39.71</c:v>
                </c:pt>
                <c:pt idx="815">
                  <c:v>57.730000000000011</c:v>
                </c:pt>
                <c:pt idx="816">
                  <c:v>54.309999999999995</c:v>
                </c:pt>
                <c:pt idx="817">
                  <c:v>42.41</c:v>
                </c:pt>
                <c:pt idx="818">
                  <c:v>48.63</c:v>
                </c:pt>
                <c:pt idx="819">
                  <c:v>48.13</c:v>
                </c:pt>
                <c:pt idx="820">
                  <c:v>39.71</c:v>
                </c:pt>
                <c:pt idx="821">
                  <c:v>32.93</c:v>
                </c:pt>
                <c:pt idx="822">
                  <c:v>34.71</c:v>
                </c:pt>
                <c:pt idx="823">
                  <c:v>40.32</c:v>
                </c:pt>
                <c:pt idx="824">
                  <c:v>43.809999999999995</c:v>
                </c:pt>
                <c:pt idx="825">
                  <c:v>38.99</c:v>
                </c:pt>
                <c:pt idx="826">
                  <c:v>37.83</c:v>
                </c:pt>
                <c:pt idx="827">
                  <c:v>28.43</c:v>
                </c:pt>
                <c:pt idx="828">
                  <c:v>27.53</c:v>
                </c:pt>
                <c:pt idx="829">
                  <c:v>36.910000000000004</c:v>
                </c:pt>
                <c:pt idx="830">
                  <c:v>40.49</c:v>
                </c:pt>
                <c:pt idx="831">
                  <c:v>33.980000000000004</c:v>
                </c:pt>
                <c:pt idx="832">
                  <c:v>38.44</c:v>
                </c:pt>
                <c:pt idx="833">
                  <c:v>37.550000000000004</c:v>
                </c:pt>
                <c:pt idx="834">
                  <c:v>29.39</c:v>
                </c:pt>
                <c:pt idx="835">
                  <c:v>23.43</c:v>
                </c:pt>
                <c:pt idx="836">
                  <c:v>30.55</c:v>
                </c:pt>
                <c:pt idx="837">
                  <c:v>34.790000000000013</c:v>
                </c:pt>
                <c:pt idx="838">
                  <c:v>31.51</c:v>
                </c:pt>
                <c:pt idx="839">
                  <c:v>25.33000000000002</c:v>
                </c:pt>
                <c:pt idx="840">
                  <c:v>24.49</c:v>
                </c:pt>
                <c:pt idx="841">
                  <c:v>23.39</c:v>
                </c:pt>
                <c:pt idx="842">
                  <c:v>30.63000000000002</c:v>
                </c:pt>
                <c:pt idx="843">
                  <c:v>220.67</c:v>
                </c:pt>
                <c:pt idx="844">
                  <c:v>46.120000000000012</c:v>
                </c:pt>
                <c:pt idx="845">
                  <c:v>40.050000000000004</c:v>
                </c:pt>
                <c:pt idx="846">
                  <c:v>48.36</c:v>
                </c:pt>
                <c:pt idx="847">
                  <c:v>43.46</c:v>
                </c:pt>
                <c:pt idx="848">
                  <c:v>35.790000000000013</c:v>
                </c:pt>
                <c:pt idx="849">
                  <c:v>26.58</c:v>
                </c:pt>
                <c:pt idx="850">
                  <c:v>33.83</c:v>
                </c:pt>
                <c:pt idx="851">
                  <c:v>36.94</c:v>
                </c:pt>
                <c:pt idx="852">
                  <c:v>37.910000000000004</c:v>
                </c:pt>
                <c:pt idx="853">
                  <c:v>36.730000000000011</c:v>
                </c:pt>
                <c:pt idx="854">
                  <c:v>35.290000000000013</c:v>
                </c:pt>
                <c:pt idx="855">
                  <c:v>24.29</c:v>
                </c:pt>
                <c:pt idx="856">
                  <c:v>23.88</c:v>
                </c:pt>
                <c:pt idx="857">
                  <c:v>28.65000000000002</c:v>
                </c:pt>
                <c:pt idx="858">
                  <c:v>27.939999999999987</c:v>
                </c:pt>
                <c:pt idx="859">
                  <c:v>31.479999999999986</c:v>
                </c:pt>
                <c:pt idx="860">
                  <c:v>30.89</c:v>
                </c:pt>
                <c:pt idx="861">
                  <c:v>30.32</c:v>
                </c:pt>
                <c:pt idx="862">
                  <c:v>25.09</c:v>
                </c:pt>
                <c:pt idx="863">
                  <c:v>22</c:v>
                </c:pt>
                <c:pt idx="864">
                  <c:v>34.32</c:v>
                </c:pt>
                <c:pt idx="865">
                  <c:v>34.910000000000004</c:v>
                </c:pt>
                <c:pt idx="866">
                  <c:v>38.78</c:v>
                </c:pt>
                <c:pt idx="867">
                  <c:v>46.64</c:v>
                </c:pt>
                <c:pt idx="868">
                  <c:v>50.8</c:v>
                </c:pt>
                <c:pt idx="869">
                  <c:v>25.33000000000002</c:v>
                </c:pt>
                <c:pt idx="870">
                  <c:v>28.25</c:v>
                </c:pt>
                <c:pt idx="871">
                  <c:v>74.97</c:v>
                </c:pt>
                <c:pt idx="872">
                  <c:v>46.49</c:v>
                </c:pt>
                <c:pt idx="873">
                  <c:v>39.020000000000003</c:v>
                </c:pt>
                <c:pt idx="874">
                  <c:v>43.01</c:v>
                </c:pt>
                <c:pt idx="875">
                  <c:v>44.42</c:v>
                </c:pt>
                <c:pt idx="876">
                  <c:v>30.19</c:v>
                </c:pt>
                <c:pt idx="877">
                  <c:v>27.279999999999987</c:v>
                </c:pt>
                <c:pt idx="878">
                  <c:v>35.770000000000003</c:v>
                </c:pt>
                <c:pt idx="879">
                  <c:v>39.07</c:v>
                </c:pt>
                <c:pt idx="880">
                  <c:v>44</c:v>
                </c:pt>
                <c:pt idx="881">
                  <c:v>42.120000000000012</c:v>
                </c:pt>
                <c:pt idx="882">
                  <c:v>38.33</c:v>
                </c:pt>
                <c:pt idx="883">
                  <c:v>27.31000000000002</c:v>
                </c:pt>
                <c:pt idx="884">
                  <c:v>32.47</c:v>
                </c:pt>
                <c:pt idx="885">
                  <c:v>41.83</c:v>
                </c:pt>
                <c:pt idx="886">
                  <c:v>47</c:v>
                </c:pt>
                <c:pt idx="887">
                  <c:v>51.43</c:v>
                </c:pt>
                <c:pt idx="888">
                  <c:v>192.10999999999999</c:v>
                </c:pt>
                <c:pt idx="889">
                  <c:v>55.449999999999996</c:v>
                </c:pt>
                <c:pt idx="890">
                  <c:v>39.33</c:v>
                </c:pt>
                <c:pt idx="891">
                  <c:v>39.379999999999995</c:v>
                </c:pt>
                <c:pt idx="892">
                  <c:v>52.99</c:v>
                </c:pt>
                <c:pt idx="893">
                  <c:v>42.3</c:v>
                </c:pt>
                <c:pt idx="894">
                  <c:v>33.61</c:v>
                </c:pt>
                <c:pt idx="895">
                  <c:v>34.720000000000013</c:v>
                </c:pt>
                <c:pt idx="896">
                  <c:v>36.630000000000003</c:v>
                </c:pt>
                <c:pt idx="897">
                  <c:v>30.439999999999987</c:v>
                </c:pt>
                <c:pt idx="898">
                  <c:v>23.12</c:v>
                </c:pt>
                <c:pt idx="899">
                  <c:v>39.090000000000003</c:v>
                </c:pt>
                <c:pt idx="900">
                  <c:v>34.71</c:v>
                </c:pt>
                <c:pt idx="901">
                  <c:v>36.5</c:v>
                </c:pt>
                <c:pt idx="902">
                  <c:v>33.809999999999995</c:v>
                </c:pt>
                <c:pt idx="903">
                  <c:v>37.690000000000012</c:v>
                </c:pt>
                <c:pt idx="904">
                  <c:v>25.83000000000002</c:v>
                </c:pt>
                <c:pt idx="905">
                  <c:v>21.29</c:v>
                </c:pt>
                <c:pt idx="906">
                  <c:v>21.47</c:v>
                </c:pt>
                <c:pt idx="907">
                  <c:v>18.420000000000002</c:v>
                </c:pt>
                <c:pt idx="908">
                  <c:v>21.610000000000021</c:v>
                </c:pt>
                <c:pt idx="909">
                  <c:v>25.95</c:v>
                </c:pt>
                <c:pt idx="910">
                  <c:v>39.83</c:v>
                </c:pt>
                <c:pt idx="911">
                  <c:v>52.96</c:v>
                </c:pt>
                <c:pt idx="912">
                  <c:v>25.06</c:v>
                </c:pt>
                <c:pt idx="913">
                  <c:v>30.49</c:v>
                </c:pt>
                <c:pt idx="914">
                  <c:v>25.8</c:v>
                </c:pt>
                <c:pt idx="915">
                  <c:v>29.53</c:v>
                </c:pt>
                <c:pt idx="916">
                  <c:v>34.18</c:v>
                </c:pt>
                <c:pt idx="917">
                  <c:v>47.7</c:v>
                </c:pt>
                <c:pt idx="918">
                  <c:v>46.99</c:v>
                </c:pt>
                <c:pt idx="919">
                  <c:v>37.190000000000012</c:v>
                </c:pt>
                <c:pt idx="920">
                  <c:v>40.370000000000005</c:v>
                </c:pt>
                <c:pt idx="921">
                  <c:v>32.230000000000011</c:v>
                </c:pt>
                <c:pt idx="922">
                  <c:v>37.15</c:v>
                </c:pt>
                <c:pt idx="923">
                  <c:v>52.56</c:v>
                </c:pt>
                <c:pt idx="924">
                  <c:v>42.03</c:v>
                </c:pt>
                <c:pt idx="925">
                  <c:v>26.52</c:v>
                </c:pt>
                <c:pt idx="926">
                  <c:v>33.32</c:v>
                </c:pt>
                <c:pt idx="927">
                  <c:v>31.8</c:v>
                </c:pt>
                <c:pt idx="928">
                  <c:v>38.270000000000003</c:v>
                </c:pt>
                <c:pt idx="929">
                  <c:v>38.24</c:v>
                </c:pt>
                <c:pt idx="930">
                  <c:v>30.83000000000002</c:v>
                </c:pt>
                <c:pt idx="931">
                  <c:v>29.29</c:v>
                </c:pt>
                <c:pt idx="932">
                  <c:v>21.05</c:v>
                </c:pt>
                <c:pt idx="933">
                  <c:v>20.39</c:v>
                </c:pt>
                <c:pt idx="934">
                  <c:v>28.34</c:v>
                </c:pt>
                <c:pt idx="935">
                  <c:v>27.259999999999987</c:v>
                </c:pt>
                <c:pt idx="936">
                  <c:v>27.55</c:v>
                </c:pt>
                <c:pt idx="937">
                  <c:v>28</c:v>
                </c:pt>
                <c:pt idx="938">
                  <c:v>30.22</c:v>
                </c:pt>
                <c:pt idx="939">
                  <c:v>26.91</c:v>
                </c:pt>
                <c:pt idx="940">
                  <c:v>24.1</c:v>
                </c:pt>
                <c:pt idx="941">
                  <c:v>28.439999999999987</c:v>
                </c:pt>
                <c:pt idx="942">
                  <c:v>45.47</c:v>
                </c:pt>
                <c:pt idx="943">
                  <c:v>52.08</c:v>
                </c:pt>
                <c:pt idx="944">
                  <c:v>42.67</c:v>
                </c:pt>
                <c:pt idx="945">
                  <c:v>31.279999999999987</c:v>
                </c:pt>
                <c:pt idx="946">
                  <c:v>28.5</c:v>
                </c:pt>
                <c:pt idx="947">
                  <c:v>25</c:v>
                </c:pt>
                <c:pt idx="948">
                  <c:v>31.06</c:v>
                </c:pt>
                <c:pt idx="949">
                  <c:v>34.590000000000003</c:v>
                </c:pt>
                <c:pt idx="950">
                  <c:v>32.21</c:v>
                </c:pt>
                <c:pt idx="951">
                  <c:v>28.16</c:v>
                </c:pt>
                <c:pt idx="952">
                  <c:v>28.74</c:v>
                </c:pt>
                <c:pt idx="953">
                  <c:v>25.939999999999987</c:v>
                </c:pt>
                <c:pt idx="954">
                  <c:v>22.82</c:v>
                </c:pt>
                <c:pt idx="955">
                  <c:v>27.07</c:v>
                </c:pt>
                <c:pt idx="956">
                  <c:v>27.49</c:v>
                </c:pt>
                <c:pt idx="957">
                  <c:v>26.779999999999987</c:v>
                </c:pt>
                <c:pt idx="958">
                  <c:v>26.759999999999987</c:v>
                </c:pt>
                <c:pt idx="959">
                  <c:v>26.62</c:v>
                </c:pt>
                <c:pt idx="960">
                  <c:v>22.79</c:v>
                </c:pt>
                <c:pt idx="961">
                  <c:v>22.459999999999987</c:v>
                </c:pt>
                <c:pt idx="962">
                  <c:v>27.08</c:v>
                </c:pt>
                <c:pt idx="963">
                  <c:v>28.12</c:v>
                </c:pt>
                <c:pt idx="964">
                  <c:v>29.6</c:v>
                </c:pt>
                <c:pt idx="965">
                  <c:v>29.9</c:v>
                </c:pt>
                <c:pt idx="966">
                  <c:v>30.04</c:v>
                </c:pt>
                <c:pt idx="967">
                  <c:v>24.779999999999987</c:v>
                </c:pt>
                <c:pt idx="968">
                  <c:v>21.74</c:v>
                </c:pt>
                <c:pt idx="969">
                  <c:v>25.19</c:v>
                </c:pt>
                <c:pt idx="970">
                  <c:v>26.16</c:v>
                </c:pt>
                <c:pt idx="971">
                  <c:v>24.93</c:v>
                </c:pt>
                <c:pt idx="972">
                  <c:v>27.17</c:v>
                </c:pt>
                <c:pt idx="973">
                  <c:v>25.55</c:v>
                </c:pt>
                <c:pt idx="974">
                  <c:v>22.4</c:v>
                </c:pt>
                <c:pt idx="975">
                  <c:v>21.110000000000021</c:v>
                </c:pt>
                <c:pt idx="976">
                  <c:v>23.439999999999987</c:v>
                </c:pt>
                <c:pt idx="977">
                  <c:v>23.17</c:v>
                </c:pt>
                <c:pt idx="978">
                  <c:v>38.630000000000003</c:v>
                </c:pt>
                <c:pt idx="979">
                  <c:v>46.47</c:v>
                </c:pt>
                <c:pt idx="980">
                  <c:v>40.51</c:v>
                </c:pt>
                <c:pt idx="981">
                  <c:v>24.04</c:v>
                </c:pt>
                <c:pt idx="982">
                  <c:v>23.47</c:v>
                </c:pt>
                <c:pt idx="983">
                  <c:v>28.41</c:v>
                </c:pt>
                <c:pt idx="984">
                  <c:v>42.290000000000013</c:v>
                </c:pt>
                <c:pt idx="985">
                  <c:v>38.800000000000004</c:v>
                </c:pt>
                <c:pt idx="986">
                  <c:v>60.42</c:v>
                </c:pt>
                <c:pt idx="987">
                  <c:v>58.660000000000011</c:v>
                </c:pt>
                <c:pt idx="988">
                  <c:v>50.75</c:v>
                </c:pt>
                <c:pt idx="989">
                  <c:v>39.620000000000012</c:v>
                </c:pt>
                <c:pt idx="990">
                  <c:v>108.61999999999999</c:v>
                </c:pt>
                <c:pt idx="991">
                  <c:v>51.07</c:v>
                </c:pt>
                <c:pt idx="992">
                  <c:v>37.349999999999994</c:v>
                </c:pt>
                <c:pt idx="993">
                  <c:v>30.779999999999987</c:v>
                </c:pt>
                <c:pt idx="994">
                  <c:v>22.07</c:v>
                </c:pt>
                <c:pt idx="995">
                  <c:v>22.19</c:v>
                </c:pt>
                <c:pt idx="996">
                  <c:v>20.49</c:v>
                </c:pt>
                <c:pt idx="997">
                  <c:v>22.24</c:v>
                </c:pt>
                <c:pt idx="998">
                  <c:v>24.56</c:v>
                </c:pt>
                <c:pt idx="999">
                  <c:v>27.64</c:v>
                </c:pt>
                <c:pt idx="1000">
                  <c:v>24.459999999999987</c:v>
                </c:pt>
                <c:pt idx="1001">
                  <c:v>25.259999999999987</c:v>
                </c:pt>
                <c:pt idx="1002">
                  <c:v>24.67</c:v>
                </c:pt>
                <c:pt idx="1003">
                  <c:v>23.07</c:v>
                </c:pt>
                <c:pt idx="1004">
                  <c:v>25.01</c:v>
                </c:pt>
                <c:pt idx="1005">
                  <c:v>29.69</c:v>
                </c:pt>
                <c:pt idx="1006">
                  <c:v>28.610000000000021</c:v>
                </c:pt>
                <c:pt idx="1007">
                  <c:v>30.63000000000002</c:v>
                </c:pt>
                <c:pt idx="1008">
                  <c:v>27.17</c:v>
                </c:pt>
                <c:pt idx="1009">
                  <c:v>24.7</c:v>
                </c:pt>
                <c:pt idx="1010">
                  <c:v>23.75</c:v>
                </c:pt>
                <c:pt idx="1011">
                  <c:v>27.58</c:v>
                </c:pt>
                <c:pt idx="1012">
                  <c:v>27.81000000000002</c:v>
                </c:pt>
                <c:pt idx="1013">
                  <c:v>26.110000000000021</c:v>
                </c:pt>
                <c:pt idx="1014">
                  <c:v>31.25</c:v>
                </c:pt>
                <c:pt idx="1015">
                  <c:v>30.18</c:v>
                </c:pt>
                <c:pt idx="1016">
                  <c:v>26.53</c:v>
                </c:pt>
                <c:pt idx="1017">
                  <c:v>28.47</c:v>
                </c:pt>
                <c:pt idx="1018">
                  <c:v>37.28</c:v>
                </c:pt>
                <c:pt idx="1019">
                  <c:v>36.190000000000012</c:v>
                </c:pt>
                <c:pt idx="1020">
                  <c:v>39.54</c:v>
                </c:pt>
                <c:pt idx="1021">
                  <c:v>41.04</c:v>
                </c:pt>
                <c:pt idx="1022">
                  <c:v>35.550000000000004</c:v>
                </c:pt>
                <c:pt idx="1023">
                  <c:v>30.17</c:v>
                </c:pt>
                <c:pt idx="1024">
                  <c:v>29.52</c:v>
                </c:pt>
                <c:pt idx="1025">
                  <c:v>37.120000000000012</c:v>
                </c:pt>
                <c:pt idx="1026">
                  <c:v>40.18</c:v>
                </c:pt>
                <c:pt idx="1027">
                  <c:v>35.01</c:v>
                </c:pt>
                <c:pt idx="1028">
                  <c:v>30.99</c:v>
                </c:pt>
                <c:pt idx="1029">
                  <c:v>27.19</c:v>
                </c:pt>
                <c:pt idx="1030">
                  <c:v>26.14</c:v>
                </c:pt>
                <c:pt idx="1031">
                  <c:v>29.18</c:v>
                </c:pt>
                <c:pt idx="1032">
                  <c:v>46.5</c:v>
                </c:pt>
                <c:pt idx="1033">
                  <c:v>56.2</c:v>
                </c:pt>
                <c:pt idx="1034">
                  <c:v>57.220000000000013</c:v>
                </c:pt>
                <c:pt idx="1035">
                  <c:v>45.760000000000012</c:v>
                </c:pt>
                <c:pt idx="1036">
                  <c:v>39.980000000000004</c:v>
                </c:pt>
                <c:pt idx="1037">
                  <c:v>38.74</c:v>
                </c:pt>
                <c:pt idx="1038">
                  <c:v>35.67</c:v>
                </c:pt>
                <c:pt idx="1039">
                  <c:v>38.17</c:v>
                </c:pt>
                <c:pt idx="1040">
                  <c:v>40.809999999999995</c:v>
                </c:pt>
                <c:pt idx="1041">
                  <c:v>36.590000000000003</c:v>
                </c:pt>
                <c:pt idx="1042">
                  <c:v>51.48</c:v>
                </c:pt>
                <c:pt idx="1043">
                  <c:v>44.309999999999995</c:v>
                </c:pt>
                <c:pt idx="1044">
                  <c:v>44.03</c:v>
                </c:pt>
                <c:pt idx="1045">
                  <c:v>39.21</c:v>
                </c:pt>
                <c:pt idx="1046">
                  <c:v>51.71</c:v>
                </c:pt>
                <c:pt idx="1047">
                  <c:v>68.39</c:v>
                </c:pt>
                <c:pt idx="1048">
                  <c:v>43.55</c:v>
                </c:pt>
                <c:pt idx="1049">
                  <c:v>39.47</c:v>
                </c:pt>
                <c:pt idx="1050">
                  <c:v>42</c:v>
                </c:pt>
                <c:pt idx="1051">
                  <c:v>45.06</c:v>
                </c:pt>
                <c:pt idx="1052">
                  <c:v>38.480000000000004</c:v>
                </c:pt>
                <c:pt idx="1053">
                  <c:v>40.309999999999995</c:v>
                </c:pt>
                <c:pt idx="1054">
                  <c:v>39.590000000000003</c:v>
                </c:pt>
                <c:pt idx="1055">
                  <c:v>40.42</c:v>
                </c:pt>
                <c:pt idx="1056">
                  <c:v>49.53</c:v>
                </c:pt>
                <c:pt idx="1057">
                  <c:v>47.720000000000013</c:v>
                </c:pt>
                <c:pt idx="1058">
                  <c:v>43.91</c:v>
                </c:pt>
                <c:pt idx="1059">
                  <c:v>47.190000000000012</c:v>
                </c:pt>
                <c:pt idx="1060">
                  <c:v>47.160000000000011</c:v>
                </c:pt>
                <c:pt idx="1061">
                  <c:v>50.290000000000013</c:v>
                </c:pt>
                <c:pt idx="1062">
                  <c:v>67.34</c:v>
                </c:pt>
                <c:pt idx="1063">
                  <c:v>57.86</c:v>
                </c:pt>
                <c:pt idx="1064">
                  <c:v>45.86</c:v>
                </c:pt>
                <c:pt idx="1065">
                  <c:v>40.75</c:v>
                </c:pt>
                <c:pt idx="1066">
                  <c:v>41.86</c:v>
                </c:pt>
                <c:pt idx="1067">
                  <c:v>51.57</c:v>
                </c:pt>
                <c:pt idx="1068">
                  <c:v>52.78</c:v>
                </c:pt>
                <c:pt idx="1069">
                  <c:v>57.42</c:v>
                </c:pt>
                <c:pt idx="1070">
                  <c:v>58.8</c:v>
                </c:pt>
                <c:pt idx="1071">
                  <c:v>61.32</c:v>
                </c:pt>
                <c:pt idx="1072">
                  <c:v>49.89</c:v>
                </c:pt>
                <c:pt idx="1073">
                  <c:v>32.36</c:v>
                </c:pt>
                <c:pt idx="1074">
                  <c:v>32.5</c:v>
                </c:pt>
                <c:pt idx="1075">
                  <c:v>41.17</c:v>
                </c:pt>
                <c:pt idx="1076">
                  <c:v>36.82</c:v>
                </c:pt>
                <c:pt idx="1077">
                  <c:v>39.160000000000011</c:v>
                </c:pt>
                <c:pt idx="1078">
                  <c:v>46.120000000000012</c:v>
                </c:pt>
                <c:pt idx="1079">
                  <c:v>43.82</c:v>
                </c:pt>
                <c:pt idx="1080">
                  <c:v>38.220000000000013</c:v>
                </c:pt>
                <c:pt idx="1081">
                  <c:v>40.379999999999995</c:v>
                </c:pt>
                <c:pt idx="1082">
                  <c:v>39.9</c:v>
                </c:pt>
                <c:pt idx="1083">
                  <c:v>32.770000000000003</c:v>
                </c:pt>
                <c:pt idx="1084">
                  <c:v>31.67</c:v>
                </c:pt>
                <c:pt idx="1085">
                  <c:v>33.9</c:v>
                </c:pt>
                <c:pt idx="1086">
                  <c:v>33.74</c:v>
                </c:pt>
                <c:pt idx="1087">
                  <c:v>36.790000000000013</c:v>
                </c:pt>
                <c:pt idx="1088">
                  <c:v>53.24</c:v>
                </c:pt>
                <c:pt idx="1089">
                  <c:v>44.33</c:v>
                </c:pt>
                <c:pt idx="1090">
                  <c:v>36.770000000000003</c:v>
                </c:pt>
                <c:pt idx="1091">
                  <c:v>39.980000000000004</c:v>
                </c:pt>
                <c:pt idx="1092">
                  <c:v>41.17</c:v>
                </c:pt>
                <c:pt idx="1093">
                  <c:v>42.760000000000012</c:v>
                </c:pt>
                <c:pt idx="1094">
                  <c:v>30.63000000000002</c:v>
                </c:pt>
                <c:pt idx="1095">
                  <c:v>32.870000000000005</c:v>
                </c:pt>
                <c:pt idx="1096">
                  <c:v>26.68</c:v>
                </c:pt>
                <c:pt idx="1097">
                  <c:v>24.279999999999987</c:v>
                </c:pt>
                <c:pt idx="1098">
                  <c:v>29.29</c:v>
                </c:pt>
                <c:pt idx="1099">
                  <c:v>36.51</c:v>
                </c:pt>
                <c:pt idx="1100">
                  <c:v>29.279999999999987</c:v>
                </c:pt>
                <c:pt idx="1101">
                  <c:v>24.73</c:v>
                </c:pt>
                <c:pt idx="1102">
                  <c:v>27.3</c:v>
                </c:pt>
                <c:pt idx="1103">
                  <c:v>31.34</c:v>
                </c:pt>
                <c:pt idx="1104">
                  <c:v>37.28</c:v>
                </c:pt>
                <c:pt idx="1105">
                  <c:v>39.130000000000003</c:v>
                </c:pt>
                <c:pt idx="1106">
                  <c:v>34.71</c:v>
                </c:pt>
                <c:pt idx="1107">
                  <c:v>30.97</c:v>
                </c:pt>
                <c:pt idx="1108">
                  <c:v>23.51</c:v>
                </c:pt>
                <c:pt idx="1109">
                  <c:v>25.02</c:v>
                </c:pt>
                <c:pt idx="1110">
                  <c:v>25.01</c:v>
                </c:pt>
                <c:pt idx="1111">
                  <c:v>30.09</c:v>
                </c:pt>
                <c:pt idx="1112">
                  <c:v>31.25</c:v>
                </c:pt>
                <c:pt idx="1113">
                  <c:v>32.99</c:v>
                </c:pt>
                <c:pt idx="1114">
                  <c:v>29.27</c:v>
                </c:pt>
                <c:pt idx="1115">
                  <c:v>27.3</c:v>
                </c:pt>
                <c:pt idx="1116">
                  <c:v>32.410000000000004</c:v>
                </c:pt>
                <c:pt idx="1117">
                  <c:v>36.75</c:v>
                </c:pt>
                <c:pt idx="1118">
                  <c:v>281.18</c:v>
                </c:pt>
                <c:pt idx="1119">
                  <c:v>42.07</c:v>
                </c:pt>
                <c:pt idx="1120">
                  <c:v>35.78</c:v>
                </c:pt>
                <c:pt idx="1121">
                  <c:v>33.349999999999994</c:v>
                </c:pt>
                <c:pt idx="1122">
                  <c:v>36.97</c:v>
                </c:pt>
                <c:pt idx="1123">
                  <c:v>51.449999999999996</c:v>
                </c:pt>
                <c:pt idx="1124">
                  <c:v>41.47</c:v>
                </c:pt>
                <c:pt idx="1125">
                  <c:v>35.480000000000004</c:v>
                </c:pt>
                <c:pt idx="1126">
                  <c:v>31.82</c:v>
                </c:pt>
                <c:pt idx="1127">
                  <c:v>32.14</c:v>
                </c:pt>
                <c:pt idx="1128">
                  <c:v>32.9</c:v>
                </c:pt>
                <c:pt idx="1129">
                  <c:v>28.72</c:v>
                </c:pt>
                <c:pt idx="1130">
                  <c:v>33.89</c:v>
                </c:pt>
                <c:pt idx="1131">
                  <c:v>40.5</c:v>
                </c:pt>
                <c:pt idx="1132">
                  <c:v>43</c:v>
                </c:pt>
                <c:pt idx="1133">
                  <c:v>42.42</c:v>
                </c:pt>
                <c:pt idx="1134">
                  <c:v>44.98</c:v>
                </c:pt>
                <c:pt idx="1135">
                  <c:v>39.660000000000011</c:v>
                </c:pt>
                <c:pt idx="1136">
                  <c:v>50.849999999999994</c:v>
                </c:pt>
                <c:pt idx="1137">
                  <c:v>64.709999999999994</c:v>
                </c:pt>
                <c:pt idx="1138">
                  <c:v>50.96</c:v>
                </c:pt>
                <c:pt idx="1139">
                  <c:v>52.86</c:v>
                </c:pt>
                <c:pt idx="1140">
                  <c:v>49.02</c:v>
                </c:pt>
                <c:pt idx="1141">
                  <c:v>36.68</c:v>
                </c:pt>
                <c:pt idx="1142">
                  <c:v>34.309999999999995</c:v>
                </c:pt>
                <c:pt idx="1143">
                  <c:v>30.56</c:v>
                </c:pt>
                <c:pt idx="1144">
                  <c:v>42.43</c:v>
                </c:pt>
                <c:pt idx="1145">
                  <c:v>37.54</c:v>
                </c:pt>
                <c:pt idx="1146">
                  <c:v>34.15</c:v>
                </c:pt>
                <c:pt idx="1147">
                  <c:v>35.630000000000003</c:v>
                </c:pt>
                <c:pt idx="1148">
                  <c:v>48.11</c:v>
                </c:pt>
                <c:pt idx="1149">
                  <c:v>47.06</c:v>
                </c:pt>
                <c:pt idx="1150">
                  <c:v>41.46</c:v>
                </c:pt>
                <c:pt idx="1151">
                  <c:v>48.309999999999995</c:v>
                </c:pt>
                <c:pt idx="1152">
                  <c:v>36</c:v>
                </c:pt>
                <c:pt idx="1153">
                  <c:v>40.339999999999996</c:v>
                </c:pt>
                <c:pt idx="1154">
                  <c:v>35.67</c:v>
                </c:pt>
                <c:pt idx="1155">
                  <c:v>29.62</c:v>
                </c:pt>
                <c:pt idx="1156">
                  <c:v>26.12</c:v>
                </c:pt>
                <c:pt idx="1157">
                  <c:v>26.85</c:v>
                </c:pt>
                <c:pt idx="1158">
                  <c:v>37.15</c:v>
                </c:pt>
                <c:pt idx="1159">
                  <c:v>40.14</c:v>
                </c:pt>
                <c:pt idx="1160">
                  <c:v>49.01</c:v>
                </c:pt>
                <c:pt idx="1161">
                  <c:v>44.65</c:v>
                </c:pt>
                <c:pt idx="1162">
                  <c:v>40.43</c:v>
                </c:pt>
                <c:pt idx="1163">
                  <c:v>40.61</c:v>
                </c:pt>
                <c:pt idx="1164">
                  <c:v>27.459999999999987</c:v>
                </c:pt>
                <c:pt idx="1165">
                  <c:v>41.160000000000011</c:v>
                </c:pt>
                <c:pt idx="1166">
                  <c:v>47.54</c:v>
                </c:pt>
                <c:pt idx="1167">
                  <c:v>43.06</c:v>
                </c:pt>
                <c:pt idx="1168">
                  <c:v>40.160000000000011</c:v>
                </c:pt>
                <c:pt idx="1169">
                  <c:v>28.85</c:v>
                </c:pt>
                <c:pt idx="1170">
                  <c:v>23.919999999999987</c:v>
                </c:pt>
                <c:pt idx="1171">
                  <c:v>20.239999999999988</c:v>
                </c:pt>
                <c:pt idx="1172">
                  <c:v>27.72</c:v>
                </c:pt>
                <c:pt idx="1173">
                  <c:v>37.590000000000003</c:v>
                </c:pt>
                <c:pt idx="1174">
                  <c:v>35.32</c:v>
                </c:pt>
                <c:pt idx="1175">
                  <c:v>32.42</c:v>
                </c:pt>
                <c:pt idx="1176">
                  <c:v>29.8</c:v>
                </c:pt>
                <c:pt idx="1177">
                  <c:v>32.4</c:v>
                </c:pt>
                <c:pt idx="1178">
                  <c:v>35.630000000000003</c:v>
                </c:pt>
                <c:pt idx="1179">
                  <c:v>66.84</c:v>
                </c:pt>
                <c:pt idx="1180">
                  <c:v>60.04</c:v>
                </c:pt>
                <c:pt idx="1181">
                  <c:v>26.21</c:v>
                </c:pt>
                <c:pt idx="1182">
                  <c:v>26.23</c:v>
                </c:pt>
                <c:pt idx="1183">
                  <c:v>25.79</c:v>
                </c:pt>
                <c:pt idx="1184">
                  <c:v>22.610000000000021</c:v>
                </c:pt>
                <c:pt idx="1185">
                  <c:v>21.75</c:v>
                </c:pt>
                <c:pt idx="1186">
                  <c:v>31.2</c:v>
                </c:pt>
                <c:pt idx="1187">
                  <c:v>30.69</c:v>
                </c:pt>
                <c:pt idx="1188">
                  <c:v>33.090000000000003</c:v>
                </c:pt>
                <c:pt idx="1189">
                  <c:v>36.4</c:v>
                </c:pt>
                <c:pt idx="1190">
                  <c:v>51.120000000000012</c:v>
                </c:pt>
                <c:pt idx="1191">
                  <c:v>28.14</c:v>
                </c:pt>
                <c:pt idx="1192">
                  <c:v>22.1</c:v>
                </c:pt>
                <c:pt idx="1193">
                  <c:v>37.65</c:v>
                </c:pt>
                <c:pt idx="1194">
                  <c:v>42.339999999999996</c:v>
                </c:pt>
                <c:pt idx="1195">
                  <c:v>40.9</c:v>
                </c:pt>
                <c:pt idx="1196">
                  <c:v>33.290000000000013</c:v>
                </c:pt>
                <c:pt idx="1197">
                  <c:v>34.849999999999994</c:v>
                </c:pt>
                <c:pt idx="1198">
                  <c:v>24.23</c:v>
                </c:pt>
                <c:pt idx="1199">
                  <c:v>21.43</c:v>
                </c:pt>
                <c:pt idx="1200">
                  <c:v>33.78</c:v>
                </c:pt>
                <c:pt idx="1201">
                  <c:v>38.51</c:v>
                </c:pt>
                <c:pt idx="1202">
                  <c:v>43.449999999999996</c:v>
                </c:pt>
                <c:pt idx="1203">
                  <c:v>46.449999999999996</c:v>
                </c:pt>
                <c:pt idx="1204">
                  <c:v>50.27</c:v>
                </c:pt>
                <c:pt idx="1205">
                  <c:v>35.449999999999996</c:v>
                </c:pt>
                <c:pt idx="1206">
                  <c:v>34.200000000000003</c:v>
                </c:pt>
                <c:pt idx="1207">
                  <c:v>38.53</c:v>
                </c:pt>
                <c:pt idx="1208">
                  <c:v>36.300000000000004</c:v>
                </c:pt>
                <c:pt idx="1209">
                  <c:v>40.32</c:v>
                </c:pt>
                <c:pt idx="1210">
                  <c:v>44.290000000000013</c:v>
                </c:pt>
                <c:pt idx="1211">
                  <c:v>36.379999999999995</c:v>
                </c:pt>
                <c:pt idx="1212">
                  <c:v>28.88</c:v>
                </c:pt>
                <c:pt idx="1213">
                  <c:v>27.59</c:v>
                </c:pt>
                <c:pt idx="1214">
                  <c:v>46.28</c:v>
                </c:pt>
                <c:pt idx="1215">
                  <c:v>49.65</c:v>
                </c:pt>
                <c:pt idx="1216">
                  <c:v>41.25</c:v>
                </c:pt>
                <c:pt idx="1217">
                  <c:v>57.57</c:v>
                </c:pt>
                <c:pt idx="1218">
                  <c:v>1394.1799999999998</c:v>
                </c:pt>
                <c:pt idx="1219">
                  <c:v>45.309999999999995</c:v>
                </c:pt>
                <c:pt idx="1220">
                  <c:v>44.97</c:v>
                </c:pt>
                <c:pt idx="1221">
                  <c:v>46.620000000000012</c:v>
                </c:pt>
                <c:pt idx="1222">
                  <c:v>34.980000000000004</c:v>
                </c:pt>
                <c:pt idx="1223">
                  <c:v>36.33</c:v>
                </c:pt>
                <c:pt idx="1224">
                  <c:v>45.120000000000012</c:v>
                </c:pt>
                <c:pt idx="1225">
                  <c:v>41.04</c:v>
                </c:pt>
                <c:pt idx="1226">
                  <c:v>32.06</c:v>
                </c:pt>
                <c:pt idx="1227">
                  <c:v>24.23</c:v>
                </c:pt>
                <c:pt idx="1228">
                  <c:v>32.190000000000012</c:v>
                </c:pt>
                <c:pt idx="1229">
                  <c:v>33.68</c:v>
                </c:pt>
                <c:pt idx="1230">
                  <c:v>35.5</c:v>
                </c:pt>
                <c:pt idx="1231">
                  <c:v>35.96</c:v>
                </c:pt>
                <c:pt idx="1232">
                  <c:v>35.54</c:v>
                </c:pt>
                <c:pt idx="1233">
                  <c:v>24.84</c:v>
                </c:pt>
                <c:pt idx="1234">
                  <c:v>20.72</c:v>
                </c:pt>
                <c:pt idx="1235">
                  <c:v>26.69</c:v>
                </c:pt>
                <c:pt idx="1236">
                  <c:v>27.32</c:v>
                </c:pt>
                <c:pt idx="1237">
                  <c:v>27.17</c:v>
                </c:pt>
                <c:pt idx="1238">
                  <c:v>28.7</c:v>
                </c:pt>
                <c:pt idx="1239">
                  <c:v>29.24</c:v>
                </c:pt>
                <c:pt idx="1240">
                  <c:v>24.07</c:v>
                </c:pt>
                <c:pt idx="1241">
                  <c:v>20.420000000000002</c:v>
                </c:pt>
                <c:pt idx="1242">
                  <c:v>28.75</c:v>
                </c:pt>
                <c:pt idx="1243">
                  <c:v>24.72</c:v>
                </c:pt>
                <c:pt idx="1244">
                  <c:v>23.79</c:v>
                </c:pt>
                <c:pt idx="1245">
                  <c:v>26.9</c:v>
                </c:pt>
                <c:pt idx="1246">
                  <c:v>27.939999999999987</c:v>
                </c:pt>
                <c:pt idx="1247">
                  <c:v>21.7</c:v>
                </c:pt>
                <c:pt idx="1248">
                  <c:v>18.91</c:v>
                </c:pt>
                <c:pt idx="1249">
                  <c:v>25.22</c:v>
                </c:pt>
                <c:pt idx="1250">
                  <c:v>27.35</c:v>
                </c:pt>
                <c:pt idx="1251">
                  <c:v>29.19</c:v>
                </c:pt>
                <c:pt idx="1252">
                  <c:v>24.05</c:v>
                </c:pt>
                <c:pt idx="1253">
                  <c:v>37.08</c:v>
                </c:pt>
                <c:pt idx="1254">
                  <c:v>29.1</c:v>
                </c:pt>
                <c:pt idx="1255">
                  <c:v>21.37</c:v>
                </c:pt>
                <c:pt idx="1256">
                  <c:v>26.22</c:v>
                </c:pt>
                <c:pt idx="1257">
                  <c:v>27.71</c:v>
                </c:pt>
                <c:pt idx="1258">
                  <c:v>26.06</c:v>
                </c:pt>
                <c:pt idx="1259">
                  <c:v>28.07</c:v>
                </c:pt>
                <c:pt idx="1260">
                  <c:v>22.82</c:v>
                </c:pt>
                <c:pt idx="1261">
                  <c:v>20.57</c:v>
                </c:pt>
                <c:pt idx="1262">
                  <c:v>18.32</c:v>
                </c:pt>
                <c:pt idx="1263">
                  <c:v>20.89</c:v>
                </c:pt>
                <c:pt idx="1264">
                  <c:v>23.93</c:v>
                </c:pt>
                <c:pt idx="1265">
                  <c:v>26.08</c:v>
                </c:pt>
                <c:pt idx="1266">
                  <c:v>26.32</c:v>
                </c:pt>
                <c:pt idx="1267">
                  <c:v>22.4</c:v>
                </c:pt>
                <c:pt idx="1268">
                  <c:v>18.86</c:v>
                </c:pt>
                <c:pt idx="1269">
                  <c:v>17.36</c:v>
                </c:pt>
                <c:pt idx="1270">
                  <c:v>19.57</c:v>
                </c:pt>
                <c:pt idx="1271">
                  <c:v>20.58</c:v>
                </c:pt>
                <c:pt idx="1272">
                  <c:v>20.5</c:v>
                </c:pt>
                <c:pt idx="1273">
                  <c:v>17.91</c:v>
                </c:pt>
                <c:pt idx="1274">
                  <c:v>20.190000000000001</c:v>
                </c:pt>
                <c:pt idx="1275">
                  <c:v>24</c:v>
                </c:pt>
                <c:pt idx="1276">
                  <c:v>26.17</c:v>
                </c:pt>
                <c:pt idx="1277">
                  <c:v>25.39</c:v>
                </c:pt>
                <c:pt idx="1278">
                  <c:v>24.22</c:v>
                </c:pt>
                <c:pt idx="1279">
                  <c:v>23.69</c:v>
                </c:pt>
                <c:pt idx="1280">
                  <c:v>23.459999999999987</c:v>
                </c:pt>
                <c:pt idx="1281">
                  <c:v>19.459999999999987</c:v>
                </c:pt>
                <c:pt idx="1282">
                  <c:v>19.420000000000002</c:v>
                </c:pt>
                <c:pt idx="1283">
                  <c:v>19.02</c:v>
                </c:pt>
                <c:pt idx="1284">
                  <c:v>36.370000000000005</c:v>
                </c:pt>
                <c:pt idx="1285">
                  <c:v>58.49</c:v>
                </c:pt>
                <c:pt idx="1286">
                  <c:v>52.46</c:v>
                </c:pt>
                <c:pt idx="1287">
                  <c:v>26.110000000000021</c:v>
                </c:pt>
                <c:pt idx="1288">
                  <c:v>23.67</c:v>
                </c:pt>
                <c:pt idx="1289">
                  <c:v>21.65000000000002</c:v>
                </c:pt>
                <c:pt idx="1290">
                  <c:v>21.36</c:v>
                </c:pt>
                <c:pt idx="1291">
                  <c:v>26.479999999999986</c:v>
                </c:pt>
                <c:pt idx="1292">
                  <c:v>30.68</c:v>
                </c:pt>
                <c:pt idx="1293">
                  <c:v>54.5</c:v>
                </c:pt>
                <c:pt idx="1294">
                  <c:v>280.92999999999967</c:v>
                </c:pt>
                <c:pt idx="1295">
                  <c:v>34.410000000000004</c:v>
                </c:pt>
                <c:pt idx="1296">
                  <c:v>23.35</c:v>
                </c:pt>
                <c:pt idx="1297">
                  <c:v>17.059999999999999</c:v>
                </c:pt>
                <c:pt idx="1298">
                  <c:v>23.69</c:v>
                </c:pt>
                <c:pt idx="1299">
                  <c:v>40.04</c:v>
                </c:pt>
                <c:pt idx="1300">
                  <c:v>39.01</c:v>
                </c:pt>
                <c:pt idx="1301">
                  <c:v>40.03</c:v>
                </c:pt>
                <c:pt idx="1302">
                  <c:v>41.96</c:v>
                </c:pt>
                <c:pt idx="1303">
                  <c:v>80.27</c:v>
                </c:pt>
                <c:pt idx="1304">
                  <c:v>25.22</c:v>
                </c:pt>
                <c:pt idx="1305">
                  <c:v>28.45</c:v>
                </c:pt>
                <c:pt idx="1306">
                  <c:v>34.4</c:v>
                </c:pt>
                <c:pt idx="1307">
                  <c:v>62.36</c:v>
                </c:pt>
                <c:pt idx="1308">
                  <c:v>132.32000000000008</c:v>
                </c:pt>
                <c:pt idx="1309">
                  <c:v>76.649999999999991</c:v>
                </c:pt>
                <c:pt idx="1310">
                  <c:v>46.94</c:v>
                </c:pt>
                <c:pt idx="1311">
                  <c:v>33.99</c:v>
                </c:pt>
                <c:pt idx="1312">
                  <c:v>52.25</c:v>
                </c:pt>
                <c:pt idx="1313">
                  <c:v>38.28</c:v>
                </c:pt>
                <c:pt idx="1314">
                  <c:v>41.620000000000012</c:v>
                </c:pt>
                <c:pt idx="1315">
                  <c:v>59.93</c:v>
                </c:pt>
                <c:pt idx="1316">
                  <c:v>64.7</c:v>
                </c:pt>
                <c:pt idx="1317">
                  <c:v>189.72</c:v>
                </c:pt>
                <c:pt idx="1318">
                  <c:v>181.49</c:v>
                </c:pt>
                <c:pt idx="1319">
                  <c:v>32.480000000000004</c:v>
                </c:pt>
                <c:pt idx="1320">
                  <c:v>23.53</c:v>
                </c:pt>
                <c:pt idx="1321">
                  <c:v>25.05</c:v>
                </c:pt>
                <c:pt idx="1322">
                  <c:v>23.55</c:v>
                </c:pt>
                <c:pt idx="1323">
                  <c:v>22.75</c:v>
                </c:pt>
                <c:pt idx="1324">
                  <c:v>20.239999999999988</c:v>
                </c:pt>
                <c:pt idx="1325">
                  <c:v>19.04</c:v>
                </c:pt>
                <c:pt idx="1326">
                  <c:v>25.919999999999987</c:v>
                </c:pt>
                <c:pt idx="1327">
                  <c:v>22.53</c:v>
                </c:pt>
                <c:pt idx="1328">
                  <c:v>24.75</c:v>
                </c:pt>
                <c:pt idx="1329">
                  <c:v>30.09</c:v>
                </c:pt>
                <c:pt idx="1330">
                  <c:v>27.47</c:v>
                </c:pt>
                <c:pt idx="1331">
                  <c:v>22.13000000000002</c:v>
                </c:pt>
                <c:pt idx="1332">
                  <c:v>21.16</c:v>
                </c:pt>
                <c:pt idx="1333">
                  <c:v>29.24</c:v>
                </c:pt>
                <c:pt idx="1334">
                  <c:v>28.73</c:v>
                </c:pt>
                <c:pt idx="1335">
                  <c:v>26.45</c:v>
                </c:pt>
                <c:pt idx="1336">
                  <c:v>28.89</c:v>
                </c:pt>
                <c:pt idx="1337">
                  <c:v>24.49</c:v>
                </c:pt>
                <c:pt idx="1338">
                  <c:v>19.579999999999988</c:v>
                </c:pt>
                <c:pt idx="1339">
                  <c:v>18.54</c:v>
                </c:pt>
                <c:pt idx="1340">
                  <c:v>23.779999999999987</c:v>
                </c:pt>
                <c:pt idx="1341">
                  <c:v>25.439999999999987</c:v>
                </c:pt>
                <c:pt idx="1342">
                  <c:v>22.03</c:v>
                </c:pt>
                <c:pt idx="1343">
                  <c:v>22.18</c:v>
                </c:pt>
                <c:pt idx="1344">
                  <c:v>21.95</c:v>
                </c:pt>
                <c:pt idx="1345">
                  <c:v>19.649999999999999</c:v>
                </c:pt>
                <c:pt idx="1346">
                  <c:v>18.73</c:v>
                </c:pt>
                <c:pt idx="1347">
                  <c:v>21.1</c:v>
                </c:pt>
                <c:pt idx="1348">
                  <c:v>22.01</c:v>
                </c:pt>
                <c:pt idx="1349">
                  <c:v>24.38</c:v>
                </c:pt>
                <c:pt idx="1350">
                  <c:v>26.08</c:v>
                </c:pt>
                <c:pt idx="1351">
                  <c:v>23.25</c:v>
                </c:pt>
                <c:pt idx="1352">
                  <c:v>21.58</c:v>
                </c:pt>
                <c:pt idx="1353">
                  <c:v>25.5</c:v>
                </c:pt>
                <c:pt idx="1354">
                  <c:v>27.65000000000002</c:v>
                </c:pt>
                <c:pt idx="1355">
                  <c:v>31.52</c:v>
                </c:pt>
                <c:pt idx="1356">
                  <c:v>29.24</c:v>
                </c:pt>
                <c:pt idx="1357">
                  <c:v>33.300000000000004</c:v>
                </c:pt>
                <c:pt idx="1358">
                  <c:v>35.24</c:v>
                </c:pt>
                <c:pt idx="1359">
                  <c:v>31.21</c:v>
                </c:pt>
                <c:pt idx="1360">
                  <c:v>20.479999999999986</c:v>
                </c:pt>
                <c:pt idx="1361">
                  <c:v>26.6</c:v>
                </c:pt>
                <c:pt idx="1362">
                  <c:v>27.56</c:v>
                </c:pt>
                <c:pt idx="1363">
                  <c:v>26.95</c:v>
                </c:pt>
                <c:pt idx="1364">
                  <c:v>21.87</c:v>
                </c:pt>
                <c:pt idx="1365">
                  <c:v>21.72</c:v>
                </c:pt>
                <c:pt idx="1366">
                  <c:v>19.41</c:v>
                </c:pt>
                <c:pt idx="1367">
                  <c:v>21.05</c:v>
                </c:pt>
                <c:pt idx="1368">
                  <c:v>26.63000000000002</c:v>
                </c:pt>
                <c:pt idx="1369">
                  <c:v>27.67</c:v>
                </c:pt>
                <c:pt idx="1370">
                  <c:v>46.339999999999996</c:v>
                </c:pt>
                <c:pt idx="1371">
                  <c:v>59.24</c:v>
                </c:pt>
                <c:pt idx="1372">
                  <c:v>45.49</c:v>
                </c:pt>
                <c:pt idx="1373">
                  <c:v>30.39</c:v>
                </c:pt>
                <c:pt idx="1374">
                  <c:v>29.6</c:v>
                </c:pt>
                <c:pt idx="1375">
                  <c:v>31.37</c:v>
                </c:pt>
                <c:pt idx="1376">
                  <c:v>31.63000000000002</c:v>
                </c:pt>
                <c:pt idx="1377">
                  <c:v>29.67</c:v>
                </c:pt>
                <c:pt idx="1378">
                  <c:v>27.07</c:v>
                </c:pt>
                <c:pt idx="1379">
                  <c:v>23.17</c:v>
                </c:pt>
                <c:pt idx="1380">
                  <c:v>24</c:v>
                </c:pt>
                <c:pt idx="1381">
                  <c:v>21.439999999999987</c:v>
                </c:pt>
                <c:pt idx="1382">
                  <c:v>22.439999999999987</c:v>
                </c:pt>
                <c:pt idx="1383">
                  <c:v>32.75</c:v>
                </c:pt>
                <c:pt idx="1384">
                  <c:v>35.370000000000005</c:v>
                </c:pt>
                <c:pt idx="1385">
                  <c:v>34.07</c:v>
                </c:pt>
                <c:pt idx="1386">
                  <c:v>35.43</c:v>
                </c:pt>
                <c:pt idx="1387">
                  <c:v>31.5</c:v>
                </c:pt>
                <c:pt idx="1388">
                  <c:v>30.2</c:v>
                </c:pt>
                <c:pt idx="1389">
                  <c:v>42.25</c:v>
                </c:pt>
                <c:pt idx="1390">
                  <c:v>45.14</c:v>
                </c:pt>
                <c:pt idx="1391">
                  <c:v>37.89</c:v>
                </c:pt>
                <c:pt idx="1392">
                  <c:v>28.919999999999987</c:v>
                </c:pt>
                <c:pt idx="1393">
                  <c:v>30.79</c:v>
                </c:pt>
                <c:pt idx="1394">
                  <c:v>24.56</c:v>
                </c:pt>
                <c:pt idx="1395">
                  <c:v>36.370000000000005</c:v>
                </c:pt>
                <c:pt idx="1396">
                  <c:v>59.3</c:v>
                </c:pt>
                <c:pt idx="1397">
                  <c:v>51.99</c:v>
                </c:pt>
                <c:pt idx="1398">
                  <c:v>51.46</c:v>
                </c:pt>
                <c:pt idx="1399">
                  <c:v>50.33</c:v>
                </c:pt>
                <c:pt idx="1400">
                  <c:v>34.1</c:v>
                </c:pt>
                <c:pt idx="1401">
                  <c:v>28.07</c:v>
                </c:pt>
                <c:pt idx="1402">
                  <c:v>27.7</c:v>
                </c:pt>
                <c:pt idx="1403">
                  <c:v>29.88</c:v>
                </c:pt>
                <c:pt idx="1404">
                  <c:v>36.65</c:v>
                </c:pt>
                <c:pt idx="1405">
                  <c:v>34.870000000000005</c:v>
                </c:pt>
                <c:pt idx="1406">
                  <c:v>30.9</c:v>
                </c:pt>
                <c:pt idx="1407">
                  <c:v>35.39</c:v>
                </c:pt>
                <c:pt idx="1408">
                  <c:v>30.69</c:v>
                </c:pt>
                <c:pt idx="1409">
                  <c:v>26.07</c:v>
                </c:pt>
                <c:pt idx="1410">
                  <c:v>35.51</c:v>
                </c:pt>
                <c:pt idx="1411">
                  <c:v>32.4</c:v>
                </c:pt>
                <c:pt idx="1412">
                  <c:v>29.4</c:v>
                </c:pt>
                <c:pt idx="1413">
                  <c:v>27.03</c:v>
                </c:pt>
                <c:pt idx="1414">
                  <c:v>28.84</c:v>
                </c:pt>
                <c:pt idx="1415">
                  <c:v>29.8</c:v>
                </c:pt>
                <c:pt idx="1416">
                  <c:v>29.1</c:v>
                </c:pt>
                <c:pt idx="1417">
                  <c:v>33.520000000000003</c:v>
                </c:pt>
                <c:pt idx="1418">
                  <c:v>31.01</c:v>
                </c:pt>
                <c:pt idx="1419">
                  <c:v>30.6</c:v>
                </c:pt>
                <c:pt idx="1420">
                  <c:v>27.19</c:v>
                </c:pt>
                <c:pt idx="1421">
                  <c:v>27.95</c:v>
                </c:pt>
                <c:pt idx="1422">
                  <c:v>24.05</c:v>
                </c:pt>
                <c:pt idx="1423">
                  <c:v>25.25</c:v>
                </c:pt>
                <c:pt idx="1424">
                  <c:v>27.33000000000002</c:v>
                </c:pt>
                <c:pt idx="1425">
                  <c:v>27.23</c:v>
                </c:pt>
                <c:pt idx="1426">
                  <c:v>31.259999999999987</c:v>
                </c:pt>
                <c:pt idx="1427">
                  <c:v>27.97</c:v>
                </c:pt>
                <c:pt idx="1428">
                  <c:v>35.08</c:v>
                </c:pt>
                <c:pt idx="1429">
                  <c:v>31.610000000000021</c:v>
                </c:pt>
                <c:pt idx="1430">
                  <c:v>32.160000000000011</c:v>
                </c:pt>
                <c:pt idx="1431">
                  <c:v>41.44</c:v>
                </c:pt>
                <c:pt idx="1432">
                  <c:v>39.5</c:v>
                </c:pt>
                <c:pt idx="1433">
                  <c:v>33.4</c:v>
                </c:pt>
                <c:pt idx="1434">
                  <c:v>36.93</c:v>
                </c:pt>
                <c:pt idx="1435">
                  <c:v>27.84</c:v>
                </c:pt>
                <c:pt idx="1436">
                  <c:v>26.73</c:v>
                </c:pt>
                <c:pt idx="1437">
                  <c:v>27.85</c:v>
                </c:pt>
                <c:pt idx="1438">
                  <c:v>23.83000000000002</c:v>
                </c:pt>
                <c:pt idx="1439">
                  <c:v>29.23</c:v>
                </c:pt>
                <c:pt idx="1440">
                  <c:v>45.28</c:v>
                </c:pt>
                <c:pt idx="1441">
                  <c:v>194.87</c:v>
                </c:pt>
                <c:pt idx="1442">
                  <c:v>37.630000000000003</c:v>
                </c:pt>
                <c:pt idx="1443">
                  <c:v>29.89</c:v>
                </c:pt>
                <c:pt idx="1444">
                  <c:v>30.82</c:v>
                </c:pt>
                <c:pt idx="1445">
                  <c:v>29.32</c:v>
                </c:pt>
                <c:pt idx="1446">
                  <c:v>26.479999999999986</c:v>
                </c:pt>
                <c:pt idx="1447">
                  <c:v>25.27</c:v>
                </c:pt>
                <c:pt idx="1448">
                  <c:v>30.13000000000002</c:v>
                </c:pt>
                <c:pt idx="1449">
                  <c:v>24.979999999999986</c:v>
                </c:pt>
                <c:pt idx="1450">
                  <c:v>23.2</c:v>
                </c:pt>
                <c:pt idx="1451">
                  <c:v>22.17</c:v>
                </c:pt>
                <c:pt idx="1452">
                  <c:v>22.15000000000002</c:v>
                </c:pt>
                <c:pt idx="1453">
                  <c:v>23.75</c:v>
                </c:pt>
                <c:pt idx="1454">
                  <c:v>25.8</c:v>
                </c:pt>
                <c:pt idx="1455">
                  <c:v>29.03</c:v>
                </c:pt>
                <c:pt idx="1456">
                  <c:v>26.06</c:v>
                </c:pt>
                <c:pt idx="1457">
                  <c:v>24.52</c:v>
                </c:pt>
                <c:pt idx="1458">
                  <c:v>21.31000000000002</c:v>
                </c:pt>
                <c:pt idx="1459">
                  <c:v>22.77</c:v>
                </c:pt>
                <c:pt idx="1460">
                  <c:v>22.29</c:v>
                </c:pt>
                <c:pt idx="1461">
                  <c:v>21.4</c:v>
                </c:pt>
                <c:pt idx="1462">
                  <c:v>57.08</c:v>
                </c:pt>
                <c:pt idx="1463">
                  <c:v>27.95</c:v>
                </c:pt>
                <c:pt idx="1464">
                  <c:v>25.939999999999987</c:v>
                </c:pt>
                <c:pt idx="1465">
                  <c:v>28.53</c:v>
                </c:pt>
                <c:pt idx="1466">
                  <c:v>113.06</c:v>
                </c:pt>
                <c:pt idx="1467">
                  <c:v>33.020000000000003</c:v>
                </c:pt>
                <c:pt idx="1468">
                  <c:v>36.270000000000003</c:v>
                </c:pt>
                <c:pt idx="1469">
                  <c:v>32.32</c:v>
                </c:pt>
                <c:pt idx="1470">
                  <c:v>29.23</c:v>
                </c:pt>
                <c:pt idx="1471">
                  <c:v>26.47</c:v>
                </c:pt>
                <c:pt idx="1472">
                  <c:v>25.459999999999987</c:v>
                </c:pt>
                <c:pt idx="1473">
                  <c:v>28.72</c:v>
                </c:pt>
                <c:pt idx="1474">
                  <c:v>30.9</c:v>
                </c:pt>
                <c:pt idx="1475">
                  <c:v>29.03</c:v>
                </c:pt>
                <c:pt idx="1476">
                  <c:v>40.47</c:v>
                </c:pt>
                <c:pt idx="1477">
                  <c:v>29.02</c:v>
                </c:pt>
                <c:pt idx="1478">
                  <c:v>25.1</c:v>
                </c:pt>
                <c:pt idx="1479">
                  <c:v>21.29</c:v>
                </c:pt>
                <c:pt idx="1480">
                  <c:v>22.23</c:v>
                </c:pt>
                <c:pt idx="1481">
                  <c:v>22.73</c:v>
                </c:pt>
                <c:pt idx="1482">
                  <c:v>22.6</c:v>
                </c:pt>
                <c:pt idx="1483">
                  <c:v>30.99</c:v>
                </c:pt>
                <c:pt idx="1484">
                  <c:v>28.07</c:v>
                </c:pt>
                <c:pt idx="1485">
                  <c:v>26.8</c:v>
                </c:pt>
                <c:pt idx="1486">
                  <c:v>25.73</c:v>
                </c:pt>
                <c:pt idx="1487">
                  <c:v>26.49</c:v>
                </c:pt>
                <c:pt idx="1488">
                  <c:v>30.23</c:v>
                </c:pt>
                <c:pt idx="1489">
                  <c:v>26.32</c:v>
                </c:pt>
                <c:pt idx="1490">
                  <c:v>28.02</c:v>
                </c:pt>
                <c:pt idx="1491">
                  <c:v>24.01</c:v>
                </c:pt>
                <c:pt idx="1492">
                  <c:v>25.63000000000002</c:v>
                </c:pt>
                <c:pt idx="1493">
                  <c:v>23.9</c:v>
                </c:pt>
                <c:pt idx="1494">
                  <c:v>29.84</c:v>
                </c:pt>
                <c:pt idx="1495">
                  <c:v>29.16</c:v>
                </c:pt>
                <c:pt idx="1496">
                  <c:v>26.65000000000002</c:v>
                </c:pt>
                <c:pt idx="1497">
                  <c:v>23.87</c:v>
                </c:pt>
                <c:pt idx="1498">
                  <c:v>23.45</c:v>
                </c:pt>
                <c:pt idx="1499">
                  <c:v>24.53</c:v>
                </c:pt>
                <c:pt idx="1500">
                  <c:v>26.25</c:v>
                </c:pt>
                <c:pt idx="1501">
                  <c:v>26.35</c:v>
                </c:pt>
                <c:pt idx="1502">
                  <c:v>29.419999999999987</c:v>
                </c:pt>
                <c:pt idx="1503">
                  <c:v>25.21</c:v>
                </c:pt>
                <c:pt idx="1504">
                  <c:v>23.58</c:v>
                </c:pt>
                <c:pt idx="1505">
                  <c:v>22.23</c:v>
                </c:pt>
                <c:pt idx="1506">
                  <c:v>19.2</c:v>
                </c:pt>
                <c:pt idx="1507">
                  <c:v>16.8</c:v>
                </c:pt>
                <c:pt idx="1508">
                  <c:v>20.32</c:v>
                </c:pt>
                <c:pt idx="1509">
                  <c:v>27.32</c:v>
                </c:pt>
                <c:pt idx="1510">
                  <c:v>26.19</c:v>
                </c:pt>
                <c:pt idx="1511">
                  <c:v>24.67</c:v>
                </c:pt>
                <c:pt idx="1512">
                  <c:v>21.479999999999986</c:v>
                </c:pt>
                <c:pt idx="1513">
                  <c:v>22.15000000000002</c:v>
                </c:pt>
                <c:pt idx="1514">
                  <c:v>19.95</c:v>
                </c:pt>
                <c:pt idx="1515">
                  <c:v>27.83000000000002</c:v>
                </c:pt>
                <c:pt idx="1516">
                  <c:v>25.4</c:v>
                </c:pt>
                <c:pt idx="1517">
                  <c:v>23.479999999999986</c:v>
                </c:pt>
                <c:pt idx="1518">
                  <c:v>23.54</c:v>
                </c:pt>
                <c:pt idx="1519">
                  <c:v>25.279999999999987</c:v>
                </c:pt>
                <c:pt idx="1520">
                  <c:v>23.67</c:v>
                </c:pt>
                <c:pt idx="1521">
                  <c:v>22.17</c:v>
                </c:pt>
                <c:pt idx="1522">
                  <c:v>23.69</c:v>
                </c:pt>
                <c:pt idx="1523">
                  <c:v>25.58</c:v>
                </c:pt>
                <c:pt idx="1524">
                  <c:v>22.97</c:v>
                </c:pt>
                <c:pt idx="1525">
                  <c:v>22.65000000000002</c:v>
                </c:pt>
                <c:pt idx="1526">
                  <c:v>23.6</c:v>
                </c:pt>
                <c:pt idx="1527">
                  <c:v>23.29</c:v>
                </c:pt>
                <c:pt idx="1528">
                  <c:v>23.7</c:v>
                </c:pt>
                <c:pt idx="1529">
                  <c:v>35.93</c:v>
                </c:pt>
                <c:pt idx="1530">
                  <c:v>31.97</c:v>
                </c:pt>
                <c:pt idx="1531">
                  <c:v>30.83000000000002</c:v>
                </c:pt>
                <c:pt idx="1532">
                  <c:v>24.5</c:v>
                </c:pt>
                <c:pt idx="1533">
                  <c:v>23.41</c:v>
                </c:pt>
                <c:pt idx="1534">
                  <c:v>21.75</c:v>
                </c:pt>
                <c:pt idx="1535">
                  <c:v>21.45</c:v>
                </c:pt>
                <c:pt idx="1536">
                  <c:v>23.63000000000002</c:v>
                </c:pt>
                <c:pt idx="1537">
                  <c:v>25.49</c:v>
                </c:pt>
                <c:pt idx="1538">
                  <c:v>23.959999999999987</c:v>
                </c:pt>
                <c:pt idx="1539">
                  <c:v>31.37</c:v>
                </c:pt>
                <c:pt idx="1540">
                  <c:v>25.56</c:v>
                </c:pt>
                <c:pt idx="1541">
                  <c:v>23.979999999999986</c:v>
                </c:pt>
                <c:pt idx="1542">
                  <c:v>22.58</c:v>
                </c:pt>
                <c:pt idx="1543">
                  <c:v>25.77</c:v>
                </c:pt>
                <c:pt idx="1544">
                  <c:v>28.35</c:v>
                </c:pt>
                <c:pt idx="1545">
                  <c:v>24.02</c:v>
                </c:pt>
                <c:pt idx="1546">
                  <c:v>22.53</c:v>
                </c:pt>
                <c:pt idx="1547">
                  <c:v>24.33000000000002</c:v>
                </c:pt>
                <c:pt idx="1548">
                  <c:v>26.29</c:v>
                </c:pt>
                <c:pt idx="1549">
                  <c:v>30.15000000000002</c:v>
                </c:pt>
                <c:pt idx="1550">
                  <c:v>27.610000000000021</c:v>
                </c:pt>
                <c:pt idx="1551">
                  <c:v>25.02</c:v>
                </c:pt>
                <c:pt idx="1552">
                  <c:v>26.419999999999987</c:v>
                </c:pt>
                <c:pt idx="1553">
                  <c:v>27.03</c:v>
                </c:pt>
                <c:pt idx="1554">
                  <c:v>28.53</c:v>
                </c:pt>
                <c:pt idx="1555">
                  <c:v>27.1</c:v>
                </c:pt>
                <c:pt idx="1556">
                  <c:v>25.7</c:v>
                </c:pt>
                <c:pt idx="1557">
                  <c:v>29.82</c:v>
                </c:pt>
                <c:pt idx="1558">
                  <c:v>43.04</c:v>
                </c:pt>
                <c:pt idx="1559">
                  <c:v>30.95</c:v>
                </c:pt>
                <c:pt idx="1560">
                  <c:v>30.05</c:v>
                </c:pt>
                <c:pt idx="1561">
                  <c:v>33.65</c:v>
                </c:pt>
                <c:pt idx="1562">
                  <c:v>26.57</c:v>
                </c:pt>
                <c:pt idx="1563">
                  <c:v>23.84</c:v>
                </c:pt>
                <c:pt idx="1564">
                  <c:v>26.23</c:v>
                </c:pt>
                <c:pt idx="1565">
                  <c:v>25.95</c:v>
                </c:pt>
                <c:pt idx="1566">
                  <c:v>27.15000000000002</c:v>
                </c:pt>
                <c:pt idx="1567">
                  <c:v>27.41</c:v>
                </c:pt>
                <c:pt idx="1568">
                  <c:v>32.56</c:v>
                </c:pt>
                <c:pt idx="1569">
                  <c:v>25.5</c:v>
                </c:pt>
                <c:pt idx="1570">
                  <c:v>21.79</c:v>
                </c:pt>
                <c:pt idx="1571">
                  <c:v>25.07</c:v>
                </c:pt>
                <c:pt idx="1572">
                  <c:v>24.39</c:v>
                </c:pt>
                <c:pt idx="1573">
                  <c:v>36.86</c:v>
                </c:pt>
                <c:pt idx="1574">
                  <c:v>26.82</c:v>
                </c:pt>
                <c:pt idx="1575">
                  <c:v>25.5</c:v>
                </c:pt>
                <c:pt idx="1576">
                  <c:v>21.01</c:v>
                </c:pt>
                <c:pt idx="1577">
                  <c:v>20.439999999999987</c:v>
                </c:pt>
                <c:pt idx="1578">
                  <c:v>23.67</c:v>
                </c:pt>
                <c:pt idx="1579">
                  <c:v>25.439999999999987</c:v>
                </c:pt>
                <c:pt idx="1580">
                  <c:v>23.9</c:v>
                </c:pt>
                <c:pt idx="1581">
                  <c:v>27.41</c:v>
                </c:pt>
                <c:pt idx="1582">
                  <c:v>32.56</c:v>
                </c:pt>
                <c:pt idx="1583">
                  <c:v>27.86</c:v>
                </c:pt>
                <c:pt idx="1584">
                  <c:v>27.479999999999986</c:v>
                </c:pt>
                <c:pt idx="1585">
                  <c:v>30.01</c:v>
                </c:pt>
                <c:pt idx="1586">
                  <c:v>253.89000000000001</c:v>
                </c:pt>
                <c:pt idx="1587">
                  <c:v>26.24</c:v>
                </c:pt>
                <c:pt idx="1588">
                  <c:v>22.93</c:v>
                </c:pt>
                <c:pt idx="1589">
                  <c:v>21.93</c:v>
                </c:pt>
                <c:pt idx="1590">
                  <c:v>21.36</c:v>
                </c:pt>
                <c:pt idx="1591">
                  <c:v>21.439999999999987</c:v>
                </c:pt>
                <c:pt idx="1592">
                  <c:v>25.03</c:v>
                </c:pt>
                <c:pt idx="1593">
                  <c:v>29.39</c:v>
                </c:pt>
                <c:pt idx="1594">
                  <c:v>34.480000000000004</c:v>
                </c:pt>
                <c:pt idx="1595">
                  <c:v>31.04</c:v>
                </c:pt>
                <c:pt idx="1596">
                  <c:v>25.2</c:v>
                </c:pt>
                <c:pt idx="1597">
                  <c:v>24.16</c:v>
                </c:pt>
                <c:pt idx="1598">
                  <c:v>23.279999999999987</c:v>
                </c:pt>
                <c:pt idx="1599">
                  <c:v>65.410000000000025</c:v>
                </c:pt>
                <c:pt idx="1600">
                  <c:v>25.23</c:v>
                </c:pt>
                <c:pt idx="1601">
                  <c:v>27.09</c:v>
                </c:pt>
                <c:pt idx="1602">
                  <c:v>363.25</c:v>
                </c:pt>
                <c:pt idx="1603">
                  <c:v>1135.57</c:v>
                </c:pt>
                <c:pt idx="1604">
                  <c:v>40</c:v>
                </c:pt>
                <c:pt idx="1605">
                  <c:v>80.61999999999999</c:v>
                </c:pt>
                <c:pt idx="1606">
                  <c:v>29.59</c:v>
                </c:pt>
                <c:pt idx="1607">
                  <c:v>26.53</c:v>
                </c:pt>
                <c:pt idx="1608">
                  <c:v>37.270000000000003</c:v>
                </c:pt>
                <c:pt idx="1609">
                  <c:v>132.97999999999999</c:v>
                </c:pt>
                <c:pt idx="1610">
                  <c:v>545.27000000000055</c:v>
                </c:pt>
                <c:pt idx="1611">
                  <c:v>54.220000000000013</c:v>
                </c:pt>
                <c:pt idx="1612">
                  <c:v>26.04</c:v>
                </c:pt>
                <c:pt idx="1613">
                  <c:v>25.91</c:v>
                </c:pt>
                <c:pt idx="1614">
                  <c:v>23.88</c:v>
                </c:pt>
                <c:pt idx="1615">
                  <c:v>24.01</c:v>
                </c:pt>
                <c:pt idx="1616">
                  <c:v>22.53</c:v>
                </c:pt>
                <c:pt idx="1617">
                  <c:v>21.62</c:v>
                </c:pt>
                <c:pt idx="1618">
                  <c:v>20.37</c:v>
                </c:pt>
                <c:pt idx="1619">
                  <c:v>20.36</c:v>
                </c:pt>
                <c:pt idx="1620">
                  <c:v>1185.51</c:v>
                </c:pt>
                <c:pt idx="1621">
                  <c:v>276.33999999999975</c:v>
                </c:pt>
                <c:pt idx="1622">
                  <c:v>26.3</c:v>
                </c:pt>
                <c:pt idx="1623">
                  <c:v>25.54</c:v>
                </c:pt>
                <c:pt idx="1624">
                  <c:v>22.16</c:v>
                </c:pt>
                <c:pt idx="1625">
                  <c:v>20.69</c:v>
                </c:pt>
                <c:pt idx="1626">
                  <c:v>21.74</c:v>
                </c:pt>
                <c:pt idx="1627">
                  <c:v>25.18</c:v>
                </c:pt>
                <c:pt idx="1628">
                  <c:v>29.259999999999987</c:v>
                </c:pt>
                <c:pt idx="1629">
                  <c:v>86.97</c:v>
                </c:pt>
                <c:pt idx="1630">
                  <c:v>824.03</c:v>
                </c:pt>
                <c:pt idx="1631">
                  <c:v>22.58</c:v>
                </c:pt>
                <c:pt idx="1632">
                  <c:v>21.6</c:v>
                </c:pt>
                <c:pt idx="1633">
                  <c:v>19.5</c:v>
                </c:pt>
                <c:pt idx="1634">
                  <c:v>25.64</c:v>
                </c:pt>
                <c:pt idx="1635">
                  <c:v>29.34</c:v>
                </c:pt>
                <c:pt idx="1636">
                  <c:v>33.17</c:v>
                </c:pt>
                <c:pt idx="1637">
                  <c:v>28.41</c:v>
                </c:pt>
                <c:pt idx="1638">
                  <c:v>18.95</c:v>
                </c:pt>
                <c:pt idx="1639">
                  <c:v>18.239999999999988</c:v>
                </c:pt>
                <c:pt idx="1640">
                  <c:v>20.64</c:v>
                </c:pt>
                <c:pt idx="1641">
                  <c:v>21.73</c:v>
                </c:pt>
                <c:pt idx="1642">
                  <c:v>26.759999999999987</c:v>
                </c:pt>
                <c:pt idx="1643">
                  <c:v>29.39</c:v>
                </c:pt>
                <c:pt idx="1644">
                  <c:v>26.25</c:v>
                </c:pt>
                <c:pt idx="1645">
                  <c:v>20.38</c:v>
                </c:pt>
                <c:pt idx="1646">
                  <c:v>20.49</c:v>
                </c:pt>
                <c:pt idx="1647">
                  <c:v>20.260000000000002</c:v>
                </c:pt>
                <c:pt idx="1648">
                  <c:v>21.5</c:v>
                </c:pt>
                <c:pt idx="1649">
                  <c:v>23.959999999999987</c:v>
                </c:pt>
                <c:pt idx="1650">
                  <c:v>24.47</c:v>
                </c:pt>
                <c:pt idx="1651">
                  <c:v>23.259999999999987</c:v>
                </c:pt>
                <c:pt idx="1652">
                  <c:v>27.58</c:v>
                </c:pt>
                <c:pt idx="1653">
                  <c:v>43.720000000000013</c:v>
                </c:pt>
                <c:pt idx="1654">
                  <c:v>37.5</c:v>
                </c:pt>
                <c:pt idx="1655">
                  <c:v>42.879999999999995</c:v>
                </c:pt>
                <c:pt idx="1656">
                  <c:v>134.99</c:v>
                </c:pt>
                <c:pt idx="1657">
                  <c:v>24.79</c:v>
                </c:pt>
                <c:pt idx="1658">
                  <c:v>20.41</c:v>
                </c:pt>
                <c:pt idx="1659">
                  <c:v>22.01</c:v>
                </c:pt>
                <c:pt idx="1660">
                  <c:v>23.07</c:v>
                </c:pt>
                <c:pt idx="1661">
                  <c:v>18.059999999999999</c:v>
                </c:pt>
                <c:pt idx="1662">
                  <c:v>19.649999999999999</c:v>
                </c:pt>
                <c:pt idx="1663">
                  <c:v>21.58</c:v>
                </c:pt>
                <c:pt idx="1664">
                  <c:v>23.71</c:v>
                </c:pt>
                <c:pt idx="1665">
                  <c:v>48.87</c:v>
                </c:pt>
                <c:pt idx="1666">
                  <c:v>537.55999999999949</c:v>
                </c:pt>
                <c:pt idx="1667">
                  <c:v>133.69999999999999</c:v>
                </c:pt>
                <c:pt idx="1668">
                  <c:v>22.979999999999986</c:v>
                </c:pt>
                <c:pt idx="1669">
                  <c:v>28.99</c:v>
                </c:pt>
                <c:pt idx="1670">
                  <c:v>32.18</c:v>
                </c:pt>
                <c:pt idx="1671">
                  <c:v>30.52</c:v>
                </c:pt>
                <c:pt idx="1672">
                  <c:v>31.45</c:v>
                </c:pt>
                <c:pt idx="1673">
                  <c:v>26.81000000000002</c:v>
                </c:pt>
                <c:pt idx="1674">
                  <c:v>26.39</c:v>
                </c:pt>
                <c:pt idx="1675">
                  <c:v>29.18</c:v>
                </c:pt>
                <c:pt idx="1676">
                  <c:v>26.479999999999986</c:v>
                </c:pt>
                <c:pt idx="1677">
                  <c:v>27.18</c:v>
                </c:pt>
                <c:pt idx="1678">
                  <c:v>32.06</c:v>
                </c:pt>
                <c:pt idx="1679">
                  <c:v>300.8</c:v>
                </c:pt>
                <c:pt idx="1680">
                  <c:v>28.479999999999986</c:v>
                </c:pt>
                <c:pt idx="1681">
                  <c:v>21.87</c:v>
                </c:pt>
                <c:pt idx="1682">
                  <c:v>21.18</c:v>
                </c:pt>
                <c:pt idx="1683">
                  <c:v>27.279999999999987</c:v>
                </c:pt>
                <c:pt idx="1684">
                  <c:v>33.04</c:v>
                </c:pt>
                <c:pt idx="1685">
                  <c:v>40.339999999999996</c:v>
                </c:pt>
                <c:pt idx="1686">
                  <c:v>98.36999999999999</c:v>
                </c:pt>
                <c:pt idx="1687">
                  <c:v>318.68</c:v>
                </c:pt>
                <c:pt idx="1688">
                  <c:v>26.55</c:v>
                </c:pt>
                <c:pt idx="1689">
                  <c:v>26.66</c:v>
                </c:pt>
                <c:pt idx="1690">
                  <c:v>32.64</c:v>
                </c:pt>
                <c:pt idx="1691">
                  <c:v>24.9</c:v>
                </c:pt>
                <c:pt idx="1692">
                  <c:v>22.939999999999987</c:v>
                </c:pt>
                <c:pt idx="1693">
                  <c:v>22.610000000000021</c:v>
                </c:pt>
                <c:pt idx="1694">
                  <c:v>24.85</c:v>
                </c:pt>
                <c:pt idx="1695">
                  <c:v>20.37</c:v>
                </c:pt>
                <c:pt idx="1696">
                  <c:v>25.13000000000002</c:v>
                </c:pt>
                <c:pt idx="1697">
                  <c:v>214.65</c:v>
                </c:pt>
                <c:pt idx="1698">
                  <c:v>29.03</c:v>
                </c:pt>
                <c:pt idx="1699">
                  <c:v>24.84</c:v>
                </c:pt>
                <c:pt idx="1700">
                  <c:v>23.79</c:v>
                </c:pt>
                <c:pt idx="1701">
                  <c:v>23.18</c:v>
                </c:pt>
                <c:pt idx="1702">
                  <c:v>22.35</c:v>
                </c:pt>
                <c:pt idx="1703">
                  <c:v>20.36</c:v>
                </c:pt>
                <c:pt idx="1704">
                  <c:v>20.58</c:v>
                </c:pt>
                <c:pt idx="1705">
                  <c:v>21.81000000000002</c:v>
                </c:pt>
                <c:pt idx="1706">
                  <c:v>21.419999999999987</c:v>
                </c:pt>
                <c:pt idx="1707">
                  <c:v>24.09</c:v>
                </c:pt>
                <c:pt idx="1708">
                  <c:v>25.82</c:v>
                </c:pt>
                <c:pt idx="1709">
                  <c:v>22.64</c:v>
                </c:pt>
                <c:pt idx="1710">
                  <c:v>21.779999999999987</c:v>
                </c:pt>
                <c:pt idx="1711">
                  <c:v>21.73</c:v>
                </c:pt>
                <c:pt idx="1712">
                  <c:v>25.7</c:v>
                </c:pt>
                <c:pt idx="1713">
                  <c:v>21.59</c:v>
                </c:pt>
                <c:pt idx="1714">
                  <c:v>20.350000000000001</c:v>
                </c:pt>
                <c:pt idx="1715">
                  <c:v>20.62</c:v>
                </c:pt>
                <c:pt idx="1716">
                  <c:v>20.77</c:v>
                </c:pt>
                <c:pt idx="1717">
                  <c:v>19.59</c:v>
                </c:pt>
                <c:pt idx="1718">
                  <c:v>26.87</c:v>
                </c:pt>
                <c:pt idx="1719">
                  <c:v>29.779999999999987</c:v>
                </c:pt>
                <c:pt idx="1720">
                  <c:v>28.25</c:v>
                </c:pt>
                <c:pt idx="1721">
                  <c:v>27.72</c:v>
                </c:pt>
                <c:pt idx="1722">
                  <c:v>29.919999999999987</c:v>
                </c:pt>
                <c:pt idx="1723">
                  <c:v>26.51</c:v>
                </c:pt>
                <c:pt idx="1724">
                  <c:v>22.99</c:v>
                </c:pt>
                <c:pt idx="1725">
                  <c:v>24.33000000000002</c:v>
                </c:pt>
                <c:pt idx="1726">
                  <c:v>23.62</c:v>
                </c:pt>
                <c:pt idx="1727">
                  <c:v>25.25</c:v>
                </c:pt>
                <c:pt idx="1728">
                  <c:v>29.39</c:v>
                </c:pt>
                <c:pt idx="1729">
                  <c:v>74.669999999999973</c:v>
                </c:pt>
                <c:pt idx="1730">
                  <c:v>24.33000000000002</c:v>
                </c:pt>
                <c:pt idx="1731">
                  <c:v>22.86</c:v>
                </c:pt>
                <c:pt idx="1732">
                  <c:v>28.02</c:v>
                </c:pt>
                <c:pt idx="1733">
                  <c:v>25.89</c:v>
                </c:pt>
                <c:pt idx="1734">
                  <c:v>22.66</c:v>
                </c:pt>
                <c:pt idx="1735">
                  <c:v>22.05</c:v>
                </c:pt>
                <c:pt idx="1736">
                  <c:v>21.56</c:v>
                </c:pt>
                <c:pt idx="1737">
                  <c:v>20.72</c:v>
                </c:pt>
                <c:pt idx="1738">
                  <c:v>20.6</c:v>
                </c:pt>
                <c:pt idx="1739">
                  <c:v>19.68</c:v>
                </c:pt>
                <c:pt idx="1740">
                  <c:v>21.84</c:v>
                </c:pt>
                <c:pt idx="1741">
                  <c:v>23.419999999999987</c:v>
                </c:pt>
                <c:pt idx="1742">
                  <c:v>24.5</c:v>
                </c:pt>
                <c:pt idx="1743">
                  <c:v>24.57</c:v>
                </c:pt>
                <c:pt idx="1744">
                  <c:v>23.959999999999987</c:v>
                </c:pt>
                <c:pt idx="1745">
                  <c:v>23.1</c:v>
                </c:pt>
                <c:pt idx="1746">
                  <c:v>23.610000000000021</c:v>
                </c:pt>
                <c:pt idx="1747">
                  <c:v>83.440000000000026</c:v>
                </c:pt>
                <c:pt idx="1748">
                  <c:v>22.87</c:v>
                </c:pt>
                <c:pt idx="1749">
                  <c:v>22.2</c:v>
                </c:pt>
                <c:pt idx="1750">
                  <c:v>21.81000000000002</c:v>
                </c:pt>
                <c:pt idx="1751">
                  <c:v>25.29</c:v>
                </c:pt>
                <c:pt idx="1752">
                  <c:v>22.83000000000002</c:v>
                </c:pt>
                <c:pt idx="1753">
                  <c:v>23.43</c:v>
                </c:pt>
                <c:pt idx="1754">
                  <c:v>22.68</c:v>
                </c:pt>
                <c:pt idx="1755">
                  <c:v>23.37</c:v>
                </c:pt>
                <c:pt idx="1756">
                  <c:v>25.73</c:v>
                </c:pt>
                <c:pt idx="1757">
                  <c:v>23.17</c:v>
                </c:pt>
                <c:pt idx="1758">
                  <c:v>21.47</c:v>
                </c:pt>
                <c:pt idx="1759">
                  <c:v>21.89</c:v>
                </c:pt>
                <c:pt idx="1760">
                  <c:v>20.29</c:v>
                </c:pt>
                <c:pt idx="1761">
                  <c:v>22.72</c:v>
                </c:pt>
                <c:pt idx="1762">
                  <c:v>21.93</c:v>
                </c:pt>
                <c:pt idx="1763">
                  <c:v>22.759999999999987</c:v>
                </c:pt>
                <c:pt idx="1764">
                  <c:v>24.89</c:v>
                </c:pt>
                <c:pt idx="1765">
                  <c:v>23.39</c:v>
                </c:pt>
                <c:pt idx="1766">
                  <c:v>22.04</c:v>
                </c:pt>
                <c:pt idx="1767">
                  <c:v>23.479999999999986</c:v>
                </c:pt>
                <c:pt idx="1768">
                  <c:v>23.06</c:v>
                </c:pt>
                <c:pt idx="1769">
                  <c:v>25.4</c:v>
                </c:pt>
                <c:pt idx="1770">
                  <c:v>23.77</c:v>
                </c:pt>
                <c:pt idx="1771">
                  <c:v>24.54</c:v>
                </c:pt>
                <c:pt idx="1772">
                  <c:v>23.09</c:v>
                </c:pt>
                <c:pt idx="1773">
                  <c:v>23.779999999999987</c:v>
                </c:pt>
                <c:pt idx="1774">
                  <c:v>27.73</c:v>
                </c:pt>
                <c:pt idx="1775">
                  <c:v>29.37</c:v>
                </c:pt>
                <c:pt idx="1776">
                  <c:v>36.220000000000013</c:v>
                </c:pt>
                <c:pt idx="1777">
                  <c:v>29.459999999999987</c:v>
                </c:pt>
                <c:pt idx="1778">
                  <c:v>36.64</c:v>
                </c:pt>
                <c:pt idx="1779">
                  <c:v>35.58</c:v>
                </c:pt>
                <c:pt idx="1780">
                  <c:v>34.74</c:v>
                </c:pt>
                <c:pt idx="1781">
                  <c:v>39.89</c:v>
                </c:pt>
                <c:pt idx="1782">
                  <c:v>34.51</c:v>
                </c:pt>
                <c:pt idx="1783">
                  <c:v>27.24</c:v>
                </c:pt>
                <c:pt idx="1784">
                  <c:v>26.24</c:v>
                </c:pt>
                <c:pt idx="1785">
                  <c:v>24.479999999999986</c:v>
                </c:pt>
                <c:pt idx="1786">
                  <c:v>27.84</c:v>
                </c:pt>
                <c:pt idx="1787">
                  <c:v>25.87</c:v>
                </c:pt>
                <c:pt idx="1788">
                  <c:v>25.08</c:v>
                </c:pt>
                <c:pt idx="1789">
                  <c:v>31.13000000000002</c:v>
                </c:pt>
                <c:pt idx="1790">
                  <c:v>30.69</c:v>
                </c:pt>
                <c:pt idx="1791">
                  <c:v>28.66</c:v>
                </c:pt>
                <c:pt idx="1792">
                  <c:v>24.13000000000002</c:v>
                </c:pt>
                <c:pt idx="1793">
                  <c:v>24.06</c:v>
                </c:pt>
                <c:pt idx="1794">
                  <c:v>21.88</c:v>
                </c:pt>
                <c:pt idx="1795">
                  <c:v>26.75</c:v>
                </c:pt>
                <c:pt idx="1796">
                  <c:v>27.69</c:v>
                </c:pt>
                <c:pt idx="1797">
                  <c:v>27.35</c:v>
                </c:pt>
                <c:pt idx="1798">
                  <c:v>28.75</c:v>
                </c:pt>
                <c:pt idx="1799">
                  <c:v>30.2</c:v>
                </c:pt>
                <c:pt idx="1800">
                  <c:v>50.53</c:v>
                </c:pt>
                <c:pt idx="1801">
                  <c:v>43.54</c:v>
                </c:pt>
                <c:pt idx="1802">
                  <c:v>38.61</c:v>
                </c:pt>
                <c:pt idx="1803">
                  <c:v>26.919999999999987</c:v>
                </c:pt>
                <c:pt idx="1804">
                  <c:v>24.01</c:v>
                </c:pt>
                <c:pt idx="1805">
                  <c:v>27.99</c:v>
                </c:pt>
                <c:pt idx="1806">
                  <c:v>25.68</c:v>
                </c:pt>
                <c:pt idx="1807">
                  <c:v>31.02</c:v>
                </c:pt>
                <c:pt idx="1808">
                  <c:v>26.93</c:v>
                </c:pt>
                <c:pt idx="1809">
                  <c:v>28.82</c:v>
                </c:pt>
                <c:pt idx="1810">
                  <c:v>27.52</c:v>
                </c:pt>
                <c:pt idx="1811">
                  <c:v>22.439999999999987</c:v>
                </c:pt>
                <c:pt idx="1812">
                  <c:v>22.27</c:v>
                </c:pt>
                <c:pt idx="1813">
                  <c:v>22.34</c:v>
                </c:pt>
                <c:pt idx="1814">
                  <c:v>22.81000000000002</c:v>
                </c:pt>
                <c:pt idx="1815">
                  <c:v>24.56</c:v>
                </c:pt>
                <c:pt idx="1816">
                  <c:v>32.9</c:v>
                </c:pt>
                <c:pt idx="1817">
                  <c:v>30.95</c:v>
                </c:pt>
                <c:pt idx="1818">
                  <c:v>26.5</c:v>
                </c:pt>
                <c:pt idx="1819">
                  <c:v>22.34</c:v>
                </c:pt>
                <c:pt idx="1820">
                  <c:v>22.67</c:v>
                </c:pt>
                <c:pt idx="1821">
                  <c:v>33.4</c:v>
                </c:pt>
                <c:pt idx="1822">
                  <c:v>34.949999999999996</c:v>
                </c:pt>
                <c:pt idx="1823">
                  <c:v>34.33</c:v>
                </c:pt>
                <c:pt idx="1824">
                  <c:v>145.75</c:v>
                </c:pt>
                <c:pt idx="1825">
                  <c:v>35.04</c:v>
                </c:pt>
                <c:pt idx="1826">
                  <c:v>29.66</c:v>
                </c:pt>
                <c:pt idx="1827">
                  <c:v>31.279999999999987</c:v>
                </c:pt>
                <c:pt idx="1828">
                  <c:v>29.81000000000002</c:v>
                </c:pt>
                <c:pt idx="1829">
                  <c:v>29.9</c:v>
                </c:pt>
                <c:pt idx="1830">
                  <c:v>27.8</c:v>
                </c:pt>
                <c:pt idx="1831">
                  <c:v>26.53</c:v>
                </c:pt>
                <c:pt idx="1832">
                  <c:v>29.779999999999987</c:v>
                </c:pt>
                <c:pt idx="1833">
                  <c:v>27.74</c:v>
                </c:pt>
                <c:pt idx="1834">
                  <c:v>25.5</c:v>
                </c:pt>
                <c:pt idx="1835">
                  <c:v>24.08</c:v>
                </c:pt>
                <c:pt idx="1836">
                  <c:v>22.27</c:v>
                </c:pt>
                <c:pt idx="1837">
                  <c:v>23.9</c:v>
                </c:pt>
                <c:pt idx="1838">
                  <c:v>22.73</c:v>
                </c:pt>
                <c:pt idx="1839">
                  <c:v>23.36</c:v>
                </c:pt>
                <c:pt idx="1840">
                  <c:v>25.2</c:v>
                </c:pt>
                <c:pt idx="1841">
                  <c:v>25.7</c:v>
                </c:pt>
                <c:pt idx="1842">
                  <c:v>24.57</c:v>
                </c:pt>
                <c:pt idx="1843">
                  <c:v>25.59</c:v>
                </c:pt>
                <c:pt idx="1844">
                  <c:v>27.74</c:v>
                </c:pt>
                <c:pt idx="1845">
                  <c:v>30.09</c:v>
                </c:pt>
                <c:pt idx="1846">
                  <c:v>30.06</c:v>
                </c:pt>
                <c:pt idx="1847">
                  <c:v>33.06</c:v>
                </c:pt>
                <c:pt idx="1848">
                  <c:v>31.29</c:v>
                </c:pt>
                <c:pt idx="1849">
                  <c:v>30.41</c:v>
                </c:pt>
                <c:pt idx="1850">
                  <c:v>29.17</c:v>
                </c:pt>
                <c:pt idx="1851">
                  <c:v>33.620000000000012</c:v>
                </c:pt>
                <c:pt idx="1852">
                  <c:v>27.979999999999986</c:v>
                </c:pt>
                <c:pt idx="1853">
                  <c:v>27.15000000000002</c:v>
                </c:pt>
                <c:pt idx="1854">
                  <c:v>25.479999999999986</c:v>
                </c:pt>
                <c:pt idx="1855">
                  <c:v>25.4</c:v>
                </c:pt>
                <c:pt idx="1856">
                  <c:v>22.35</c:v>
                </c:pt>
                <c:pt idx="1857">
                  <c:v>23.419999999999987</c:v>
                </c:pt>
                <c:pt idx="1858">
                  <c:v>27.58</c:v>
                </c:pt>
                <c:pt idx="1859">
                  <c:v>29.09</c:v>
                </c:pt>
                <c:pt idx="1860">
                  <c:v>25.82</c:v>
                </c:pt>
                <c:pt idx="1861">
                  <c:v>30.1</c:v>
                </c:pt>
                <c:pt idx="1862">
                  <c:v>34.58</c:v>
                </c:pt>
                <c:pt idx="1863">
                  <c:v>36.83</c:v>
                </c:pt>
                <c:pt idx="1864">
                  <c:v>32.660000000000011</c:v>
                </c:pt>
                <c:pt idx="1865">
                  <c:v>28.65000000000002</c:v>
                </c:pt>
                <c:pt idx="1866">
                  <c:v>277.26</c:v>
                </c:pt>
                <c:pt idx="1867">
                  <c:v>28.919999999999987</c:v>
                </c:pt>
                <c:pt idx="1868">
                  <c:v>29.279999999999987</c:v>
                </c:pt>
                <c:pt idx="1869">
                  <c:v>26.01</c:v>
                </c:pt>
                <c:pt idx="1870">
                  <c:v>22.759999999999987</c:v>
                </c:pt>
                <c:pt idx="1871">
                  <c:v>21.439999999999987</c:v>
                </c:pt>
                <c:pt idx="1872">
                  <c:v>24.62</c:v>
                </c:pt>
                <c:pt idx="1873">
                  <c:v>27.34</c:v>
                </c:pt>
                <c:pt idx="1874">
                  <c:v>25.56</c:v>
                </c:pt>
                <c:pt idx="1875">
                  <c:v>23.110000000000021</c:v>
                </c:pt>
                <c:pt idx="1876">
                  <c:v>23.68</c:v>
                </c:pt>
                <c:pt idx="1877">
                  <c:v>24.64</c:v>
                </c:pt>
                <c:pt idx="1878">
                  <c:v>24.419999999999987</c:v>
                </c:pt>
                <c:pt idx="1879">
                  <c:v>27.39</c:v>
                </c:pt>
                <c:pt idx="1880">
                  <c:v>25.15000000000002</c:v>
                </c:pt>
                <c:pt idx="1881">
                  <c:v>26.32</c:v>
                </c:pt>
                <c:pt idx="1882">
                  <c:v>27.21</c:v>
                </c:pt>
                <c:pt idx="1883">
                  <c:v>25.91</c:v>
                </c:pt>
                <c:pt idx="1884">
                  <c:v>27.919999999999987</c:v>
                </c:pt>
                <c:pt idx="1885">
                  <c:v>25.99</c:v>
                </c:pt>
                <c:pt idx="1886">
                  <c:v>25.38</c:v>
                </c:pt>
                <c:pt idx="1887">
                  <c:v>24.77</c:v>
                </c:pt>
                <c:pt idx="1888">
                  <c:v>24.439999999999987</c:v>
                </c:pt>
                <c:pt idx="1889">
                  <c:v>24.1</c:v>
                </c:pt>
                <c:pt idx="1890">
                  <c:v>23.73</c:v>
                </c:pt>
                <c:pt idx="1891">
                  <c:v>23.58</c:v>
                </c:pt>
                <c:pt idx="1892">
                  <c:v>21.45</c:v>
                </c:pt>
                <c:pt idx="1893">
                  <c:v>25.110000000000021</c:v>
                </c:pt>
                <c:pt idx="1894">
                  <c:v>26.29</c:v>
                </c:pt>
                <c:pt idx="1895">
                  <c:v>24.459999999999987</c:v>
                </c:pt>
                <c:pt idx="1896">
                  <c:v>24.54</c:v>
                </c:pt>
                <c:pt idx="1897">
                  <c:v>24</c:v>
                </c:pt>
                <c:pt idx="1898">
                  <c:v>23.759999999999987</c:v>
                </c:pt>
                <c:pt idx="1899">
                  <c:v>22.73</c:v>
                </c:pt>
                <c:pt idx="1900">
                  <c:v>24.24</c:v>
                </c:pt>
                <c:pt idx="1901">
                  <c:v>24.610000000000021</c:v>
                </c:pt>
                <c:pt idx="1902">
                  <c:v>22.55</c:v>
                </c:pt>
                <c:pt idx="1903">
                  <c:v>23.66</c:v>
                </c:pt>
                <c:pt idx="1904">
                  <c:v>23.97</c:v>
                </c:pt>
                <c:pt idx="1905">
                  <c:v>24.22</c:v>
                </c:pt>
                <c:pt idx="1906">
                  <c:v>23.110000000000021</c:v>
                </c:pt>
                <c:pt idx="1907">
                  <c:v>23.8</c:v>
                </c:pt>
                <c:pt idx="1908">
                  <c:v>24.53</c:v>
                </c:pt>
                <c:pt idx="1909">
                  <c:v>23.64</c:v>
                </c:pt>
                <c:pt idx="1910">
                  <c:v>24.05</c:v>
                </c:pt>
                <c:pt idx="1911">
                  <c:v>24.33000000000002</c:v>
                </c:pt>
                <c:pt idx="1912">
                  <c:v>24.07</c:v>
                </c:pt>
                <c:pt idx="1913">
                  <c:v>22.18</c:v>
                </c:pt>
                <c:pt idx="1914">
                  <c:v>22.21</c:v>
                </c:pt>
                <c:pt idx="1915">
                  <c:v>25.21</c:v>
                </c:pt>
                <c:pt idx="1916">
                  <c:v>29.27</c:v>
                </c:pt>
                <c:pt idx="1917">
                  <c:v>27.15000000000002</c:v>
                </c:pt>
                <c:pt idx="1918">
                  <c:v>24.37</c:v>
                </c:pt>
                <c:pt idx="1919">
                  <c:v>22.89</c:v>
                </c:pt>
                <c:pt idx="1920">
                  <c:v>20.979999999999986</c:v>
                </c:pt>
                <c:pt idx="1921">
                  <c:v>22.15000000000002</c:v>
                </c:pt>
                <c:pt idx="1922">
                  <c:v>23.31000000000002</c:v>
                </c:pt>
                <c:pt idx="1923">
                  <c:v>23.18</c:v>
                </c:pt>
                <c:pt idx="1924">
                  <c:v>23.3</c:v>
                </c:pt>
                <c:pt idx="1925">
                  <c:v>23.77</c:v>
                </c:pt>
                <c:pt idx="1926">
                  <c:v>23.53</c:v>
                </c:pt>
                <c:pt idx="1927">
                  <c:v>21.74</c:v>
                </c:pt>
                <c:pt idx="1928">
                  <c:v>23.52</c:v>
                </c:pt>
                <c:pt idx="1929">
                  <c:v>23.25</c:v>
                </c:pt>
                <c:pt idx="1930">
                  <c:v>23.38</c:v>
                </c:pt>
                <c:pt idx="1931">
                  <c:v>23.13000000000002</c:v>
                </c:pt>
                <c:pt idx="1932">
                  <c:v>22.459999999999987</c:v>
                </c:pt>
                <c:pt idx="1933">
                  <c:v>20.95</c:v>
                </c:pt>
                <c:pt idx="1934">
                  <c:v>21.18</c:v>
                </c:pt>
                <c:pt idx="1935">
                  <c:v>23.97</c:v>
                </c:pt>
                <c:pt idx="1936">
                  <c:v>26.13000000000002</c:v>
                </c:pt>
                <c:pt idx="1937">
                  <c:v>23.62</c:v>
                </c:pt>
                <c:pt idx="1938">
                  <c:v>24.03</c:v>
                </c:pt>
                <c:pt idx="1939">
                  <c:v>23.57</c:v>
                </c:pt>
                <c:pt idx="1940">
                  <c:v>23.72</c:v>
                </c:pt>
                <c:pt idx="1941">
                  <c:v>23.87</c:v>
                </c:pt>
                <c:pt idx="1942">
                  <c:v>24.52</c:v>
                </c:pt>
                <c:pt idx="1943">
                  <c:v>22.439999999999987</c:v>
                </c:pt>
                <c:pt idx="1944">
                  <c:v>21.09</c:v>
                </c:pt>
                <c:pt idx="1945">
                  <c:v>20.439999999999987</c:v>
                </c:pt>
                <c:pt idx="1946">
                  <c:v>20</c:v>
                </c:pt>
                <c:pt idx="1947">
                  <c:v>20.279999999999987</c:v>
                </c:pt>
                <c:pt idx="1948">
                  <c:v>17.36</c:v>
                </c:pt>
                <c:pt idx="1949">
                  <c:v>20.64</c:v>
                </c:pt>
                <c:pt idx="1950">
                  <c:v>23.29</c:v>
                </c:pt>
                <c:pt idx="1951">
                  <c:v>22.979999999999986</c:v>
                </c:pt>
                <c:pt idx="1952">
                  <c:v>22.65000000000002</c:v>
                </c:pt>
                <c:pt idx="1953">
                  <c:v>23.62</c:v>
                </c:pt>
                <c:pt idx="1954">
                  <c:v>23.37</c:v>
                </c:pt>
                <c:pt idx="1955">
                  <c:v>21.89</c:v>
                </c:pt>
                <c:pt idx="1956">
                  <c:v>23.259999999999987</c:v>
                </c:pt>
                <c:pt idx="1957">
                  <c:v>24.13000000000002</c:v>
                </c:pt>
                <c:pt idx="1958">
                  <c:v>23.75</c:v>
                </c:pt>
                <c:pt idx="1959">
                  <c:v>24.03</c:v>
                </c:pt>
                <c:pt idx="1960">
                  <c:v>23.610000000000021</c:v>
                </c:pt>
                <c:pt idx="1961">
                  <c:v>23.1</c:v>
                </c:pt>
                <c:pt idx="1962">
                  <c:v>22.939999999999987</c:v>
                </c:pt>
                <c:pt idx="1963">
                  <c:v>23.4</c:v>
                </c:pt>
                <c:pt idx="1964">
                  <c:v>23.25</c:v>
                </c:pt>
                <c:pt idx="1965">
                  <c:v>22.21</c:v>
                </c:pt>
                <c:pt idx="1966">
                  <c:v>22.21</c:v>
                </c:pt>
                <c:pt idx="1967">
                  <c:v>22.07</c:v>
                </c:pt>
                <c:pt idx="1968">
                  <c:v>22.459999999999987</c:v>
                </c:pt>
                <c:pt idx="1969">
                  <c:v>19.479999999999986</c:v>
                </c:pt>
                <c:pt idx="1970">
                  <c:v>23.27</c:v>
                </c:pt>
                <c:pt idx="1971">
                  <c:v>24.1</c:v>
                </c:pt>
                <c:pt idx="1972">
                  <c:v>24.3</c:v>
                </c:pt>
                <c:pt idx="1973">
                  <c:v>25.1</c:v>
                </c:pt>
                <c:pt idx="1974">
                  <c:v>26.5</c:v>
                </c:pt>
                <c:pt idx="1975">
                  <c:v>24.45</c:v>
                </c:pt>
                <c:pt idx="1976">
                  <c:v>20.479999999999986</c:v>
                </c:pt>
                <c:pt idx="1977">
                  <c:v>22.77</c:v>
                </c:pt>
                <c:pt idx="1978">
                  <c:v>23.07</c:v>
                </c:pt>
                <c:pt idx="1979">
                  <c:v>23.74</c:v>
                </c:pt>
                <c:pt idx="1980">
                  <c:v>24.3</c:v>
                </c:pt>
                <c:pt idx="1981">
                  <c:v>23.55</c:v>
                </c:pt>
                <c:pt idx="1982">
                  <c:v>23.62</c:v>
                </c:pt>
                <c:pt idx="1983">
                  <c:v>21.63000000000002</c:v>
                </c:pt>
                <c:pt idx="1984">
                  <c:v>24.16</c:v>
                </c:pt>
                <c:pt idx="1985">
                  <c:v>23.93</c:v>
                </c:pt>
                <c:pt idx="1986">
                  <c:v>22.65000000000002</c:v>
                </c:pt>
                <c:pt idx="1987">
                  <c:v>24.74</c:v>
                </c:pt>
                <c:pt idx="1988">
                  <c:v>23.03</c:v>
                </c:pt>
                <c:pt idx="1989">
                  <c:v>22.759999999999987</c:v>
                </c:pt>
                <c:pt idx="1990">
                  <c:v>19.779999999999987</c:v>
                </c:pt>
                <c:pt idx="1991">
                  <c:v>23.97</c:v>
                </c:pt>
                <c:pt idx="1992">
                  <c:v>24.23</c:v>
                </c:pt>
                <c:pt idx="1993">
                  <c:v>24.39</c:v>
                </c:pt>
                <c:pt idx="1994">
                  <c:v>23.91</c:v>
                </c:pt>
                <c:pt idx="1995">
                  <c:v>23.66</c:v>
                </c:pt>
                <c:pt idx="1996">
                  <c:v>21.4</c:v>
                </c:pt>
                <c:pt idx="1997">
                  <c:v>18.760000000000002</c:v>
                </c:pt>
                <c:pt idx="1998">
                  <c:v>19.920000000000002</c:v>
                </c:pt>
                <c:pt idx="1999">
                  <c:v>21.14</c:v>
                </c:pt>
                <c:pt idx="2000">
                  <c:v>22.15000000000002</c:v>
                </c:pt>
                <c:pt idx="2001">
                  <c:v>20.8</c:v>
                </c:pt>
                <c:pt idx="2002">
                  <c:v>20.59</c:v>
                </c:pt>
                <c:pt idx="2003">
                  <c:v>18.149999999999999</c:v>
                </c:pt>
                <c:pt idx="2004">
                  <c:v>18.88</c:v>
                </c:pt>
                <c:pt idx="2005">
                  <c:v>19.54</c:v>
                </c:pt>
                <c:pt idx="2006">
                  <c:v>21.18</c:v>
                </c:pt>
                <c:pt idx="2007">
                  <c:v>23.01</c:v>
                </c:pt>
                <c:pt idx="2008">
                  <c:v>24.91</c:v>
                </c:pt>
                <c:pt idx="2009">
                  <c:v>28.09</c:v>
                </c:pt>
                <c:pt idx="2010">
                  <c:v>25.04</c:v>
                </c:pt>
                <c:pt idx="2011">
                  <c:v>24.41</c:v>
                </c:pt>
                <c:pt idx="2012">
                  <c:v>23.4</c:v>
                </c:pt>
                <c:pt idx="2013">
                  <c:v>27.14</c:v>
                </c:pt>
                <c:pt idx="2014">
                  <c:v>25.65000000000002</c:v>
                </c:pt>
                <c:pt idx="2015">
                  <c:v>29.34</c:v>
                </c:pt>
                <c:pt idx="2016">
                  <c:v>31.34</c:v>
                </c:pt>
                <c:pt idx="2017">
                  <c:v>29.69</c:v>
                </c:pt>
                <c:pt idx="2018">
                  <c:v>27.919999999999987</c:v>
                </c:pt>
                <c:pt idx="2019">
                  <c:v>45.730000000000011</c:v>
                </c:pt>
                <c:pt idx="2020">
                  <c:v>37.56</c:v>
                </c:pt>
                <c:pt idx="2021">
                  <c:v>34.78</c:v>
                </c:pt>
                <c:pt idx="2022">
                  <c:v>33.809999999999995</c:v>
                </c:pt>
                <c:pt idx="2023">
                  <c:v>31.02</c:v>
                </c:pt>
                <c:pt idx="2024">
                  <c:v>30.259999999999987</c:v>
                </c:pt>
                <c:pt idx="2025">
                  <c:v>26.95</c:v>
                </c:pt>
                <c:pt idx="2026">
                  <c:v>28.23</c:v>
                </c:pt>
                <c:pt idx="2027">
                  <c:v>25.35</c:v>
                </c:pt>
                <c:pt idx="2028">
                  <c:v>24.06</c:v>
                </c:pt>
                <c:pt idx="2029">
                  <c:v>25.83000000000002</c:v>
                </c:pt>
                <c:pt idx="2030">
                  <c:v>27.05</c:v>
                </c:pt>
                <c:pt idx="2031">
                  <c:v>27.2</c:v>
                </c:pt>
                <c:pt idx="2032">
                  <c:v>25.939999999999987</c:v>
                </c:pt>
                <c:pt idx="2033">
                  <c:v>33.309999999999995</c:v>
                </c:pt>
                <c:pt idx="2034">
                  <c:v>58.42</c:v>
                </c:pt>
                <c:pt idx="2035">
                  <c:v>82.57</c:v>
                </c:pt>
                <c:pt idx="2036">
                  <c:v>196.23999999999998</c:v>
                </c:pt>
                <c:pt idx="2037">
                  <c:v>31.259999999999987</c:v>
                </c:pt>
                <c:pt idx="2038">
                  <c:v>27.83000000000002</c:v>
                </c:pt>
                <c:pt idx="2039">
                  <c:v>36.64</c:v>
                </c:pt>
                <c:pt idx="2040">
                  <c:v>365.18</c:v>
                </c:pt>
                <c:pt idx="2041">
                  <c:v>1281.98</c:v>
                </c:pt>
                <c:pt idx="2042">
                  <c:v>1207.53</c:v>
                </c:pt>
                <c:pt idx="2043">
                  <c:v>291.95</c:v>
                </c:pt>
                <c:pt idx="2044">
                  <c:v>177.66</c:v>
                </c:pt>
                <c:pt idx="2045">
                  <c:v>148.16999999999999</c:v>
                </c:pt>
                <c:pt idx="2046">
                  <c:v>37.93</c:v>
                </c:pt>
                <c:pt idx="2047">
                  <c:v>31.25</c:v>
                </c:pt>
                <c:pt idx="2048">
                  <c:v>28.89</c:v>
                </c:pt>
                <c:pt idx="2049">
                  <c:v>28.53</c:v>
                </c:pt>
                <c:pt idx="2050">
                  <c:v>31.419999999999987</c:v>
                </c:pt>
                <c:pt idx="2051">
                  <c:v>30.89</c:v>
                </c:pt>
                <c:pt idx="2052">
                  <c:v>23.18</c:v>
                </c:pt>
                <c:pt idx="2053">
                  <c:v>22.21</c:v>
                </c:pt>
                <c:pt idx="2054">
                  <c:v>25.56</c:v>
                </c:pt>
                <c:pt idx="2055">
                  <c:v>27.71</c:v>
                </c:pt>
                <c:pt idx="2056">
                  <c:v>29.419999999999987</c:v>
                </c:pt>
                <c:pt idx="2057">
                  <c:v>36.980000000000004</c:v>
                </c:pt>
                <c:pt idx="2058">
                  <c:v>37.980000000000004</c:v>
                </c:pt>
                <c:pt idx="2059">
                  <c:v>48.449999999999996</c:v>
                </c:pt>
                <c:pt idx="2060">
                  <c:v>51.720000000000013</c:v>
                </c:pt>
                <c:pt idx="2061">
                  <c:v>35</c:v>
                </c:pt>
                <c:pt idx="2062">
                  <c:v>26.4</c:v>
                </c:pt>
                <c:pt idx="2063">
                  <c:v>26.110000000000021</c:v>
                </c:pt>
                <c:pt idx="2064">
                  <c:v>28.39</c:v>
                </c:pt>
                <c:pt idx="2065">
                  <c:v>27.77</c:v>
                </c:pt>
                <c:pt idx="2066">
                  <c:v>29.62</c:v>
                </c:pt>
                <c:pt idx="2067">
                  <c:v>25.34</c:v>
                </c:pt>
                <c:pt idx="2068">
                  <c:v>31.65000000000002</c:v>
                </c:pt>
                <c:pt idx="2069">
                  <c:v>29.29</c:v>
                </c:pt>
                <c:pt idx="2070">
                  <c:v>25.439999999999987</c:v>
                </c:pt>
                <c:pt idx="2071">
                  <c:v>27.3</c:v>
                </c:pt>
                <c:pt idx="2072">
                  <c:v>30.05</c:v>
                </c:pt>
                <c:pt idx="2073">
                  <c:v>24.41</c:v>
                </c:pt>
                <c:pt idx="2074">
                  <c:v>22.419999999999987</c:v>
                </c:pt>
                <c:pt idx="2075">
                  <c:v>25.83000000000002</c:v>
                </c:pt>
                <c:pt idx="2076">
                  <c:v>27.85</c:v>
                </c:pt>
                <c:pt idx="2077">
                  <c:v>27.18</c:v>
                </c:pt>
                <c:pt idx="2078">
                  <c:v>27.83000000000002</c:v>
                </c:pt>
                <c:pt idx="2079">
                  <c:v>28.69</c:v>
                </c:pt>
                <c:pt idx="2080">
                  <c:v>26.919999999999987</c:v>
                </c:pt>
                <c:pt idx="2081">
                  <c:v>27.21</c:v>
                </c:pt>
                <c:pt idx="2082">
                  <c:v>25.66</c:v>
                </c:pt>
                <c:pt idx="2083">
                  <c:v>26.84</c:v>
                </c:pt>
                <c:pt idx="2084">
                  <c:v>27.39</c:v>
                </c:pt>
                <c:pt idx="2085">
                  <c:v>27.06</c:v>
                </c:pt>
                <c:pt idx="2086">
                  <c:v>25.07</c:v>
                </c:pt>
                <c:pt idx="2087">
                  <c:v>24.13000000000002</c:v>
                </c:pt>
                <c:pt idx="2088">
                  <c:v>23.15000000000002</c:v>
                </c:pt>
                <c:pt idx="2089">
                  <c:v>27.23</c:v>
                </c:pt>
                <c:pt idx="2090">
                  <c:v>30.51</c:v>
                </c:pt>
                <c:pt idx="2091">
                  <c:v>28.58</c:v>
                </c:pt>
                <c:pt idx="2092">
                  <c:v>25.19</c:v>
                </c:pt>
                <c:pt idx="2093">
                  <c:v>25.5</c:v>
                </c:pt>
                <c:pt idx="2094">
                  <c:v>23.97</c:v>
                </c:pt>
                <c:pt idx="2095">
                  <c:v>23.759999999999987</c:v>
                </c:pt>
                <c:pt idx="2096">
                  <c:v>26.24</c:v>
                </c:pt>
                <c:pt idx="2097">
                  <c:v>25.51</c:v>
                </c:pt>
                <c:pt idx="2098">
                  <c:v>25.95</c:v>
                </c:pt>
                <c:pt idx="2099">
                  <c:v>24.4</c:v>
                </c:pt>
                <c:pt idx="2100">
                  <c:v>25.09</c:v>
                </c:pt>
                <c:pt idx="2101">
                  <c:v>26.05</c:v>
                </c:pt>
                <c:pt idx="2102">
                  <c:v>24.39</c:v>
                </c:pt>
                <c:pt idx="2103">
                  <c:v>26.8</c:v>
                </c:pt>
                <c:pt idx="2104">
                  <c:v>27.56</c:v>
                </c:pt>
                <c:pt idx="2105">
                  <c:v>27.24</c:v>
                </c:pt>
                <c:pt idx="2106">
                  <c:v>27.15000000000002</c:v>
                </c:pt>
                <c:pt idx="2107">
                  <c:v>26.959999999999987</c:v>
                </c:pt>
                <c:pt idx="2108">
                  <c:v>28.25</c:v>
                </c:pt>
                <c:pt idx="2109">
                  <c:v>24.84</c:v>
                </c:pt>
                <c:pt idx="2110">
                  <c:v>28.259999999999987</c:v>
                </c:pt>
                <c:pt idx="2111">
                  <c:v>26.5</c:v>
                </c:pt>
                <c:pt idx="2112">
                  <c:v>27.03</c:v>
                </c:pt>
                <c:pt idx="2113">
                  <c:v>27.81000000000002</c:v>
                </c:pt>
                <c:pt idx="2114">
                  <c:v>29.58</c:v>
                </c:pt>
                <c:pt idx="2115">
                  <c:v>30.939999999999987</c:v>
                </c:pt>
                <c:pt idx="2116">
                  <c:v>27.52</c:v>
                </c:pt>
                <c:pt idx="2117">
                  <c:v>26.7</c:v>
                </c:pt>
                <c:pt idx="2118">
                  <c:v>28.67</c:v>
                </c:pt>
                <c:pt idx="2119">
                  <c:v>26.110000000000021</c:v>
                </c:pt>
                <c:pt idx="2120">
                  <c:v>25.610000000000021</c:v>
                </c:pt>
                <c:pt idx="2121">
                  <c:v>23.81000000000002</c:v>
                </c:pt>
                <c:pt idx="2122">
                  <c:v>24.25</c:v>
                </c:pt>
                <c:pt idx="2123">
                  <c:v>24.12</c:v>
                </c:pt>
                <c:pt idx="2124">
                  <c:v>25.19</c:v>
                </c:pt>
                <c:pt idx="2125">
                  <c:v>25.19</c:v>
                </c:pt>
                <c:pt idx="2126">
                  <c:v>24.73</c:v>
                </c:pt>
                <c:pt idx="2127">
                  <c:v>24.49</c:v>
                </c:pt>
                <c:pt idx="2128">
                  <c:v>25.15000000000002</c:v>
                </c:pt>
                <c:pt idx="2129">
                  <c:v>26.86</c:v>
                </c:pt>
                <c:pt idx="2130">
                  <c:v>25.69</c:v>
                </c:pt>
                <c:pt idx="2131">
                  <c:v>27.87</c:v>
                </c:pt>
                <c:pt idx="2132">
                  <c:v>29.32</c:v>
                </c:pt>
                <c:pt idx="2133">
                  <c:v>28.919999999999987</c:v>
                </c:pt>
                <c:pt idx="2134">
                  <c:v>31.759999999999987</c:v>
                </c:pt>
                <c:pt idx="2135">
                  <c:v>30.32</c:v>
                </c:pt>
                <c:pt idx="2136">
                  <c:v>27.55</c:v>
                </c:pt>
                <c:pt idx="2137">
                  <c:v>25.74</c:v>
                </c:pt>
                <c:pt idx="2138">
                  <c:v>30.779999999999987</c:v>
                </c:pt>
                <c:pt idx="2139">
                  <c:v>26.58</c:v>
                </c:pt>
                <c:pt idx="2140">
                  <c:v>28.259999999999987</c:v>
                </c:pt>
                <c:pt idx="2141">
                  <c:v>27.37</c:v>
                </c:pt>
                <c:pt idx="2142">
                  <c:v>27.5</c:v>
                </c:pt>
                <c:pt idx="2143">
                  <c:v>28.74</c:v>
                </c:pt>
                <c:pt idx="2144">
                  <c:v>29.31000000000002</c:v>
                </c:pt>
                <c:pt idx="2145">
                  <c:v>32.809999999999995</c:v>
                </c:pt>
                <c:pt idx="2146">
                  <c:v>31.58</c:v>
                </c:pt>
                <c:pt idx="2147">
                  <c:v>27.65000000000002</c:v>
                </c:pt>
                <c:pt idx="2148">
                  <c:v>29.89</c:v>
                </c:pt>
                <c:pt idx="2149">
                  <c:v>30.17</c:v>
                </c:pt>
                <c:pt idx="2150">
                  <c:v>27.110000000000021</c:v>
                </c:pt>
                <c:pt idx="2151">
                  <c:v>25.52</c:v>
                </c:pt>
                <c:pt idx="2152">
                  <c:v>26.33000000000002</c:v>
                </c:pt>
                <c:pt idx="2153">
                  <c:v>27.29</c:v>
                </c:pt>
                <c:pt idx="2154">
                  <c:v>31.979999999999986</c:v>
                </c:pt>
                <c:pt idx="2155">
                  <c:v>31.7</c:v>
                </c:pt>
                <c:pt idx="2156">
                  <c:v>35.120000000000012</c:v>
                </c:pt>
                <c:pt idx="2157">
                  <c:v>34.690000000000012</c:v>
                </c:pt>
                <c:pt idx="2158">
                  <c:v>30.67</c:v>
                </c:pt>
                <c:pt idx="2159">
                  <c:v>28.779999999999987</c:v>
                </c:pt>
                <c:pt idx="2160">
                  <c:v>25.49</c:v>
                </c:pt>
                <c:pt idx="2161">
                  <c:v>26.81000000000002</c:v>
                </c:pt>
                <c:pt idx="2162">
                  <c:v>25.779999999999987</c:v>
                </c:pt>
                <c:pt idx="2163">
                  <c:v>25.79</c:v>
                </c:pt>
                <c:pt idx="2164">
                  <c:v>24.74</c:v>
                </c:pt>
                <c:pt idx="2165">
                  <c:v>24.81000000000002</c:v>
                </c:pt>
                <c:pt idx="2166">
                  <c:v>26.9</c:v>
                </c:pt>
                <c:pt idx="2167">
                  <c:v>28.34</c:v>
                </c:pt>
                <c:pt idx="2168">
                  <c:v>33.9</c:v>
                </c:pt>
                <c:pt idx="2169">
                  <c:v>31.24</c:v>
                </c:pt>
                <c:pt idx="2170">
                  <c:v>29.54</c:v>
                </c:pt>
                <c:pt idx="2171">
                  <c:v>28.09</c:v>
                </c:pt>
                <c:pt idx="2172">
                  <c:v>25.36</c:v>
                </c:pt>
                <c:pt idx="2173">
                  <c:v>26.5</c:v>
                </c:pt>
                <c:pt idx="2174">
                  <c:v>30.66</c:v>
                </c:pt>
                <c:pt idx="2175">
                  <c:v>29.419999999999987</c:v>
                </c:pt>
                <c:pt idx="2176">
                  <c:v>30.24</c:v>
                </c:pt>
                <c:pt idx="2177">
                  <c:v>27.55</c:v>
                </c:pt>
                <c:pt idx="2178">
                  <c:v>27.82</c:v>
                </c:pt>
                <c:pt idx="2179">
                  <c:v>25.479999999999986</c:v>
                </c:pt>
                <c:pt idx="2180">
                  <c:v>26.479999999999986</c:v>
                </c:pt>
                <c:pt idx="2181">
                  <c:v>27.03</c:v>
                </c:pt>
                <c:pt idx="2182">
                  <c:v>29.34</c:v>
                </c:pt>
                <c:pt idx="2183">
                  <c:v>28.18</c:v>
                </c:pt>
                <c:pt idx="2184">
                  <c:v>26.69</c:v>
                </c:pt>
                <c:pt idx="2185">
                  <c:v>24.31000000000002</c:v>
                </c:pt>
                <c:pt idx="2186">
                  <c:v>23.779999999999987</c:v>
                </c:pt>
                <c:pt idx="2187">
                  <c:v>27.38</c:v>
                </c:pt>
                <c:pt idx="2188">
                  <c:v>28.110000000000021</c:v>
                </c:pt>
                <c:pt idx="2189">
                  <c:v>26.15000000000002</c:v>
                </c:pt>
                <c:pt idx="2190">
                  <c:v>25.45</c:v>
                </c:pt>
                <c:pt idx="2191">
                  <c:v>25.29</c:v>
                </c:pt>
                <c:pt idx="2192">
                  <c:v>23.979999999999986</c:v>
                </c:pt>
                <c:pt idx="2193">
                  <c:v>22.58</c:v>
                </c:pt>
                <c:pt idx="2194">
                  <c:v>23.72</c:v>
                </c:pt>
                <c:pt idx="2195">
                  <c:v>28.09</c:v>
                </c:pt>
                <c:pt idx="2196">
                  <c:v>27.22</c:v>
                </c:pt>
                <c:pt idx="2197">
                  <c:v>28.16</c:v>
                </c:pt>
                <c:pt idx="2198">
                  <c:v>30.77</c:v>
                </c:pt>
                <c:pt idx="2199">
                  <c:v>30.54</c:v>
                </c:pt>
                <c:pt idx="2200">
                  <c:v>30.81000000000002</c:v>
                </c:pt>
                <c:pt idx="2201">
                  <c:v>37.61</c:v>
                </c:pt>
                <c:pt idx="2202">
                  <c:v>35.790000000000013</c:v>
                </c:pt>
                <c:pt idx="2203">
                  <c:v>37.61</c:v>
                </c:pt>
                <c:pt idx="2204">
                  <c:v>40.300000000000004</c:v>
                </c:pt>
                <c:pt idx="2205">
                  <c:v>37.550000000000004</c:v>
                </c:pt>
                <c:pt idx="2206">
                  <c:v>29.85</c:v>
                </c:pt>
                <c:pt idx="2207">
                  <c:v>25.95</c:v>
                </c:pt>
                <c:pt idx="2208">
                  <c:v>26.8</c:v>
                </c:pt>
                <c:pt idx="2209">
                  <c:v>32.82</c:v>
                </c:pt>
                <c:pt idx="2210">
                  <c:v>30.86</c:v>
                </c:pt>
                <c:pt idx="2211">
                  <c:v>30.21</c:v>
                </c:pt>
                <c:pt idx="2212">
                  <c:v>28.69</c:v>
                </c:pt>
                <c:pt idx="2213">
                  <c:v>30.63000000000002</c:v>
                </c:pt>
                <c:pt idx="2214">
                  <c:v>30.39</c:v>
                </c:pt>
                <c:pt idx="2215">
                  <c:v>28.71</c:v>
                </c:pt>
                <c:pt idx="2216">
                  <c:v>34.28</c:v>
                </c:pt>
                <c:pt idx="2217">
                  <c:v>36.200000000000003</c:v>
                </c:pt>
                <c:pt idx="2218">
                  <c:v>35.39</c:v>
                </c:pt>
                <c:pt idx="2219">
                  <c:v>33.68</c:v>
                </c:pt>
                <c:pt idx="2220">
                  <c:v>27.99</c:v>
                </c:pt>
                <c:pt idx="2221">
                  <c:v>27.04</c:v>
                </c:pt>
                <c:pt idx="2222">
                  <c:v>28.62</c:v>
                </c:pt>
                <c:pt idx="2223">
                  <c:v>28.41</c:v>
                </c:pt>
                <c:pt idx="2224">
                  <c:v>27.24</c:v>
                </c:pt>
                <c:pt idx="2225">
                  <c:v>27.75</c:v>
                </c:pt>
                <c:pt idx="2226">
                  <c:v>29.759999999999987</c:v>
                </c:pt>
                <c:pt idx="2227">
                  <c:v>28.71</c:v>
                </c:pt>
                <c:pt idx="2228">
                  <c:v>27.68</c:v>
                </c:pt>
                <c:pt idx="2229">
                  <c:v>31.71</c:v>
                </c:pt>
                <c:pt idx="2230">
                  <c:v>35.67</c:v>
                </c:pt>
                <c:pt idx="2231">
                  <c:v>33.51</c:v>
                </c:pt>
                <c:pt idx="2232">
                  <c:v>38.550000000000004</c:v>
                </c:pt>
                <c:pt idx="2233">
                  <c:v>35.270000000000003</c:v>
                </c:pt>
                <c:pt idx="2234">
                  <c:v>29.79</c:v>
                </c:pt>
                <c:pt idx="2235">
                  <c:v>28.62</c:v>
                </c:pt>
                <c:pt idx="2236">
                  <c:v>32.53</c:v>
                </c:pt>
                <c:pt idx="2237">
                  <c:v>32.410000000000004</c:v>
                </c:pt>
                <c:pt idx="2238">
                  <c:v>31.93</c:v>
                </c:pt>
                <c:pt idx="2239">
                  <c:v>31.69</c:v>
                </c:pt>
                <c:pt idx="2240">
                  <c:v>30.51</c:v>
                </c:pt>
                <c:pt idx="2241">
                  <c:v>27.83000000000002</c:v>
                </c:pt>
                <c:pt idx="2242">
                  <c:v>27.6</c:v>
                </c:pt>
                <c:pt idx="2243">
                  <c:v>31.03</c:v>
                </c:pt>
                <c:pt idx="2244">
                  <c:v>27.97</c:v>
                </c:pt>
                <c:pt idx="2245">
                  <c:v>27.91</c:v>
                </c:pt>
                <c:pt idx="2246">
                  <c:v>26.84</c:v>
                </c:pt>
                <c:pt idx="2247">
                  <c:v>27.62</c:v>
                </c:pt>
                <c:pt idx="2248">
                  <c:v>27.59</c:v>
                </c:pt>
                <c:pt idx="2249">
                  <c:v>26.89</c:v>
                </c:pt>
                <c:pt idx="2250">
                  <c:v>30.439999999999987</c:v>
                </c:pt>
                <c:pt idx="2251">
                  <c:v>31.32</c:v>
                </c:pt>
                <c:pt idx="2252">
                  <c:v>31.34</c:v>
                </c:pt>
                <c:pt idx="2253">
                  <c:v>31.259999999999987</c:v>
                </c:pt>
                <c:pt idx="2254">
                  <c:v>27.93</c:v>
                </c:pt>
                <c:pt idx="2255">
                  <c:v>25</c:v>
                </c:pt>
                <c:pt idx="2256">
                  <c:v>23.89</c:v>
                </c:pt>
                <c:pt idx="2257">
                  <c:v>26.07</c:v>
                </c:pt>
                <c:pt idx="2258">
                  <c:v>26.15000000000002</c:v>
                </c:pt>
                <c:pt idx="2259">
                  <c:v>27.97</c:v>
                </c:pt>
                <c:pt idx="2260">
                  <c:v>30.01</c:v>
                </c:pt>
                <c:pt idx="2261">
                  <c:v>32.020000000000003</c:v>
                </c:pt>
                <c:pt idx="2262">
                  <c:v>29.06</c:v>
                </c:pt>
                <c:pt idx="2263">
                  <c:v>30.53</c:v>
                </c:pt>
                <c:pt idx="2264">
                  <c:v>32.18</c:v>
                </c:pt>
                <c:pt idx="2265">
                  <c:v>29.259999999999987</c:v>
                </c:pt>
                <c:pt idx="2266">
                  <c:v>29.89</c:v>
                </c:pt>
                <c:pt idx="2267">
                  <c:v>30.7</c:v>
                </c:pt>
                <c:pt idx="2268">
                  <c:v>32.879999999999995</c:v>
                </c:pt>
                <c:pt idx="2269">
                  <c:v>25.53</c:v>
                </c:pt>
                <c:pt idx="2270">
                  <c:v>26.01</c:v>
                </c:pt>
                <c:pt idx="2271">
                  <c:v>27.09</c:v>
                </c:pt>
                <c:pt idx="2272">
                  <c:v>29.95</c:v>
                </c:pt>
                <c:pt idx="2273">
                  <c:v>32.11</c:v>
                </c:pt>
                <c:pt idx="2274">
                  <c:v>28.15000000000002</c:v>
                </c:pt>
                <c:pt idx="2275">
                  <c:v>28.25</c:v>
                </c:pt>
                <c:pt idx="2276">
                  <c:v>26.75</c:v>
                </c:pt>
                <c:pt idx="2277">
                  <c:v>24.53</c:v>
                </c:pt>
                <c:pt idx="2278">
                  <c:v>27.82</c:v>
                </c:pt>
                <c:pt idx="2279">
                  <c:v>28.75</c:v>
                </c:pt>
                <c:pt idx="2280">
                  <c:v>30.54</c:v>
                </c:pt>
                <c:pt idx="2281">
                  <c:v>27.49</c:v>
                </c:pt>
                <c:pt idx="2282">
                  <c:v>28.9</c:v>
                </c:pt>
                <c:pt idx="2283">
                  <c:v>30.97</c:v>
                </c:pt>
                <c:pt idx="2284">
                  <c:v>29.9</c:v>
                </c:pt>
                <c:pt idx="2285">
                  <c:v>31.24</c:v>
                </c:pt>
                <c:pt idx="2286">
                  <c:v>28.86</c:v>
                </c:pt>
                <c:pt idx="2287">
                  <c:v>26.91</c:v>
                </c:pt>
                <c:pt idx="2288">
                  <c:v>29.17</c:v>
                </c:pt>
                <c:pt idx="2289">
                  <c:v>30.2</c:v>
                </c:pt>
                <c:pt idx="2290">
                  <c:v>28.85</c:v>
                </c:pt>
                <c:pt idx="2291">
                  <c:v>25.79</c:v>
                </c:pt>
                <c:pt idx="2292">
                  <c:v>29.419999999999987</c:v>
                </c:pt>
                <c:pt idx="2293">
                  <c:v>30.779999999999987</c:v>
                </c:pt>
                <c:pt idx="2294">
                  <c:v>30.22</c:v>
                </c:pt>
                <c:pt idx="2295">
                  <c:v>29.65000000000002</c:v>
                </c:pt>
                <c:pt idx="2296">
                  <c:v>29.02</c:v>
                </c:pt>
                <c:pt idx="2297">
                  <c:v>25.55</c:v>
                </c:pt>
                <c:pt idx="2298">
                  <c:v>25.09</c:v>
                </c:pt>
                <c:pt idx="2299">
                  <c:v>30.85</c:v>
                </c:pt>
                <c:pt idx="2300">
                  <c:v>31.72</c:v>
                </c:pt>
                <c:pt idx="2301">
                  <c:v>28.2</c:v>
                </c:pt>
                <c:pt idx="2302">
                  <c:v>26.25</c:v>
                </c:pt>
                <c:pt idx="2303">
                  <c:v>26.72</c:v>
                </c:pt>
                <c:pt idx="2304">
                  <c:v>26.439999999999987</c:v>
                </c:pt>
                <c:pt idx="2305">
                  <c:v>25.24</c:v>
                </c:pt>
                <c:pt idx="2306">
                  <c:v>28.959999999999987</c:v>
                </c:pt>
                <c:pt idx="2307">
                  <c:v>27.62</c:v>
                </c:pt>
                <c:pt idx="2308">
                  <c:v>27.38</c:v>
                </c:pt>
                <c:pt idx="2309">
                  <c:v>27.72</c:v>
                </c:pt>
                <c:pt idx="2310">
                  <c:v>32.839999999999996</c:v>
                </c:pt>
                <c:pt idx="2311">
                  <c:v>27.5</c:v>
                </c:pt>
                <c:pt idx="2312">
                  <c:v>26.09</c:v>
                </c:pt>
                <c:pt idx="2313">
                  <c:v>29.06</c:v>
                </c:pt>
                <c:pt idx="2314">
                  <c:v>26.75</c:v>
                </c:pt>
                <c:pt idx="2315">
                  <c:v>27.53</c:v>
                </c:pt>
                <c:pt idx="2316">
                  <c:v>28.479999999999986</c:v>
                </c:pt>
                <c:pt idx="2317">
                  <c:v>31.419999999999987</c:v>
                </c:pt>
                <c:pt idx="2318">
                  <c:v>27.04</c:v>
                </c:pt>
                <c:pt idx="2319">
                  <c:v>26.58</c:v>
                </c:pt>
                <c:pt idx="2320">
                  <c:v>32.020000000000003</c:v>
                </c:pt>
                <c:pt idx="2321">
                  <c:v>36.339999999999996</c:v>
                </c:pt>
                <c:pt idx="2322">
                  <c:v>168.78</c:v>
                </c:pt>
                <c:pt idx="2323">
                  <c:v>28.91</c:v>
                </c:pt>
                <c:pt idx="2324">
                  <c:v>32.03</c:v>
                </c:pt>
                <c:pt idx="2325">
                  <c:v>28.51</c:v>
                </c:pt>
                <c:pt idx="2326">
                  <c:v>27.2</c:v>
                </c:pt>
                <c:pt idx="2327">
                  <c:v>50.51</c:v>
                </c:pt>
                <c:pt idx="2328">
                  <c:v>36.6</c:v>
                </c:pt>
                <c:pt idx="2329">
                  <c:v>30.36</c:v>
                </c:pt>
                <c:pt idx="2330">
                  <c:v>31.17</c:v>
                </c:pt>
                <c:pt idx="2331">
                  <c:v>32.14</c:v>
                </c:pt>
                <c:pt idx="2332">
                  <c:v>34.64</c:v>
                </c:pt>
                <c:pt idx="2333">
                  <c:v>29.33000000000002</c:v>
                </c:pt>
                <c:pt idx="2334">
                  <c:v>30.77</c:v>
                </c:pt>
                <c:pt idx="2335">
                  <c:v>30.43</c:v>
                </c:pt>
                <c:pt idx="2336">
                  <c:v>30.63000000000002</c:v>
                </c:pt>
                <c:pt idx="2337">
                  <c:v>34.720000000000013</c:v>
                </c:pt>
                <c:pt idx="2338">
                  <c:v>35.300000000000004</c:v>
                </c:pt>
                <c:pt idx="2339">
                  <c:v>28.8</c:v>
                </c:pt>
                <c:pt idx="2340">
                  <c:v>27.259999999999987</c:v>
                </c:pt>
                <c:pt idx="2341">
                  <c:v>44.120000000000012</c:v>
                </c:pt>
                <c:pt idx="2342">
                  <c:v>54.44</c:v>
                </c:pt>
                <c:pt idx="2343">
                  <c:v>30.91</c:v>
                </c:pt>
                <c:pt idx="2344">
                  <c:v>26.45</c:v>
                </c:pt>
                <c:pt idx="2345">
                  <c:v>25.7</c:v>
                </c:pt>
                <c:pt idx="2346">
                  <c:v>25.04</c:v>
                </c:pt>
                <c:pt idx="2347">
                  <c:v>23.35</c:v>
                </c:pt>
                <c:pt idx="2348">
                  <c:v>24.58</c:v>
                </c:pt>
                <c:pt idx="2349">
                  <c:v>26.939999999999987</c:v>
                </c:pt>
                <c:pt idx="2350">
                  <c:v>27.6</c:v>
                </c:pt>
                <c:pt idx="2351">
                  <c:v>27.27</c:v>
                </c:pt>
                <c:pt idx="2352">
                  <c:v>29.06</c:v>
                </c:pt>
                <c:pt idx="2353">
                  <c:v>27.01</c:v>
                </c:pt>
                <c:pt idx="2354">
                  <c:v>23.979999999999986</c:v>
                </c:pt>
                <c:pt idx="2355">
                  <c:v>26.73</c:v>
                </c:pt>
                <c:pt idx="2356">
                  <c:v>26.59</c:v>
                </c:pt>
                <c:pt idx="2357">
                  <c:v>26.36</c:v>
                </c:pt>
                <c:pt idx="2358">
                  <c:v>26</c:v>
                </c:pt>
                <c:pt idx="2359">
                  <c:v>25.86</c:v>
                </c:pt>
                <c:pt idx="2360">
                  <c:v>25.36</c:v>
                </c:pt>
                <c:pt idx="2361">
                  <c:v>23.979999999999986</c:v>
                </c:pt>
                <c:pt idx="2362">
                  <c:v>27.27</c:v>
                </c:pt>
                <c:pt idx="2363">
                  <c:v>25.88</c:v>
                </c:pt>
                <c:pt idx="2364">
                  <c:v>27.22</c:v>
                </c:pt>
                <c:pt idx="2365">
                  <c:v>27.23</c:v>
                </c:pt>
                <c:pt idx="2366">
                  <c:v>27.16</c:v>
                </c:pt>
                <c:pt idx="2367">
                  <c:v>27.4</c:v>
                </c:pt>
                <c:pt idx="2368">
                  <c:v>22.64</c:v>
                </c:pt>
                <c:pt idx="2369">
                  <c:v>20.84</c:v>
                </c:pt>
                <c:pt idx="2370">
                  <c:v>22.83000000000002</c:v>
                </c:pt>
                <c:pt idx="2371">
                  <c:v>23.53</c:v>
                </c:pt>
                <c:pt idx="2372">
                  <c:v>25.57</c:v>
                </c:pt>
                <c:pt idx="2373">
                  <c:v>26.69</c:v>
                </c:pt>
                <c:pt idx="2374">
                  <c:v>27.22</c:v>
                </c:pt>
                <c:pt idx="2375">
                  <c:v>24.06</c:v>
                </c:pt>
                <c:pt idx="2376">
                  <c:v>27.69</c:v>
                </c:pt>
                <c:pt idx="2377">
                  <c:v>31.88</c:v>
                </c:pt>
                <c:pt idx="2378">
                  <c:v>24.57</c:v>
                </c:pt>
                <c:pt idx="2379">
                  <c:v>23.5</c:v>
                </c:pt>
                <c:pt idx="2380">
                  <c:v>23.16</c:v>
                </c:pt>
                <c:pt idx="2381">
                  <c:v>21.57</c:v>
                </c:pt>
                <c:pt idx="2382">
                  <c:v>19.97</c:v>
                </c:pt>
                <c:pt idx="2383">
                  <c:v>23.25</c:v>
                </c:pt>
                <c:pt idx="2384">
                  <c:v>23.52</c:v>
                </c:pt>
                <c:pt idx="2385">
                  <c:v>21.74</c:v>
                </c:pt>
                <c:pt idx="2386">
                  <c:v>21.73</c:v>
                </c:pt>
                <c:pt idx="2387">
                  <c:v>22.56</c:v>
                </c:pt>
                <c:pt idx="2388">
                  <c:v>18.979999999999986</c:v>
                </c:pt>
                <c:pt idx="2389">
                  <c:v>18.54</c:v>
                </c:pt>
                <c:pt idx="2390">
                  <c:v>23.9</c:v>
                </c:pt>
                <c:pt idx="2391">
                  <c:v>25.05</c:v>
                </c:pt>
                <c:pt idx="2392">
                  <c:v>27.63000000000002</c:v>
                </c:pt>
                <c:pt idx="2393">
                  <c:v>25.63000000000002</c:v>
                </c:pt>
                <c:pt idx="2394">
                  <c:v>26.05</c:v>
                </c:pt>
                <c:pt idx="2395">
                  <c:v>24.49</c:v>
                </c:pt>
                <c:pt idx="2396">
                  <c:v>24.22</c:v>
                </c:pt>
                <c:pt idx="2397">
                  <c:v>28.19</c:v>
                </c:pt>
                <c:pt idx="2398">
                  <c:v>28.07</c:v>
                </c:pt>
                <c:pt idx="2399">
                  <c:v>26.110000000000021</c:v>
                </c:pt>
                <c:pt idx="2400">
                  <c:v>22.919999999999987</c:v>
                </c:pt>
                <c:pt idx="2401">
                  <c:v>25.7</c:v>
                </c:pt>
                <c:pt idx="2402">
                  <c:v>27.779999999999987</c:v>
                </c:pt>
                <c:pt idx="2403">
                  <c:v>29.759999999999987</c:v>
                </c:pt>
                <c:pt idx="2404">
                  <c:v>35.730000000000011</c:v>
                </c:pt>
                <c:pt idx="2405">
                  <c:v>29.13000000000002</c:v>
                </c:pt>
                <c:pt idx="2406">
                  <c:v>25.38</c:v>
                </c:pt>
                <c:pt idx="2407">
                  <c:v>25.33000000000002</c:v>
                </c:pt>
                <c:pt idx="2408">
                  <c:v>25.14</c:v>
                </c:pt>
                <c:pt idx="2409">
                  <c:v>26.35</c:v>
                </c:pt>
                <c:pt idx="2410">
                  <c:v>24.87</c:v>
                </c:pt>
                <c:pt idx="2411">
                  <c:v>27.68</c:v>
                </c:pt>
                <c:pt idx="2412">
                  <c:v>27.89</c:v>
                </c:pt>
                <c:pt idx="2413">
                  <c:v>26.81000000000002</c:v>
                </c:pt>
                <c:pt idx="2414">
                  <c:v>26.89</c:v>
                </c:pt>
                <c:pt idx="2415">
                  <c:v>25.32</c:v>
                </c:pt>
                <c:pt idx="2416">
                  <c:v>23.87</c:v>
                </c:pt>
                <c:pt idx="2417">
                  <c:v>22.68</c:v>
                </c:pt>
                <c:pt idx="2418">
                  <c:v>25.36</c:v>
                </c:pt>
                <c:pt idx="2419">
                  <c:v>26.19</c:v>
                </c:pt>
                <c:pt idx="2420">
                  <c:v>25.7</c:v>
                </c:pt>
                <c:pt idx="2421">
                  <c:v>27.110000000000021</c:v>
                </c:pt>
                <c:pt idx="2422">
                  <c:v>25.9</c:v>
                </c:pt>
                <c:pt idx="2423">
                  <c:v>28.14</c:v>
                </c:pt>
                <c:pt idx="2424">
                  <c:v>27.479999999999986</c:v>
                </c:pt>
                <c:pt idx="2425">
                  <c:v>31.5</c:v>
                </c:pt>
                <c:pt idx="2426">
                  <c:v>27.69</c:v>
                </c:pt>
                <c:pt idx="2427">
                  <c:v>28.4</c:v>
                </c:pt>
                <c:pt idx="2428">
                  <c:v>29.21</c:v>
                </c:pt>
                <c:pt idx="2429">
                  <c:v>28.65000000000002</c:v>
                </c:pt>
                <c:pt idx="2430">
                  <c:v>26.81000000000002</c:v>
                </c:pt>
                <c:pt idx="2431">
                  <c:v>26.36</c:v>
                </c:pt>
                <c:pt idx="2432">
                  <c:v>30.74</c:v>
                </c:pt>
                <c:pt idx="2433">
                  <c:v>29.759999999999987</c:v>
                </c:pt>
                <c:pt idx="2434">
                  <c:v>26.459999999999987</c:v>
                </c:pt>
                <c:pt idx="2435">
                  <c:v>24.439999999999987</c:v>
                </c:pt>
                <c:pt idx="2436">
                  <c:v>20.12</c:v>
                </c:pt>
                <c:pt idx="2437">
                  <c:v>21.979999999999986</c:v>
                </c:pt>
                <c:pt idx="2438">
                  <c:v>20.25</c:v>
                </c:pt>
                <c:pt idx="2439">
                  <c:v>24.75</c:v>
                </c:pt>
                <c:pt idx="2440">
                  <c:v>21.89</c:v>
                </c:pt>
                <c:pt idx="2441">
                  <c:v>21.73</c:v>
                </c:pt>
                <c:pt idx="2442">
                  <c:v>23.65000000000002</c:v>
                </c:pt>
                <c:pt idx="2443">
                  <c:v>24.37</c:v>
                </c:pt>
                <c:pt idx="2444">
                  <c:v>24.06</c:v>
                </c:pt>
                <c:pt idx="2445">
                  <c:v>23.84</c:v>
                </c:pt>
                <c:pt idx="2446">
                  <c:v>27.29</c:v>
                </c:pt>
                <c:pt idx="2447">
                  <c:v>27.15000000000002</c:v>
                </c:pt>
                <c:pt idx="2448">
                  <c:v>27.15000000000002</c:v>
                </c:pt>
                <c:pt idx="2449">
                  <c:v>28.65000000000002</c:v>
                </c:pt>
                <c:pt idx="2450">
                  <c:v>29.459999999999987</c:v>
                </c:pt>
                <c:pt idx="2451">
                  <c:v>27.93</c:v>
                </c:pt>
                <c:pt idx="2452">
                  <c:v>24.16</c:v>
                </c:pt>
                <c:pt idx="2453">
                  <c:v>25.29</c:v>
                </c:pt>
                <c:pt idx="2454">
                  <c:v>25.959999999999987</c:v>
                </c:pt>
                <c:pt idx="2455">
                  <c:v>27.83000000000002</c:v>
                </c:pt>
                <c:pt idx="2456">
                  <c:v>28.279999999999987</c:v>
                </c:pt>
                <c:pt idx="2457">
                  <c:v>26.05</c:v>
                </c:pt>
                <c:pt idx="2458">
                  <c:v>24.110000000000021</c:v>
                </c:pt>
                <c:pt idx="2459">
                  <c:v>23.08</c:v>
                </c:pt>
                <c:pt idx="2460">
                  <c:v>27.7</c:v>
                </c:pt>
                <c:pt idx="2461">
                  <c:v>28.2</c:v>
                </c:pt>
                <c:pt idx="2462">
                  <c:v>27.610000000000021</c:v>
                </c:pt>
                <c:pt idx="2463">
                  <c:v>28.58</c:v>
                </c:pt>
                <c:pt idx="2464">
                  <c:v>28.52</c:v>
                </c:pt>
                <c:pt idx="2465">
                  <c:v>25.25</c:v>
                </c:pt>
                <c:pt idx="2466">
                  <c:v>25.87</c:v>
                </c:pt>
                <c:pt idx="2467">
                  <c:v>31.75</c:v>
                </c:pt>
                <c:pt idx="2468">
                  <c:v>34.980000000000004</c:v>
                </c:pt>
                <c:pt idx="2469">
                  <c:v>36.58</c:v>
                </c:pt>
                <c:pt idx="2470">
                  <c:v>35.21</c:v>
                </c:pt>
                <c:pt idx="2471">
                  <c:v>28.41</c:v>
                </c:pt>
                <c:pt idx="2472">
                  <c:v>27.22</c:v>
                </c:pt>
                <c:pt idx="2473">
                  <c:v>26.13000000000002</c:v>
                </c:pt>
                <c:pt idx="2474">
                  <c:v>26.84</c:v>
                </c:pt>
                <c:pt idx="2475">
                  <c:v>30.479999999999986</c:v>
                </c:pt>
                <c:pt idx="2476">
                  <c:v>30.32</c:v>
                </c:pt>
                <c:pt idx="2477">
                  <c:v>30.959999999999987</c:v>
                </c:pt>
                <c:pt idx="2478">
                  <c:v>36.07</c:v>
                </c:pt>
                <c:pt idx="2479">
                  <c:v>35.230000000000011</c:v>
                </c:pt>
                <c:pt idx="2480">
                  <c:v>33.760000000000012</c:v>
                </c:pt>
                <c:pt idx="2481">
                  <c:v>37.620000000000012</c:v>
                </c:pt>
                <c:pt idx="2482">
                  <c:v>38</c:v>
                </c:pt>
                <c:pt idx="2483">
                  <c:v>39.700000000000003</c:v>
                </c:pt>
                <c:pt idx="2484">
                  <c:v>37.809999999999995</c:v>
                </c:pt>
                <c:pt idx="2485">
                  <c:v>44.15</c:v>
                </c:pt>
                <c:pt idx="2486">
                  <c:v>35.54</c:v>
                </c:pt>
                <c:pt idx="2487">
                  <c:v>29.479999999999986</c:v>
                </c:pt>
                <c:pt idx="2488">
                  <c:v>36.97</c:v>
                </c:pt>
                <c:pt idx="2489">
                  <c:v>38.11</c:v>
                </c:pt>
                <c:pt idx="2490">
                  <c:v>32.92</c:v>
                </c:pt>
                <c:pt idx="2491">
                  <c:v>32.130000000000003</c:v>
                </c:pt>
                <c:pt idx="2492">
                  <c:v>34.4</c:v>
                </c:pt>
                <c:pt idx="2493">
                  <c:v>32.410000000000004</c:v>
                </c:pt>
                <c:pt idx="2494">
                  <c:v>31.57</c:v>
                </c:pt>
                <c:pt idx="2495">
                  <c:v>34.949999999999996</c:v>
                </c:pt>
                <c:pt idx="2496">
                  <c:v>33.78</c:v>
                </c:pt>
                <c:pt idx="2497">
                  <c:v>31.04</c:v>
                </c:pt>
                <c:pt idx="2498">
                  <c:v>32.25</c:v>
                </c:pt>
                <c:pt idx="2499">
                  <c:v>30.86</c:v>
                </c:pt>
                <c:pt idx="2500">
                  <c:v>30.53</c:v>
                </c:pt>
                <c:pt idx="2501">
                  <c:v>28.6</c:v>
                </c:pt>
                <c:pt idx="2502">
                  <c:v>28.9</c:v>
                </c:pt>
                <c:pt idx="2503">
                  <c:v>28.19</c:v>
                </c:pt>
                <c:pt idx="2504">
                  <c:v>27.81000000000002</c:v>
                </c:pt>
                <c:pt idx="2505">
                  <c:v>28.67</c:v>
                </c:pt>
                <c:pt idx="2506">
                  <c:v>26.04</c:v>
                </c:pt>
                <c:pt idx="2507">
                  <c:v>26.5</c:v>
                </c:pt>
                <c:pt idx="2508">
                  <c:v>24.88</c:v>
                </c:pt>
                <c:pt idx="2509">
                  <c:v>29.7</c:v>
                </c:pt>
                <c:pt idx="2510">
                  <c:v>28.22</c:v>
                </c:pt>
                <c:pt idx="2511">
                  <c:v>28.259999999999987</c:v>
                </c:pt>
                <c:pt idx="2512">
                  <c:v>26.83000000000002</c:v>
                </c:pt>
                <c:pt idx="2513">
                  <c:v>26.51</c:v>
                </c:pt>
                <c:pt idx="2514">
                  <c:v>26.53</c:v>
                </c:pt>
                <c:pt idx="2515">
                  <c:v>26.610000000000021</c:v>
                </c:pt>
                <c:pt idx="2516">
                  <c:v>27.58</c:v>
                </c:pt>
                <c:pt idx="2517">
                  <c:v>26.82</c:v>
                </c:pt>
                <c:pt idx="2518">
                  <c:v>27.73</c:v>
                </c:pt>
                <c:pt idx="2519">
                  <c:v>29.31000000000002</c:v>
                </c:pt>
                <c:pt idx="2520">
                  <c:v>30.03</c:v>
                </c:pt>
                <c:pt idx="2521">
                  <c:v>33.220000000000013</c:v>
                </c:pt>
                <c:pt idx="2522">
                  <c:v>27.610000000000021</c:v>
                </c:pt>
                <c:pt idx="2523">
                  <c:v>28.54</c:v>
                </c:pt>
                <c:pt idx="2524">
                  <c:v>29.47</c:v>
                </c:pt>
                <c:pt idx="2525">
                  <c:v>29.66</c:v>
                </c:pt>
                <c:pt idx="2526">
                  <c:v>29.27</c:v>
                </c:pt>
                <c:pt idx="2527">
                  <c:v>27.95</c:v>
                </c:pt>
                <c:pt idx="2528">
                  <c:v>28.43</c:v>
                </c:pt>
                <c:pt idx="2529">
                  <c:v>27.45</c:v>
                </c:pt>
                <c:pt idx="2530">
                  <c:v>27.05</c:v>
                </c:pt>
                <c:pt idx="2531">
                  <c:v>28.16</c:v>
                </c:pt>
                <c:pt idx="2532">
                  <c:v>38.020000000000003</c:v>
                </c:pt>
                <c:pt idx="2533">
                  <c:v>36.879999999999995</c:v>
                </c:pt>
                <c:pt idx="2534">
                  <c:v>37.849999999999994</c:v>
                </c:pt>
                <c:pt idx="2535">
                  <c:v>39.730000000000011</c:v>
                </c:pt>
                <c:pt idx="2536">
                  <c:v>40.690000000000012</c:v>
                </c:pt>
                <c:pt idx="2537">
                  <c:v>44.379999999999995</c:v>
                </c:pt>
                <c:pt idx="2538">
                  <c:v>43.42</c:v>
                </c:pt>
                <c:pt idx="2539">
                  <c:v>35.4</c:v>
                </c:pt>
                <c:pt idx="2540">
                  <c:v>34.75</c:v>
                </c:pt>
                <c:pt idx="2541">
                  <c:v>33.120000000000012</c:v>
                </c:pt>
                <c:pt idx="2542">
                  <c:v>32.020000000000003</c:v>
                </c:pt>
                <c:pt idx="2543">
                  <c:v>30.21</c:v>
                </c:pt>
                <c:pt idx="2544">
                  <c:v>32.24</c:v>
                </c:pt>
                <c:pt idx="2545">
                  <c:v>36.58</c:v>
                </c:pt>
                <c:pt idx="2546">
                  <c:v>42.58</c:v>
                </c:pt>
                <c:pt idx="2547">
                  <c:v>38.15</c:v>
                </c:pt>
                <c:pt idx="2548">
                  <c:v>40.99</c:v>
                </c:pt>
                <c:pt idx="2549">
                  <c:v>38.17</c:v>
                </c:pt>
                <c:pt idx="2550">
                  <c:v>35.43</c:v>
                </c:pt>
                <c:pt idx="2551">
                  <c:v>41.41</c:v>
                </c:pt>
                <c:pt idx="2552">
                  <c:v>46.97</c:v>
                </c:pt>
                <c:pt idx="2553">
                  <c:v>40.51</c:v>
                </c:pt>
                <c:pt idx="2554">
                  <c:v>36.64</c:v>
                </c:pt>
                <c:pt idx="2555">
                  <c:v>31.779999999999987</c:v>
                </c:pt>
                <c:pt idx="2556">
                  <c:v>33.449999999999996</c:v>
                </c:pt>
                <c:pt idx="2557">
                  <c:v>58.09</c:v>
                </c:pt>
                <c:pt idx="2558">
                  <c:v>97.210000000000022</c:v>
                </c:pt>
                <c:pt idx="2559">
                  <c:v>79.11</c:v>
                </c:pt>
                <c:pt idx="2560">
                  <c:v>71.61999999999999</c:v>
                </c:pt>
                <c:pt idx="2561">
                  <c:v>71.459999999999994</c:v>
                </c:pt>
                <c:pt idx="2562">
                  <c:v>67.95</c:v>
                </c:pt>
                <c:pt idx="2563">
                  <c:v>63.790000000000013</c:v>
                </c:pt>
                <c:pt idx="2564">
                  <c:v>60.190000000000012</c:v>
                </c:pt>
                <c:pt idx="2565">
                  <c:v>76.13</c:v>
                </c:pt>
                <c:pt idx="2566">
                  <c:v>80.31</c:v>
                </c:pt>
                <c:pt idx="2567">
                  <c:v>59.13</c:v>
                </c:pt>
                <c:pt idx="2568">
                  <c:v>65.790000000000006</c:v>
                </c:pt>
                <c:pt idx="2569">
                  <c:v>58.879999999999995</c:v>
                </c:pt>
                <c:pt idx="2570">
                  <c:v>55.849999999999994</c:v>
                </c:pt>
                <c:pt idx="2571">
                  <c:v>57.39</c:v>
                </c:pt>
                <c:pt idx="2572">
                  <c:v>62.720000000000013</c:v>
                </c:pt>
                <c:pt idx="2573">
                  <c:v>61.760000000000012</c:v>
                </c:pt>
                <c:pt idx="2574">
                  <c:v>58.760000000000012</c:v>
                </c:pt>
                <c:pt idx="2575">
                  <c:v>60.08</c:v>
                </c:pt>
                <c:pt idx="2576">
                  <c:v>62.65</c:v>
                </c:pt>
                <c:pt idx="2577">
                  <c:v>62.87</c:v>
                </c:pt>
                <c:pt idx="2578">
                  <c:v>63.660000000000011</c:v>
                </c:pt>
                <c:pt idx="2579">
                  <c:v>85.01</c:v>
                </c:pt>
                <c:pt idx="2580">
                  <c:v>78.78</c:v>
                </c:pt>
                <c:pt idx="2581">
                  <c:v>60.75</c:v>
                </c:pt>
                <c:pt idx="2582">
                  <c:v>59.98</c:v>
                </c:pt>
                <c:pt idx="2583">
                  <c:v>59.51</c:v>
                </c:pt>
                <c:pt idx="2584">
                  <c:v>57.92</c:v>
                </c:pt>
                <c:pt idx="2585">
                  <c:v>63.7</c:v>
                </c:pt>
                <c:pt idx="2586">
                  <c:v>62.33</c:v>
                </c:pt>
                <c:pt idx="2587">
                  <c:v>69.709999999999994</c:v>
                </c:pt>
                <c:pt idx="2588">
                  <c:v>79.400000000000006</c:v>
                </c:pt>
                <c:pt idx="2589">
                  <c:v>62.83</c:v>
                </c:pt>
                <c:pt idx="2590">
                  <c:v>60.720000000000013</c:v>
                </c:pt>
                <c:pt idx="2591">
                  <c:v>59.220000000000013</c:v>
                </c:pt>
                <c:pt idx="2592">
                  <c:v>53.71</c:v>
                </c:pt>
                <c:pt idx="2593">
                  <c:v>64.179999999999978</c:v>
                </c:pt>
                <c:pt idx="2594">
                  <c:v>59.06</c:v>
                </c:pt>
                <c:pt idx="2595">
                  <c:v>56.720000000000013</c:v>
                </c:pt>
                <c:pt idx="2596">
                  <c:v>57.620000000000012</c:v>
                </c:pt>
                <c:pt idx="2597">
                  <c:v>64.739999999999995</c:v>
                </c:pt>
                <c:pt idx="2598">
                  <c:v>60.56</c:v>
                </c:pt>
                <c:pt idx="2599">
                  <c:v>57.5</c:v>
                </c:pt>
                <c:pt idx="2600">
                  <c:v>57.25</c:v>
                </c:pt>
                <c:pt idx="2601">
                  <c:v>57.53</c:v>
                </c:pt>
                <c:pt idx="2602">
                  <c:v>55.339999999999996</c:v>
                </c:pt>
                <c:pt idx="2603">
                  <c:v>53.879999999999995</c:v>
                </c:pt>
                <c:pt idx="2604">
                  <c:v>54.56</c:v>
                </c:pt>
                <c:pt idx="2605">
                  <c:v>57.879999999999995</c:v>
                </c:pt>
                <c:pt idx="2606">
                  <c:v>60.44</c:v>
                </c:pt>
                <c:pt idx="2607">
                  <c:v>60.260000000000012</c:v>
                </c:pt>
                <c:pt idx="2608">
                  <c:v>56.27</c:v>
                </c:pt>
                <c:pt idx="2609">
                  <c:v>52.42</c:v>
                </c:pt>
                <c:pt idx="2610">
                  <c:v>51.97</c:v>
                </c:pt>
                <c:pt idx="2611">
                  <c:v>54.04</c:v>
                </c:pt>
                <c:pt idx="2612">
                  <c:v>53.1</c:v>
                </c:pt>
                <c:pt idx="2613">
                  <c:v>52.13</c:v>
                </c:pt>
                <c:pt idx="2614">
                  <c:v>54.1</c:v>
                </c:pt>
                <c:pt idx="2615">
                  <c:v>52.760000000000012</c:v>
                </c:pt>
                <c:pt idx="2616">
                  <c:v>51.91</c:v>
                </c:pt>
                <c:pt idx="2617">
                  <c:v>51.48</c:v>
                </c:pt>
                <c:pt idx="2618">
                  <c:v>55.809999999999995</c:v>
                </c:pt>
                <c:pt idx="2619">
                  <c:v>56.2</c:v>
                </c:pt>
                <c:pt idx="2620">
                  <c:v>51.67</c:v>
                </c:pt>
                <c:pt idx="2621">
                  <c:v>58.190000000000012</c:v>
                </c:pt>
                <c:pt idx="2622">
                  <c:v>52.620000000000012</c:v>
                </c:pt>
                <c:pt idx="2623">
                  <c:v>51.98</c:v>
                </c:pt>
                <c:pt idx="2624">
                  <c:v>50.68</c:v>
                </c:pt>
                <c:pt idx="2625">
                  <c:v>50.849999999999994</c:v>
                </c:pt>
                <c:pt idx="2626">
                  <c:v>49.87</c:v>
                </c:pt>
                <c:pt idx="2627">
                  <c:v>52.160000000000011</c:v>
                </c:pt>
                <c:pt idx="2628">
                  <c:v>54.78</c:v>
                </c:pt>
                <c:pt idx="2629">
                  <c:v>54.92</c:v>
                </c:pt>
                <c:pt idx="2630">
                  <c:v>52.3</c:v>
                </c:pt>
                <c:pt idx="2631">
                  <c:v>54.879999999999995</c:v>
                </c:pt>
                <c:pt idx="2632">
                  <c:v>54.91</c:v>
                </c:pt>
                <c:pt idx="2633">
                  <c:v>54.77</c:v>
                </c:pt>
                <c:pt idx="2634">
                  <c:v>53.449999999999996</c:v>
                </c:pt>
                <c:pt idx="2635">
                  <c:v>54.790000000000013</c:v>
                </c:pt>
                <c:pt idx="2636">
                  <c:v>54.59</c:v>
                </c:pt>
                <c:pt idx="2637">
                  <c:v>54.46</c:v>
                </c:pt>
                <c:pt idx="2638">
                  <c:v>52.67</c:v>
                </c:pt>
                <c:pt idx="2639">
                  <c:v>51.99</c:v>
                </c:pt>
                <c:pt idx="2640">
                  <c:v>51.53</c:v>
                </c:pt>
                <c:pt idx="2641">
                  <c:v>49.52</c:v>
                </c:pt>
                <c:pt idx="2642">
                  <c:v>55.03</c:v>
                </c:pt>
                <c:pt idx="2643">
                  <c:v>53.760000000000012</c:v>
                </c:pt>
                <c:pt idx="2644">
                  <c:v>50.37</c:v>
                </c:pt>
                <c:pt idx="2645">
                  <c:v>50.37</c:v>
                </c:pt>
                <c:pt idx="2646">
                  <c:v>50.47</c:v>
                </c:pt>
                <c:pt idx="2647">
                  <c:v>49.3</c:v>
                </c:pt>
                <c:pt idx="2648">
                  <c:v>49.449999999999996</c:v>
                </c:pt>
                <c:pt idx="2649">
                  <c:v>50.839999999999996</c:v>
                </c:pt>
                <c:pt idx="2650">
                  <c:v>52.6</c:v>
                </c:pt>
                <c:pt idx="2651">
                  <c:v>51.42</c:v>
                </c:pt>
                <c:pt idx="2652">
                  <c:v>51.91</c:v>
                </c:pt>
                <c:pt idx="2653">
                  <c:v>60.99</c:v>
                </c:pt>
                <c:pt idx="2654">
                  <c:v>58.03</c:v>
                </c:pt>
                <c:pt idx="2655">
                  <c:v>54.24</c:v>
                </c:pt>
                <c:pt idx="2656">
                  <c:v>61.89</c:v>
                </c:pt>
                <c:pt idx="2657">
                  <c:v>67.25</c:v>
                </c:pt>
                <c:pt idx="2658">
                  <c:v>60.28</c:v>
                </c:pt>
                <c:pt idx="2659">
                  <c:v>72.84</c:v>
                </c:pt>
                <c:pt idx="2660">
                  <c:v>64.61</c:v>
                </c:pt>
                <c:pt idx="2661">
                  <c:v>57.620000000000012</c:v>
                </c:pt>
                <c:pt idx="2662">
                  <c:v>55.28</c:v>
                </c:pt>
                <c:pt idx="2663">
                  <c:v>54.89</c:v>
                </c:pt>
                <c:pt idx="2664">
                  <c:v>75.27</c:v>
                </c:pt>
                <c:pt idx="2665">
                  <c:v>54.13</c:v>
                </c:pt>
                <c:pt idx="2666">
                  <c:v>55.11</c:v>
                </c:pt>
                <c:pt idx="2667">
                  <c:v>56.379999999999995</c:v>
                </c:pt>
                <c:pt idx="2668">
                  <c:v>54.28</c:v>
                </c:pt>
                <c:pt idx="2669">
                  <c:v>52.1</c:v>
                </c:pt>
                <c:pt idx="2670">
                  <c:v>55.7</c:v>
                </c:pt>
                <c:pt idx="2671">
                  <c:v>51.5</c:v>
                </c:pt>
                <c:pt idx="2672">
                  <c:v>54.220000000000013</c:v>
                </c:pt>
                <c:pt idx="2673">
                  <c:v>53.57</c:v>
                </c:pt>
                <c:pt idx="2674">
                  <c:v>53.120000000000012</c:v>
                </c:pt>
                <c:pt idx="2675">
                  <c:v>51.7</c:v>
                </c:pt>
                <c:pt idx="2676">
                  <c:v>51.75</c:v>
                </c:pt>
                <c:pt idx="2677">
                  <c:v>56.67</c:v>
                </c:pt>
                <c:pt idx="2678">
                  <c:v>62.57</c:v>
                </c:pt>
                <c:pt idx="2679">
                  <c:v>56.309999999999995</c:v>
                </c:pt>
                <c:pt idx="2680">
                  <c:v>55.51</c:v>
                </c:pt>
                <c:pt idx="2681">
                  <c:v>54.690000000000012</c:v>
                </c:pt>
                <c:pt idx="2682">
                  <c:v>53.06</c:v>
                </c:pt>
                <c:pt idx="2683">
                  <c:v>51.98</c:v>
                </c:pt>
                <c:pt idx="2684">
                  <c:v>54.690000000000012</c:v>
                </c:pt>
                <c:pt idx="2685">
                  <c:v>53.309999999999995</c:v>
                </c:pt>
                <c:pt idx="2686">
                  <c:v>54</c:v>
                </c:pt>
                <c:pt idx="2687">
                  <c:v>53.15</c:v>
                </c:pt>
                <c:pt idx="2688">
                  <c:v>53.24</c:v>
                </c:pt>
                <c:pt idx="2689">
                  <c:v>51.32</c:v>
                </c:pt>
                <c:pt idx="2690">
                  <c:v>50.07</c:v>
                </c:pt>
                <c:pt idx="2691">
                  <c:v>52.32</c:v>
                </c:pt>
                <c:pt idx="2692">
                  <c:v>52.21</c:v>
                </c:pt>
                <c:pt idx="2693">
                  <c:v>54.309999999999995</c:v>
                </c:pt>
                <c:pt idx="2694">
                  <c:v>54.39</c:v>
                </c:pt>
                <c:pt idx="2695">
                  <c:v>53.290000000000013</c:v>
                </c:pt>
                <c:pt idx="2696">
                  <c:v>51.879999999999995</c:v>
                </c:pt>
                <c:pt idx="2697">
                  <c:v>51.690000000000012</c:v>
                </c:pt>
                <c:pt idx="2698">
                  <c:v>53.08</c:v>
                </c:pt>
                <c:pt idx="2699">
                  <c:v>51.98</c:v>
                </c:pt>
                <c:pt idx="2700">
                  <c:v>51.760000000000012</c:v>
                </c:pt>
                <c:pt idx="2701">
                  <c:v>51.93</c:v>
                </c:pt>
                <c:pt idx="2702">
                  <c:v>51.87</c:v>
                </c:pt>
                <c:pt idx="2703">
                  <c:v>52.57</c:v>
                </c:pt>
                <c:pt idx="2704">
                  <c:v>53.71</c:v>
                </c:pt>
                <c:pt idx="2705">
                  <c:v>62.13</c:v>
                </c:pt>
                <c:pt idx="2706">
                  <c:v>55.97</c:v>
                </c:pt>
                <c:pt idx="2707">
                  <c:v>58.61</c:v>
                </c:pt>
                <c:pt idx="2708">
                  <c:v>97.7</c:v>
                </c:pt>
                <c:pt idx="2709">
                  <c:v>110.04</c:v>
                </c:pt>
                <c:pt idx="2710">
                  <c:v>55.05</c:v>
                </c:pt>
                <c:pt idx="2711">
                  <c:v>52.260000000000012</c:v>
                </c:pt>
                <c:pt idx="2712">
                  <c:v>52.99</c:v>
                </c:pt>
                <c:pt idx="2713">
                  <c:v>51.21</c:v>
                </c:pt>
                <c:pt idx="2714">
                  <c:v>51.36</c:v>
                </c:pt>
                <c:pt idx="2715">
                  <c:v>52.3</c:v>
                </c:pt>
                <c:pt idx="2716">
                  <c:v>51.65</c:v>
                </c:pt>
                <c:pt idx="2717">
                  <c:v>51.32</c:v>
                </c:pt>
                <c:pt idx="2718">
                  <c:v>48.02</c:v>
                </c:pt>
                <c:pt idx="2719">
                  <c:v>49.720000000000013</c:v>
                </c:pt>
                <c:pt idx="2720">
                  <c:v>49.51</c:v>
                </c:pt>
                <c:pt idx="2721">
                  <c:v>50.33</c:v>
                </c:pt>
                <c:pt idx="2722">
                  <c:v>52.839999999999996</c:v>
                </c:pt>
                <c:pt idx="2723">
                  <c:v>51.6</c:v>
                </c:pt>
                <c:pt idx="2724">
                  <c:v>50.01</c:v>
                </c:pt>
                <c:pt idx="2725">
                  <c:v>49.09</c:v>
                </c:pt>
                <c:pt idx="2726">
                  <c:v>49.59</c:v>
                </c:pt>
                <c:pt idx="2727">
                  <c:v>50.43</c:v>
                </c:pt>
                <c:pt idx="2728">
                  <c:v>50.68</c:v>
                </c:pt>
                <c:pt idx="2729">
                  <c:v>50.44</c:v>
                </c:pt>
                <c:pt idx="2730">
                  <c:v>49.68</c:v>
                </c:pt>
                <c:pt idx="2731">
                  <c:v>49.809999999999995</c:v>
                </c:pt>
                <c:pt idx="2732">
                  <c:v>49.6</c:v>
                </c:pt>
                <c:pt idx="2733">
                  <c:v>50.04</c:v>
                </c:pt>
                <c:pt idx="2734">
                  <c:v>44.37</c:v>
                </c:pt>
                <c:pt idx="2735">
                  <c:v>44.65</c:v>
                </c:pt>
                <c:pt idx="2736">
                  <c:v>47.15</c:v>
                </c:pt>
                <c:pt idx="2737">
                  <c:v>48.01</c:v>
                </c:pt>
                <c:pt idx="2738">
                  <c:v>46.849999999999994</c:v>
                </c:pt>
                <c:pt idx="2739">
                  <c:v>46.220000000000013</c:v>
                </c:pt>
                <c:pt idx="2740">
                  <c:v>47.449999999999996</c:v>
                </c:pt>
                <c:pt idx="2741">
                  <c:v>46.15</c:v>
                </c:pt>
                <c:pt idx="2742">
                  <c:v>47.720000000000013</c:v>
                </c:pt>
                <c:pt idx="2743">
                  <c:v>48.08</c:v>
                </c:pt>
                <c:pt idx="2744">
                  <c:v>49.65</c:v>
                </c:pt>
                <c:pt idx="2745">
                  <c:v>51.56</c:v>
                </c:pt>
                <c:pt idx="2746">
                  <c:v>48.67</c:v>
                </c:pt>
                <c:pt idx="2747">
                  <c:v>54.4</c:v>
                </c:pt>
                <c:pt idx="2748">
                  <c:v>51.93</c:v>
                </c:pt>
                <c:pt idx="2749">
                  <c:v>49.02</c:v>
                </c:pt>
                <c:pt idx="2750">
                  <c:v>49.01</c:v>
                </c:pt>
                <c:pt idx="2751">
                  <c:v>56.91</c:v>
                </c:pt>
                <c:pt idx="2752">
                  <c:v>50.71</c:v>
                </c:pt>
                <c:pt idx="2753">
                  <c:v>49.339999999999996</c:v>
                </c:pt>
                <c:pt idx="2754">
                  <c:v>49.24</c:v>
                </c:pt>
                <c:pt idx="2755">
                  <c:v>49.309999999999995</c:v>
                </c:pt>
                <c:pt idx="2756">
                  <c:v>49.71</c:v>
                </c:pt>
                <c:pt idx="2757">
                  <c:v>53.97</c:v>
                </c:pt>
                <c:pt idx="2758">
                  <c:v>67.209999999999994</c:v>
                </c:pt>
                <c:pt idx="2759">
                  <c:v>47.96</c:v>
                </c:pt>
                <c:pt idx="2760">
                  <c:v>47.46</c:v>
                </c:pt>
                <c:pt idx="2761">
                  <c:v>49.8</c:v>
                </c:pt>
                <c:pt idx="2762">
                  <c:v>49.65</c:v>
                </c:pt>
                <c:pt idx="2763">
                  <c:v>49.309999999999995</c:v>
                </c:pt>
                <c:pt idx="2764">
                  <c:v>50.39</c:v>
                </c:pt>
                <c:pt idx="2765">
                  <c:v>50.57</c:v>
                </c:pt>
                <c:pt idx="2766">
                  <c:v>48.4</c:v>
                </c:pt>
                <c:pt idx="2767">
                  <c:v>48.63</c:v>
                </c:pt>
                <c:pt idx="2768">
                  <c:v>48.89</c:v>
                </c:pt>
                <c:pt idx="2769">
                  <c:v>49.68</c:v>
                </c:pt>
                <c:pt idx="2770">
                  <c:v>50.220000000000013</c:v>
                </c:pt>
                <c:pt idx="2771">
                  <c:v>53.78</c:v>
                </c:pt>
                <c:pt idx="2772">
                  <c:v>49.94</c:v>
                </c:pt>
                <c:pt idx="2773">
                  <c:v>47.94</c:v>
                </c:pt>
                <c:pt idx="2774">
                  <c:v>47.51</c:v>
                </c:pt>
                <c:pt idx="2775">
                  <c:v>49.730000000000011</c:v>
                </c:pt>
                <c:pt idx="2776">
                  <c:v>50.71</c:v>
                </c:pt>
                <c:pt idx="2777">
                  <c:v>50.6</c:v>
                </c:pt>
                <c:pt idx="2778">
                  <c:v>50.39</c:v>
                </c:pt>
                <c:pt idx="2779">
                  <c:v>52.28</c:v>
                </c:pt>
                <c:pt idx="2780">
                  <c:v>50.660000000000011</c:v>
                </c:pt>
                <c:pt idx="2781">
                  <c:v>49</c:v>
                </c:pt>
                <c:pt idx="2782">
                  <c:v>50.42</c:v>
                </c:pt>
                <c:pt idx="2783">
                  <c:v>51.58</c:v>
                </c:pt>
                <c:pt idx="2784">
                  <c:v>52</c:v>
                </c:pt>
                <c:pt idx="2785">
                  <c:v>53.94</c:v>
                </c:pt>
                <c:pt idx="2786">
                  <c:v>56.89</c:v>
                </c:pt>
                <c:pt idx="2787">
                  <c:v>55.760000000000012</c:v>
                </c:pt>
                <c:pt idx="2788">
                  <c:v>53.86</c:v>
                </c:pt>
                <c:pt idx="2789">
                  <c:v>53.05</c:v>
                </c:pt>
                <c:pt idx="2790">
                  <c:v>52.52</c:v>
                </c:pt>
                <c:pt idx="2791">
                  <c:v>50.94</c:v>
                </c:pt>
                <c:pt idx="2792">
                  <c:v>50.01</c:v>
                </c:pt>
                <c:pt idx="2793">
                  <c:v>49.05</c:v>
                </c:pt>
                <c:pt idx="2794">
                  <c:v>49.42</c:v>
                </c:pt>
                <c:pt idx="2795">
                  <c:v>52.61</c:v>
                </c:pt>
                <c:pt idx="2796">
                  <c:v>56.449999999999996</c:v>
                </c:pt>
                <c:pt idx="2797">
                  <c:v>61.52</c:v>
                </c:pt>
                <c:pt idx="2798">
                  <c:v>58.24</c:v>
                </c:pt>
                <c:pt idx="2799">
                  <c:v>52.339999999999996</c:v>
                </c:pt>
                <c:pt idx="2800">
                  <c:v>50.78</c:v>
                </c:pt>
                <c:pt idx="2801">
                  <c:v>51.620000000000012</c:v>
                </c:pt>
                <c:pt idx="2802">
                  <c:v>49.449999999999996</c:v>
                </c:pt>
                <c:pt idx="2803">
                  <c:v>52.849999999999994</c:v>
                </c:pt>
                <c:pt idx="2804">
                  <c:v>54.620000000000012</c:v>
                </c:pt>
                <c:pt idx="2805">
                  <c:v>55.15</c:v>
                </c:pt>
                <c:pt idx="2806">
                  <c:v>56.47</c:v>
                </c:pt>
                <c:pt idx="2807">
                  <c:v>53.56</c:v>
                </c:pt>
                <c:pt idx="2808">
                  <c:v>54.01</c:v>
                </c:pt>
                <c:pt idx="2809">
                  <c:v>55.09</c:v>
                </c:pt>
                <c:pt idx="2810">
                  <c:v>57.86</c:v>
                </c:pt>
                <c:pt idx="2811">
                  <c:v>53.49</c:v>
                </c:pt>
                <c:pt idx="2812">
                  <c:v>53.05</c:v>
                </c:pt>
                <c:pt idx="2813">
                  <c:v>52.53</c:v>
                </c:pt>
                <c:pt idx="2814">
                  <c:v>52.290000000000013</c:v>
                </c:pt>
                <c:pt idx="2815">
                  <c:v>51.620000000000012</c:v>
                </c:pt>
                <c:pt idx="2816">
                  <c:v>48.71</c:v>
                </c:pt>
                <c:pt idx="2817">
                  <c:v>50.01</c:v>
                </c:pt>
                <c:pt idx="2818">
                  <c:v>49.36</c:v>
                </c:pt>
                <c:pt idx="2819">
                  <c:v>51.06</c:v>
                </c:pt>
                <c:pt idx="2820">
                  <c:v>51.6</c:v>
                </c:pt>
                <c:pt idx="2821">
                  <c:v>53.48</c:v>
                </c:pt>
                <c:pt idx="2822">
                  <c:v>53.25</c:v>
                </c:pt>
                <c:pt idx="2823">
                  <c:v>52.05</c:v>
                </c:pt>
                <c:pt idx="2824">
                  <c:v>54.36</c:v>
                </c:pt>
                <c:pt idx="2825">
                  <c:v>53.41</c:v>
                </c:pt>
                <c:pt idx="2826">
                  <c:v>55.27</c:v>
                </c:pt>
                <c:pt idx="2827">
                  <c:v>54.7</c:v>
                </c:pt>
                <c:pt idx="2828">
                  <c:v>48.98</c:v>
                </c:pt>
                <c:pt idx="2829">
                  <c:v>48.849999999999994</c:v>
                </c:pt>
                <c:pt idx="2830">
                  <c:v>48.290000000000013</c:v>
                </c:pt>
                <c:pt idx="2831">
                  <c:v>49.41</c:v>
                </c:pt>
                <c:pt idx="2832">
                  <c:v>52.58</c:v>
                </c:pt>
                <c:pt idx="2833">
                  <c:v>50.44</c:v>
                </c:pt>
                <c:pt idx="2834">
                  <c:v>51.86</c:v>
                </c:pt>
                <c:pt idx="2835">
                  <c:v>52.120000000000012</c:v>
                </c:pt>
                <c:pt idx="2836">
                  <c:v>50.63</c:v>
                </c:pt>
                <c:pt idx="2837">
                  <c:v>50.790000000000013</c:v>
                </c:pt>
                <c:pt idx="2838">
                  <c:v>53.809999999999995</c:v>
                </c:pt>
                <c:pt idx="2839">
                  <c:v>53.01</c:v>
                </c:pt>
                <c:pt idx="2840">
                  <c:v>55.52</c:v>
                </c:pt>
                <c:pt idx="2841">
                  <c:v>56.13</c:v>
                </c:pt>
                <c:pt idx="2842">
                  <c:v>58.68</c:v>
                </c:pt>
                <c:pt idx="2843">
                  <c:v>52.37</c:v>
                </c:pt>
                <c:pt idx="2844">
                  <c:v>53.37</c:v>
                </c:pt>
                <c:pt idx="2845">
                  <c:v>63.06</c:v>
                </c:pt>
                <c:pt idx="2846">
                  <c:v>58.89</c:v>
                </c:pt>
                <c:pt idx="2847">
                  <c:v>55.949999999999996</c:v>
                </c:pt>
                <c:pt idx="2848">
                  <c:v>57.71</c:v>
                </c:pt>
                <c:pt idx="2849">
                  <c:v>54</c:v>
                </c:pt>
                <c:pt idx="2850">
                  <c:v>54.290000000000013</c:v>
                </c:pt>
                <c:pt idx="2851">
                  <c:v>51.78</c:v>
                </c:pt>
                <c:pt idx="2852">
                  <c:v>54.28</c:v>
                </c:pt>
                <c:pt idx="2853">
                  <c:v>54.75</c:v>
                </c:pt>
                <c:pt idx="2854">
                  <c:v>54.52</c:v>
                </c:pt>
                <c:pt idx="2855">
                  <c:v>49.760000000000012</c:v>
                </c:pt>
                <c:pt idx="2856">
                  <c:v>51.25</c:v>
                </c:pt>
                <c:pt idx="2857">
                  <c:v>48.4</c:v>
                </c:pt>
                <c:pt idx="2858">
                  <c:v>50.36</c:v>
                </c:pt>
                <c:pt idx="2859">
                  <c:v>57.99</c:v>
                </c:pt>
                <c:pt idx="2860">
                  <c:v>63.15</c:v>
                </c:pt>
                <c:pt idx="2861">
                  <c:v>57.720000000000013</c:v>
                </c:pt>
                <c:pt idx="2862">
                  <c:v>59.56</c:v>
                </c:pt>
                <c:pt idx="2863">
                  <c:v>53.230000000000011</c:v>
                </c:pt>
                <c:pt idx="2864">
                  <c:v>54.730000000000011</c:v>
                </c:pt>
                <c:pt idx="2865">
                  <c:v>53.11</c:v>
                </c:pt>
                <c:pt idx="2866">
                  <c:v>62.220000000000013</c:v>
                </c:pt>
                <c:pt idx="2867">
                  <c:v>57.33</c:v>
                </c:pt>
                <c:pt idx="2868">
                  <c:v>54.06</c:v>
                </c:pt>
                <c:pt idx="2869">
                  <c:v>57.05</c:v>
                </c:pt>
                <c:pt idx="2870">
                  <c:v>54.87</c:v>
                </c:pt>
                <c:pt idx="2871">
                  <c:v>52.75</c:v>
                </c:pt>
                <c:pt idx="2872">
                  <c:v>49.99</c:v>
                </c:pt>
                <c:pt idx="2873">
                  <c:v>61.53</c:v>
                </c:pt>
                <c:pt idx="2874">
                  <c:v>54.120000000000012</c:v>
                </c:pt>
                <c:pt idx="2875">
                  <c:v>55.05</c:v>
                </c:pt>
                <c:pt idx="2876">
                  <c:v>54.51</c:v>
                </c:pt>
                <c:pt idx="2877">
                  <c:v>55.58</c:v>
                </c:pt>
                <c:pt idx="2878">
                  <c:v>51.39</c:v>
                </c:pt>
                <c:pt idx="2879">
                  <c:v>50.61</c:v>
                </c:pt>
                <c:pt idx="2880">
                  <c:v>55.46</c:v>
                </c:pt>
                <c:pt idx="2881">
                  <c:v>57.86</c:v>
                </c:pt>
                <c:pt idx="2882">
                  <c:v>63.57</c:v>
                </c:pt>
                <c:pt idx="2883">
                  <c:v>54.27</c:v>
                </c:pt>
                <c:pt idx="2884">
                  <c:v>60.730000000000011</c:v>
                </c:pt>
                <c:pt idx="2885">
                  <c:v>50.65</c:v>
                </c:pt>
                <c:pt idx="2886">
                  <c:v>50.21</c:v>
                </c:pt>
                <c:pt idx="2887">
                  <c:v>55.44</c:v>
                </c:pt>
                <c:pt idx="2888">
                  <c:v>54.220000000000013</c:v>
                </c:pt>
                <c:pt idx="2889">
                  <c:v>51.83</c:v>
                </c:pt>
                <c:pt idx="2890">
                  <c:v>51.93</c:v>
                </c:pt>
                <c:pt idx="2891">
                  <c:v>51.51</c:v>
                </c:pt>
                <c:pt idx="2892">
                  <c:v>48.74</c:v>
                </c:pt>
                <c:pt idx="2893">
                  <c:v>49.61</c:v>
                </c:pt>
                <c:pt idx="2894">
                  <c:v>52.49</c:v>
                </c:pt>
                <c:pt idx="2895">
                  <c:v>53.349999999999994</c:v>
                </c:pt>
                <c:pt idx="2896">
                  <c:v>51.190000000000012</c:v>
                </c:pt>
                <c:pt idx="2897">
                  <c:v>49.82</c:v>
                </c:pt>
                <c:pt idx="2898">
                  <c:v>49.879999999999995</c:v>
                </c:pt>
                <c:pt idx="2899">
                  <c:v>50.03</c:v>
                </c:pt>
                <c:pt idx="2900">
                  <c:v>48.5</c:v>
                </c:pt>
                <c:pt idx="2901">
                  <c:v>49.14</c:v>
                </c:pt>
                <c:pt idx="2902">
                  <c:v>53.46</c:v>
                </c:pt>
                <c:pt idx="2903">
                  <c:v>55.51</c:v>
                </c:pt>
                <c:pt idx="2904">
                  <c:v>52.02</c:v>
                </c:pt>
                <c:pt idx="2905">
                  <c:v>51.55</c:v>
                </c:pt>
                <c:pt idx="2906">
                  <c:v>53.04</c:v>
                </c:pt>
                <c:pt idx="2907">
                  <c:v>54.91</c:v>
                </c:pt>
                <c:pt idx="2908">
                  <c:v>57.260000000000012</c:v>
                </c:pt>
                <c:pt idx="2909">
                  <c:v>58.190000000000012</c:v>
                </c:pt>
                <c:pt idx="2910">
                  <c:v>58.57</c:v>
                </c:pt>
                <c:pt idx="2911">
                  <c:v>66.56</c:v>
                </c:pt>
                <c:pt idx="2912">
                  <c:v>62.53</c:v>
                </c:pt>
                <c:pt idx="2913">
                  <c:v>73.45</c:v>
                </c:pt>
                <c:pt idx="2914">
                  <c:v>64.709999999999994</c:v>
                </c:pt>
                <c:pt idx="2915">
                  <c:v>79.669999999999973</c:v>
                </c:pt>
                <c:pt idx="2916">
                  <c:v>61.44</c:v>
                </c:pt>
                <c:pt idx="2917">
                  <c:v>58.5</c:v>
                </c:pt>
                <c:pt idx="2918">
                  <c:v>57.690000000000012</c:v>
                </c:pt>
                <c:pt idx="2919">
                  <c:v>61.47</c:v>
                </c:pt>
                <c:pt idx="2920">
                  <c:v>58.160000000000011</c:v>
                </c:pt>
                <c:pt idx="2921">
                  <c:v>53.660000000000011</c:v>
                </c:pt>
                <c:pt idx="2922">
                  <c:v>55.71</c:v>
                </c:pt>
                <c:pt idx="2923">
                  <c:v>57.339999999999996</c:v>
                </c:pt>
                <c:pt idx="2924">
                  <c:v>55.720000000000013</c:v>
                </c:pt>
                <c:pt idx="2925">
                  <c:v>53.47</c:v>
                </c:pt>
                <c:pt idx="2926">
                  <c:v>52.48</c:v>
                </c:pt>
                <c:pt idx="2927">
                  <c:v>53.08</c:v>
                </c:pt>
                <c:pt idx="2928">
                  <c:v>54.620000000000012</c:v>
                </c:pt>
                <c:pt idx="2929">
                  <c:v>66.09</c:v>
                </c:pt>
                <c:pt idx="2930">
                  <c:v>64.08</c:v>
                </c:pt>
                <c:pt idx="2931">
                  <c:v>71.149999999999991</c:v>
                </c:pt>
                <c:pt idx="2932">
                  <c:v>71.86</c:v>
                </c:pt>
                <c:pt idx="2933">
                  <c:v>57.57</c:v>
                </c:pt>
                <c:pt idx="2934">
                  <c:v>54.91</c:v>
                </c:pt>
                <c:pt idx="2935">
                  <c:v>54.3</c:v>
                </c:pt>
                <c:pt idx="2936">
                  <c:v>54.74</c:v>
                </c:pt>
                <c:pt idx="2937">
                  <c:v>56.33</c:v>
                </c:pt>
                <c:pt idx="2938">
                  <c:v>52.94</c:v>
                </c:pt>
                <c:pt idx="2939">
                  <c:v>51.07</c:v>
                </c:pt>
                <c:pt idx="2940">
                  <c:v>51.97</c:v>
                </c:pt>
                <c:pt idx="2941">
                  <c:v>53.620000000000012</c:v>
                </c:pt>
                <c:pt idx="2942">
                  <c:v>61.57</c:v>
                </c:pt>
                <c:pt idx="2943">
                  <c:v>61.98</c:v>
                </c:pt>
                <c:pt idx="2944">
                  <c:v>62.08</c:v>
                </c:pt>
                <c:pt idx="2945">
                  <c:v>62.99</c:v>
                </c:pt>
                <c:pt idx="2946">
                  <c:v>60.83</c:v>
                </c:pt>
                <c:pt idx="2947">
                  <c:v>62.1</c:v>
                </c:pt>
                <c:pt idx="2948">
                  <c:v>55.54</c:v>
                </c:pt>
                <c:pt idx="2949">
                  <c:v>53.449999999999996</c:v>
                </c:pt>
                <c:pt idx="2950">
                  <c:v>56.07</c:v>
                </c:pt>
                <c:pt idx="2951">
                  <c:v>55.65</c:v>
                </c:pt>
                <c:pt idx="2952">
                  <c:v>56.65</c:v>
                </c:pt>
                <c:pt idx="2953">
                  <c:v>55.24</c:v>
                </c:pt>
                <c:pt idx="2954">
                  <c:v>53.56</c:v>
                </c:pt>
                <c:pt idx="2955">
                  <c:v>52.52</c:v>
                </c:pt>
                <c:pt idx="2956">
                  <c:v>52.42</c:v>
                </c:pt>
                <c:pt idx="2957">
                  <c:v>52.94</c:v>
                </c:pt>
                <c:pt idx="2958">
                  <c:v>54.54</c:v>
                </c:pt>
                <c:pt idx="2959">
                  <c:v>54.839999999999996</c:v>
                </c:pt>
                <c:pt idx="2960">
                  <c:v>54.65</c:v>
                </c:pt>
                <c:pt idx="2961">
                  <c:v>52.809999999999995</c:v>
                </c:pt>
                <c:pt idx="2962">
                  <c:v>51.3</c:v>
                </c:pt>
                <c:pt idx="2963">
                  <c:v>50.37</c:v>
                </c:pt>
                <c:pt idx="2964">
                  <c:v>51.09</c:v>
                </c:pt>
                <c:pt idx="2965">
                  <c:v>51.56</c:v>
                </c:pt>
                <c:pt idx="2966">
                  <c:v>51.1</c:v>
                </c:pt>
                <c:pt idx="2967">
                  <c:v>53.21</c:v>
                </c:pt>
                <c:pt idx="2968">
                  <c:v>54.83</c:v>
                </c:pt>
                <c:pt idx="2969">
                  <c:v>52.75</c:v>
                </c:pt>
                <c:pt idx="2970">
                  <c:v>51.02</c:v>
                </c:pt>
                <c:pt idx="2971">
                  <c:v>56.54</c:v>
                </c:pt>
                <c:pt idx="2972">
                  <c:v>64.64</c:v>
                </c:pt>
                <c:pt idx="2973">
                  <c:v>57.61</c:v>
                </c:pt>
                <c:pt idx="2974">
                  <c:v>56.3</c:v>
                </c:pt>
                <c:pt idx="2975">
                  <c:v>55.690000000000012</c:v>
                </c:pt>
                <c:pt idx="2976">
                  <c:v>55.04</c:v>
                </c:pt>
                <c:pt idx="2977">
                  <c:v>52.08</c:v>
                </c:pt>
                <c:pt idx="2978">
                  <c:v>56.36</c:v>
                </c:pt>
                <c:pt idx="2979">
                  <c:v>56.25</c:v>
                </c:pt>
                <c:pt idx="2980">
                  <c:v>56.25</c:v>
                </c:pt>
                <c:pt idx="2981">
                  <c:v>56.93</c:v>
                </c:pt>
                <c:pt idx="2982">
                  <c:v>54.24</c:v>
                </c:pt>
                <c:pt idx="2983">
                  <c:v>53.760000000000012</c:v>
                </c:pt>
                <c:pt idx="2984">
                  <c:v>52.43</c:v>
                </c:pt>
                <c:pt idx="2985">
                  <c:v>57.21</c:v>
                </c:pt>
                <c:pt idx="2986">
                  <c:v>53.32</c:v>
                </c:pt>
                <c:pt idx="2987">
                  <c:v>51.71</c:v>
                </c:pt>
                <c:pt idx="2988">
                  <c:v>51.97</c:v>
                </c:pt>
                <c:pt idx="2989">
                  <c:v>51.730000000000011</c:v>
                </c:pt>
                <c:pt idx="2990">
                  <c:v>50.3</c:v>
                </c:pt>
                <c:pt idx="2991">
                  <c:v>51.14</c:v>
                </c:pt>
                <c:pt idx="2992">
                  <c:v>51.18</c:v>
                </c:pt>
                <c:pt idx="2993">
                  <c:v>51.6</c:v>
                </c:pt>
                <c:pt idx="2994">
                  <c:v>51.52</c:v>
                </c:pt>
                <c:pt idx="2995">
                  <c:v>52.05</c:v>
                </c:pt>
                <c:pt idx="2996">
                  <c:v>51.64</c:v>
                </c:pt>
                <c:pt idx="2997">
                  <c:v>55.68</c:v>
                </c:pt>
                <c:pt idx="2998">
                  <c:v>51.64</c:v>
                </c:pt>
                <c:pt idx="2999">
                  <c:v>57.54</c:v>
                </c:pt>
                <c:pt idx="3000">
                  <c:v>56.15</c:v>
                </c:pt>
                <c:pt idx="3001">
                  <c:v>53.02</c:v>
                </c:pt>
                <c:pt idx="3002">
                  <c:v>52.13</c:v>
                </c:pt>
                <c:pt idx="3003">
                  <c:v>54.67</c:v>
                </c:pt>
                <c:pt idx="3004">
                  <c:v>53.309999999999995</c:v>
                </c:pt>
                <c:pt idx="3005">
                  <c:v>51.78</c:v>
                </c:pt>
                <c:pt idx="3006">
                  <c:v>51.949999999999996</c:v>
                </c:pt>
                <c:pt idx="3007">
                  <c:v>51.71</c:v>
                </c:pt>
                <c:pt idx="3008">
                  <c:v>52.54</c:v>
                </c:pt>
                <c:pt idx="3009">
                  <c:v>51.760000000000012</c:v>
                </c:pt>
                <c:pt idx="3010">
                  <c:v>53</c:v>
                </c:pt>
                <c:pt idx="3011">
                  <c:v>53.02</c:v>
                </c:pt>
                <c:pt idx="3012">
                  <c:v>50.94</c:v>
                </c:pt>
                <c:pt idx="3013">
                  <c:v>52.620000000000012</c:v>
                </c:pt>
                <c:pt idx="3014">
                  <c:v>52.809999999999995</c:v>
                </c:pt>
                <c:pt idx="3015">
                  <c:v>51.82</c:v>
                </c:pt>
                <c:pt idx="3016">
                  <c:v>52.690000000000012</c:v>
                </c:pt>
                <c:pt idx="3017">
                  <c:v>51.15</c:v>
                </c:pt>
                <c:pt idx="3018">
                  <c:v>49.11</c:v>
                </c:pt>
                <c:pt idx="3019">
                  <c:v>49.949999999999996</c:v>
                </c:pt>
                <c:pt idx="3020">
                  <c:v>49.5</c:v>
                </c:pt>
                <c:pt idx="3021">
                  <c:v>52.4</c:v>
                </c:pt>
                <c:pt idx="3022">
                  <c:v>51.14</c:v>
                </c:pt>
                <c:pt idx="3023">
                  <c:v>51.449999999999996</c:v>
                </c:pt>
                <c:pt idx="3024">
                  <c:v>53</c:v>
                </c:pt>
                <c:pt idx="3025">
                  <c:v>52.33</c:v>
                </c:pt>
                <c:pt idx="3026">
                  <c:v>52.06</c:v>
                </c:pt>
                <c:pt idx="3027">
                  <c:v>50.96</c:v>
                </c:pt>
                <c:pt idx="3028">
                  <c:v>51.14</c:v>
                </c:pt>
                <c:pt idx="3029">
                  <c:v>49.730000000000011</c:v>
                </c:pt>
                <c:pt idx="3030">
                  <c:v>50.309999999999995</c:v>
                </c:pt>
                <c:pt idx="3031">
                  <c:v>50.67</c:v>
                </c:pt>
                <c:pt idx="3032">
                  <c:v>50.18</c:v>
                </c:pt>
                <c:pt idx="3033">
                  <c:v>49.620000000000012</c:v>
                </c:pt>
                <c:pt idx="3034">
                  <c:v>54.99</c:v>
                </c:pt>
                <c:pt idx="3035">
                  <c:v>52.52</c:v>
                </c:pt>
                <c:pt idx="3036">
                  <c:v>52.58</c:v>
                </c:pt>
                <c:pt idx="3037">
                  <c:v>53.41</c:v>
                </c:pt>
                <c:pt idx="3038">
                  <c:v>52.47</c:v>
                </c:pt>
                <c:pt idx="3039">
                  <c:v>52.24</c:v>
                </c:pt>
                <c:pt idx="3040">
                  <c:v>51.71</c:v>
                </c:pt>
                <c:pt idx="3041">
                  <c:v>51.92</c:v>
                </c:pt>
                <c:pt idx="3042">
                  <c:v>51.82</c:v>
                </c:pt>
                <c:pt idx="3043">
                  <c:v>50.71</c:v>
                </c:pt>
                <c:pt idx="3044">
                  <c:v>50.220000000000013</c:v>
                </c:pt>
                <c:pt idx="3045">
                  <c:v>50.65</c:v>
                </c:pt>
                <c:pt idx="3046">
                  <c:v>50.13</c:v>
                </c:pt>
                <c:pt idx="3047">
                  <c:v>49.1</c:v>
                </c:pt>
                <c:pt idx="3048">
                  <c:v>49.949999999999996</c:v>
                </c:pt>
                <c:pt idx="3049">
                  <c:v>49.92</c:v>
                </c:pt>
                <c:pt idx="3050">
                  <c:v>50.28</c:v>
                </c:pt>
                <c:pt idx="3051">
                  <c:v>52.1</c:v>
                </c:pt>
                <c:pt idx="3052">
                  <c:v>51.15</c:v>
                </c:pt>
                <c:pt idx="3053">
                  <c:v>49.449999999999996</c:v>
                </c:pt>
                <c:pt idx="3054">
                  <c:v>49.07</c:v>
                </c:pt>
                <c:pt idx="3055">
                  <c:v>50.120000000000012</c:v>
                </c:pt>
                <c:pt idx="3056">
                  <c:v>51.52</c:v>
                </c:pt>
                <c:pt idx="3057">
                  <c:v>51.04</c:v>
                </c:pt>
                <c:pt idx="3058">
                  <c:v>50.55</c:v>
                </c:pt>
                <c:pt idx="3059">
                  <c:v>50.13</c:v>
                </c:pt>
                <c:pt idx="3060">
                  <c:v>49.25</c:v>
                </c:pt>
                <c:pt idx="3061">
                  <c:v>47.849999999999994</c:v>
                </c:pt>
                <c:pt idx="3062">
                  <c:v>48.96</c:v>
                </c:pt>
                <c:pt idx="3063">
                  <c:v>50.65</c:v>
                </c:pt>
                <c:pt idx="3064">
                  <c:v>50.43</c:v>
                </c:pt>
                <c:pt idx="3065">
                  <c:v>52</c:v>
                </c:pt>
                <c:pt idx="3066">
                  <c:v>52.01</c:v>
                </c:pt>
                <c:pt idx="3067">
                  <c:v>50.290000000000013</c:v>
                </c:pt>
                <c:pt idx="3068">
                  <c:v>49.67</c:v>
                </c:pt>
                <c:pt idx="3069">
                  <c:v>51.55</c:v>
                </c:pt>
                <c:pt idx="3070">
                  <c:v>52.720000000000013</c:v>
                </c:pt>
                <c:pt idx="3071">
                  <c:v>52.260000000000012</c:v>
                </c:pt>
                <c:pt idx="3072">
                  <c:v>51.68</c:v>
                </c:pt>
                <c:pt idx="3073">
                  <c:v>50.93</c:v>
                </c:pt>
                <c:pt idx="3074">
                  <c:v>49.379999999999995</c:v>
                </c:pt>
                <c:pt idx="3075">
                  <c:v>48.05</c:v>
                </c:pt>
                <c:pt idx="3076">
                  <c:v>51.4</c:v>
                </c:pt>
                <c:pt idx="3077">
                  <c:v>51.6</c:v>
                </c:pt>
                <c:pt idx="3078">
                  <c:v>51.690000000000012</c:v>
                </c:pt>
                <c:pt idx="3079">
                  <c:v>51.71</c:v>
                </c:pt>
                <c:pt idx="3080">
                  <c:v>51.58</c:v>
                </c:pt>
                <c:pt idx="3081">
                  <c:v>51.04</c:v>
                </c:pt>
                <c:pt idx="3082">
                  <c:v>49.06</c:v>
                </c:pt>
                <c:pt idx="3083">
                  <c:v>51.83</c:v>
                </c:pt>
                <c:pt idx="3084">
                  <c:v>51.52</c:v>
                </c:pt>
                <c:pt idx="3085">
                  <c:v>52.43</c:v>
                </c:pt>
                <c:pt idx="3086">
                  <c:v>52.3</c:v>
                </c:pt>
                <c:pt idx="3087">
                  <c:v>52.309999999999995</c:v>
                </c:pt>
                <c:pt idx="3088">
                  <c:v>50.37</c:v>
                </c:pt>
                <c:pt idx="3089">
                  <c:v>48.68</c:v>
                </c:pt>
                <c:pt idx="3090">
                  <c:v>52.43</c:v>
                </c:pt>
                <c:pt idx="3091">
                  <c:v>52.160000000000011</c:v>
                </c:pt>
                <c:pt idx="3092">
                  <c:v>51.52</c:v>
                </c:pt>
                <c:pt idx="3093">
                  <c:v>53.78</c:v>
                </c:pt>
                <c:pt idx="3094">
                  <c:v>303.12</c:v>
                </c:pt>
                <c:pt idx="3095">
                  <c:v>51.309999999999995</c:v>
                </c:pt>
                <c:pt idx="3096">
                  <c:v>57.68</c:v>
                </c:pt>
                <c:pt idx="3097">
                  <c:v>53.849999999999994</c:v>
                </c:pt>
                <c:pt idx="3098">
                  <c:v>49.82</c:v>
                </c:pt>
                <c:pt idx="3099">
                  <c:v>47.5</c:v>
                </c:pt>
                <c:pt idx="3100">
                  <c:v>47.690000000000012</c:v>
                </c:pt>
                <c:pt idx="3101">
                  <c:v>49.1</c:v>
                </c:pt>
                <c:pt idx="3102">
                  <c:v>49.21</c:v>
                </c:pt>
                <c:pt idx="3103">
                  <c:v>47.13</c:v>
                </c:pt>
                <c:pt idx="3104">
                  <c:v>48.94</c:v>
                </c:pt>
                <c:pt idx="3105">
                  <c:v>49.24</c:v>
                </c:pt>
                <c:pt idx="3106">
                  <c:v>47.17</c:v>
                </c:pt>
                <c:pt idx="3107">
                  <c:v>49.77</c:v>
                </c:pt>
                <c:pt idx="3108">
                  <c:v>51.449999999999996</c:v>
                </c:pt>
                <c:pt idx="3109">
                  <c:v>50.59</c:v>
                </c:pt>
                <c:pt idx="3110">
                  <c:v>49.58</c:v>
                </c:pt>
                <c:pt idx="3111">
                  <c:v>49.89</c:v>
                </c:pt>
                <c:pt idx="3112">
                  <c:v>48.379999999999995</c:v>
                </c:pt>
                <c:pt idx="3113">
                  <c:v>48.160000000000011</c:v>
                </c:pt>
                <c:pt idx="3114">
                  <c:v>49.790000000000013</c:v>
                </c:pt>
                <c:pt idx="3115">
                  <c:v>51.43</c:v>
                </c:pt>
                <c:pt idx="3116">
                  <c:v>49.71</c:v>
                </c:pt>
                <c:pt idx="3117">
                  <c:v>49.09</c:v>
                </c:pt>
                <c:pt idx="3118">
                  <c:v>53.94</c:v>
                </c:pt>
                <c:pt idx="3119">
                  <c:v>56.63</c:v>
                </c:pt>
                <c:pt idx="3120">
                  <c:v>68.099999999999994</c:v>
                </c:pt>
                <c:pt idx="3121">
                  <c:v>86.06</c:v>
                </c:pt>
                <c:pt idx="3122">
                  <c:v>60.37</c:v>
                </c:pt>
                <c:pt idx="3123">
                  <c:v>50.760000000000012</c:v>
                </c:pt>
                <c:pt idx="3124">
                  <c:v>49.15</c:v>
                </c:pt>
                <c:pt idx="3125">
                  <c:v>50.78</c:v>
                </c:pt>
                <c:pt idx="3126">
                  <c:v>50.11</c:v>
                </c:pt>
                <c:pt idx="3127">
                  <c:v>50.21</c:v>
                </c:pt>
                <c:pt idx="3128">
                  <c:v>50.6</c:v>
                </c:pt>
                <c:pt idx="3129">
                  <c:v>49.55</c:v>
                </c:pt>
                <c:pt idx="3130">
                  <c:v>47.63</c:v>
                </c:pt>
                <c:pt idx="3131">
                  <c:v>44.78</c:v>
                </c:pt>
                <c:pt idx="3132">
                  <c:v>47.55</c:v>
                </c:pt>
                <c:pt idx="3133">
                  <c:v>50.660000000000011</c:v>
                </c:pt>
                <c:pt idx="3134">
                  <c:v>49.46</c:v>
                </c:pt>
                <c:pt idx="3135">
                  <c:v>51.5</c:v>
                </c:pt>
                <c:pt idx="3136">
                  <c:v>52.63</c:v>
                </c:pt>
                <c:pt idx="3137">
                  <c:v>50.07</c:v>
                </c:pt>
                <c:pt idx="3138">
                  <c:v>50.17</c:v>
                </c:pt>
                <c:pt idx="3139">
                  <c:v>50.7</c:v>
                </c:pt>
                <c:pt idx="3140">
                  <c:v>47.53</c:v>
                </c:pt>
                <c:pt idx="3141">
                  <c:v>47</c:v>
                </c:pt>
                <c:pt idx="3142">
                  <c:v>50.660000000000011</c:v>
                </c:pt>
                <c:pt idx="3143">
                  <c:v>51.83</c:v>
                </c:pt>
                <c:pt idx="3144">
                  <c:v>49.86</c:v>
                </c:pt>
                <c:pt idx="3145">
                  <c:v>49.75</c:v>
                </c:pt>
                <c:pt idx="3146">
                  <c:v>53.11</c:v>
                </c:pt>
                <c:pt idx="3147">
                  <c:v>52.290000000000013</c:v>
                </c:pt>
                <c:pt idx="3148">
                  <c:v>53.44</c:v>
                </c:pt>
                <c:pt idx="3149">
                  <c:v>53.93</c:v>
                </c:pt>
                <c:pt idx="3150">
                  <c:v>52.67</c:v>
                </c:pt>
                <c:pt idx="3151">
                  <c:v>50.379999999999995</c:v>
                </c:pt>
                <c:pt idx="3152">
                  <c:v>48.349999999999994</c:v>
                </c:pt>
                <c:pt idx="3153">
                  <c:v>49.89</c:v>
                </c:pt>
                <c:pt idx="3154">
                  <c:v>51.849999999999994</c:v>
                </c:pt>
                <c:pt idx="3155">
                  <c:v>50.8</c:v>
                </c:pt>
                <c:pt idx="3156">
                  <c:v>50.2</c:v>
                </c:pt>
                <c:pt idx="3157">
                  <c:v>48.8</c:v>
                </c:pt>
                <c:pt idx="3158">
                  <c:v>48.28</c:v>
                </c:pt>
                <c:pt idx="3159">
                  <c:v>47.839999999999996</c:v>
                </c:pt>
                <c:pt idx="3160">
                  <c:v>51.6</c:v>
                </c:pt>
                <c:pt idx="3161">
                  <c:v>51.379999999999995</c:v>
                </c:pt>
                <c:pt idx="3162">
                  <c:v>49.61</c:v>
                </c:pt>
                <c:pt idx="3163">
                  <c:v>48.839999999999996</c:v>
                </c:pt>
                <c:pt idx="3164">
                  <c:v>48.08</c:v>
                </c:pt>
                <c:pt idx="3165">
                  <c:v>46.1</c:v>
                </c:pt>
                <c:pt idx="3166">
                  <c:v>45.07</c:v>
                </c:pt>
                <c:pt idx="3167">
                  <c:v>47.87</c:v>
                </c:pt>
                <c:pt idx="3168">
                  <c:v>49.809999999999995</c:v>
                </c:pt>
                <c:pt idx="3169">
                  <c:v>49.11</c:v>
                </c:pt>
                <c:pt idx="3170">
                  <c:v>48.82</c:v>
                </c:pt>
                <c:pt idx="3171">
                  <c:v>48.120000000000012</c:v>
                </c:pt>
                <c:pt idx="3172">
                  <c:v>45.96</c:v>
                </c:pt>
                <c:pt idx="3173">
                  <c:v>45.879999999999995</c:v>
                </c:pt>
                <c:pt idx="3174">
                  <c:v>47.8</c:v>
                </c:pt>
                <c:pt idx="3175">
                  <c:v>48.99</c:v>
                </c:pt>
                <c:pt idx="3176">
                  <c:v>50.790000000000013</c:v>
                </c:pt>
                <c:pt idx="3177">
                  <c:v>48.7</c:v>
                </c:pt>
                <c:pt idx="3178">
                  <c:v>50.449999999999996</c:v>
                </c:pt>
                <c:pt idx="3179">
                  <c:v>47.49</c:v>
                </c:pt>
                <c:pt idx="3180">
                  <c:v>45.720000000000013</c:v>
                </c:pt>
                <c:pt idx="3181">
                  <c:v>49.04</c:v>
                </c:pt>
                <c:pt idx="3182">
                  <c:v>50.54</c:v>
                </c:pt>
                <c:pt idx="3183">
                  <c:v>51.14</c:v>
                </c:pt>
                <c:pt idx="3184">
                  <c:v>53.25</c:v>
                </c:pt>
                <c:pt idx="3185">
                  <c:v>50.14</c:v>
                </c:pt>
                <c:pt idx="3186">
                  <c:v>47</c:v>
                </c:pt>
                <c:pt idx="3187">
                  <c:v>46.8</c:v>
                </c:pt>
                <c:pt idx="3188">
                  <c:v>48.879999999999995</c:v>
                </c:pt>
                <c:pt idx="3189">
                  <c:v>49.349999999999994</c:v>
                </c:pt>
                <c:pt idx="3190">
                  <c:v>49.6</c:v>
                </c:pt>
                <c:pt idx="3191">
                  <c:v>49.8</c:v>
                </c:pt>
                <c:pt idx="3192">
                  <c:v>50.41</c:v>
                </c:pt>
                <c:pt idx="3193">
                  <c:v>48.67</c:v>
                </c:pt>
                <c:pt idx="3194">
                  <c:v>47.48</c:v>
                </c:pt>
                <c:pt idx="3195">
                  <c:v>50.2</c:v>
                </c:pt>
                <c:pt idx="3196">
                  <c:v>51.49</c:v>
                </c:pt>
                <c:pt idx="3197">
                  <c:v>52.74</c:v>
                </c:pt>
                <c:pt idx="3198">
                  <c:v>50.51</c:v>
                </c:pt>
                <c:pt idx="3199">
                  <c:v>49.83</c:v>
                </c:pt>
                <c:pt idx="3200">
                  <c:v>48.15</c:v>
                </c:pt>
                <c:pt idx="3201">
                  <c:v>47.92</c:v>
                </c:pt>
                <c:pt idx="3202">
                  <c:v>48.839999999999996</c:v>
                </c:pt>
                <c:pt idx="3203">
                  <c:v>49.2</c:v>
                </c:pt>
                <c:pt idx="3204">
                  <c:v>50.46</c:v>
                </c:pt>
                <c:pt idx="3205">
                  <c:v>50.660000000000011</c:v>
                </c:pt>
                <c:pt idx="3206">
                  <c:v>49.07</c:v>
                </c:pt>
                <c:pt idx="3207">
                  <c:v>48.230000000000011</c:v>
                </c:pt>
                <c:pt idx="3208">
                  <c:v>48.160000000000011</c:v>
                </c:pt>
                <c:pt idx="3209">
                  <c:v>47.96</c:v>
                </c:pt>
                <c:pt idx="3210">
                  <c:v>48.51</c:v>
                </c:pt>
                <c:pt idx="3211">
                  <c:v>48.55</c:v>
                </c:pt>
                <c:pt idx="3212">
                  <c:v>47.879999999999995</c:v>
                </c:pt>
                <c:pt idx="3213">
                  <c:v>44.32</c:v>
                </c:pt>
                <c:pt idx="3214">
                  <c:v>45.3</c:v>
                </c:pt>
                <c:pt idx="3215">
                  <c:v>45.15</c:v>
                </c:pt>
                <c:pt idx="3216">
                  <c:v>46.42</c:v>
                </c:pt>
                <c:pt idx="3217">
                  <c:v>48.220000000000013</c:v>
                </c:pt>
                <c:pt idx="3218">
                  <c:v>49.13</c:v>
                </c:pt>
                <c:pt idx="3219">
                  <c:v>47.75</c:v>
                </c:pt>
                <c:pt idx="3220">
                  <c:v>47.65</c:v>
                </c:pt>
                <c:pt idx="3221">
                  <c:v>48.49</c:v>
                </c:pt>
                <c:pt idx="3222">
                  <c:v>48.160000000000011</c:v>
                </c:pt>
                <c:pt idx="3223">
                  <c:v>49.59</c:v>
                </c:pt>
                <c:pt idx="3224">
                  <c:v>48.91</c:v>
                </c:pt>
                <c:pt idx="3225">
                  <c:v>51.39</c:v>
                </c:pt>
                <c:pt idx="3226">
                  <c:v>52.03</c:v>
                </c:pt>
                <c:pt idx="3227">
                  <c:v>51.190000000000012</c:v>
                </c:pt>
                <c:pt idx="3228">
                  <c:v>48.32</c:v>
                </c:pt>
                <c:pt idx="3229">
                  <c:v>48.25</c:v>
                </c:pt>
                <c:pt idx="3230">
                  <c:v>50.37</c:v>
                </c:pt>
                <c:pt idx="3231">
                  <c:v>64.2</c:v>
                </c:pt>
                <c:pt idx="3232">
                  <c:v>55.690000000000012</c:v>
                </c:pt>
                <c:pt idx="3233">
                  <c:v>53.37</c:v>
                </c:pt>
                <c:pt idx="3234">
                  <c:v>50.48</c:v>
                </c:pt>
                <c:pt idx="3235">
                  <c:v>48.48</c:v>
                </c:pt>
                <c:pt idx="3236">
                  <c:v>48</c:v>
                </c:pt>
                <c:pt idx="3237">
                  <c:v>52.2</c:v>
                </c:pt>
                <c:pt idx="3238">
                  <c:v>52.63</c:v>
                </c:pt>
                <c:pt idx="3239">
                  <c:v>49.9</c:v>
                </c:pt>
                <c:pt idx="3240">
                  <c:v>50.339999999999996</c:v>
                </c:pt>
                <c:pt idx="3241">
                  <c:v>47.32</c:v>
                </c:pt>
                <c:pt idx="3242">
                  <c:v>44.99</c:v>
                </c:pt>
                <c:pt idx="3243">
                  <c:v>45.52</c:v>
                </c:pt>
                <c:pt idx="3244">
                  <c:v>47.64</c:v>
                </c:pt>
                <c:pt idx="3245">
                  <c:v>47.82</c:v>
                </c:pt>
                <c:pt idx="3246">
                  <c:v>48.809999999999995</c:v>
                </c:pt>
                <c:pt idx="3247">
                  <c:v>93.64</c:v>
                </c:pt>
                <c:pt idx="3248">
                  <c:v>49.5</c:v>
                </c:pt>
                <c:pt idx="3249">
                  <c:v>48.33</c:v>
                </c:pt>
                <c:pt idx="3250">
                  <c:v>46.4</c:v>
                </c:pt>
                <c:pt idx="3251">
                  <c:v>48.89</c:v>
                </c:pt>
                <c:pt idx="3252">
                  <c:v>49.2</c:v>
                </c:pt>
                <c:pt idx="3253">
                  <c:v>49.59</c:v>
                </c:pt>
                <c:pt idx="3254">
                  <c:v>49.93</c:v>
                </c:pt>
                <c:pt idx="3255">
                  <c:v>49.83</c:v>
                </c:pt>
                <c:pt idx="3256">
                  <c:v>49.260000000000012</c:v>
                </c:pt>
                <c:pt idx="3257">
                  <c:v>47.05</c:v>
                </c:pt>
                <c:pt idx="3258">
                  <c:v>50.190000000000012</c:v>
                </c:pt>
                <c:pt idx="3259">
                  <c:v>50.46</c:v>
                </c:pt>
                <c:pt idx="3260">
                  <c:v>55.21</c:v>
                </c:pt>
                <c:pt idx="3261">
                  <c:v>52.4</c:v>
                </c:pt>
                <c:pt idx="3262">
                  <c:v>50.620000000000012</c:v>
                </c:pt>
                <c:pt idx="3263">
                  <c:v>50.98</c:v>
                </c:pt>
                <c:pt idx="3264">
                  <c:v>49.36</c:v>
                </c:pt>
                <c:pt idx="3265">
                  <c:v>47.730000000000011</c:v>
                </c:pt>
                <c:pt idx="3266">
                  <c:v>50.01</c:v>
                </c:pt>
                <c:pt idx="3267">
                  <c:v>50.09</c:v>
                </c:pt>
                <c:pt idx="3268">
                  <c:v>50.760000000000012</c:v>
                </c:pt>
                <c:pt idx="3269">
                  <c:v>49.54</c:v>
                </c:pt>
                <c:pt idx="3270">
                  <c:v>48.839999999999996</c:v>
                </c:pt>
                <c:pt idx="3271">
                  <c:v>47.65</c:v>
                </c:pt>
                <c:pt idx="3272">
                  <c:v>49.290000000000013</c:v>
                </c:pt>
                <c:pt idx="3273">
                  <c:v>54.949999999999996</c:v>
                </c:pt>
                <c:pt idx="3274">
                  <c:v>54.309999999999995</c:v>
                </c:pt>
                <c:pt idx="3275">
                  <c:v>49.790000000000013</c:v>
                </c:pt>
                <c:pt idx="3276">
                  <c:v>49.83</c:v>
                </c:pt>
                <c:pt idx="3277">
                  <c:v>50.790000000000013</c:v>
                </c:pt>
                <c:pt idx="3278">
                  <c:v>51.02</c:v>
                </c:pt>
                <c:pt idx="3279">
                  <c:v>47.879999999999995</c:v>
                </c:pt>
                <c:pt idx="3280">
                  <c:v>48.260000000000012</c:v>
                </c:pt>
                <c:pt idx="3281">
                  <c:v>47.36</c:v>
                </c:pt>
                <c:pt idx="3282">
                  <c:v>47.120000000000012</c:v>
                </c:pt>
                <c:pt idx="3283">
                  <c:v>46.5</c:v>
                </c:pt>
                <c:pt idx="3284">
                  <c:v>47.949999999999996</c:v>
                </c:pt>
                <c:pt idx="3285">
                  <c:v>45.44</c:v>
                </c:pt>
                <c:pt idx="3286">
                  <c:v>50.75</c:v>
                </c:pt>
                <c:pt idx="3287">
                  <c:v>62.790000000000013</c:v>
                </c:pt>
                <c:pt idx="3288">
                  <c:v>53.449999999999996</c:v>
                </c:pt>
                <c:pt idx="3289">
                  <c:v>52.09</c:v>
                </c:pt>
                <c:pt idx="3290">
                  <c:v>49.65</c:v>
                </c:pt>
                <c:pt idx="3291">
                  <c:v>48.56</c:v>
                </c:pt>
                <c:pt idx="3292">
                  <c:v>47.41</c:v>
                </c:pt>
                <c:pt idx="3293">
                  <c:v>47.61</c:v>
                </c:pt>
                <c:pt idx="3294">
                  <c:v>49.97</c:v>
                </c:pt>
                <c:pt idx="3295">
                  <c:v>44.59</c:v>
                </c:pt>
                <c:pt idx="3296">
                  <c:v>43.44</c:v>
                </c:pt>
                <c:pt idx="3297">
                  <c:v>43.56</c:v>
                </c:pt>
                <c:pt idx="3298">
                  <c:v>45.05</c:v>
                </c:pt>
                <c:pt idx="3299">
                  <c:v>44.4</c:v>
                </c:pt>
                <c:pt idx="3300">
                  <c:v>47.05</c:v>
                </c:pt>
                <c:pt idx="3301">
                  <c:v>46.97</c:v>
                </c:pt>
                <c:pt idx="3302">
                  <c:v>40.61</c:v>
                </c:pt>
                <c:pt idx="3303">
                  <c:v>38.06</c:v>
                </c:pt>
                <c:pt idx="3304">
                  <c:v>43.08</c:v>
                </c:pt>
                <c:pt idx="3305">
                  <c:v>37.870000000000005</c:v>
                </c:pt>
                <c:pt idx="3306">
                  <c:v>34.230000000000011</c:v>
                </c:pt>
                <c:pt idx="3307">
                  <c:v>41.760000000000012</c:v>
                </c:pt>
                <c:pt idx="3308">
                  <c:v>48.94</c:v>
                </c:pt>
                <c:pt idx="3309">
                  <c:v>38.309999999999995</c:v>
                </c:pt>
                <c:pt idx="3310">
                  <c:v>35.24</c:v>
                </c:pt>
                <c:pt idx="3311">
                  <c:v>29.45</c:v>
                </c:pt>
                <c:pt idx="3312">
                  <c:v>28.4</c:v>
                </c:pt>
                <c:pt idx="3313">
                  <c:v>26.91</c:v>
                </c:pt>
                <c:pt idx="3314">
                  <c:v>27.87</c:v>
                </c:pt>
                <c:pt idx="3315">
                  <c:v>27.02</c:v>
                </c:pt>
                <c:pt idx="3316">
                  <c:v>26.97</c:v>
                </c:pt>
                <c:pt idx="3317">
                  <c:v>26.6</c:v>
                </c:pt>
                <c:pt idx="3318">
                  <c:v>30.02</c:v>
                </c:pt>
                <c:pt idx="3319">
                  <c:v>37.220000000000013</c:v>
                </c:pt>
                <c:pt idx="3320">
                  <c:v>33.730000000000011</c:v>
                </c:pt>
                <c:pt idx="3321">
                  <c:v>35.49</c:v>
                </c:pt>
                <c:pt idx="3322">
                  <c:v>43.25</c:v>
                </c:pt>
                <c:pt idx="3323">
                  <c:v>36.449999999999996</c:v>
                </c:pt>
                <c:pt idx="3324">
                  <c:v>34.770000000000003</c:v>
                </c:pt>
                <c:pt idx="3325">
                  <c:v>34.89</c:v>
                </c:pt>
                <c:pt idx="3326">
                  <c:v>29.22</c:v>
                </c:pt>
                <c:pt idx="3327">
                  <c:v>27.87</c:v>
                </c:pt>
                <c:pt idx="3328">
                  <c:v>38.57</c:v>
                </c:pt>
                <c:pt idx="3329">
                  <c:v>34.32</c:v>
                </c:pt>
                <c:pt idx="3330">
                  <c:v>33.120000000000012</c:v>
                </c:pt>
                <c:pt idx="3331">
                  <c:v>35.33</c:v>
                </c:pt>
                <c:pt idx="3332">
                  <c:v>33.06</c:v>
                </c:pt>
                <c:pt idx="3333">
                  <c:v>32.21</c:v>
                </c:pt>
                <c:pt idx="3334">
                  <c:v>28.93</c:v>
                </c:pt>
                <c:pt idx="3335">
                  <c:v>39.43</c:v>
                </c:pt>
                <c:pt idx="3336">
                  <c:v>38.06</c:v>
                </c:pt>
                <c:pt idx="3337">
                  <c:v>33.71</c:v>
                </c:pt>
                <c:pt idx="3338">
                  <c:v>32.57</c:v>
                </c:pt>
                <c:pt idx="3339">
                  <c:v>32.89</c:v>
                </c:pt>
                <c:pt idx="3340">
                  <c:v>35.349999999999994</c:v>
                </c:pt>
                <c:pt idx="3341">
                  <c:v>33.97</c:v>
                </c:pt>
                <c:pt idx="3342">
                  <c:v>43.13</c:v>
                </c:pt>
                <c:pt idx="3343">
                  <c:v>45.64</c:v>
                </c:pt>
                <c:pt idx="3344">
                  <c:v>38.92</c:v>
                </c:pt>
                <c:pt idx="3345">
                  <c:v>43.730000000000011</c:v>
                </c:pt>
                <c:pt idx="3346">
                  <c:v>44.230000000000011</c:v>
                </c:pt>
                <c:pt idx="3347">
                  <c:v>45.63</c:v>
                </c:pt>
                <c:pt idx="3348">
                  <c:v>33.15</c:v>
                </c:pt>
                <c:pt idx="3349">
                  <c:v>45.1</c:v>
                </c:pt>
                <c:pt idx="3350">
                  <c:v>47.51</c:v>
                </c:pt>
                <c:pt idx="3351">
                  <c:v>54.39</c:v>
                </c:pt>
                <c:pt idx="3352">
                  <c:v>52.63</c:v>
                </c:pt>
                <c:pt idx="3353">
                  <c:v>49.44</c:v>
                </c:pt>
                <c:pt idx="3354">
                  <c:v>41.449999999999996</c:v>
                </c:pt>
                <c:pt idx="3355">
                  <c:v>33.03</c:v>
                </c:pt>
                <c:pt idx="3356">
                  <c:v>32.9</c:v>
                </c:pt>
                <c:pt idx="3357">
                  <c:v>37.47</c:v>
                </c:pt>
                <c:pt idx="3358">
                  <c:v>46.05</c:v>
                </c:pt>
                <c:pt idx="3359">
                  <c:v>55.33</c:v>
                </c:pt>
                <c:pt idx="3360">
                  <c:v>53.83</c:v>
                </c:pt>
                <c:pt idx="3361">
                  <c:v>46.94</c:v>
                </c:pt>
                <c:pt idx="3362">
                  <c:v>41.42</c:v>
                </c:pt>
                <c:pt idx="3363">
                  <c:v>48.230000000000011</c:v>
                </c:pt>
                <c:pt idx="3364">
                  <c:v>41.39</c:v>
                </c:pt>
                <c:pt idx="3365">
                  <c:v>39.720000000000013</c:v>
                </c:pt>
                <c:pt idx="3366">
                  <c:v>41.6</c:v>
                </c:pt>
                <c:pt idx="3367">
                  <c:v>44.86</c:v>
                </c:pt>
                <c:pt idx="3368">
                  <c:v>32.58</c:v>
                </c:pt>
                <c:pt idx="3369">
                  <c:v>32.190000000000012</c:v>
                </c:pt>
                <c:pt idx="3370">
                  <c:v>35.03</c:v>
                </c:pt>
                <c:pt idx="3371">
                  <c:v>32.020000000000003</c:v>
                </c:pt>
                <c:pt idx="3372">
                  <c:v>34.06</c:v>
                </c:pt>
                <c:pt idx="3373">
                  <c:v>32.15</c:v>
                </c:pt>
                <c:pt idx="3374">
                  <c:v>35.49</c:v>
                </c:pt>
                <c:pt idx="3375">
                  <c:v>32.370000000000005</c:v>
                </c:pt>
                <c:pt idx="3376">
                  <c:v>23.610000000000021</c:v>
                </c:pt>
                <c:pt idx="3377">
                  <c:v>27.99</c:v>
                </c:pt>
                <c:pt idx="3378">
                  <c:v>28.25</c:v>
                </c:pt>
                <c:pt idx="3379">
                  <c:v>30.14</c:v>
                </c:pt>
                <c:pt idx="3380">
                  <c:v>33.21</c:v>
                </c:pt>
                <c:pt idx="3381">
                  <c:v>34.08</c:v>
                </c:pt>
                <c:pt idx="3382">
                  <c:v>30.15000000000002</c:v>
                </c:pt>
                <c:pt idx="3383">
                  <c:v>28.14</c:v>
                </c:pt>
                <c:pt idx="3384">
                  <c:v>28.18</c:v>
                </c:pt>
                <c:pt idx="3385">
                  <c:v>31.21</c:v>
                </c:pt>
                <c:pt idx="3386">
                  <c:v>33.980000000000004</c:v>
                </c:pt>
                <c:pt idx="3387">
                  <c:v>33.620000000000012</c:v>
                </c:pt>
                <c:pt idx="3388">
                  <c:v>32.57</c:v>
                </c:pt>
                <c:pt idx="3389">
                  <c:v>31.259999999999987</c:v>
                </c:pt>
                <c:pt idx="3390">
                  <c:v>28.49</c:v>
                </c:pt>
                <c:pt idx="3391">
                  <c:v>31.43</c:v>
                </c:pt>
                <c:pt idx="3392">
                  <c:v>35.090000000000003</c:v>
                </c:pt>
                <c:pt idx="3393">
                  <c:v>38.910000000000004</c:v>
                </c:pt>
                <c:pt idx="3394">
                  <c:v>34.480000000000004</c:v>
                </c:pt>
                <c:pt idx="3395">
                  <c:v>33.93</c:v>
                </c:pt>
                <c:pt idx="3396">
                  <c:v>26.27</c:v>
                </c:pt>
                <c:pt idx="3397">
                  <c:v>26.779999999999987</c:v>
                </c:pt>
                <c:pt idx="3398">
                  <c:v>29.89</c:v>
                </c:pt>
                <c:pt idx="3399">
                  <c:v>30.4</c:v>
                </c:pt>
                <c:pt idx="3400">
                  <c:v>32.190000000000012</c:v>
                </c:pt>
                <c:pt idx="3401">
                  <c:v>33.220000000000013</c:v>
                </c:pt>
                <c:pt idx="3402">
                  <c:v>33.200000000000003</c:v>
                </c:pt>
                <c:pt idx="3403">
                  <c:v>31.88</c:v>
                </c:pt>
                <c:pt idx="3404">
                  <c:v>29.35</c:v>
                </c:pt>
                <c:pt idx="3405">
                  <c:v>30.49</c:v>
                </c:pt>
                <c:pt idx="3406">
                  <c:v>29.62</c:v>
                </c:pt>
                <c:pt idx="3407">
                  <c:v>31.63000000000002</c:v>
                </c:pt>
                <c:pt idx="3408">
                  <c:v>33.24</c:v>
                </c:pt>
                <c:pt idx="3409">
                  <c:v>32.78</c:v>
                </c:pt>
                <c:pt idx="3410">
                  <c:v>31.45</c:v>
                </c:pt>
                <c:pt idx="3411">
                  <c:v>27.85</c:v>
                </c:pt>
                <c:pt idx="3412">
                  <c:v>32.120000000000012</c:v>
                </c:pt>
                <c:pt idx="3413">
                  <c:v>31.779999999999987</c:v>
                </c:pt>
                <c:pt idx="3414">
                  <c:v>32.980000000000004</c:v>
                </c:pt>
                <c:pt idx="3415">
                  <c:v>33.25</c:v>
                </c:pt>
                <c:pt idx="3416">
                  <c:v>30.55</c:v>
                </c:pt>
                <c:pt idx="3417">
                  <c:v>28.17</c:v>
                </c:pt>
                <c:pt idx="3418">
                  <c:v>24.38</c:v>
                </c:pt>
                <c:pt idx="3419">
                  <c:v>30.779999999999987</c:v>
                </c:pt>
                <c:pt idx="3420">
                  <c:v>33.410000000000004</c:v>
                </c:pt>
                <c:pt idx="3421">
                  <c:v>33.309999999999995</c:v>
                </c:pt>
                <c:pt idx="3422">
                  <c:v>30.259999999999987</c:v>
                </c:pt>
                <c:pt idx="3423">
                  <c:v>31.419999999999987</c:v>
                </c:pt>
                <c:pt idx="3424">
                  <c:v>26.39</c:v>
                </c:pt>
                <c:pt idx="3425">
                  <c:v>22.53</c:v>
                </c:pt>
                <c:pt idx="3426">
                  <c:v>31.82</c:v>
                </c:pt>
                <c:pt idx="3427">
                  <c:v>37.379999999999995</c:v>
                </c:pt>
                <c:pt idx="3428">
                  <c:v>41.74</c:v>
                </c:pt>
                <c:pt idx="3429">
                  <c:v>45.77</c:v>
                </c:pt>
                <c:pt idx="3430">
                  <c:v>77.81</c:v>
                </c:pt>
                <c:pt idx="3431">
                  <c:v>34.74</c:v>
                </c:pt>
                <c:pt idx="3432">
                  <c:v>39.49</c:v>
                </c:pt>
                <c:pt idx="3433">
                  <c:v>37.879999999999995</c:v>
                </c:pt>
                <c:pt idx="3434">
                  <c:v>36.9</c:v>
                </c:pt>
                <c:pt idx="3435">
                  <c:v>33.700000000000003</c:v>
                </c:pt>
                <c:pt idx="3436">
                  <c:v>29.39</c:v>
                </c:pt>
                <c:pt idx="3437">
                  <c:v>29.04</c:v>
                </c:pt>
                <c:pt idx="3438">
                  <c:v>27.59</c:v>
                </c:pt>
                <c:pt idx="3439">
                  <c:v>27.45</c:v>
                </c:pt>
                <c:pt idx="3440">
                  <c:v>31.16</c:v>
                </c:pt>
                <c:pt idx="3441">
                  <c:v>34.700000000000003</c:v>
                </c:pt>
                <c:pt idx="3442">
                  <c:v>36.550000000000004</c:v>
                </c:pt>
                <c:pt idx="3443">
                  <c:v>38.520000000000003</c:v>
                </c:pt>
                <c:pt idx="3444">
                  <c:v>32.200000000000003</c:v>
                </c:pt>
                <c:pt idx="3445">
                  <c:v>27.4</c:v>
                </c:pt>
                <c:pt idx="3446">
                  <c:v>26.419999999999987</c:v>
                </c:pt>
                <c:pt idx="3447">
                  <c:v>34.480000000000004</c:v>
                </c:pt>
                <c:pt idx="3448">
                  <c:v>36</c:v>
                </c:pt>
                <c:pt idx="3449">
                  <c:v>37.790000000000013</c:v>
                </c:pt>
                <c:pt idx="3450">
                  <c:v>32.42</c:v>
                </c:pt>
                <c:pt idx="3451">
                  <c:v>28.03</c:v>
                </c:pt>
                <c:pt idx="3452">
                  <c:v>27.23</c:v>
                </c:pt>
                <c:pt idx="3453">
                  <c:v>26.03</c:v>
                </c:pt>
                <c:pt idx="3454">
                  <c:v>33.93</c:v>
                </c:pt>
                <c:pt idx="3455">
                  <c:v>30.38</c:v>
                </c:pt>
                <c:pt idx="3456">
                  <c:v>35.74</c:v>
                </c:pt>
                <c:pt idx="3457">
                  <c:v>31.83000000000002</c:v>
                </c:pt>
                <c:pt idx="3458">
                  <c:v>27.84</c:v>
                </c:pt>
                <c:pt idx="3459">
                  <c:v>27.14</c:v>
                </c:pt>
                <c:pt idx="3460">
                  <c:v>26.4</c:v>
                </c:pt>
                <c:pt idx="3461">
                  <c:v>32.99</c:v>
                </c:pt>
                <c:pt idx="3462">
                  <c:v>34.770000000000003</c:v>
                </c:pt>
                <c:pt idx="3463">
                  <c:v>28.56</c:v>
                </c:pt>
                <c:pt idx="3464">
                  <c:v>20.75</c:v>
                </c:pt>
                <c:pt idx="3465">
                  <c:v>21.56</c:v>
                </c:pt>
                <c:pt idx="3466">
                  <c:v>24.66</c:v>
                </c:pt>
                <c:pt idx="3467">
                  <c:v>27.02</c:v>
                </c:pt>
                <c:pt idx="3468">
                  <c:v>29.71</c:v>
                </c:pt>
                <c:pt idx="3469">
                  <c:v>31.15000000000002</c:v>
                </c:pt>
                <c:pt idx="3470">
                  <c:v>36.68</c:v>
                </c:pt>
                <c:pt idx="3471">
                  <c:v>77.86</c:v>
                </c:pt>
                <c:pt idx="3472">
                  <c:v>103.86999999999999</c:v>
                </c:pt>
                <c:pt idx="3473">
                  <c:v>37.97</c:v>
                </c:pt>
                <c:pt idx="3474">
                  <c:v>34.15</c:v>
                </c:pt>
                <c:pt idx="3475">
                  <c:v>34.230000000000011</c:v>
                </c:pt>
                <c:pt idx="3476">
                  <c:v>41.13</c:v>
                </c:pt>
                <c:pt idx="3477">
                  <c:v>65.25</c:v>
                </c:pt>
                <c:pt idx="3478">
                  <c:v>50.59</c:v>
                </c:pt>
                <c:pt idx="3479">
                  <c:v>39.849999999999994</c:v>
                </c:pt>
                <c:pt idx="3480">
                  <c:v>28.14</c:v>
                </c:pt>
                <c:pt idx="3481">
                  <c:v>26.83000000000002</c:v>
                </c:pt>
                <c:pt idx="3482">
                  <c:v>33.879999999999995</c:v>
                </c:pt>
                <c:pt idx="3483">
                  <c:v>33.200000000000003</c:v>
                </c:pt>
                <c:pt idx="3484">
                  <c:v>32.75</c:v>
                </c:pt>
                <c:pt idx="3485">
                  <c:v>32.33</c:v>
                </c:pt>
                <c:pt idx="3486">
                  <c:v>28.66</c:v>
                </c:pt>
                <c:pt idx="3487">
                  <c:v>28.05</c:v>
                </c:pt>
                <c:pt idx="3488">
                  <c:v>29</c:v>
                </c:pt>
                <c:pt idx="3489">
                  <c:v>29.71</c:v>
                </c:pt>
                <c:pt idx="3490">
                  <c:v>26.08</c:v>
                </c:pt>
                <c:pt idx="3491">
                  <c:v>31.54</c:v>
                </c:pt>
                <c:pt idx="3492">
                  <c:v>34.910000000000004</c:v>
                </c:pt>
                <c:pt idx="3493">
                  <c:v>45.54</c:v>
                </c:pt>
                <c:pt idx="3494">
                  <c:v>33.65</c:v>
                </c:pt>
                <c:pt idx="3495">
                  <c:v>29.779999999999987</c:v>
                </c:pt>
                <c:pt idx="3496">
                  <c:v>27.05</c:v>
                </c:pt>
                <c:pt idx="3497">
                  <c:v>28.12</c:v>
                </c:pt>
                <c:pt idx="3498">
                  <c:v>26.15000000000002</c:v>
                </c:pt>
                <c:pt idx="3499">
                  <c:v>25.87</c:v>
                </c:pt>
                <c:pt idx="3500">
                  <c:v>25.3</c:v>
                </c:pt>
                <c:pt idx="3501">
                  <c:v>23.979999999999986</c:v>
                </c:pt>
                <c:pt idx="3502">
                  <c:v>22.13000000000002</c:v>
                </c:pt>
                <c:pt idx="3503">
                  <c:v>25.86</c:v>
                </c:pt>
                <c:pt idx="3504">
                  <c:v>29.959999999999987</c:v>
                </c:pt>
                <c:pt idx="3505">
                  <c:v>31.06</c:v>
                </c:pt>
                <c:pt idx="3506">
                  <c:v>34.379999999999995</c:v>
                </c:pt>
                <c:pt idx="3507">
                  <c:v>35.590000000000003</c:v>
                </c:pt>
                <c:pt idx="3508">
                  <c:v>28.919999999999987</c:v>
                </c:pt>
                <c:pt idx="3509">
                  <c:v>29.610000000000021</c:v>
                </c:pt>
                <c:pt idx="3510">
                  <c:v>30.56</c:v>
                </c:pt>
                <c:pt idx="3511">
                  <c:v>36.24</c:v>
                </c:pt>
                <c:pt idx="3512">
                  <c:v>51.39</c:v>
                </c:pt>
                <c:pt idx="3513">
                  <c:v>33.32</c:v>
                </c:pt>
                <c:pt idx="3514">
                  <c:v>32.050000000000004</c:v>
                </c:pt>
                <c:pt idx="3515">
                  <c:v>26.89</c:v>
                </c:pt>
                <c:pt idx="3516">
                  <c:v>36.700000000000003</c:v>
                </c:pt>
                <c:pt idx="3517">
                  <c:v>38.06</c:v>
                </c:pt>
                <c:pt idx="3518">
                  <c:v>37.480000000000004</c:v>
                </c:pt>
                <c:pt idx="3519">
                  <c:v>35.349999999999994</c:v>
                </c:pt>
                <c:pt idx="3520">
                  <c:v>36.99</c:v>
                </c:pt>
                <c:pt idx="3521">
                  <c:v>35.99</c:v>
                </c:pt>
                <c:pt idx="3522">
                  <c:v>31.66</c:v>
                </c:pt>
                <c:pt idx="3523">
                  <c:v>32.5</c:v>
                </c:pt>
                <c:pt idx="3524">
                  <c:v>32.97</c:v>
                </c:pt>
                <c:pt idx="3525">
                  <c:v>30.7</c:v>
                </c:pt>
                <c:pt idx="3526">
                  <c:v>33.770000000000003</c:v>
                </c:pt>
                <c:pt idx="3527">
                  <c:v>40.120000000000012</c:v>
                </c:pt>
                <c:pt idx="3528">
                  <c:v>37.08</c:v>
                </c:pt>
                <c:pt idx="3529">
                  <c:v>29.59</c:v>
                </c:pt>
                <c:pt idx="3530">
                  <c:v>28.01</c:v>
                </c:pt>
                <c:pt idx="3531">
                  <c:v>33.090000000000003</c:v>
                </c:pt>
                <c:pt idx="3532">
                  <c:v>42.949999999999996</c:v>
                </c:pt>
                <c:pt idx="3533">
                  <c:v>39.690000000000012</c:v>
                </c:pt>
                <c:pt idx="3534">
                  <c:v>30.49</c:v>
                </c:pt>
                <c:pt idx="3535">
                  <c:v>31.51</c:v>
                </c:pt>
                <c:pt idx="3536">
                  <c:v>31.01</c:v>
                </c:pt>
                <c:pt idx="3537">
                  <c:v>31.88</c:v>
                </c:pt>
                <c:pt idx="3538">
                  <c:v>33.590000000000003</c:v>
                </c:pt>
                <c:pt idx="3539">
                  <c:v>35.760000000000012</c:v>
                </c:pt>
                <c:pt idx="3540">
                  <c:v>37.349999999999994</c:v>
                </c:pt>
                <c:pt idx="3541">
                  <c:v>30.09</c:v>
                </c:pt>
                <c:pt idx="3542">
                  <c:v>28.4</c:v>
                </c:pt>
                <c:pt idx="3543">
                  <c:v>22.27</c:v>
                </c:pt>
                <c:pt idx="3544">
                  <c:v>19.239999999999988</c:v>
                </c:pt>
                <c:pt idx="3545">
                  <c:v>25.51</c:v>
                </c:pt>
                <c:pt idx="3546">
                  <c:v>24.939999999999987</c:v>
                </c:pt>
                <c:pt idx="3547">
                  <c:v>25.83000000000002</c:v>
                </c:pt>
                <c:pt idx="3548">
                  <c:v>27.68</c:v>
                </c:pt>
                <c:pt idx="3549">
                  <c:v>27.419999999999987</c:v>
                </c:pt>
                <c:pt idx="3550">
                  <c:v>25.2</c:v>
                </c:pt>
                <c:pt idx="3551">
                  <c:v>26.21</c:v>
                </c:pt>
                <c:pt idx="3552">
                  <c:v>36.520000000000003</c:v>
                </c:pt>
                <c:pt idx="3553">
                  <c:v>37.980000000000004</c:v>
                </c:pt>
                <c:pt idx="3554">
                  <c:v>32.04</c:v>
                </c:pt>
                <c:pt idx="3555">
                  <c:v>27.89</c:v>
                </c:pt>
                <c:pt idx="3556">
                  <c:v>28.39</c:v>
                </c:pt>
                <c:pt idx="3557">
                  <c:v>30.87</c:v>
                </c:pt>
                <c:pt idx="3558">
                  <c:v>29.66</c:v>
                </c:pt>
                <c:pt idx="3559">
                  <c:v>36.93</c:v>
                </c:pt>
                <c:pt idx="3560">
                  <c:v>36.14</c:v>
                </c:pt>
                <c:pt idx="3561">
                  <c:v>44.449999999999996</c:v>
                </c:pt>
                <c:pt idx="3562">
                  <c:v>31.62</c:v>
                </c:pt>
                <c:pt idx="3563">
                  <c:v>31</c:v>
                </c:pt>
                <c:pt idx="3564">
                  <c:v>31.3</c:v>
                </c:pt>
                <c:pt idx="3565">
                  <c:v>26.939999999999987</c:v>
                </c:pt>
                <c:pt idx="3566">
                  <c:v>24.17</c:v>
                </c:pt>
                <c:pt idx="3567">
                  <c:v>26.71</c:v>
                </c:pt>
                <c:pt idx="3568">
                  <c:v>32.160000000000011</c:v>
                </c:pt>
                <c:pt idx="3569">
                  <c:v>32.809999999999995</c:v>
                </c:pt>
                <c:pt idx="3570">
                  <c:v>33.839999999999996</c:v>
                </c:pt>
                <c:pt idx="3571">
                  <c:v>30.05</c:v>
                </c:pt>
                <c:pt idx="3572">
                  <c:v>28.85</c:v>
                </c:pt>
                <c:pt idx="3573">
                  <c:v>33.300000000000004</c:v>
                </c:pt>
                <c:pt idx="3574">
                  <c:v>36.89</c:v>
                </c:pt>
                <c:pt idx="3575">
                  <c:v>35.809999999999995</c:v>
                </c:pt>
                <c:pt idx="3576">
                  <c:v>74.06</c:v>
                </c:pt>
                <c:pt idx="3577">
                  <c:v>49.86</c:v>
                </c:pt>
                <c:pt idx="3578">
                  <c:v>32.36</c:v>
                </c:pt>
                <c:pt idx="3579">
                  <c:v>30.02</c:v>
                </c:pt>
                <c:pt idx="3580">
                  <c:v>34.17</c:v>
                </c:pt>
                <c:pt idx="3581">
                  <c:v>32.050000000000004</c:v>
                </c:pt>
                <c:pt idx="3582">
                  <c:v>36.870000000000005</c:v>
                </c:pt>
                <c:pt idx="3583">
                  <c:v>35.809999999999995</c:v>
                </c:pt>
                <c:pt idx="3584">
                  <c:v>36.760000000000012</c:v>
                </c:pt>
                <c:pt idx="3585">
                  <c:v>27.1</c:v>
                </c:pt>
                <c:pt idx="3586">
                  <c:v>30.08</c:v>
                </c:pt>
                <c:pt idx="3587">
                  <c:v>49.89</c:v>
                </c:pt>
                <c:pt idx="3588">
                  <c:v>45.309999999999995</c:v>
                </c:pt>
                <c:pt idx="3589">
                  <c:v>40.94</c:v>
                </c:pt>
                <c:pt idx="3590">
                  <c:v>40.11</c:v>
                </c:pt>
                <c:pt idx="3591">
                  <c:v>74.34</c:v>
                </c:pt>
                <c:pt idx="3592">
                  <c:v>32.08</c:v>
                </c:pt>
                <c:pt idx="3593">
                  <c:v>32.58</c:v>
                </c:pt>
                <c:pt idx="3594">
                  <c:v>30.25</c:v>
                </c:pt>
                <c:pt idx="3595">
                  <c:v>28.8</c:v>
                </c:pt>
                <c:pt idx="3596">
                  <c:v>29.06</c:v>
                </c:pt>
                <c:pt idx="3597">
                  <c:v>32.46</c:v>
                </c:pt>
                <c:pt idx="3598">
                  <c:v>32.03</c:v>
                </c:pt>
                <c:pt idx="3599">
                  <c:v>30.54</c:v>
                </c:pt>
                <c:pt idx="3600">
                  <c:v>30.08</c:v>
                </c:pt>
                <c:pt idx="3601">
                  <c:v>32.230000000000011</c:v>
                </c:pt>
                <c:pt idx="3602">
                  <c:v>31.84</c:v>
                </c:pt>
                <c:pt idx="3603">
                  <c:v>35.11</c:v>
                </c:pt>
                <c:pt idx="3604">
                  <c:v>43.220000000000013</c:v>
                </c:pt>
                <c:pt idx="3605">
                  <c:v>36.92</c:v>
                </c:pt>
                <c:pt idx="3606">
                  <c:v>37.07</c:v>
                </c:pt>
                <c:pt idx="3607">
                  <c:v>32.11</c:v>
                </c:pt>
                <c:pt idx="3608">
                  <c:v>39.449999999999996</c:v>
                </c:pt>
                <c:pt idx="3609">
                  <c:v>34.24</c:v>
                </c:pt>
                <c:pt idx="3610">
                  <c:v>32.879999999999995</c:v>
                </c:pt>
                <c:pt idx="3611">
                  <c:v>34.200000000000003</c:v>
                </c:pt>
                <c:pt idx="3612">
                  <c:v>35.28</c:v>
                </c:pt>
                <c:pt idx="3613">
                  <c:v>34.64</c:v>
                </c:pt>
                <c:pt idx="3614">
                  <c:v>34.449999999999996</c:v>
                </c:pt>
                <c:pt idx="3615">
                  <c:v>50.230000000000011</c:v>
                </c:pt>
                <c:pt idx="3616">
                  <c:v>43.41</c:v>
                </c:pt>
                <c:pt idx="3617">
                  <c:v>34.57</c:v>
                </c:pt>
                <c:pt idx="3618">
                  <c:v>34.130000000000003</c:v>
                </c:pt>
                <c:pt idx="3619">
                  <c:v>34.47</c:v>
                </c:pt>
                <c:pt idx="3620">
                  <c:v>31.979999999999986</c:v>
                </c:pt>
                <c:pt idx="3621">
                  <c:v>31.779999999999987</c:v>
                </c:pt>
                <c:pt idx="3622">
                  <c:v>39.06</c:v>
                </c:pt>
                <c:pt idx="3623">
                  <c:v>58.879999999999995</c:v>
                </c:pt>
                <c:pt idx="3624">
                  <c:v>53</c:v>
                </c:pt>
                <c:pt idx="3625">
                  <c:v>35.28</c:v>
                </c:pt>
                <c:pt idx="3626">
                  <c:v>38.14</c:v>
                </c:pt>
                <c:pt idx="3627">
                  <c:v>33.68</c:v>
                </c:pt>
                <c:pt idx="3628">
                  <c:v>29.979999999999986</c:v>
                </c:pt>
                <c:pt idx="3629">
                  <c:v>29.459999999999987</c:v>
                </c:pt>
                <c:pt idx="3630">
                  <c:v>37.65</c:v>
                </c:pt>
                <c:pt idx="3631">
                  <c:v>41.48</c:v>
                </c:pt>
                <c:pt idx="3632">
                  <c:v>36.800000000000004</c:v>
                </c:pt>
                <c:pt idx="3633">
                  <c:v>36.18</c:v>
                </c:pt>
                <c:pt idx="3634">
                  <c:v>31.55</c:v>
                </c:pt>
                <c:pt idx="3635">
                  <c:v>32.120000000000012</c:v>
                </c:pt>
                <c:pt idx="3636">
                  <c:v>33.49</c:v>
                </c:pt>
                <c:pt idx="3637">
                  <c:v>35.339999999999996</c:v>
                </c:pt>
                <c:pt idx="3638">
                  <c:v>35.949999999999996</c:v>
                </c:pt>
                <c:pt idx="3639">
                  <c:v>33.949999999999996</c:v>
                </c:pt>
                <c:pt idx="3640">
                  <c:v>36.04</c:v>
                </c:pt>
                <c:pt idx="3641">
                  <c:v>41.44</c:v>
                </c:pt>
                <c:pt idx="3642">
                  <c:v>35.51</c:v>
                </c:pt>
                <c:pt idx="3643">
                  <c:v>32.65</c:v>
                </c:pt>
                <c:pt idx="3644">
                  <c:v>33.15</c:v>
                </c:pt>
                <c:pt idx="3645">
                  <c:v>32.130000000000003</c:v>
                </c:pt>
                <c:pt idx="3646">
                  <c:v>32.230000000000011</c:v>
                </c:pt>
                <c:pt idx="3647">
                  <c:v>33.720000000000013</c:v>
                </c:pt>
                <c:pt idx="3648">
                  <c:v>31.37</c:v>
                </c:pt>
                <c:pt idx="3649">
                  <c:v>32.24</c:v>
                </c:pt>
                <c:pt idx="3650">
                  <c:v>34.32</c:v>
                </c:pt>
                <c:pt idx="3651">
                  <c:v>35.770000000000003</c:v>
                </c:pt>
                <c:pt idx="3652">
                  <c:v>33.56</c:v>
                </c:pt>
                <c:pt idx="3653">
                  <c:v>35.61</c:v>
                </c:pt>
                <c:pt idx="3654">
                  <c:v>42.220000000000013</c:v>
                </c:pt>
                <c:pt idx="3655">
                  <c:v>33.760000000000012</c:v>
                </c:pt>
                <c:pt idx="3656">
                  <c:v>30.45</c:v>
                </c:pt>
                <c:pt idx="3657">
                  <c:v>35.99</c:v>
                </c:pt>
                <c:pt idx="3658">
                  <c:v>36.520000000000003</c:v>
                </c:pt>
                <c:pt idx="3659">
                  <c:v>40.08</c:v>
                </c:pt>
                <c:pt idx="3660">
                  <c:v>38.230000000000011</c:v>
                </c:pt>
                <c:pt idx="3661">
                  <c:v>34.1</c:v>
                </c:pt>
                <c:pt idx="3662">
                  <c:v>33.690000000000012</c:v>
                </c:pt>
                <c:pt idx="3663">
                  <c:v>38.86</c:v>
                </c:pt>
                <c:pt idx="3664">
                  <c:v>52.48</c:v>
                </c:pt>
                <c:pt idx="3665">
                  <c:v>48.809999999999995</c:v>
                </c:pt>
                <c:pt idx="3666">
                  <c:v>57.78</c:v>
                </c:pt>
                <c:pt idx="3667">
                  <c:v>44.08</c:v>
                </c:pt>
                <c:pt idx="3668">
                  <c:v>53.190000000000012</c:v>
                </c:pt>
                <c:pt idx="3669">
                  <c:v>48.839999999999996</c:v>
                </c:pt>
                <c:pt idx="3670">
                  <c:v>44.67</c:v>
                </c:pt>
                <c:pt idx="3671">
                  <c:v>41.1</c:v>
                </c:pt>
                <c:pt idx="3672">
                  <c:v>33.82</c:v>
                </c:pt>
                <c:pt idx="3673">
                  <c:v>36.790000000000013</c:v>
                </c:pt>
                <c:pt idx="3674">
                  <c:v>37.33</c:v>
                </c:pt>
                <c:pt idx="3675">
                  <c:v>33.050000000000004</c:v>
                </c:pt>
                <c:pt idx="3676">
                  <c:v>30.67</c:v>
                </c:pt>
                <c:pt idx="3677">
                  <c:v>30.15000000000002</c:v>
                </c:pt>
                <c:pt idx="3678">
                  <c:v>37.51</c:v>
                </c:pt>
                <c:pt idx="3679">
                  <c:v>44.33</c:v>
                </c:pt>
                <c:pt idx="3680">
                  <c:v>39.14</c:v>
                </c:pt>
                <c:pt idx="3681">
                  <c:v>32.690000000000012</c:v>
                </c:pt>
                <c:pt idx="3682">
                  <c:v>34.24</c:v>
                </c:pt>
                <c:pt idx="3683">
                  <c:v>33.28</c:v>
                </c:pt>
                <c:pt idx="3684">
                  <c:v>29.22</c:v>
                </c:pt>
                <c:pt idx="3685">
                  <c:v>35.290000000000013</c:v>
                </c:pt>
                <c:pt idx="3686">
                  <c:v>39.770000000000003</c:v>
                </c:pt>
                <c:pt idx="3687">
                  <c:v>45.53</c:v>
                </c:pt>
                <c:pt idx="3688">
                  <c:v>47.47</c:v>
                </c:pt>
                <c:pt idx="3689">
                  <c:v>40.9</c:v>
                </c:pt>
                <c:pt idx="3690">
                  <c:v>39.200000000000003</c:v>
                </c:pt>
                <c:pt idx="3691">
                  <c:v>37.020000000000003</c:v>
                </c:pt>
                <c:pt idx="3692">
                  <c:v>33.89</c:v>
                </c:pt>
                <c:pt idx="3693">
                  <c:v>34.720000000000013</c:v>
                </c:pt>
                <c:pt idx="3694">
                  <c:v>38.94</c:v>
                </c:pt>
                <c:pt idx="3695">
                  <c:v>36.24</c:v>
                </c:pt>
                <c:pt idx="3696">
                  <c:v>36.21</c:v>
                </c:pt>
                <c:pt idx="3697">
                  <c:v>35.92</c:v>
                </c:pt>
                <c:pt idx="3698">
                  <c:v>30.610000000000021</c:v>
                </c:pt>
                <c:pt idx="3699">
                  <c:v>32.130000000000003</c:v>
                </c:pt>
                <c:pt idx="3700">
                  <c:v>38.71</c:v>
                </c:pt>
                <c:pt idx="3701">
                  <c:v>40.47</c:v>
                </c:pt>
                <c:pt idx="3702">
                  <c:v>34.65</c:v>
                </c:pt>
                <c:pt idx="3703">
                  <c:v>40.17</c:v>
                </c:pt>
                <c:pt idx="3704">
                  <c:v>34.370000000000005</c:v>
                </c:pt>
                <c:pt idx="3705">
                  <c:v>32.200000000000003</c:v>
                </c:pt>
                <c:pt idx="3706">
                  <c:v>30.86</c:v>
                </c:pt>
                <c:pt idx="3707">
                  <c:v>31.01</c:v>
                </c:pt>
                <c:pt idx="3708">
                  <c:v>36.11</c:v>
                </c:pt>
                <c:pt idx="3709">
                  <c:v>38.800000000000004</c:v>
                </c:pt>
                <c:pt idx="3710">
                  <c:v>37.790000000000013</c:v>
                </c:pt>
                <c:pt idx="3711">
                  <c:v>36.550000000000004</c:v>
                </c:pt>
                <c:pt idx="3712">
                  <c:v>39.42</c:v>
                </c:pt>
                <c:pt idx="3713">
                  <c:v>41.879999999999995</c:v>
                </c:pt>
                <c:pt idx="3714">
                  <c:v>43.92</c:v>
                </c:pt>
                <c:pt idx="3715">
                  <c:v>46.230000000000011</c:v>
                </c:pt>
                <c:pt idx="3716">
                  <c:v>39.61</c:v>
                </c:pt>
                <c:pt idx="3717">
                  <c:v>46.220000000000013</c:v>
                </c:pt>
                <c:pt idx="3718">
                  <c:v>45.63</c:v>
                </c:pt>
                <c:pt idx="3719">
                  <c:v>39.43</c:v>
                </c:pt>
                <c:pt idx="3720">
                  <c:v>38.18</c:v>
                </c:pt>
                <c:pt idx="3721">
                  <c:v>40.300000000000004</c:v>
                </c:pt>
                <c:pt idx="3722">
                  <c:v>40.379999999999995</c:v>
                </c:pt>
                <c:pt idx="3723">
                  <c:v>47.54</c:v>
                </c:pt>
                <c:pt idx="3724">
                  <c:v>39.660000000000011</c:v>
                </c:pt>
                <c:pt idx="3725">
                  <c:v>40.32</c:v>
                </c:pt>
                <c:pt idx="3726">
                  <c:v>35.550000000000004</c:v>
                </c:pt>
                <c:pt idx="3727">
                  <c:v>36.03</c:v>
                </c:pt>
                <c:pt idx="3728">
                  <c:v>35.92</c:v>
                </c:pt>
                <c:pt idx="3729">
                  <c:v>40.58</c:v>
                </c:pt>
                <c:pt idx="3730">
                  <c:v>44.5</c:v>
                </c:pt>
                <c:pt idx="3731">
                  <c:v>44.17</c:v>
                </c:pt>
                <c:pt idx="3732">
                  <c:v>48.24</c:v>
                </c:pt>
                <c:pt idx="3733">
                  <c:v>40.78</c:v>
                </c:pt>
                <c:pt idx="3734">
                  <c:v>49.25</c:v>
                </c:pt>
                <c:pt idx="3735">
                  <c:v>50.59</c:v>
                </c:pt>
                <c:pt idx="3736">
                  <c:v>472.77</c:v>
                </c:pt>
                <c:pt idx="3737">
                  <c:v>57.94</c:v>
                </c:pt>
                <c:pt idx="3738">
                  <c:v>53.65</c:v>
                </c:pt>
                <c:pt idx="3739">
                  <c:v>51.39</c:v>
                </c:pt>
                <c:pt idx="3740">
                  <c:v>45.809999999999995</c:v>
                </c:pt>
                <c:pt idx="3741">
                  <c:v>42.77</c:v>
                </c:pt>
                <c:pt idx="3742">
                  <c:v>39.82</c:v>
                </c:pt>
                <c:pt idx="3743">
                  <c:v>42.71</c:v>
                </c:pt>
                <c:pt idx="3744">
                  <c:v>36.590000000000003</c:v>
                </c:pt>
                <c:pt idx="3745">
                  <c:v>38.160000000000011</c:v>
                </c:pt>
                <c:pt idx="3746">
                  <c:v>32.6</c:v>
                </c:pt>
                <c:pt idx="3747">
                  <c:v>34.9</c:v>
                </c:pt>
                <c:pt idx="3748">
                  <c:v>38</c:v>
                </c:pt>
                <c:pt idx="3749">
                  <c:v>38.64</c:v>
                </c:pt>
                <c:pt idx="3750">
                  <c:v>36.11</c:v>
                </c:pt>
                <c:pt idx="3751">
                  <c:v>36.849999999999994</c:v>
                </c:pt>
                <c:pt idx="3752">
                  <c:v>38.809999999999995</c:v>
                </c:pt>
                <c:pt idx="3753">
                  <c:v>34.61</c:v>
                </c:pt>
                <c:pt idx="3754">
                  <c:v>31.110000000000021</c:v>
                </c:pt>
                <c:pt idx="3755">
                  <c:v>36.520000000000003</c:v>
                </c:pt>
                <c:pt idx="3756">
                  <c:v>38.9</c:v>
                </c:pt>
                <c:pt idx="3757">
                  <c:v>41.52</c:v>
                </c:pt>
                <c:pt idx="3758">
                  <c:v>38.410000000000004</c:v>
                </c:pt>
                <c:pt idx="3759">
                  <c:v>41.339999999999996</c:v>
                </c:pt>
                <c:pt idx="3760">
                  <c:v>35.410000000000004</c:v>
                </c:pt>
                <c:pt idx="3761">
                  <c:v>32.870000000000005</c:v>
                </c:pt>
                <c:pt idx="3762">
                  <c:v>42.5</c:v>
                </c:pt>
                <c:pt idx="3763">
                  <c:v>42.67</c:v>
                </c:pt>
                <c:pt idx="3764">
                  <c:v>39.620000000000012</c:v>
                </c:pt>
                <c:pt idx="3765">
                  <c:v>38.190000000000012</c:v>
                </c:pt>
                <c:pt idx="3766">
                  <c:v>39.61</c:v>
                </c:pt>
                <c:pt idx="3767">
                  <c:v>35</c:v>
                </c:pt>
                <c:pt idx="3768">
                  <c:v>28.979999999999986</c:v>
                </c:pt>
                <c:pt idx="3769">
                  <c:v>36.64</c:v>
                </c:pt>
                <c:pt idx="3770">
                  <c:v>33.379999999999995</c:v>
                </c:pt>
                <c:pt idx="3771">
                  <c:v>36.94</c:v>
                </c:pt>
                <c:pt idx="3772">
                  <c:v>33.800000000000004</c:v>
                </c:pt>
                <c:pt idx="3773">
                  <c:v>37</c:v>
                </c:pt>
                <c:pt idx="3774">
                  <c:v>33.33</c:v>
                </c:pt>
                <c:pt idx="3775">
                  <c:v>29.27</c:v>
                </c:pt>
                <c:pt idx="3776">
                  <c:v>34.71</c:v>
                </c:pt>
                <c:pt idx="3777">
                  <c:v>32.53</c:v>
                </c:pt>
                <c:pt idx="3778">
                  <c:v>33.25</c:v>
                </c:pt>
                <c:pt idx="3779">
                  <c:v>35.339999999999996</c:v>
                </c:pt>
                <c:pt idx="3780">
                  <c:v>32.89</c:v>
                </c:pt>
                <c:pt idx="3781">
                  <c:v>31.45</c:v>
                </c:pt>
                <c:pt idx="3782">
                  <c:v>27.87</c:v>
                </c:pt>
                <c:pt idx="3783">
                  <c:v>34.03</c:v>
                </c:pt>
                <c:pt idx="3784">
                  <c:v>35.01</c:v>
                </c:pt>
                <c:pt idx="3785">
                  <c:v>37.01</c:v>
                </c:pt>
                <c:pt idx="3786">
                  <c:v>39.21</c:v>
                </c:pt>
                <c:pt idx="3787">
                  <c:v>36.800000000000004</c:v>
                </c:pt>
                <c:pt idx="3788">
                  <c:v>37.720000000000013</c:v>
                </c:pt>
                <c:pt idx="3789">
                  <c:v>31.89</c:v>
                </c:pt>
                <c:pt idx="3790">
                  <c:v>37.53</c:v>
                </c:pt>
                <c:pt idx="3791">
                  <c:v>36.550000000000004</c:v>
                </c:pt>
                <c:pt idx="3792">
                  <c:v>56.25</c:v>
                </c:pt>
                <c:pt idx="3793">
                  <c:v>144.16999999999999</c:v>
                </c:pt>
                <c:pt idx="3794">
                  <c:v>159.59</c:v>
                </c:pt>
                <c:pt idx="3795">
                  <c:v>35.590000000000003</c:v>
                </c:pt>
                <c:pt idx="3796">
                  <c:v>36.410000000000004</c:v>
                </c:pt>
                <c:pt idx="3797">
                  <c:v>40.800000000000004</c:v>
                </c:pt>
                <c:pt idx="3798">
                  <c:v>44.14</c:v>
                </c:pt>
                <c:pt idx="3799">
                  <c:v>57.27</c:v>
                </c:pt>
                <c:pt idx="3800">
                  <c:v>52.839999999999996</c:v>
                </c:pt>
                <c:pt idx="3801">
                  <c:v>40.04</c:v>
                </c:pt>
                <c:pt idx="3802">
                  <c:v>40.339999999999996</c:v>
                </c:pt>
                <c:pt idx="3803">
                  <c:v>39.14</c:v>
                </c:pt>
                <c:pt idx="3804">
                  <c:v>47.97</c:v>
                </c:pt>
                <c:pt idx="3805">
                  <c:v>45.190000000000012</c:v>
                </c:pt>
                <c:pt idx="3806">
                  <c:v>37.410000000000004</c:v>
                </c:pt>
                <c:pt idx="3807">
                  <c:v>35.309999999999995</c:v>
                </c:pt>
                <c:pt idx="3808">
                  <c:v>35.01</c:v>
                </c:pt>
                <c:pt idx="3809">
                  <c:v>39.14</c:v>
                </c:pt>
                <c:pt idx="3810">
                  <c:v>37.94</c:v>
                </c:pt>
                <c:pt idx="3811">
                  <c:v>39.43</c:v>
                </c:pt>
                <c:pt idx="3812">
                  <c:v>39.14</c:v>
                </c:pt>
                <c:pt idx="3813">
                  <c:v>45.86</c:v>
                </c:pt>
                <c:pt idx="3814">
                  <c:v>45.03</c:v>
                </c:pt>
                <c:pt idx="3815">
                  <c:v>36.17</c:v>
                </c:pt>
                <c:pt idx="3816">
                  <c:v>37.449999999999996</c:v>
                </c:pt>
                <c:pt idx="3817">
                  <c:v>41.51</c:v>
                </c:pt>
                <c:pt idx="3818">
                  <c:v>47.48</c:v>
                </c:pt>
                <c:pt idx="3819">
                  <c:v>49.71</c:v>
                </c:pt>
                <c:pt idx="3820">
                  <c:v>57.08</c:v>
                </c:pt>
                <c:pt idx="3821">
                  <c:v>58.21</c:v>
                </c:pt>
                <c:pt idx="3822">
                  <c:v>61.09</c:v>
                </c:pt>
                <c:pt idx="3823">
                  <c:v>54.36</c:v>
                </c:pt>
                <c:pt idx="3824">
                  <c:v>56.379999999999995</c:v>
                </c:pt>
                <c:pt idx="3825">
                  <c:v>50.28</c:v>
                </c:pt>
                <c:pt idx="3826">
                  <c:v>39.58</c:v>
                </c:pt>
                <c:pt idx="3827">
                  <c:v>42.6</c:v>
                </c:pt>
                <c:pt idx="3828">
                  <c:v>43.760000000000012</c:v>
                </c:pt>
                <c:pt idx="3829">
                  <c:v>37.33</c:v>
                </c:pt>
                <c:pt idx="3830">
                  <c:v>34.6</c:v>
                </c:pt>
                <c:pt idx="3831">
                  <c:v>33.130000000000003</c:v>
                </c:pt>
                <c:pt idx="3832">
                  <c:v>36.870000000000005</c:v>
                </c:pt>
                <c:pt idx="3833">
                  <c:v>40.61</c:v>
                </c:pt>
                <c:pt idx="3834">
                  <c:v>50.57</c:v>
                </c:pt>
                <c:pt idx="3835">
                  <c:v>73.14</c:v>
                </c:pt>
                <c:pt idx="3836">
                  <c:v>38.17</c:v>
                </c:pt>
                <c:pt idx="3837">
                  <c:v>36.9</c:v>
                </c:pt>
                <c:pt idx="3838">
                  <c:v>31.93</c:v>
                </c:pt>
                <c:pt idx="3839">
                  <c:v>33.309999999999995</c:v>
                </c:pt>
                <c:pt idx="3840">
                  <c:v>33.21</c:v>
                </c:pt>
                <c:pt idx="3841">
                  <c:v>36.14</c:v>
                </c:pt>
                <c:pt idx="3842">
                  <c:v>36.53</c:v>
                </c:pt>
                <c:pt idx="3843">
                  <c:v>38.1</c:v>
                </c:pt>
                <c:pt idx="3844">
                  <c:v>41.51</c:v>
                </c:pt>
                <c:pt idx="3845">
                  <c:v>44.1</c:v>
                </c:pt>
                <c:pt idx="3846">
                  <c:v>82.990000000000023</c:v>
                </c:pt>
                <c:pt idx="3847">
                  <c:v>66.06</c:v>
                </c:pt>
                <c:pt idx="3848">
                  <c:v>78.05</c:v>
                </c:pt>
                <c:pt idx="3849">
                  <c:v>171.52</c:v>
                </c:pt>
                <c:pt idx="3850">
                  <c:v>34.71</c:v>
                </c:pt>
                <c:pt idx="3851">
                  <c:v>29.58</c:v>
                </c:pt>
                <c:pt idx="3852">
                  <c:v>31.49</c:v>
                </c:pt>
                <c:pt idx="3853">
                  <c:v>39.25</c:v>
                </c:pt>
                <c:pt idx="3854">
                  <c:v>45.65</c:v>
                </c:pt>
                <c:pt idx="3855">
                  <c:v>54.03</c:v>
                </c:pt>
                <c:pt idx="3856">
                  <c:v>56.93</c:v>
                </c:pt>
                <c:pt idx="3857">
                  <c:v>45.14</c:v>
                </c:pt>
                <c:pt idx="3858">
                  <c:v>31.979999999999986</c:v>
                </c:pt>
                <c:pt idx="3859">
                  <c:v>31.8</c:v>
                </c:pt>
                <c:pt idx="3860">
                  <c:v>33.309999999999995</c:v>
                </c:pt>
                <c:pt idx="3861">
                  <c:v>31.04</c:v>
                </c:pt>
                <c:pt idx="3862">
                  <c:v>33.809999999999995</c:v>
                </c:pt>
                <c:pt idx="3863">
                  <c:v>36.550000000000004</c:v>
                </c:pt>
                <c:pt idx="3864">
                  <c:v>36.01</c:v>
                </c:pt>
                <c:pt idx="3865">
                  <c:v>30.75</c:v>
                </c:pt>
                <c:pt idx="3866">
                  <c:v>31</c:v>
                </c:pt>
                <c:pt idx="3867">
                  <c:v>33.82</c:v>
                </c:pt>
                <c:pt idx="3868">
                  <c:v>35.770000000000003</c:v>
                </c:pt>
                <c:pt idx="3869">
                  <c:v>32.190000000000012</c:v>
                </c:pt>
                <c:pt idx="3870">
                  <c:v>30.6</c:v>
                </c:pt>
                <c:pt idx="3871">
                  <c:v>31.32</c:v>
                </c:pt>
                <c:pt idx="3872">
                  <c:v>30.66</c:v>
                </c:pt>
                <c:pt idx="3873">
                  <c:v>33.290000000000013</c:v>
                </c:pt>
                <c:pt idx="3874">
                  <c:v>34.879999999999995</c:v>
                </c:pt>
                <c:pt idx="3875">
                  <c:v>38.08</c:v>
                </c:pt>
                <c:pt idx="3876">
                  <c:v>40.520000000000003</c:v>
                </c:pt>
                <c:pt idx="3877">
                  <c:v>35.550000000000004</c:v>
                </c:pt>
                <c:pt idx="3878">
                  <c:v>40.44</c:v>
                </c:pt>
                <c:pt idx="3879">
                  <c:v>34.260000000000012</c:v>
                </c:pt>
                <c:pt idx="3880">
                  <c:v>34.65</c:v>
                </c:pt>
                <c:pt idx="3881">
                  <c:v>39.410000000000004</c:v>
                </c:pt>
                <c:pt idx="3882">
                  <c:v>33.97</c:v>
                </c:pt>
                <c:pt idx="3883">
                  <c:v>34.520000000000003</c:v>
                </c:pt>
                <c:pt idx="3884">
                  <c:v>46.37</c:v>
                </c:pt>
                <c:pt idx="3885">
                  <c:v>48.230000000000011</c:v>
                </c:pt>
                <c:pt idx="3886">
                  <c:v>32.86</c:v>
                </c:pt>
                <c:pt idx="3887">
                  <c:v>33.020000000000003</c:v>
                </c:pt>
                <c:pt idx="3888">
                  <c:v>57.6</c:v>
                </c:pt>
                <c:pt idx="3889">
                  <c:v>54.18</c:v>
                </c:pt>
                <c:pt idx="3890">
                  <c:v>65.040000000000006</c:v>
                </c:pt>
                <c:pt idx="3891">
                  <c:v>46.05</c:v>
                </c:pt>
                <c:pt idx="3892">
                  <c:v>38.71</c:v>
                </c:pt>
                <c:pt idx="3893">
                  <c:v>33.82</c:v>
                </c:pt>
                <c:pt idx="3894">
                  <c:v>33.47</c:v>
                </c:pt>
                <c:pt idx="3895">
                  <c:v>42.21</c:v>
                </c:pt>
                <c:pt idx="3896">
                  <c:v>40.97</c:v>
                </c:pt>
                <c:pt idx="3897">
                  <c:v>50</c:v>
                </c:pt>
                <c:pt idx="3898">
                  <c:v>50.83</c:v>
                </c:pt>
                <c:pt idx="3899">
                  <c:v>42.25</c:v>
                </c:pt>
                <c:pt idx="3900">
                  <c:v>40.28</c:v>
                </c:pt>
                <c:pt idx="3901">
                  <c:v>46.43</c:v>
                </c:pt>
                <c:pt idx="3902">
                  <c:v>44.06</c:v>
                </c:pt>
                <c:pt idx="3903">
                  <c:v>63.78</c:v>
                </c:pt>
                <c:pt idx="3904">
                  <c:v>61.01</c:v>
                </c:pt>
                <c:pt idx="3905">
                  <c:v>48.9</c:v>
                </c:pt>
                <c:pt idx="3906">
                  <c:v>50.849999999999994</c:v>
                </c:pt>
                <c:pt idx="3907">
                  <c:v>46.75</c:v>
                </c:pt>
                <c:pt idx="3908">
                  <c:v>38.870000000000005</c:v>
                </c:pt>
                <c:pt idx="3909">
                  <c:v>41.379999999999995</c:v>
                </c:pt>
                <c:pt idx="3910">
                  <c:v>37.82</c:v>
                </c:pt>
                <c:pt idx="3911">
                  <c:v>58.58</c:v>
                </c:pt>
                <c:pt idx="3912">
                  <c:v>53.339999999999996</c:v>
                </c:pt>
                <c:pt idx="3913">
                  <c:v>42.260000000000012</c:v>
                </c:pt>
                <c:pt idx="3914">
                  <c:v>50.59</c:v>
                </c:pt>
                <c:pt idx="3915">
                  <c:v>50.3</c:v>
                </c:pt>
                <c:pt idx="3916">
                  <c:v>52.25</c:v>
                </c:pt>
                <c:pt idx="3917">
                  <c:v>57.47</c:v>
                </c:pt>
                <c:pt idx="3918">
                  <c:v>42.63</c:v>
                </c:pt>
                <c:pt idx="3919">
                  <c:v>42.65</c:v>
                </c:pt>
                <c:pt idx="3920">
                  <c:v>34.78</c:v>
                </c:pt>
                <c:pt idx="3921">
                  <c:v>33.949999999999996</c:v>
                </c:pt>
                <c:pt idx="3922">
                  <c:v>30.62</c:v>
                </c:pt>
                <c:pt idx="3923">
                  <c:v>32.74</c:v>
                </c:pt>
                <c:pt idx="3924">
                  <c:v>33.71</c:v>
                </c:pt>
                <c:pt idx="3925">
                  <c:v>32.67</c:v>
                </c:pt>
                <c:pt idx="3926">
                  <c:v>31.9</c:v>
                </c:pt>
                <c:pt idx="3927">
                  <c:v>32.07</c:v>
                </c:pt>
                <c:pt idx="3928">
                  <c:v>44.74</c:v>
                </c:pt>
                <c:pt idx="3929">
                  <c:v>40.849999999999994</c:v>
                </c:pt>
                <c:pt idx="3930">
                  <c:v>47.660000000000011</c:v>
                </c:pt>
                <c:pt idx="3931">
                  <c:v>55.120000000000012</c:v>
                </c:pt>
                <c:pt idx="3932">
                  <c:v>58.96</c:v>
                </c:pt>
                <c:pt idx="3933">
                  <c:v>58.56</c:v>
                </c:pt>
                <c:pt idx="3934">
                  <c:v>98.83</c:v>
                </c:pt>
                <c:pt idx="3935">
                  <c:v>98.649999999999991</c:v>
                </c:pt>
                <c:pt idx="3936">
                  <c:v>48.41</c:v>
                </c:pt>
                <c:pt idx="3937">
                  <c:v>71.989999999999995</c:v>
                </c:pt>
                <c:pt idx="3938">
                  <c:v>68.45</c:v>
                </c:pt>
                <c:pt idx="3939">
                  <c:v>80.84</c:v>
                </c:pt>
                <c:pt idx="3940">
                  <c:v>109.93</c:v>
                </c:pt>
                <c:pt idx="3941">
                  <c:v>90.07</c:v>
                </c:pt>
                <c:pt idx="3942">
                  <c:v>56.790000000000013</c:v>
                </c:pt>
                <c:pt idx="3943">
                  <c:v>49.8</c:v>
                </c:pt>
                <c:pt idx="3944">
                  <c:v>66.25</c:v>
                </c:pt>
                <c:pt idx="3945">
                  <c:v>67.349999999999994</c:v>
                </c:pt>
                <c:pt idx="3946">
                  <c:v>46.96</c:v>
                </c:pt>
                <c:pt idx="3947">
                  <c:v>59.849999999999994</c:v>
                </c:pt>
                <c:pt idx="3948">
                  <c:v>60.879999999999995</c:v>
                </c:pt>
                <c:pt idx="3949">
                  <c:v>51.58</c:v>
                </c:pt>
                <c:pt idx="3950">
                  <c:v>45.52</c:v>
                </c:pt>
                <c:pt idx="3951">
                  <c:v>58.230000000000011</c:v>
                </c:pt>
                <c:pt idx="3952">
                  <c:v>92.22</c:v>
                </c:pt>
                <c:pt idx="3953">
                  <c:v>96.52</c:v>
                </c:pt>
                <c:pt idx="3954">
                  <c:v>105.98</c:v>
                </c:pt>
                <c:pt idx="3955">
                  <c:v>76.440000000000026</c:v>
                </c:pt>
                <c:pt idx="3956">
                  <c:v>41.52</c:v>
                </c:pt>
                <c:pt idx="3957" formatCode="General">
                  <c:v>47.96</c:v>
                </c:pt>
                <c:pt idx="3958" formatCode="General">
                  <c:v>45.58</c:v>
                </c:pt>
                <c:pt idx="3959" formatCode="General">
                  <c:v>44.08</c:v>
                </c:pt>
                <c:pt idx="3960" formatCode="General">
                  <c:v>51.379999999999995</c:v>
                </c:pt>
                <c:pt idx="3961" formatCode="General">
                  <c:v>45.690000000000012</c:v>
                </c:pt>
                <c:pt idx="3962" formatCode="General">
                  <c:v>72.92</c:v>
                </c:pt>
                <c:pt idx="3963" formatCode="General">
                  <c:v>65.430000000000007</c:v>
                </c:pt>
                <c:pt idx="3964" formatCode="General">
                  <c:v>77.22</c:v>
                </c:pt>
                <c:pt idx="3965" formatCode="General">
                  <c:v>93.57</c:v>
                </c:pt>
                <c:pt idx="3966" formatCode="General">
                  <c:v>41.98</c:v>
                </c:pt>
                <c:pt idx="3967" formatCode="General">
                  <c:v>57.730000000000011</c:v>
                </c:pt>
                <c:pt idx="3968" formatCode="General">
                  <c:v>52.98</c:v>
                </c:pt>
                <c:pt idx="3969" formatCode="General">
                  <c:v>52.309999999999995</c:v>
                </c:pt>
                <c:pt idx="3970" formatCode="General">
                  <c:v>36.57</c:v>
                </c:pt>
                <c:pt idx="3971" formatCode="General">
                  <c:v>41.02</c:v>
                </c:pt>
                <c:pt idx="3972" formatCode="General">
                  <c:v>46.49</c:v>
                </c:pt>
                <c:pt idx="3973" formatCode="General">
                  <c:v>66.2</c:v>
                </c:pt>
                <c:pt idx="3974" formatCode="General">
                  <c:v>70.36999999999999</c:v>
                </c:pt>
                <c:pt idx="3975" formatCode="General">
                  <c:v>56.760000000000012</c:v>
                </c:pt>
                <c:pt idx="3976" formatCode="General">
                  <c:v>79.66</c:v>
                </c:pt>
                <c:pt idx="3977" formatCode="General">
                  <c:v>82.85</c:v>
                </c:pt>
                <c:pt idx="3978" formatCode="General">
                  <c:v>51.620000000000012</c:v>
                </c:pt>
                <c:pt idx="3979" formatCode="General">
                  <c:v>70.510000000000005</c:v>
                </c:pt>
                <c:pt idx="3980" formatCode="General">
                  <c:v>50.82</c:v>
                </c:pt>
                <c:pt idx="3981" formatCode="General">
                  <c:v>68.540000000000006</c:v>
                </c:pt>
                <c:pt idx="3982" formatCode="General">
                  <c:v>93.53</c:v>
                </c:pt>
                <c:pt idx="3983" formatCode="General">
                  <c:v>70.16</c:v>
                </c:pt>
                <c:pt idx="3984" formatCode="General">
                  <c:v>92.72</c:v>
                </c:pt>
                <c:pt idx="3985" formatCode="General">
                  <c:v>76.010000000000005</c:v>
                </c:pt>
                <c:pt idx="3986" formatCode="General">
                  <c:v>115.76</c:v>
                </c:pt>
                <c:pt idx="3987" formatCode="General">
                  <c:v>154.08000000000001</c:v>
                </c:pt>
                <c:pt idx="3988" formatCode="General">
                  <c:v>164.8</c:v>
                </c:pt>
                <c:pt idx="3989" formatCode="General">
                  <c:v>169.2</c:v>
                </c:pt>
                <c:pt idx="3990" formatCode="General">
                  <c:v>168.36</c:v>
                </c:pt>
                <c:pt idx="3991" formatCode="General">
                  <c:v>121.11</c:v>
                </c:pt>
                <c:pt idx="3992" formatCode="General">
                  <c:v>115.66</c:v>
                </c:pt>
                <c:pt idx="3993" formatCode="General">
                  <c:v>101.69</c:v>
                </c:pt>
                <c:pt idx="3994" formatCode="General">
                  <c:v>93.55</c:v>
                </c:pt>
                <c:pt idx="3995" formatCode="General">
                  <c:v>85.36999999999999</c:v>
                </c:pt>
                <c:pt idx="3996" formatCode="General">
                  <c:v>52.94</c:v>
                </c:pt>
                <c:pt idx="3997" formatCode="General">
                  <c:v>49.41</c:v>
                </c:pt>
                <c:pt idx="3998" formatCode="General">
                  <c:v>59.51</c:v>
                </c:pt>
                <c:pt idx="3999" formatCode="General">
                  <c:v>80.260000000000005</c:v>
                </c:pt>
                <c:pt idx="4000" formatCode="General">
                  <c:v>98.460000000000022</c:v>
                </c:pt>
                <c:pt idx="4001" formatCode="General">
                  <c:v>89.93</c:v>
                </c:pt>
                <c:pt idx="4002" formatCode="General">
                  <c:v>91.61</c:v>
                </c:pt>
                <c:pt idx="4003" formatCode="General">
                  <c:v>86.38</c:v>
                </c:pt>
                <c:pt idx="4004" formatCode="General">
                  <c:v>99.149999999999991</c:v>
                </c:pt>
                <c:pt idx="4005" formatCode="General">
                  <c:v>67.149999999999991</c:v>
                </c:pt>
                <c:pt idx="4006" formatCode="General">
                  <c:v>78.790000000000006</c:v>
                </c:pt>
                <c:pt idx="4007" formatCode="General">
                  <c:v>94.92</c:v>
                </c:pt>
                <c:pt idx="4008" formatCode="General">
                  <c:v>62.690000000000012</c:v>
                </c:pt>
                <c:pt idx="4009" formatCode="General">
                  <c:v>60.93</c:v>
                </c:pt>
                <c:pt idx="4010" formatCode="General">
                  <c:v>77.25</c:v>
                </c:pt>
                <c:pt idx="4011" formatCode="General">
                  <c:v>70.61</c:v>
                </c:pt>
                <c:pt idx="4012" formatCode="General">
                  <c:v>100.39</c:v>
                </c:pt>
                <c:pt idx="4013" formatCode="General">
                  <c:v>123.16</c:v>
                </c:pt>
                <c:pt idx="4014" formatCode="General">
                  <c:v>123.92</c:v>
                </c:pt>
                <c:pt idx="4015" formatCode="General">
                  <c:v>108.75</c:v>
                </c:pt>
                <c:pt idx="4016" formatCode="General">
                  <c:v>95.740000000000023</c:v>
                </c:pt>
                <c:pt idx="4017" formatCode="General">
                  <c:v>139.01</c:v>
                </c:pt>
                <c:pt idx="4018" formatCode="General">
                  <c:v>124.39</c:v>
                </c:pt>
                <c:pt idx="4019" formatCode="General">
                  <c:v>113.64</c:v>
                </c:pt>
                <c:pt idx="4020" formatCode="General">
                  <c:v>76.02</c:v>
                </c:pt>
                <c:pt idx="4021" formatCode="General">
                  <c:v>134.87</c:v>
                </c:pt>
                <c:pt idx="4022" formatCode="General">
                  <c:v>138.16</c:v>
                </c:pt>
                <c:pt idx="4023" formatCode="General">
                  <c:v>113.08</c:v>
                </c:pt>
                <c:pt idx="4024" formatCode="General">
                  <c:v>154.84</c:v>
                </c:pt>
                <c:pt idx="4025" formatCode="General">
                  <c:v>85.42</c:v>
                </c:pt>
                <c:pt idx="4026" formatCode="General">
                  <c:v>60.14</c:v>
                </c:pt>
                <c:pt idx="4027" formatCode="General">
                  <c:v>39.020000000000003</c:v>
                </c:pt>
                <c:pt idx="4028" formatCode="General">
                  <c:v>51.83</c:v>
                </c:pt>
                <c:pt idx="4029" formatCode="General">
                  <c:v>57.44</c:v>
                </c:pt>
                <c:pt idx="4030" formatCode="General">
                  <c:v>69.33</c:v>
                </c:pt>
                <c:pt idx="4031" formatCode="General">
                  <c:v>74.56</c:v>
                </c:pt>
                <c:pt idx="4032" formatCode="General">
                  <c:v>77.239999999999995</c:v>
                </c:pt>
                <c:pt idx="4033" formatCode="General">
                  <c:v>69.88</c:v>
                </c:pt>
                <c:pt idx="4034" formatCode="General">
                  <c:v>48.28</c:v>
                </c:pt>
                <c:pt idx="4035" formatCode="General">
                  <c:v>47.49</c:v>
                </c:pt>
                <c:pt idx="4036" formatCode="General">
                  <c:v>43.5</c:v>
                </c:pt>
                <c:pt idx="4037" formatCode="General">
                  <c:v>50.93</c:v>
                </c:pt>
                <c:pt idx="4038" formatCode="General">
                  <c:v>43.21</c:v>
                </c:pt>
                <c:pt idx="4039" formatCode="General">
                  <c:v>28.54</c:v>
                </c:pt>
                <c:pt idx="4040" formatCode="General">
                  <c:v>35.160000000000011</c:v>
                </c:pt>
                <c:pt idx="4041" formatCode="General">
                  <c:v>45.54</c:v>
                </c:pt>
                <c:pt idx="4042" formatCode="General">
                  <c:v>41.14</c:v>
                </c:pt>
                <c:pt idx="4043" formatCode="General">
                  <c:v>39.46</c:v>
                </c:pt>
                <c:pt idx="4044" formatCode="General">
                  <c:v>38.020000000000003</c:v>
                </c:pt>
                <c:pt idx="4045" formatCode="General">
                  <c:v>36.56</c:v>
                </c:pt>
                <c:pt idx="4046" formatCode="General">
                  <c:v>36.78</c:v>
                </c:pt>
                <c:pt idx="4047" formatCode="General">
                  <c:v>35.47</c:v>
                </c:pt>
                <c:pt idx="4048" formatCode="General">
                  <c:v>38.44</c:v>
                </c:pt>
                <c:pt idx="4049" formatCode="General">
                  <c:v>47.809999999999995</c:v>
                </c:pt>
                <c:pt idx="4050" formatCode="General">
                  <c:v>52.58</c:v>
                </c:pt>
                <c:pt idx="4051" formatCode="General">
                  <c:v>58.37</c:v>
                </c:pt>
                <c:pt idx="4052" formatCode="General">
                  <c:v>49.14</c:v>
                </c:pt>
                <c:pt idx="4053" formatCode="General">
                  <c:v>61.879999999999995</c:v>
                </c:pt>
                <c:pt idx="4054" formatCode="General">
                  <c:v>51.56</c:v>
                </c:pt>
                <c:pt idx="4055" formatCode="General">
                  <c:v>37.690000000000012</c:v>
                </c:pt>
                <c:pt idx="4056" formatCode="General">
                  <c:v>43.21</c:v>
                </c:pt>
                <c:pt idx="4057" formatCode="General">
                  <c:v>39.89</c:v>
                </c:pt>
                <c:pt idx="4058" formatCode="General">
                  <c:v>30.34</c:v>
                </c:pt>
                <c:pt idx="4059" formatCode="General">
                  <c:v>41.309999999999995</c:v>
                </c:pt>
                <c:pt idx="4060" formatCode="General">
                  <c:v>43.87</c:v>
                </c:pt>
                <c:pt idx="4061" formatCode="General">
                  <c:v>37.370000000000005</c:v>
                </c:pt>
                <c:pt idx="4062" formatCode="General">
                  <c:v>35.89</c:v>
                </c:pt>
                <c:pt idx="4063" formatCode="General">
                  <c:v>44.730000000000011</c:v>
                </c:pt>
                <c:pt idx="4064" formatCode="General">
                  <c:v>33.480000000000004</c:v>
                </c:pt>
                <c:pt idx="4065" formatCode="General">
                  <c:v>41.15</c:v>
                </c:pt>
                <c:pt idx="4066" formatCode="General">
                  <c:v>39.660000000000011</c:v>
                </c:pt>
                <c:pt idx="4067" formatCode="General">
                  <c:v>32.220000000000013</c:v>
                </c:pt>
                <c:pt idx="4068" formatCode="General">
                  <c:v>33.93</c:v>
                </c:pt>
                <c:pt idx="4069" formatCode="General">
                  <c:v>40.160000000000011</c:v>
                </c:pt>
                <c:pt idx="4070" formatCode="General">
                  <c:v>62.230000000000011</c:v>
                </c:pt>
                <c:pt idx="4071" formatCode="General">
                  <c:v>63.64</c:v>
                </c:pt>
                <c:pt idx="4072" formatCode="General">
                  <c:v>112.24000000000002</c:v>
                </c:pt>
                <c:pt idx="4073" formatCode="General">
                  <c:v>74.64</c:v>
                </c:pt>
                <c:pt idx="4074" formatCode="General">
                  <c:v>68.05</c:v>
                </c:pt>
                <c:pt idx="4075" formatCode="General">
                  <c:v>39.879999999999995</c:v>
                </c:pt>
                <c:pt idx="4076" formatCode="General">
                  <c:v>37.47</c:v>
                </c:pt>
                <c:pt idx="4077" formatCode="General">
                  <c:v>48.2</c:v>
                </c:pt>
                <c:pt idx="4078" formatCode="General">
                  <c:v>51.06</c:v>
                </c:pt>
                <c:pt idx="4079" formatCode="General">
                  <c:v>37.57</c:v>
                </c:pt>
              </c:numCache>
            </c:numRef>
          </c:val>
          <c:extLst xmlns:c16r2="http://schemas.microsoft.com/office/drawing/2015/06/chart">
            <c:ext xmlns:c16="http://schemas.microsoft.com/office/drawing/2014/chart" uri="{C3380CC4-5D6E-409C-BE32-E72D297353CC}">
              <c16:uniqueId val="{00000000-10E6-4F81-AAA9-70CC0AEF1B43}"/>
            </c:ext>
          </c:extLst>
        </c:ser>
        <c:dLbls/>
        <c:marker val="1"/>
        <c:axId val="218994176"/>
        <c:axId val="218995712"/>
      </c:lineChart>
      <c:dateAx>
        <c:axId val="218994176"/>
        <c:scaling>
          <c:orientation val="minMax"/>
        </c:scaling>
        <c:axPos val="b"/>
        <c:numFmt formatCode="[$-C09]dd\-mmm\-yy;@" sourceLinked="0"/>
        <c:tickLblPos val="nextTo"/>
        <c:txPr>
          <a:bodyPr rot="-2340000"/>
          <a:lstStyle/>
          <a:p>
            <a:pPr>
              <a:defRPr lang="en-AU" sz="600"/>
            </a:pPr>
            <a:endParaRPr lang="en-US"/>
          </a:p>
        </c:txPr>
        <c:crossAx val="218995712"/>
        <c:crosses val="autoZero"/>
        <c:auto val="1"/>
        <c:lblOffset val="100"/>
        <c:baseTimeUnit val="days"/>
        <c:majorUnit val="4"/>
        <c:majorTimeUnit val="months"/>
      </c:dateAx>
      <c:valAx>
        <c:axId val="218995712"/>
        <c:scaling>
          <c:orientation val="minMax"/>
          <c:max val="1400"/>
          <c:min val="0"/>
        </c:scaling>
        <c:axPos val="l"/>
        <c:majorGridlines>
          <c:spPr>
            <a:ln>
              <a:solidFill>
                <a:schemeClr val="bg1">
                  <a:lumMod val="75000"/>
                </a:schemeClr>
              </a:solidFill>
              <a:prstDash val="solid"/>
            </a:ln>
          </c:spPr>
        </c:majorGridlines>
        <c:title>
          <c:tx>
            <c:rich>
              <a:bodyPr rot="-5400000" vert="horz"/>
              <a:lstStyle/>
              <a:p>
                <a:pPr>
                  <a:defRPr sz="800"/>
                </a:pPr>
                <a:r>
                  <a:rPr lang="en-US" sz="800"/>
                  <a:t>Average daily prices ($/MWh)</a:t>
                </a:r>
              </a:p>
            </c:rich>
          </c:tx>
        </c:title>
        <c:numFmt formatCode="#,##0" sourceLinked="0"/>
        <c:tickLblPos val="nextTo"/>
        <c:txPr>
          <a:bodyPr/>
          <a:lstStyle/>
          <a:p>
            <a:pPr>
              <a:defRPr lang="en-AU" sz="800"/>
            </a:pPr>
            <a:endParaRPr lang="en-US"/>
          </a:p>
        </c:txPr>
        <c:crossAx val="218994176"/>
        <c:crosses val="autoZero"/>
        <c:crossBetween val="between"/>
        <c:majorUnit val="200"/>
      </c:valAx>
      <c:spPr>
        <a:ln>
          <a:noFill/>
        </a:ln>
      </c:spPr>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9.5939372082306518E-2"/>
          <c:y val="3.3530013495493491E-2"/>
          <c:w val="0.87337039931077332"/>
          <c:h val="0.79545596519339912"/>
        </c:manualLayout>
      </c:layout>
      <c:barChart>
        <c:barDir val="col"/>
        <c:grouping val="clustered"/>
        <c:ser>
          <c:idx val="0"/>
          <c:order val="0"/>
          <c:tx>
            <c:strRef>
              <c:f>'NSW avg daily spot pric'!$H$33</c:f>
              <c:strCache>
                <c:ptCount val="1"/>
                <c:pt idx="0">
                  <c:v>RRP</c:v>
                </c:pt>
              </c:strCache>
            </c:strRef>
          </c:tx>
          <c:spPr>
            <a:solidFill>
              <a:schemeClr val="accent2">
                <a:lumMod val="75000"/>
              </a:schemeClr>
            </a:solidFill>
            <a:ln w="19050"/>
          </c:spPr>
          <c:dLbls>
            <c:numFmt formatCode="#,##0.00" sourceLinked="0"/>
            <c:spPr>
              <a:noFill/>
              <a:ln>
                <a:noFill/>
              </a:ln>
              <a:effectLst/>
            </c:spPr>
            <c:txPr>
              <a:bodyPr wrap="square" lIns="38100" tIns="19050" rIns="38100" bIns="19050" anchor="ctr">
                <a:spAutoFit/>
              </a:bodyPr>
              <a:lstStyle/>
              <a:p>
                <a:pPr>
                  <a:defRPr sz="800">
                    <a:solidFill>
                      <a:schemeClr val="bg1"/>
                    </a:solidFill>
                  </a:defRPr>
                </a:pPr>
                <a:endParaRPr lang="en-US"/>
              </a:p>
            </c:txPr>
            <c:dLblPos val="inEnd"/>
            <c:showVal val="1"/>
            <c:extLst>
              <c:ext xmlns:c15="http://schemas.microsoft.com/office/drawing/2012/chart" uri="{CE6537A1-D6FC-4f65-9D91-7224C49458BB}">
                <c15:showLeaderLines val="1"/>
              </c:ext>
            </c:extLst>
          </c:dLbls>
          <c:cat>
            <c:strRef>
              <c:f>'NSW avg daily spot pric'!$G$74:$G$86</c:f>
              <c:strCache>
                <c:ptCount val="13"/>
                <c:pt idx="0">
                  <c:v>2013 Q3</c:v>
                </c:pt>
                <c:pt idx="1">
                  <c:v>2013 Q4</c:v>
                </c:pt>
                <c:pt idx="2">
                  <c:v>2014 Q1</c:v>
                </c:pt>
                <c:pt idx="3">
                  <c:v>2014 Q2</c:v>
                </c:pt>
                <c:pt idx="4">
                  <c:v>2014 Q3</c:v>
                </c:pt>
                <c:pt idx="5">
                  <c:v>2014 Q4</c:v>
                </c:pt>
                <c:pt idx="6">
                  <c:v>2015 Q1</c:v>
                </c:pt>
                <c:pt idx="7">
                  <c:v>2015 Q2</c:v>
                </c:pt>
                <c:pt idx="8">
                  <c:v>2015 Q3</c:v>
                </c:pt>
                <c:pt idx="9">
                  <c:v>2015 Q4</c:v>
                </c:pt>
                <c:pt idx="10">
                  <c:v>2016 Q1</c:v>
                </c:pt>
                <c:pt idx="11">
                  <c:v>2016 Q2</c:v>
                </c:pt>
                <c:pt idx="12">
                  <c:v>2016 Q3</c:v>
                </c:pt>
              </c:strCache>
            </c:strRef>
          </c:cat>
          <c:val>
            <c:numRef>
              <c:f>'NSW avg daily spot pric'!$H$74:$H$86</c:f>
              <c:numCache>
                <c:formatCode>0.000</c:formatCode>
                <c:ptCount val="13"/>
                <c:pt idx="0">
                  <c:v>54.953113677536074</c:v>
                </c:pt>
                <c:pt idx="1">
                  <c:v>53.711302083333614</c:v>
                </c:pt>
                <c:pt idx="2">
                  <c:v>50.370763888888675</c:v>
                </c:pt>
                <c:pt idx="3">
                  <c:v>49.922332875457677</c:v>
                </c:pt>
                <c:pt idx="4">
                  <c:v>39.085219655797069</c:v>
                </c:pt>
                <c:pt idx="5">
                  <c:v>31.96963768115954</c:v>
                </c:pt>
                <c:pt idx="6">
                  <c:v>33.743090277778009</c:v>
                </c:pt>
                <c:pt idx="7">
                  <c:v>35.870835622710686</c:v>
                </c:pt>
                <c:pt idx="8">
                  <c:v>44.488516757246217</c:v>
                </c:pt>
                <c:pt idx="9">
                  <c:v>42.369153079710074</c:v>
                </c:pt>
                <c:pt idx="10">
                  <c:v>42.984819139194322</c:v>
                </c:pt>
                <c:pt idx="11">
                  <c:v>76.749603937728935</c:v>
                </c:pt>
                <c:pt idx="12">
                  <c:v>53.109028532608654</c:v>
                </c:pt>
              </c:numCache>
            </c:numRef>
          </c:val>
        </c:ser>
        <c:dLbls/>
        <c:gapWidth val="50"/>
        <c:axId val="229534720"/>
        <c:axId val="229544704"/>
      </c:barChart>
      <c:catAx>
        <c:axId val="229534720"/>
        <c:scaling>
          <c:orientation val="minMax"/>
        </c:scaling>
        <c:axPos val="b"/>
        <c:numFmt formatCode="General" sourceLinked="0"/>
        <c:tickLblPos val="nextTo"/>
        <c:txPr>
          <a:bodyPr rot="0"/>
          <a:lstStyle/>
          <a:p>
            <a:pPr>
              <a:defRPr lang="en-AU" sz="800" b="1"/>
            </a:pPr>
            <a:endParaRPr lang="en-US"/>
          </a:p>
        </c:txPr>
        <c:crossAx val="229544704"/>
        <c:crosses val="autoZero"/>
        <c:auto val="1"/>
        <c:lblAlgn val="ctr"/>
        <c:lblOffset val="100"/>
      </c:catAx>
      <c:valAx>
        <c:axId val="229544704"/>
        <c:scaling>
          <c:orientation val="minMax"/>
          <c:min val="0"/>
        </c:scaling>
        <c:axPos val="l"/>
        <c:majorGridlines>
          <c:spPr>
            <a:ln w="3175">
              <a:solidFill>
                <a:schemeClr val="bg1">
                  <a:lumMod val="75000"/>
                </a:schemeClr>
              </a:solidFill>
              <a:prstDash val="solid"/>
            </a:ln>
          </c:spPr>
        </c:majorGridlines>
        <c:title>
          <c:tx>
            <c:rich>
              <a:bodyPr rot="-5400000" vert="horz"/>
              <a:lstStyle/>
              <a:p>
                <a:pPr>
                  <a:defRPr sz="800"/>
                </a:pPr>
                <a:r>
                  <a:rPr lang="en-US" sz="800"/>
                  <a:t>Average annual prices ($/MWh)</a:t>
                </a:r>
              </a:p>
            </c:rich>
          </c:tx>
          <c:layout>
            <c:manualLayout>
              <c:xMode val="edge"/>
              <c:yMode val="edge"/>
              <c:x val="1.3875042616348558E-2"/>
              <c:y val="0.2061898900720594"/>
            </c:manualLayout>
          </c:layout>
        </c:title>
        <c:numFmt formatCode="#,##0" sourceLinked="0"/>
        <c:tickLblPos val="nextTo"/>
        <c:txPr>
          <a:bodyPr/>
          <a:lstStyle/>
          <a:p>
            <a:pPr>
              <a:defRPr lang="en-AU" sz="800"/>
            </a:pPr>
            <a:endParaRPr lang="en-US"/>
          </a:p>
        </c:txPr>
        <c:crossAx val="229534720"/>
        <c:crosses val="autoZero"/>
        <c:crossBetween val="between"/>
        <c:majorUnit val="10"/>
      </c:valAx>
      <c:spPr>
        <a:ln>
          <a:noFill/>
        </a:ln>
      </c:spPr>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col"/>
        <c:grouping val="clustered"/>
        <c:ser>
          <c:idx val="0"/>
          <c:order val="0"/>
          <c:tx>
            <c:strRef>
              <c:f>'Fig2.5 Elec consmptn'!$B$1</c:f>
              <c:strCache>
                <c:ptCount val="1"/>
                <c:pt idx="0">
                  <c:v>New South Wales (Terawatt hours)</c:v>
                </c:pt>
              </c:strCache>
            </c:strRef>
          </c:tx>
          <c:spPr>
            <a:solidFill>
              <a:schemeClr val="accent1"/>
            </a:solidFill>
            <a:ln>
              <a:noFill/>
            </a:ln>
            <a:effectLst/>
          </c:spPr>
          <c:cat>
            <c:strRef>
              <c:f>'Fig2.5 Elec consmptn'!$A$2:$A$18</c:f>
              <c:strCache>
                <c:ptCount val="17"/>
                <c:pt idx="0">
                  <c:v>1999-00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pt idx="15">
                  <c:v>2014-15</c:v>
                </c:pt>
                <c:pt idx="16">
                  <c:v>2015-16</c:v>
                </c:pt>
              </c:strCache>
            </c:strRef>
          </c:cat>
          <c:val>
            <c:numRef>
              <c:f>'Fig2.5 Elec consmptn'!$B$2:$B$18</c:f>
              <c:numCache>
                <c:formatCode>General</c:formatCode>
                <c:ptCount val="17"/>
                <c:pt idx="0">
                  <c:v>67.599999999999994</c:v>
                </c:pt>
                <c:pt idx="1">
                  <c:v>69.400000000000006</c:v>
                </c:pt>
                <c:pt idx="2">
                  <c:v>70.2</c:v>
                </c:pt>
                <c:pt idx="3">
                  <c:v>71.599999999999994</c:v>
                </c:pt>
                <c:pt idx="4">
                  <c:v>73.7</c:v>
                </c:pt>
                <c:pt idx="5">
                  <c:v>74.400000000000006</c:v>
                </c:pt>
                <c:pt idx="6">
                  <c:v>76.8</c:v>
                </c:pt>
                <c:pt idx="7">
                  <c:v>78.599999999999994</c:v>
                </c:pt>
                <c:pt idx="8">
                  <c:v>78.900000000000006</c:v>
                </c:pt>
                <c:pt idx="9">
                  <c:v>79.599999999999994</c:v>
                </c:pt>
                <c:pt idx="10">
                  <c:v>78.5</c:v>
                </c:pt>
                <c:pt idx="11">
                  <c:v>78.099999999999994</c:v>
                </c:pt>
                <c:pt idx="12">
                  <c:v>75.3</c:v>
                </c:pt>
                <c:pt idx="13">
                  <c:v>71.599999999999994</c:v>
                </c:pt>
                <c:pt idx="14">
                  <c:v>69.7</c:v>
                </c:pt>
                <c:pt idx="15">
                  <c:v>70.3</c:v>
                </c:pt>
                <c:pt idx="16">
                  <c:v>71.2</c:v>
                </c:pt>
              </c:numCache>
            </c:numRef>
          </c:val>
          <c:extLst xmlns:c16r2="http://schemas.microsoft.com/office/drawing/2015/06/chart">
            <c:ext xmlns:c16="http://schemas.microsoft.com/office/drawing/2014/chart" uri="{C3380CC4-5D6E-409C-BE32-E72D297353CC}">
              <c16:uniqueId val="{00000000-131F-458D-9DB2-1E68F1BD1DB3}"/>
            </c:ext>
          </c:extLst>
        </c:ser>
        <c:dLbls/>
        <c:gapWidth val="219"/>
        <c:overlap val="-27"/>
        <c:axId val="233407232"/>
        <c:axId val="233408768"/>
      </c:barChart>
      <c:catAx>
        <c:axId val="233407232"/>
        <c:scaling>
          <c:orientation val="minMax"/>
        </c:scaling>
        <c:axPos val="b"/>
        <c:majorGridlines>
          <c:spPr>
            <a:ln w="9525" cap="flat" cmpd="sng" algn="ctr">
              <a:noFill/>
              <a:round/>
            </a:ln>
            <a:effectLst/>
          </c:spPr>
        </c:majorGridlines>
        <c:minorGridlines>
          <c:spPr>
            <a:ln w="9525" cap="flat" cmpd="sng" algn="ctr">
              <a:noFill/>
              <a:round/>
            </a:ln>
            <a:effectLst/>
          </c:spPr>
        </c:minorGridlines>
        <c:numFmt formatCode="General" sourceLinked="1"/>
        <c:majorTickMark val="none"/>
        <c:tickLblPos val="nextTo"/>
        <c:spPr>
          <a:noFill/>
          <a:ln w="9525" cap="flat" cmpd="sng" algn="ctr">
            <a:solidFill>
              <a:schemeClr val="tx1">
                <a:tint val="75000"/>
                <a:shade val="95000"/>
                <a:satMod val="10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33408768"/>
        <c:crosses val="autoZero"/>
        <c:auto val="1"/>
        <c:lblAlgn val="ctr"/>
        <c:lblOffset val="100"/>
      </c:catAx>
      <c:valAx>
        <c:axId val="233408768"/>
        <c:scaling>
          <c:orientation val="minMax"/>
          <c:max val="8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TWh</a:t>
                </a:r>
              </a:p>
            </c:rich>
          </c:tx>
          <c:spPr>
            <a:noFill/>
            <a:ln>
              <a:noFill/>
            </a:ln>
            <a:effectLst/>
          </c:spPr>
        </c:title>
        <c:numFmt formatCode="General" sourceLinked="1"/>
        <c:majorTickMark val="none"/>
        <c:tickLblPos val="nextTo"/>
        <c:spPr>
          <a:noFill/>
          <a:ln>
            <a:solidFill>
              <a:schemeClr val="tx1">
                <a:tint val="75000"/>
                <a:shade val="95000"/>
                <a:satMod val="10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3407232"/>
        <c:crosses val="autoZero"/>
        <c:crossBetween val="between"/>
        <c:majorUnit val="4"/>
      </c:valAx>
      <c:spPr>
        <a:noFill/>
        <a:ln>
          <a:noFill/>
        </a:ln>
        <a:effectLst/>
      </c:spPr>
    </c:plotArea>
    <c:plotVisOnly val="1"/>
    <c:dispBlanksAs val="gap"/>
  </c:chart>
  <c:spPr>
    <a:solidFill>
      <a:schemeClr val="bg1"/>
    </a:solidFill>
    <a:ln w="9525" cap="flat" cmpd="sng" algn="ctr">
      <a:solidFill>
        <a:schemeClr val="tx1">
          <a:tint val="75000"/>
          <a:shade val="95000"/>
          <a:satMod val="10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9.0793293556500204E-2"/>
          <c:y val="6.7516057340553132E-2"/>
          <c:w val="0.82246610651876462"/>
          <c:h val="0.64026020147093599"/>
        </c:manualLayout>
      </c:layout>
      <c:lineChart>
        <c:grouping val="standard"/>
        <c:ser>
          <c:idx val="1"/>
          <c:order val="0"/>
          <c:tx>
            <c:strRef>
              <c:f>'2017-18'!$C$1</c:f>
              <c:strCache>
                <c:ptCount val="1"/>
                <c:pt idx="0">
                  <c:v>OTC Flat 2017-18</c:v>
                </c:pt>
              </c:strCache>
            </c:strRef>
          </c:tx>
          <c:marker>
            <c:symbol val="none"/>
          </c:marker>
          <c:cat>
            <c:numRef>
              <c:f>'2017-18'!$A$2:$A$478</c:f>
              <c:numCache>
                <c:formatCode>m/d/yyyy</c:formatCode>
                <c:ptCount val="300"/>
                <c:pt idx="0">
                  <c:v>42186</c:v>
                </c:pt>
                <c:pt idx="1">
                  <c:v>42187</c:v>
                </c:pt>
                <c:pt idx="2">
                  <c:v>42188</c:v>
                </c:pt>
                <c:pt idx="3">
                  <c:v>42191</c:v>
                </c:pt>
                <c:pt idx="4">
                  <c:v>42192</c:v>
                </c:pt>
                <c:pt idx="5">
                  <c:v>42193</c:v>
                </c:pt>
                <c:pt idx="6">
                  <c:v>42194</c:v>
                </c:pt>
                <c:pt idx="7">
                  <c:v>42195</c:v>
                </c:pt>
                <c:pt idx="8">
                  <c:v>42198</c:v>
                </c:pt>
                <c:pt idx="9">
                  <c:v>42199</c:v>
                </c:pt>
                <c:pt idx="10">
                  <c:v>42200</c:v>
                </c:pt>
                <c:pt idx="11">
                  <c:v>42201</c:v>
                </c:pt>
                <c:pt idx="12">
                  <c:v>42202</c:v>
                </c:pt>
                <c:pt idx="13">
                  <c:v>42205</c:v>
                </c:pt>
                <c:pt idx="14">
                  <c:v>42206</c:v>
                </c:pt>
                <c:pt idx="15">
                  <c:v>42207</c:v>
                </c:pt>
                <c:pt idx="16">
                  <c:v>42208</c:v>
                </c:pt>
                <c:pt idx="17">
                  <c:v>42209</c:v>
                </c:pt>
                <c:pt idx="18">
                  <c:v>42212</c:v>
                </c:pt>
                <c:pt idx="19">
                  <c:v>42213</c:v>
                </c:pt>
                <c:pt idx="20">
                  <c:v>42214</c:v>
                </c:pt>
                <c:pt idx="21">
                  <c:v>42215</c:v>
                </c:pt>
                <c:pt idx="22">
                  <c:v>42216</c:v>
                </c:pt>
                <c:pt idx="23">
                  <c:v>42219</c:v>
                </c:pt>
                <c:pt idx="24">
                  <c:v>42220</c:v>
                </c:pt>
                <c:pt idx="25">
                  <c:v>42221</c:v>
                </c:pt>
                <c:pt idx="26">
                  <c:v>42222</c:v>
                </c:pt>
                <c:pt idx="27">
                  <c:v>42223</c:v>
                </c:pt>
                <c:pt idx="28">
                  <c:v>42226</c:v>
                </c:pt>
                <c:pt idx="29">
                  <c:v>42227</c:v>
                </c:pt>
                <c:pt idx="30">
                  <c:v>42228</c:v>
                </c:pt>
                <c:pt idx="31">
                  <c:v>42229</c:v>
                </c:pt>
                <c:pt idx="32">
                  <c:v>42230</c:v>
                </c:pt>
                <c:pt idx="33">
                  <c:v>42233</c:v>
                </c:pt>
                <c:pt idx="34">
                  <c:v>42234</c:v>
                </c:pt>
                <c:pt idx="35">
                  <c:v>42235</c:v>
                </c:pt>
                <c:pt idx="36">
                  <c:v>42236</c:v>
                </c:pt>
                <c:pt idx="37">
                  <c:v>42237</c:v>
                </c:pt>
                <c:pt idx="38">
                  <c:v>42240</c:v>
                </c:pt>
                <c:pt idx="39">
                  <c:v>42241</c:v>
                </c:pt>
                <c:pt idx="40">
                  <c:v>42242</c:v>
                </c:pt>
                <c:pt idx="41">
                  <c:v>42243</c:v>
                </c:pt>
                <c:pt idx="42">
                  <c:v>42244</c:v>
                </c:pt>
                <c:pt idx="43">
                  <c:v>42247</c:v>
                </c:pt>
                <c:pt idx="44">
                  <c:v>42248</c:v>
                </c:pt>
                <c:pt idx="45">
                  <c:v>42249</c:v>
                </c:pt>
                <c:pt idx="46">
                  <c:v>42250</c:v>
                </c:pt>
                <c:pt idx="47">
                  <c:v>42251</c:v>
                </c:pt>
                <c:pt idx="48">
                  <c:v>42254</c:v>
                </c:pt>
                <c:pt idx="49">
                  <c:v>42255</c:v>
                </c:pt>
                <c:pt idx="50">
                  <c:v>42256</c:v>
                </c:pt>
                <c:pt idx="51">
                  <c:v>42257</c:v>
                </c:pt>
                <c:pt idx="52">
                  <c:v>42258</c:v>
                </c:pt>
                <c:pt idx="53">
                  <c:v>42261</c:v>
                </c:pt>
                <c:pt idx="54">
                  <c:v>42262</c:v>
                </c:pt>
                <c:pt idx="55">
                  <c:v>42263</c:v>
                </c:pt>
                <c:pt idx="56">
                  <c:v>42264</c:v>
                </c:pt>
                <c:pt idx="57">
                  <c:v>42265</c:v>
                </c:pt>
                <c:pt idx="58">
                  <c:v>42268</c:v>
                </c:pt>
                <c:pt idx="59">
                  <c:v>42269</c:v>
                </c:pt>
                <c:pt idx="60">
                  <c:v>42270</c:v>
                </c:pt>
                <c:pt idx="61">
                  <c:v>42271</c:v>
                </c:pt>
                <c:pt idx="62">
                  <c:v>42272</c:v>
                </c:pt>
                <c:pt idx="63">
                  <c:v>42275</c:v>
                </c:pt>
                <c:pt idx="64">
                  <c:v>42276</c:v>
                </c:pt>
                <c:pt idx="65">
                  <c:v>42277</c:v>
                </c:pt>
                <c:pt idx="66">
                  <c:v>42278</c:v>
                </c:pt>
                <c:pt idx="67">
                  <c:v>42279</c:v>
                </c:pt>
                <c:pt idx="68">
                  <c:v>42282</c:v>
                </c:pt>
                <c:pt idx="69">
                  <c:v>42283</c:v>
                </c:pt>
                <c:pt idx="70">
                  <c:v>42284</c:v>
                </c:pt>
                <c:pt idx="71">
                  <c:v>42285</c:v>
                </c:pt>
                <c:pt idx="72">
                  <c:v>42286</c:v>
                </c:pt>
                <c:pt idx="73">
                  <c:v>42289</c:v>
                </c:pt>
                <c:pt idx="74">
                  <c:v>42290</c:v>
                </c:pt>
                <c:pt idx="75">
                  <c:v>42291</c:v>
                </c:pt>
                <c:pt idx="76">
                  <c:v>42292</c:v>
                </c:pt>
                <c:pt idx="77">
                  <c:v>42293</c:v>
                </c:pt>
                <c:pt idx="78">
                  <c:v>42296</c:v>
                </c:pt>
                <c:pt idx="79">
                  <c:v>42297</c:v>
                </c:pt>
                <c:pt idx="80">
                  <c:v>42298</c:v>
                </c:pt>
                <c:pt idx="81">
                  <c:v>42299</c:v>
                </c:pt>
                <c:pt idx="82">
                  <c:v>42300</c:v>
                </c:pt>
                <c:pt idx="83">
                  <c:v>42303</c:v>
                </c:pt>
                <c:pt idx="84">
                  <c:v>42304</c:v>
                </c:pt>
                <c:pt idx="85">
                  <c:v>42305</c:v>
                </c:pt>
                <c:pt idx="86">
                  <c:v>42306</c:v>
                </c:pt>
                <c:pt idx="87">
                  <c:v>42307</c:v>
                </c:pt>
                <c:pt idx="88">
                  <c:v>42310</c:v>
                </c:pt>
                <c:pt idx="89">
                  <c:v>42311</c:v>
                </c:pt>
                <c:pt idx="90">
                  <c:v>42312</c:v>
                </c:pt>
                <c:pt idx="91">
                  <c:v>42313</c:v>
                </c:pt>
                <c:pt idx="92">
                  <c:v>42314</c:v>
                </c:pt>
                <c:pt idx="93">
                  <c:v>42317</c:v>
                </c:pt>
                <c:pt idx="94">
                  <c:v>42318</c:v>
                </c:pt>
                <c:pt idx="95">
                  <c:v>42319</c:v>
                </c:pt>
                <c:pt idx="96">
                  <c:v>42320</c:v>
                </c:pt>
                <c:pt idx="97">
                  <c:v>42321</c:v>
                </c:pt>
                <c:pt idx="98">
                  <c:v>42324</c:v>
                </c:pt>
                <c:pt idx="99">
                  <c:v>42325</c:v>
                </c:pt>
                <c:pt idx="100">
                  <c:v>42326</c:v>
                </c:pt>
                <c:pt idx="101">
                  <c:v>42327</c:v>
                </c:pt>
                <c:pt idx="102">
                  <c:v>42328</c:v>
                </c:pt>
                <c:pt idx="103">
                  <c:v>42331</c:v>
                </c:pt>
                <c:pt idx="104">
                  <c:v>42332</c:v>
                </c:pt>
                <c:pt idx="105">
                  <c:v>42333</c:v>
                </c:pt>
                <c:pt idx="106">
                  <c:v>42334</c:v>
                </c:pt>
                <c:pt idx="107">
                  <c:v>42335</c:v>
                </c:pt>
                <c:pt idx="108">
                  <c:v>42338</c:v>
                </c:pt>
                <c:pt idx="109">
                  <c:v>42339</c:v>
                </c:pt>
                <c:pt idx="110">
                  <c:v>42340</c:v>
                </c:pt>
                <c:pt idx="111">
                  <c:v>42341</c:v>
                </c:pt>
                <c:pt idx="112">
                  <c:v>42342</c:v>
                </c:pt>
                <c:pt idx="113">
                  <c:v>42345</c:v>
                </c:pt>
                <c:pt idx="114">
                  <c:v>42346</c:v>
                </c:pt>
                <c:pt idx="115">
                  <c:v>42347</c:v>
                </c:pt>
                <c:pt idx="116">
                  <c:v>42348</c:v>
                </c:pt>
                <c:pt idx="117">
                  <c:v>42349</c:v>
                </c:pt>
                <c:pt idx="118">
                  <c:v>42352</c:v>
                </c:pt>
                <c:pt idx="119">
                  <c:v>42353</c:v>
                </c:pt>
                <c:pt idx="120">
                  <c:v>42354</c:v>
                </c:pt>
                <c:pt idx="121">
                  <c:v>42355</c:v>
                </c:pt>
                <c:pt idx="122">
                  <c:v>42356</c:v>
                </c:pt>
                <c:pt idx="123">
                  <c:v>42359</c:v>
                </c:pt>
                <c:pt idx="124">
                  <c:v>42360</c:v>
                </c:pt>
                <c:pt idx="125">
                  <c:v>42361</c:v>
                </c:pt>
                <c:pt idx="126">
                  <c:v>42362</c:v>
                </c:pt>
                <c:pt idx="127">
                  <c:v>42367</c:v>
                </c:pt>
                <c:pt idx="128">
                  <c:v>42368</c:v>
                </c:pt>
                <c:pt idx="129">
                  <c:v>42369</c:v>
                </c:pt>
                <c:pt idx="130">
                  <c:v>42373</c:v>
                </c:pt>
                <c:pt idx="131">
                  <c:v>42374</c:v>
                </c:pt>
                <c:pt idx="132">
                  <c:v>42375</c:v>
                </c:pt>
                <c:pt idx="133">
                  <c:v>42376</c:v>
                </c:pt>
                <c:pt idx="134">
                  <c:v>42377</c:v>
                </c:pt>
                <c:pt idx="135">
                  <c:v>42380</c:v>
                </c:pt>
                <c:pt idx="136">
                  <c:v>42381</c:v>
                </c:pt>
                <c:pt idx="137">
                  <c:v>42382</c:v>
                </c:pt>
                <c:pt idx="138">
                  <c:v>42383</c:v>
                </c:pt>
                <c:pt idx="139">
                  <c:v>42384</c:v>
                </c:pt>
                <c:pt idx="140">
                  <c:v>42387</c:v>
                </c:pt>
                <c:pt idx="141">
                  <c:v>42388</c:v>
                </c:pt>
                <c:pt idx="142">
                  <c:v>42389</c:v>
                </c:pt>
                <c:pt idx="143">
                  <c:v>42390</c:v>
                </c:pt>
                <c:pt idx="144">
                  <c:v>42391</c:v>
                </c:pt>
                <c:pt idx="145">
                  <c:v>42394</c:v>
                </c:pt>
                <c:pt idx="146">
                  <c:v>42396</c:v>
                </c:pt>
                <c:pt idx="147">
                  <c:v>42397</c:v>
                </c:pt>
                <c:pt idx="148">
                  <c:v>42398</c:v>
                </c:pt>
                <c:pt idx="149">
                  <c:v>42401</c:v>
                </c:pt>
                <c:pt idx="150">
                  <c:v>42402</c:v>
                </c:pt>
                <c:pt idx="151">
                  <c:v>42403</c:v>
                </c:pt>
                <c:pt idx="152">
                  <c:v>42404</c:v>
                </c:pt>
                <c:pt idx="153">
                  <c:v>42405</c:v>
                </c:pt>
                <c:pt idx="154">
                  <c:v>42408</c:v>
                </c:pt>
                <c:pt idx="155">
                  <c:v>42409</c:v>
                </c:pt>
                <c:pt idx="156">
                  <c:v>42410</c:v>
                </c:pt>
                <c:pt idx="157">
                  <c:v>42411</c:v>
                </c:pt>
                <c:pt idx="158">
                  <c:v>42412</c:v>
                </c:pt>
                <c:pt idx="159">
                  <c:v>42415</c:v>
                </c:pt>
                <c:pt idx="160">
                  <c:v>42416</c:v>
                </c:pt>
                <c:pt idx="161">
                  <c:v>42417</c:v>
                </c:pt>
                <c:pt idx="162">
                  <c:v>42418</c:v>
                </c:pt>
                <c:pt idx="163">
                  <c:v>42419</c:v>
                </c:pt>
                <c:pt idx="164">
                  <c:v>42422</c:v>
                </c:pt>
                <c:pt idx="165">
                  <c:v>42423</c:v>
                </c:pt>
                <c:pt idx="166">
                  <c:v>42424</c:v>
                </c:pt>
                <c:pt idx="167">
                  <c:v>42425</c:v>
                </c:pt>
                <c:pt idx="168">
                  <c:v>42426</c:v>
                </c:pt>
                <c:pt idx="169">
                  <c:v>42429</c:v>
                </c:pt>
                <c:pt idx="170">
                  <c:v>42430</c:v>
                </c:pt>
                <c:pt idx="171">
                  <c:v>42431</c:v>
                </c:pt>
                <c:pt idx="172">
                  <c:v>42432</c:v>
                </c:pt>
                <c:pt idx="173">
                  <c:v>42433</c:v>
                </c:pt>
                <c:pt idx="174">
                  <c:v>42436</c:v>
                </c:pt>
                <c:pt idx="175">
                  <c:v>42437</c:v>
                </c:pt>
                <c:pt idx="176">
                  <c:v>42438</c:v>
                </c:pt>
                <c:pt idx="177">
                  <c:v>42439</c:v>
                </c:pt>
                <c:pt idx="178">
                  <c:v>42440</c:v>
                </c:pt>
                <c:pt idx="179">
                  <c:v>42443</c:v>
                </c:pt>
                <c:pt idx="180">
                  <c:v>42444</c:v>
                </c:pt>
                <c:pt idx="181">
                  <c:v>42445</c:v>
                </c:pt>
                <c:pt idx="182">
                  <c:v>42446</c:v>
                </c:pt>
                <c:pt idx="183">
                  <c:v>42447</c:v>
                </c:pt>
                <c:pt idx="184">
                  <c:v>42450</c:v>
                </c:pt>
                <c:pt idx="185">
                  <c:v>42451</c:v>
                </c:pt>
                <c:pt idx="186">
                  <c:v>42452</c:v>
                </c:pt>
                <c:pt idx="187">
                  <c:v>42453</c:v>
                </c:pt>
                <c:pt idx="188">
                  <c:v>42458</c:v>
                </c:pt>
                <c:pt idx="189">
                  <c:v>42459</c:v>
                </c:pt>
                <c:pt idx="190">
                  <c:v>42460</c:v>
                </c:pt>
                <c:pt idx="191">
                  <c:v>42461</c:v>
                </c:pt>
                <c:pt idx="192">
                  <c:v>42464</c:v>
                </c:pt>
                <c:pt idx="193">
                  <c:v>42465</c:v>
                </c:pt>
                <c:pt idx="194">
                  <c:v>42466</c:v>
                </c:pt>
                <c:pt idx="195">
                  <c:v>42467</c:v>
                </c:pt>
                <c:pt idx="196">
                  <c:v>42468</c:v>
                </c:pt>
                <c:pt idx="197">
                  <c:v>42471</c:v>
                </c:pt>
                <c:pt idx="198">
                  <c:v>42472</c:v>
                </c:pt>
                <c:pt idx="199">
                  <c:v>42473</c:v>
                </c:pt>
                <c:pt idx="200">
                  <c:v>42474</c:v>
                </c:pt>
                <c:pt idx="201">
                  <c:v>42475</c:v>
                </c:pt>
                <c:pt idx="202">
                  <c:v>42478</c:v>
                </c:pt>
                <c:pt idx="203">
                  <c:v>42479</c:v>
                </c:pt>
                <c:pt idx="204">
                  <c:v>42480</c:v>
                </c:pt>
                <c:pt idx="205">
                  <c:v>42481</c:v>
                </c:pt>
                <c:pt idx="206">
                  <c:v>42482</c:v>
                </c:pt>
                <c:pt idx="207">
                  <c:v>42486</c:v>
                </c:pt>
                <c:pt idx="208">
                  <c:v>42487</c:v>
                </c:pt>
                <c:pt idx="209">
                  <c:v>42488</c:v>
                </c:pt>
                <c:pt idx="210">
                  <c:v>42489</c:v>
                </c:pt>
                <c:pt idx="211">
                  <c:v>42492</c:v>
                </c:pt>
                <c:pt idx="212">
                  <c:v>42493</c:v>
                </c:pt>
                <c:pt idx="213">
                  <c:v>42494</c:v>
                </c:pt>
                <c:pt idx="214">
                  <c:v>42495</c:v>
                </c:pt>
                <c:pt idx="215">
                  <c:v>42496</c:v>
                </c:pt>
                <c:pt idx="216">
                  <c:v>42499</c:v>
                </c:pt>
                <c:pt idx="217">
                  <c:v>42500</c:v>
                </c:pt>
                <c:pt idx="218">
                  <c:v>42501</c:v>
                </c:pt>
                <c:pt idx="219">
                  <c:v>42502</c:v>
                </c:pt>
                <c:pt idx="220">
                  <c:v>42503</c:v>
                </c:pt>
                <c:pt idx="221">
                  <c:v>42506</c:v>
                </c:pt>
                <c:pt idx="222">
                  <c:v>42507</c:v>
                </c:pt>
                <c:pt idx="223">
                  <c:v>42508</c:v>
                </c:pt>
                <c:pt idx="224">
                  <c:v>42509</c:v>
                </c:pt>
                <c:pt idx="225">
                  <c:v>42510</c:v>
                </c:pt>
                <c:pt idx="226">
                  <c:v>42513</c:v>
                </c:pt>
                <c:pt idx="227">
                  <c:v>42514</c:v>
                </c:pt>
                <c:pt idx="228">
                  <c:v>42515</c:v>
                </c:pt>
                <c:pt idx="229">
                  <c:v>42516</c:v>
                </c:pt>
                <c:pt idx="230">
                  <c:v>42517</c:v>
                </c:pt>
                <c:pt idx="231">
                  <c:v>42520</c:v>
                </c:pt>
                <c:pt idx="232">
                  <c:v>42521</c:v>
                </c:pt>
                <c:pt idx="233">
                  <c:v>42522</c:v>
                </c:pt>
                <c:pt idx="234">
                  <c:v>42523</c:v>
                </c:pt>
                <c:pt idx="235">
                  <c:v>42524</c:v>
                </c:pt>
                <c:pt idx="236">
                  <c:v>42527</c:v>
                </c:pt>
                <c:pt idx="237">
                  <c:v>42528</c:v>
                </c:pt>
                <c:pt idx="238">
                  <c:v>42529</c:v>
                </c:pt>
                <c:pt idx="239">
                  <c:v>42530</c:v>
                </c:pt>
                <c:pt idx="240">
                  <c:v>42531</c:v>
                </c:pt>
                <c:pt idx="241">
                  <c:v>42535</c:v>
                </c:pt>
                <c:pt idx="242">
                  <c:v>42536</c:v>
                </c:pt>
                <c:pt idx="243">
                  <c:v>42537</c:v>
                </c:pt>
                <c:pt idx="244">
                  <c:v>42538</c:v>
                </c:pt>
                <c:pt idx="245">
                  <c:v>42541</c:v>
                </c:pt>
                <c:pt idx="246">
                  <c:v>42542</c:v>
                </c:pt>
                <c:pt idx="247">
                  <c:v>42543</c:v>
                </c:pt>
                <c:pt idx="248">
                  <c:v>42544</c:v>
                </c:pt>
                <c:pt idx="249">
                  <c:v>42545</c:v>
                </c:pt>
                <c:pt idx="250">
                  <c:v>42548</c:v>
                </c:pt>
                <c:pt idx="251">
                  <c:v>42549</c:v>
                </c:pt>
                <c:pt idx="252">
                  <c:v>42550</c:v>
                </c:pt>
                <c:pt idx="253">
                  <c:v>42551</c:v>
                </c:pt>
                <c:pt idx="254">
                  <c:v>42552</c:v>
                </c:pt>
                <c:pt idx="255">
                  <c:v>42555</c:v>
                </c:pt>
                <c:pt idx="256">
                  <c:v>42556</c:v>
                </c:pt>
                <c:pt idx="257">
                  <c:v>42557</c:v>
                </c:pt>
                <c:pt idx="258">
                  <c:v>42558</c:v>
                </c:pt>
                <c:pt idx="259">
                  <c:v>42559</c:v>
                </c:pt>
                <c:pt idx="260">
                  <c:v>42562</c:v>
                </c:pt>
                <c:pt idx="261">
                  <c:v>42563</c:v>
                </c:pt>
                <c:pt idx="262">
                  <c:v>42564</c:v>
                </c:pt>
                <c:pt idx="263">
                  <c:v>42565</c:v>
                </c:pt>
                <c:pt idx="264">
                  <c:v>42566</c:v>
                </c:pt>
                <c:pt idx="265">
                  <c:v>42569</c:v>
                </c:pt>
                <c:pt idx="266">
                  <c:v>42570</c:v>
                </c:pt>
                <c:pt idx="267">
                  <c:v>42571</c:v>
                </c:pt>
                <c:pt idx="268">
                  <c:v>42572</c:v>
                </c:pt>
                <c:pt idx="269">
                  <c:v>42573</c:v>
                </c:pt>
                <c:pt idx="270">
                  <c:v>42576</c:v>
                </c:pt>
                <c:pt idx="271">
                  <c:v>42577</c:v>
                </c:pt>
                <c:pt idx="272">
                  <c:v>42578</c:v>
                </c:pt>
                <c:pt idx="273">
                  <c:v>42579</c:v>
                </c:pt>
                <c:pt idx="274">
                  <c:v>42580</c:v>
                </c:pt>
                <c:pt idx="275">
                  <c:v>42583</c:v>
                </c:pt>
                <c:pt idx="276">
                  <c:v>42584</c:v>
                </c:pt>
                <c:pt idx="277">
                  <c:v>42585</c:v>
                </c:pt>
                <c:pt idx="278">
                  <c:v>42586</c:v>
                </c:pt>
                <c:pt idx="279">
                  <c:v>42587</c:v>
                </c:pt>
                <c:pt idx="280">
                  <c:v>42590</c:v>
                </c:pt>
                <c:pt idx="281">
                  <c:v>42591</c:v>
                </c:pt>
                <c:pt idx="282">
                  <c:v>42592</c:v>
                </c:pt>
                <c:pt idx="283">
                  <c:v>42593</c:v>
                </c:pt>
                <c:pt idx="284">
                  <c:v>42594</c:v>
                </c:pt>
                <c:pt idx="285">
                  <c:v>42597</c:v>
                </c:pt>
                <c:pt idx="286">
                  <c:v>42598</c:v>
                </c:pt>
                <c:pt idx="287">
                  <c:v>42599</c:v>
                </c:pt>
                <c:pt idx="288">
                  <c:v>42600</c:v>
                </c:pt>
                <c:pt idx="289">
                  <c:v>42601</c:v>
                </c:pt>
                <c:pt idx="290">
                  <c:v>42604</c:v>
                </c:pt>
                <c:pt idx="291">
                  <c:v>42605</c:v>
                </c:pt>
                <c:pt idx="292">
                  <c:v>42606</c:v>
                </c:pt>
                <c:pt idx="293">
                  <c:v>42607</c:v>
                </c:pt>
                <c:pt idx="294">
                  <c:v>42608</c:v>
                </c:pt>
                <c:pt idx="295">
                  <c:v>42611</c:v>
                </c:pt>
                <c:pt idx="296">
                  <c:v>42612</c:v>
                </c:pt>
                <c:pt idx="297">
                  <c:v>42613</c:v>
                </c:pt>
                <c:pt idx="298">
                  <c:v>42614</c:v>
                </c:pt>
                <c:pt idx="299">
                  <c:v>42615</c:v>
                </c:pt>
              </c:numCache>
            </c:numRef>
          </c:cat>
          <c:val>
            <c:numRef>
              <c:f>'2017-18'!$C$2:$C$478</c:f>
              <c:numCache>
                <c:formatCode>#,##0.00</c:formatCode>
                <c:ptCount val="300"/>
                <c:pt idx="0">
                  <c:v>43.5</c:v>
                </c:pt>
                <c:pt idx="1">
                  <c:v>43.5</c:v>
                </c:pt>
                <c:pt idx="2">
                  <c:v>43.5</c:v>
                </c:pt>
                <c:pt idx="3">
                  <c:v>43.3</c:v>
                </c:pt>
                <c:pt idx="4">
                  <c:v>43.3</c:v>
                </c:pt>
                <c:pt idx="5">
                  <c:v>43.3</c:v>
                </c:pt>
                <c:pt idx="6">
                  <c:v>43.3</c:v>
                </c:pt>
                <c:pt idx="7">
                  <c:v>43.3</c:v>
                </c:pt>
                <c:pt idx="8">
                  <c:v>43.3</c:v>
                </c:pt>
                <c:pt idx="9">
                  <c:v>43.3</c:v>
                </c:pt>
                <c:pt idx="10">
                  <c:v>43.449999999999996</c:v>
                </c:pt>
                <c:pt idx="11">
                  <c:v>43.449999999999996</c:v>
                </c:pt>
                <c:pt idx="12">
                  <c:v>43.5</c:v>
                </c:pt>
                <c:pt idx="13">
                  <c:v>43.5</c:v>
                </c:pt>
                <c:pt idx="14">
                  <c:v>43.5</c:v>
                </c:pt>
                <c:pt idx="15">
                  <c:v>43.650000000000006</c:v>
                </c:pt>
                <c:pt idx="16">
                  <c:v>43.650000000000006</c:v>
                </c:pt>
                <c:pt idx="17">
                  <c:v>43.6</c:v>
                </c:pt>
                <c:pt idx="18">
                  <c:v>43.6</c:v>
                </c:pt>
                <c:pt idx="19">
                  <c:v>43.6</c:v>
                </c:pt>
                <c:pt idx="20">
                  <c:v>43.6</c:v>
                </c:pt>
                <c:pt idx="21">
                  <c:v>43.650000000000006</c:v>
                </c:pt>
                <c:pt idx="22">
                  <c:v>43.650000000000006</c:v>
                </c:pt>
                <c:pt idx="23">
                  <c:v>43.650000000000006</c:v>
                </c:pt>
                <c:pt idx="24">
                  <c:v>43.7</c:v>
                </c:pt>
                <c:pt idx="25">
                  <c:v>43.75</c:v>
                </c:pt>
                <c:pt idx="26">
                  <c:v>43.75</c:v>
                </c:pt>
                <c:pt idx="27">
                  <c:v>43.75</c:v>
                </c:pt>
                <c:pt idx="28">
                  <c:v>43.75</c:v>
                </c:pt>
                <c:pt idx="29">
                  <c:v>43.75</c:v>
                </c:pt>
                <c:pt idx="30">
                  <c:v>43.849999999999994</c:v>
                </c:pt>
                <c:pt idx="31">
                  <c:v>44</c:v>
                </c:pt>
                <c:pt idx="32">
                  <c:v>44</c:v>
                </c:pt>
                <c:pt idx="33">
                  <c:v>44</c:v>
                </c:pt>
                <c:pt idx="34">
                  <c:v>44</c:v>
                </c:pt>
                <c:pt idx="35">
                  <c:v>44.25</c:v>
                </c:pt>
                <c:pt idx="36">
                  <c:v>44.5</c:v>
                </c:pt>
                <c:pt idx="37">
                  <c:v>44.5</c:v>
                </c:pt>
                <c:pt idx="38">
                  <c:v>44.449999999999996</c:v>
                </c:pt>
                <c:pt idx="39">
                  <c:v>44.3</c:v>
                </c:pt>
                <c:pt idx="40">
                  <c:v>44.3</c:v>
                </c:pt>
                <c:pt idx="41">
                  <c:v>44.3</c:v>
                </c:pt>
                <c:pt idx="42">
                  <c:v>44.3</c:v>
                </c:pt>
                <c:pt idx="43">
                  <c:v>44.3</c:v>
                </c:pt>
                <c:pt idx="44">
                  <c:v>44.449999999999996</c:v>
                </c:pt>
                <c:pt idx="45">
                  <c:v>44.7</c:v>
                </c:pt>
                <c:pt idx="46">
                  <c:v>44.900000000000006</c:v>
                </c:pt>
                <c:pt idx="47">
                  <c:v>44.900000000000006</c:v>
                </c:pt>
                <c:pt idx="48">
                  <c:v>44.900000000000006</c:v>
                </c:pt>
                <c:pt idx="49">
                  <c:v>45.150000000000006</c:v>
                </c:pt>
                <c:pt idx="50">
                  <c:v>45.2</c:v>
                </c:pt>
                <c:pt idx="51">
                  <c:v>45.2</c:v>
                </c:pt>
                <c:pt idx="52">
                  <c:v>45.2</c:v>
                </c:pt>
                <c:pt idx="53">
                  <c:v>45.650000000000006</c:v>
                </c:pt>
                <c:pt idx="54">
                  <c:v>45.650000000000006</c:v>
                </c:pt>
                <c:pt idx="55">
                  <c:v>45.650000000000006</c:v>
                </c:pt>
                <c:pt idx="56">
                  <c:v>45.650000000000006</c:v>
                </c:pt>
                <c:pt idx="57">
                  <c:v>45.650000000000006</c:v>
                </c:pt>
                <c:pt idx="58">
                  <c:v>45.75</c:v>
                </c:pt>
                <c:pt idx="59">
                  <c:v>45.75</c:v>
                </c:pt>
                <c:pt idx="60">
                  <c:v>46.1</c:v>
                </c:pt>
                <c:pt idx="61">
                  <c:v>46.1</c:v>
                </c:pt>
                <c:pt idx="62">
                  <c:v>46.1</c:v>
                </c:pt>
                <c:pt idx="63">
                  <c:v>46.1</c:v>
                </c:pt>
                <c:pt idx="64">
                  <c:v>46.1</c:v>
                </c:pt>
                <c:pt idx="65">
                  <c:v>45.949999999999996</c:v>
                </c:pt>
                <c:pt idx="66">
                  <c:v>45.949999999999996</c:v>
                </c:pt>
                <c:pt idx="67">
                  <c:v>45.900000000000006</c:v>
                </c:pt>
                <c:pt idx="68">
                  <c:v>45.900000000000006</c:v>
                </c:pt>
                <c:pt idx="69">
                  <c:v>45.900000000000006</c:v>
                </c:pt>
                <c:pt idx="70">
                  <c:v>45.949999999999996</c:v>
                </c:pt>
                <c:pt idx="71">
                  <c:v>45.949999999999996</c:v>
                </c:pt>
                <c:pt idx="72">
                  <c:v>46.2</c:v>
                </c:pt>
                <c:pt idx="73">
                  <c:v>46.2</c:v>
                </c:pt>
                <c:pt idx="74">
                  <c:v>46.5</c:v>
                </c:pt>
                <c:pt idx="75">
                  <c:v>46.8</c:v>
                </c:pt>
                <c:pt idx="76">
                  <c:v>47.55</c:v>
                </c:pt>
                <c:pt idx="77">
                  <c:v>47.900000000000006</c:v>
                </c:pt>
                <c:pt idx="78">
                  <c:v>47.900000000000006</c:v>
                </c:pt>
                <c:pt idx="79">
                  <c:v>48.6</c:v>
                </c:pt>
                <c:pt idx="80">
                  <c:v>48.400000000000006</c:v>
                </c:pt>
                <c:pt idx="81">
                  <c:v>48.400000000000006</c:v>
                </c:pt>
                <c:pt idx="82">
                  <c:v>48.400000000000006</c:v>
                </c:pt>
                <c:pt idx="83">
                  <c:v>48.3</c:v>
                </c:pt>
                <c:pt idx="84">
                  <c:v>48.25</c:v>
                </c:pt>
                <c:pt idx="85">
                  <c:v>48.25</c:v>
                </c:pt>
                <c:pt idx="86">
                  <c:v>48.3</c:v>
                </c:pt>
                <c:pt idx="87">
                  <c:v>48.2</c:v>
                </c:pt>
                <c:pt idx="88">
                  <c:v>48.2</c:v>
                </c:pt>
                <c:pt idx="89">
                  <c:v>48.2</c:v>
                </c:pt>
                <c:pt idx="90">
                  <c:v>48.1</c:v>
                </c:pt>
                <c:pt idx="91">
                  <c:v>48.05</c:v>
                </c:pt>
                <c:pt idx="92">
                  <c:v>48.05</c:v>
                </c:pt>
                <c:pt idx="93">
                  <c:v>48.05</c:v>
                </c:pt>
                <c:pt idx="94">
                  <c:v>48.05</c:v>
                </c:pt>
                <c:pt idx="95">
                  <c:v>48.05</c:v>
                </c:pt>
                <c:pt idx="96">
                  <c:v>48.05</c:v>
                </c:pt>
                <c:pt idx="97">
                  <c:v>48.05</c:v>
                </c:pt>
                <c:pt idx="98">
                  <c:v>48.150000000000006</c:v>
                </c:pt>
                <c:pt idx="99">
                  <c:v>48.150000000000006</c:v>
                </c:pt>
                <c:pt idx="100">
                  <c:v>48.150000000000006</c:v>
                </c:pt>
                <c:pt idx="101">
                  <c:v>48.150000000000006</c:v>
                </c:pt>
                <c:pt idx="102">
                  <c:v>48.1</c:v>
                </c:pt>
                <c:pt idx="103">
                  <c:v>47.349999999999994</c:v>
                </c:pt>
                <c:pt idx="104">
                  <c:v>47.349999999999994</c:v>
                </c:pt>
                <c:pt idx="105">
                  <c:v>47.25</c:v>
                </c:pt>
                <c:pt idx="106">
                  <c:v>47.25</c:v>
                </c:pt>
                <c:pt idx="107">
                  <c:v>47.25</c:v>
                </c:pt>
                <c:pt idx="108">
                  <c:v>47.55</c:v>
                </c:pt>
                <c:pt idx="109">
                  <c:v>47.400000000000006</c:v>
                </c:pt>
                <c:pt idx="110">
                  <c:v>47.400000000000006</c:v>
                </c:pt>
                <c:pt idx="111">
                  <c:v>47.400000000000006</c:v>
                </c:pt>
                <c:pt idx="112">
                  <c:v>47.400000000000006</c:v>
                </c:pt>
                <c:pt idx="113">
                  <c:v>47.400000000000006</c:v>
                </c:pt>
                <c:pt idx="114">
                  <c:v>47.349999999999994</c:v>
                </c:pt>
                <c:pt idx="115">
                  <c:v>47.349999999999994</c:v>
                </c:pt>
                <c:pt idx="116">
                  <c:v>47.349999999999994</c:v>
                </c:pt>
                <c:pt idx="117">
                  <c:v>47.349999999999994</c:v>
                </c:pt>
                <c:pt idx="118">
                  <c:v>47.349999999999994</c:v>
                </c:pt>
                <c:pt idx="119">
                  <c:v>47.349999999999994</c:v>
                </c:pt>
                <c:pt idx="120">
                  <c:v>47.349999999999994</c:v>
                </c:pt>
                <c:pt idx="121">
                  <c:v>47.349999999999994</c:v>
                </c:pt>
                <c:pt idx="122">
                  <c:v>47.349999999999994</c:v>
                </c:pt>
                <c:pt idx="123">
                  <c:v>47.349999999999994</c:v>
                </c:pt>
                <c:pt idx="124">
                  <c:v>47.449999999999996</c:v>
                </c:pt>
                <c:pt idx="125">
                  <c:v>47.400000000000006</c:v>
                </c:pt>
                <c:pt idx="126">
                  <c:v>47.400000000000006</c:v>
                </c:pt>
                <c:pt idx="127">
                  <c:v>47.400000000000006</c:v>
                </c:pt>
                <c:pt idx="128">
                  <c:v>47.449999999999996</c:v>
                </c:pt>
                <c:pt idx="129">
                  <c:v>47.449999999999996</c:v>
                </c:pt>
                <c:pt idx="130">
                  <c:v>47.2</c:v>
                </c:pt>
                <c:pt idx="131">
                  <c:v>47.1</c:v>
                </c:pt>
                <c:pt idx="132">
                  <c:v>47.05</c:v>
                </c:pt>
                <c:pt idx="133">
                  <c:v>47.05</c:v>
                </c:pt>
                <c:pt idx="134">
                  <c:v>47.05</c:v>
                </c:pt>
                <c:pt idx="135">
                  <c:v>47.4</c:v>
                </c:pt>
                <c:pt idx="136">
                  <c:v>47.15</c:v>
                </c:pt>
                <c:pt idx="137">
                  <c:v>46.9</c:v>
                </c:pt>
                <c:pt idx="138">
                  <c:v>46.9</c:v>
                </c:pt>
                <c:pt idx="139">
                  <c:v>46.9</c:v>
                </c:pt>
                <c:pt idx="140">
                  <c:v>46.9</c:v>
                </c:pt>
                <c:pt idx="141">
                  <c:v>46.9</c:v>
                </c:pt>
                <c:pt idx="142">
                  <c:v>46.8</c:v>
                </c:pt>
                <c:pt idx="143">
                  <c:v>47.349999999999994</c:v>
                </c:pt>
                <c:pt idx="144">
                  <c:v>47.1</c:v>
                </c:pt>
                <c:pt idx="145">
                  <c:v>47.15</c:v>
                </c:pt>
                <c:pt idx="146">
                  <c:v>47.4</c:v>
                </c:pt>
                <c:pt idx="147">
                  <c:v>47.349999999999994</c:v>
                </c:pt>
                <c:pt idx="148">
                  <c:v>47.349999999999994</c:v>
                </c:pt>
                <c:pt idx="149">
                  <c:v>47.349999999999994</c:v>
                </c:pt>
                <c:pt idx="150">
                  <c:v>47.05</c:v>
                </c:pt>
                <c:pt idx="151">
                  <c:v>47.1</c:v>
                </c:pt>
                <c:pt idx="152">
                  <c:v>47.05</c:v>
                </c:pt>
                <c:pt idx="153">
                  <c:v>47.05</c:v>
                </c:pt>
                <c:pt idx="154">
                  <c:v>47.05</c:v>
                </c:pt>
                <c:pt idx="155">
                  <c:v>46.949999999999996</c:v>
                </c:pt>
                <c:pt idx="156">
                  <c:v>46.9</c:v>
                </c:pt>
                <c:pt idx="157">
                  <c:v>46.7</c:v>
                </c:pt>
                <c:pt idx="158">
                  <c:v>46.7</c:v>
                </c:pt>
                <c:pt idx="159">
                  <c:v>46.7</c:v>
                </c:pt>
                <c:pt idx="160">
                  <c:v>46.65</c:v>
                </c:pt>
                <c:pt idx="161">
                  <c:v>46.05</c:v>
                </c:pt>
                <c:pt idx="162">
                  <c:v>45.9</c:v>
                </c:pt>
                <c:pt idx="163">
                  <c:v>46.15</c:v>
                </c:pt>
                <c:pt idx="164">
                  <c:v>46.15</c:v>
                </c:pt>
                <c:pt idx="165">
                  <c:v>46.05</c:v>
                </c:pt>
                <c:pt idx="166">
                  <c:v>45.7</c:v>
                </c:pt>
                <c:pt idx="167">
                  <c:v>45.65</c:v>
                </c:pt>
                <c:pt idx="168">
                  <c:v>45.65</c:v>
                </c:pt>
                <c:pt idx="169">
                  <c:v>45.9</c:v>
                </c:pt>
                <c:pt idx="170">
                  <c:v>46.15</c:v>
                </c:pt>
                <c:pt idx="171">
                  <c:v>46.25</c:v>
                </c:pt>
                <c:pt idx="172">
                  <c:v>46.4</c:v>
                </c:pt>
                <c:pt idx="173">
                  <c:v>46.4</c:v>
                </c:pt>
                <c:pt idx="174">
                  <c:v>46.349999999999994</c:v>
                </c:pt>
                <c:pt idx="175">
                  <c:v>46.4</c:v>
                </c:pt>
                <c:pt idx="176">
                  <c:v>46.4</c:v>
                </c:pt>
                <c:pt idx="177">
                  <c:v>46.05</c:v>
                </c:pt>
                <c:pt idx="178">
                  <c:v>46.1</c:v>
                </c:pt>
                <c:pt idx="179">
                  <c:v>46.15</c:v>
                </c:pt>
                <c:pt idx="180">
                  <c:v>46.5</c:v>
                </c:pt>
                <c:pt idx="181">
                  <c:v>46.65</c:v>
                </c:pt>
                <c:pt idx="182">
                  <c:v>46.55</c:v>
                </c:pt>
                <c:pt idx="183">
                  <c:v>46.5</c:v>
                </c:pt>
                <c:pt idx="184">
                  <c:v>46.5</c:v>
                </c:pt>
                <c:pt idx="185">
                  <c:v>46.65</c:v>
                </c:pt>
                <c:pt idx="186">
                  <c:v>46.65</c:v>
                </c:pt>
                <c:pt idx="187">
                  <c:v>46.5</c:v>
                </c:pt>
                <c:pt idx="188">
                  <c:v>46.5</c:v>
                </c:pt>
                <c:pt idx="189">
                  <c:v>46.349999999999994</c:v>
                </c:pt>
                <c:pt idx="190">
                  <c:v>46.2</c:v>
                </c:pt>
                <c:pt idx="191">
                  <c:v>46.349999999999994</c:v>
                </c:pt>
                <c:pt idx="192">
                  <c:v>46.8</c:v>
                </c:pt>
                <c:pt idx="193">
                  <c:v>46.8</c:v>
                </c:pt>
                <c:pt idx="194">
                  <c:v>46.7</c:v>
                </c:pt>
                <c:pt idx="195">
                  <c:v>46.8</c:v>
                </c:pt>
                <c:pt idx="196">
                  <c:v>47</c:v>
                </c:pt>
                <c:pt idx="197">
                  <c:v>47.3</c:v>
                </c:pt>
                <c:pt idx="198">
                  <c:v>47.3</c:v>
                </c:pt>
                <c:pt idx="199">
                  <c:v>47.3</c:v>
                </c:pt>
                <c:pt idx="200">
                  <c:v>47.3</c:v>
                </c:pt>
                <c:pt idx="201">
                  <c:v>47.25</c:v>
                </c:pt>
                <c:pt idx="202">
                  <c:v>47.25</c:v>
                </c:pt>
                <c:pt idx="203">
                  <c:v>47.25</c:v>
                </c:pt>
                <c:pt idx="204">
                  <c:v>47.25</c:v>
                </c:pt>
                <c:pt idx="205">
                  <c:v>47.55</c:v>
                </c:pt>
                <c:pt idx="206">
                  <c:v>47.6</c:v>
                </c:pt>
                <c:pt idx="207">
                  <c:v>47.7</c:v>
                </c:pt>
                <c:pt idx="208">
                  <c:v>47.849999999999994</c:v>
                </c:pt>
                <c:pt idx="209">
                  <c:v>48.1</c:v>
                </c:pt>
                <c:pt idx="210">
                  <c:v>48.05</c:v>
                </c:pt>
                <c:pt idx="211">
                  <c:v>47.849999999999994</c:v>
                </c:pt>
                <c:pt idx="212">
                  <c:v>47.849999999999994</c:v>
                </c:pt>
                <c:pt idx="213">
                  <c:v>47.849999999999994</c:v>
                </c:pt>
                <c:pt idx="214">
                  <c:v>48.05</c:v>
                </c:pt>
                <c:pt idx="215">
                  <c:v>48.5</c:v>
                </c:pt>
                <c:pt idx="216">
                  <c:v>48.7</c:v>
                </c:pt>
                <c:pt idx="217">
                  <c:v>48.849999999999994</c:v>
                </c:pt>
                <c:pt idx="218">
                  <c:v>48.849999999999994</c:v>
                </c:pt>
                <c:pt idx="219">
                  <c:v>48.9</c:v>
                </c:pt>
                <c:pt idx="220">
                  <c:v>49.1</c:v>
                </c:pt>
                <c:pt idx="221">
                  <c:v>49.1</c:v>
                </c:pt>
                <c:pt idx="222">
                  <c:v>49.449999999999996</c:v>
                </c:pt>
                <c:pt idx="223">
                  <c:v>49.349999999999994</c:v>
                </c:pt>
                <c:pt idx="224">
                  <c:v>49.5</c:v>
                </c:pt>
                <c:pt idx="225">
                  <c:v>49.449999999999996</c:v>
                </c:pt>
                <c:pt idx="226">
                  <c:v>49.55</c:v>
                </c:pt>
                <c:pt idx="227">
                  <c:v>49.449999999999996</c:v>
                </c:pt>
                <c:pt idx="228">
                  <c:v>49.349999999999994</c:v>
                </c:pt>
                <c:pt idx="229">
                  <c:v>49.349999999999994</c:v>
                </c:pt>
                <c:pt idx="230">
                  <c:v>49.4</c:v>
                </c:pt>
                <c:pt idx="231">
                  <c:v>49.65</c:v>
                </c:pt>
                <c:pt idx="232">
                  <c:v>49.9</c:v>
                </c:pt>
                <c:pt idx="233">
                  <c:v>50.349999999999994</c:v>
                </c:pt>
                <c:pt idx="234">
                  <c:v>50.7</c:v>
                </c:pt>
                <c:pt idx="235">
                  <c:v>51.15</c:v>
                </c:pt>
                <c:pt idx="236">
                  <c:v>51.3</c:v>
                </c:pt>
                <c:pt idx="237">
                  <c:v>51.5</c:v>
                </c:pt>
                <c:pt idx="238">
                  <c:v>51.75</c:v>
                </c:pt>
                <c:pt idx="239">
                  <c:v>51.75</c:v>
                </c:pt>
                <c:pt idx="240">
                  <c:v>51.75</c:v>
                </c:pt>
                <c:pt idx="241">
                  <c:v>51.75</c:v>
                </c:pt>
                <c:pt idx="242">
                  <c:v>52.1</c:v>
                </c:pt>
                <c:pt idx="243">
                  <c:v>52.6</c:v>
                </c:pt>
                <c:pt idx="244">
                  <c:v>52.4</c:v>
                </c:pt>
                <c:pt idx="245">
                  <c:v>52.25</c:v>
                </c:pt>
                <c:pt idx="246">
                  <c:v>52.3</c:v>
                </c:pt>
                <c:pt idx="247">
                  <c:v>52.7</c:v>
                </c:pt>
                <c:pt idx="248">
                  <c:v>53.05</c:v>
                </c:pt>
                <c:pt idx="249">
                  <c:v>53.3</c:v>
                </c:pt>
                <c:pt idx="250">
                  <c:v>54</c:v>
                </c:pt>
                <c:pt idx="251">
                  <c:v>54.55</c:v>
                </c:pt>
                <c:pt idx="252">
                  <c:v>54.15</c:v>
                </c:pt>
                <c:pt idx="253">
                  <c:v>54.849999999999994</c:v>
                </c:pt>
                <c:pt idx="254">
                  <c:v>55.05</c:v>
                </c:pt>
                <c:pt idx="255">
                  <c:v>56.2</c:v>
                </c:pt>
                <c:pt idx="256">
                  <c:v>56</c:v>
                </c:pt>
                <c:pt idx="257">
                  <c:v>56.1</c:v>
                </c:pt>
                <c:pt idx="258">
                  <c:v>55.949999999999996</c:v>
                </c:pt>
                <c:pt idx="259">
                  <c:v>56.3</c:v>
                </c:pt>
                <c:pt idx="260">
                  <c:v>56.2</c:v>
                </c:pt>
                <c:pt idx="261">
                  <c:v>56.15</c:v>
                </c:pt>
                <c:pt idx="262">
                  <c:v>55.849999999999994</c:v>
                </c:pt>
                <c:pt idx="263">
                  <c:v>56</c:v>
                </c:pt>
                <c:pt idx="264">
                  <c:v>56.05</c:v>
                </c:pt>
                <c:pt idx="265">
                  <c:v>56.05</c:v>
                </c:pt>
                <c:pt idx="266">
                  <c:v>56</c:v>
                </c:pt>
                <c:pt idx="267">
                  <c:v>56</c:v>
                </c:pt>
                <c:pt idx="268">
                  <c:v>56</c:v>
                </c:pt>
                <c:pt idx="269">
                  <c:v>56</c:v>
                </c:pt>
                <c:pt idx="270">
                  <c:v>56</c:v>
                </c:pt>
                <c:pt idx="271">
                  <c:v>56</c:v>
                </c:pt>
                <c:pt idx="272">
                  <c:v>55.65</c:v>
                </c:pt>
                <c:pt idx="273">
                  <c:v>55.55</c:v>
                </c:pt>
                <c:pt idx="274">
                  <c:v>55.55</c:v>
                </c:pt>
                <c:pt idx="275">
                  <c:v>55.55</c:v>
                </c:pt>
                <c:pt idx="276">
                  <c:v>55.6</c:v>
                </c:pt>
                <c:pt idx="277">
                  <c:v>56</c:v>
                </c:pt>
                <c:pt idx="278">
                  <c:v>56.2</c:v>
                </c:pt>
                <c:pt idx="279">
                  <c:v>56.349999999999994</c:v>
                </c:pt>
                <c:pt idx="280">
                  <c:v>56.6</c:v>
                </c:pt>
                <c:pt idx="281">
                  <c:v>57.1</c:v>
                </c:pt>
                <c:pt idx="282">
                  <c:v>57.3</c:v>
                </c:pt>
                <c:pt idx="283">
                  <c:v>58.2</c:v>
                </c:pt>
                <c:pt idx="284">
                  <c:v>57.449999999999996</c:v>
                </c:pt>
                <c:pt idx="285">
                  <c:v>57.449999999999996</c:v>
                </c:pt>
                <c:pt idx="286">
                  <c:v>56.55</c:v>
                </c:pt>
                <c:pt idx="287">
                  <c:v>56.55</c:v>
                </c:pt>
                <c:pt idx="288">
                  <c:v>56.4</c:v>
                </c:pt>
                <c:pt idx="289">
                  <c:v>55.4</c:v>
                </c:pt>
                <c:pt idx="290">
                  <c:v>55.4</c:v>
                </c:pt>
                <c:pt idx="291">
                  <c:v>55.4</c:v>
                </c:pt>
                <c:pt idx="292">
                  <c:v>55.55</c:v>
                </c:pt>
                <c:pt idx="293">
                  <c:v>55.55</c:v>
                </c:pt>
                <c:pt idx="294">
                  <c:v>55.55</c:v>
                </c:pt>
                <c:pt idx="295">
                  <c:v>55.55</c:v>
                </c:pt>
                <c:pt idx="296">
                  <c:v>55.9</c:v>
                </c:pt>
                <c:pt idx="297">
                  <c:v>56</c:v>
                </c:pt>
                <c:pt idx="298">
                  <c:v>56.449999999999996</c:v>
                </c:pt>
                <c:pt idx="299">
                  <c:v>57.2</c:v>
                </c:pt>
              </c:numCache>
            </c:numRef>
          </c:val>
          <c:extLst xmlns:c16r2="http://schemas.microsoft.com/office/drawing/2015/06/chart">
            <c:ext xmlns:c16="http://schemas.microsoft.com/office/drawing/2014/chart" uri="{C3380CC4-5D6E-409C-BE32-E72D297353CC}">
              <c16:uniqueId val="{00000000-1CD9-4246-9849-3FEBC923F4B1}"/>
            </c:ext>
          </c:extLst>
        </c:ser>
        <c:dLbls/>
        <c:marker val="1"/>
        <c:axId val="234113280"/>
        <c:axId val="233385984"/>
      </c:lineChart>
      <c:dateAx>
        <c:axId val="234113280"/>
        <c:scaling>
          <c:orientation val="minMax"/>
        </c:scaling>
        <c:axPos val="b"/>
        <c:numFmt formatCode="m/d/yyyy" sourceLinked="1"/>
        <c:tickLblPos val="nextTo"/>
        <c:txPr>
          <a:bodyPr rot="-3000000"/>
          <a:lstStyle/>
          <a:p>
            <a:pPr>
              <a:defRPr sz="700"/>
            </a:pPr>
            <a:endParaRPr lang="en-US"/>
          </a:p>
        </c:txPr>
        <c:crossAx val="233385984"/>
        <c:crosses val="autoZero"/>
        <c:auto val="1"/>
        <c:lblOffset val="100"/>
        <c:baseTimeUnit val="days"/>
      </c:dateAx>
      <c:valAx>
        <c:axId val="233385984"/>
        <c:scaling>
          <c:orientation val="minMax"/>
          <c:max val="60"/>
          <c:min val="40"/>
        </c:scaling>
        <c:axPos val="l"/>
        <c:majorGridlines>
          <c:spPr>
            <a:ln w="3175">
              <a:solidFill>
                <a:schemeClr val="bg1">
                  <a:lumMod val="85000"/>
                </a:schemeClr>
              </a:solidFill>
            </a:ln>
          </c:spPr>
        </c:majorGridlines>
        <c:title>
          <c:tx>
            <c:rich>
              <a:bodyPr rot="-5400000" vert="horz"/>
              <a:lstStyle/>
              <a:p>
                <a:pPr>
                  <a:defRPr sz="800"/>
                </a:pPr>
                <a:r>
                  <a:rPr lang="en-US" sz="800"/>
                  <a:t>$/MWh</a:t>
                </a:r>
              </a:p>
            </c:rich>
          </c:tx>
        </c:title>
        <c:numFmt formatCode="#,##0" sourceLinked="0"/>
        <c:tickLblPos val="nextTo"/>
        <c:txPr>
          <a:bodyPr/>
          <a:lstStyle/>
          <a:p>
            <a:pPr>
              <a:defRPr sz="800"/>
            </a:pPr>
            <a:endParaRPr lang="en-US"/>
          </a:p>
        </c:txPr>
        <c:crossAx val="234113280"/>
        <c:crosses val="autoZero"/>
        <c:crossBetween val="between"/>
      </c:valAx>
    </c:plotArea>
    <c:plotVisOnly val="1"/>
    <c:dispBlanksAs val="span"/>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AU"/>
  <c:chart>
    <c:autoTitleDeleted val="1"/>
    <c:plotArea>
      <c:layout/>
      <c:lineChart>
        <c:grouping val="standard"/>
        <c:ser>
          <c:idx val="0"/>
          <c:order val="0"/>
          <c:tx>
            <c:strRef>
              <c:f>'LGC&amp;STC spot prices'!$B$1</c:f>
              <c:strCache>
                <c:ptCount val="1"/>
                <c:pt idx="0">
                  <c:v>SPOT LREC</c:v>
                </c:pt>
              </c:strCache>
            </c:strRef>
          </c:tx>
          <c:spPr>
            <a:ln w="28575" cap="rnd">
              <a:solidFill>
                <a:schemeClr val="accent1"/>
              </a:solidFill>
              <a:round/>
            </a:ln>
            <a:effectLst/>
          </c:spPr>
          <c:marker>
            <c:symbol val="none"/>
          </c:marker>
          <c:cat>
            <c:numRef>
              <c:f>'LGC&amp;STC spot prices'!$A$2:$A$1161</c:f>
              <c:numCache>
                <c:formatCode>m/d/yyyy</c:formatCode>
                <c:ptCount val="1160"/>
                <c:pt idx="0">
                  <c:v>41456</c:v>
                </c:pt>
                <c:pt idx="1">
                  <c:v>41457</c:v>
                </c:pt>
                <c:pt idx="2">
                  <c:v>41458</c:v>
                </c:pt>
                <c:pt idx="3">
                  <c:v>41459</c:v>
                </c:pt>
                <c:pt idx="4">
                  <c:v>41460</c:v>
                </c:pt>
                <c:pt idx="5">
                  <c:v>41461</c:v>
                </c:pt>
                <c:pt idx="6">
                  <c:v>41462</c:v>
                </c:pt>
                <c:pt idx="7">
                  <c:v>41463</c:v>
                </c:pt>
                <c:pt idx="8">
                  <c:v>41464</c:v>
                </c:pt>
                <c:pt idx="9">
                  <c:v>41465</c:v>
                </c:pt>
                <c:pt idx="10">
                  <c:v>41466</c:v>
                </c:pt>
                <c:pt idx="11">
                  <c:v>41467</c:v>
                </c:pt>
                <c:pt idx="12">
                  <c:v>41468</c:v>
                </c:pt>
                <c:pt idx="13">
                  <c:v>41469</c:v>
                </c:pt>
                <c:pt idx="14">
                  <c:v>41470</c:v>
                </c:pt>
                <c:pt idx="15">
                  <c:v>41471</c:v>
                </c:pt>
                <c:pt idx="16">
                  <c:v>41472</c:v>
                </c:pt>
                <c:pt idx="17">
                  <c:v>41473</c:v>
                </c:pt>
                <c:pt idx="18">
                  <c:v>41474</c:v>
                </c:pt>
                <c:pt idx="19">
                  <c:v>41475</c:v>
                </c:pt>
                <c:pt idx="20">
                  <c:v>41476</c:v>
                </c:pt>
                <c:pt idx="21">
                  <c:v>41477</c:v>
                </c:pt>
                <c:pt idx="22">
                  <c:v>41478</c:v>
                </c:pt>
                <c:pt idx="23">
                  <c:v>41479</c:v>
                </c:pt>
                <c:pt idx="24">
                  <c:v>41480</c:v>
                </c:pt>
                <c:pt idx="25">
                  <c:v>41481</c:v>
                </c:pt>
                <c:pt idx="26">
                  <c:v>41482</c:v>
                </c:pt>
                <c:pt idx="27">
                  <c:v>41483</c:v>
                </c:pt>
                <c:pt idx="28">
                  <c:v>41484</c:v>
                </c:pt>
                <c:pt idx="29">
                  <c:v>41485</c:v>
                </c:pt>
                <c:pt idx="30">
                  <c:v>41486</c:v>
                </c:pt>
                <c:pt idx="31">
                  <c:v>41487</c:v>
                </c:pt>
                <c:pt idx="32">
                  <c:v>41488</c:v>
                </c:pt>
                <c:pt idx="33">
                  <c:v>41489</c:v>
                </c:pt>
                <c:pt idx="34">
                  <c:v>41490</c:v>
                </c:pt>
                <c:pt idx="35">
                  <c:v>41491</c:v>
                </c:pt>
                <c:pt idx="36">
                  <c:v>41492</c:v>
                </c:pt>
                <c:pt idx="37">
                  <c:v>41493</c:v>
                </c:pt>
                <c:pt idx="38">
                  <c:v>41494</c:v>
                </c:pt>
                <c:pt idx="39">
                  <c:v>41495</c:v>
                </c:pt>
                <c:pt idx="40">
                  <c:v>41496</c:v>
                </c:pt>
                <c:pt idx="41">
                  <c:v>41497</c:v>
                </c:pt>
                <c:pt idx="42">
                  <c:v>41498</c:v>
                </c:pt>
                <c:pt idx="43">
                  <c:v>41499</c:v>
                </c:pt>
                <c:pt idx="44">
                  <c:v>41500</c:v>
                </c:pt>
                <c:pt idx="45">
                  <c:v>41501</c:v>
                </c:pt>
                <c:pt idx="46">
                  <c:v>41502</c:v>
                </c:pt>
                <c:pt idx="47">
                  <c:v>41503</c:v>
                </c:pt>
                <c:pt idx="48">
                  <c:v>41504</c:v>
                </c:pt>
                <c:pt idx="49">
                  <c:v>41505</c:v>
                </c:pt>
                <c:pt idx="50">
                  <c:v>41506</c:v>
                </c:pt>
                <c:pt idx="51">
                  <c:v>41507</c:v>
                </c:pt>
                <c:pt idx="52">
                  <c:v>41508</c:v>
                </c:pt>
                <c:pt idx="53">
                  <c:v>41509</c:v>
                </c:pt>
                <c:pt idx="54">
                  <c:v>41510</c:v>
                </c:pt>
                <c:pt idx="55">
                  <c:v>41511</c:v>
                </c:pt>
                <c:pt idx="56">
                  <c:v>41512</c:v>
                </c:pt>
                <c:pt idx="57">
                  <c:v>41513</c:v>
                </c:pt>
                <c:pt idx="58">
                  <c:v>41514</c:v>
                </c:pt>
                <c:pt idx="59">
                  <c:v>41515</c:v>
                </c:pt>
                <c:pt idx="60">
                  <c:v>41516</c:v>
                </c:pt>
                <c:pt idx="61">
                  <c:v>41517</c:v>
                </c:pt>
                <c:pt idx="62">
                  <c:v>41518</c:v>
                </c:pt>
                <c:pt idx="63">
                  <c:v>41519</c:v>
                </c:pt>
                <c:pt idx="64">
                  <c:v>41520</c:v>
                </c:pt>
                <c:pt idx="65">
                  <c:v>41521</c:v>
                </c:pt>
                <c:pt idx="66">
                  <c:v>41522</c:v>
                </c:pt>
                <c:pt idx="67">
                  <c:v>41523</c:v>
                </c:pt>
                <c:pt idx="68">
                  <c:v>41524</c:v>
                </c:pt>
                <c:pt idx="69">
                  <c:v>41525</c:v>
                </c:pt>
                <c:pt idx="70">
                  <c:v>41526</c:v>
                </c:pt>
                <c:pt idx="71">
                  <c:v>41527</c:v>
                </c:pt>
                <c:pt idx="72">
                  <c:v>41528</c:v>
                </c:pt>
                <c:pt idx="73">
                  <c:v>41529</c:v>
                </c:pt>
                <c:pt idx="74">
                  <c:v>41530</c:v>
                </c:pt>
                <c:pt idx="75">
                  <c:v>41531</c:v>
                </c:pt>
                <c:pt idx="76">
                  <c:v>41532</c:v>
                </c:pt>
                <c:pt idx="77">
                  <c:v>41533</c:v>
                </c:pt>
                <c:pt idx="78">
                  <c:v>41534</c:v>
                </c:pt>
                <c:pt idx="79">
                  <c:v>41535</c:v>
                </c:pt>
                <c:pt idx="80">
                  <c:v>41536</c:v>
                </c:pt>
                <c:pt idx="81">
                  <c:v>41537</c:v>
                </c:pt>
                <c:pt idx="82">
                  <c:v>41538</c:v>
                </c:pt>
                <c:pt idx="83">
                  <c:v>41539</c:v>
                </c:pt>
                <c:pt idx="84">
                  <c:v>41540</c:v>
                </c:pt>
                <c:pt idx="85">
                  <c:v>41541</c:v>
                </c:pt>
                <c:pt idx="86">
                  <c:v>41542</c:v>
                </c:pt>
                <c:pt idx="87">
                  <c:v>41543</c:v>
                </c:pt>
                <c:pt idx="88">
                  <c:v>41544</c:v>
                </c:pt>
                <c:pt idx="89">
                  <c:v>41545</c:v>
                </c:pt>
                <c:pt idx="90">
                  <c:v>41546</c:v>
                </c:pt>
                <c:pt idx="91">
                  <c:v>41547</c:v>
                </c:pt>
                <c:pt idx="92">
                  <c:v>41548</c:v>
                </c:pt>
                <c:pt idx="93">
                  <c:v>41549</c:v>
                </c:pt>
                <c:pt idx="94">
                  <c:v>41550</c:v>
                </c:pt>
                <c:pt idx="95">
                  <c:v>41551</c:v>
                </c:pt>
                <c:pt idx="96">
                  <c:v>41552</c:v>
                </c:pt>
                <c:pt idx="97">
                  <c:v>41553</c:v>
                </c:pt>
                <c:pt idx="98">
                  <c:v>41554</c:v>
                </c:pt>
                <c:pt idx="99">
                  <c:v>41555</c:v>
                </c:pt>
                <c:pt idx="100">
                  <c:v>41556</c:v>
                </c:pt>
                <c:pt idx="101">
                  <c:v>41557</c:v>
                </c:pt>
                <c:pt idx="102">
                  <c:v>41558</c:v>
                </c:pt>
                <c:pt idx="103">
                  <c:v>41559</c:v>
                </c:pt>
                <c:pt idx="104">
                  <c:v>41560</c:v>
                </c:pt>
                <c:pt idx="105">
                  <c:v>41561</c:v>
                </c:pt>
                <c:pt idx="106">
                  <c:v>41562</c:v>
                </c:pt>
                <c:pt idx="107">
                  <c:v>41563</c:v>
                </c:pt>
                <c:pt idx="108">
                  <c:v>41564</c:v>
                </c:pt>
                <c:pt idx="109">
                  <c:v>41565</c:v>
                </c:pt>
                <c:pt idx="110">
                  <c:v>41566</c:v>
                </c:pt>
                <c:pt idx="111">
                  <c:v>41567</c:v>
                </c:pt>
                <c:pt idx="112">
                  <c:v>41568</c:v>
                </c:pt>
                <c:pt idx="113">
                  <c:v>41569</c:v>
                </c:pt>
                <c:pt idx="114">
                  <c:v>41570</c:v>
                </c:pt>
                <c:pt idx="115">
                  <c:v>41571</c:v>
                </c:pt>
                <c:pt idx="116">
                  <c:v>41572</c:v>
                </c:pt>
                <c:pt idx="117">
                  <c:v>41573</c:v>
                </c:pt>
                <c:pt idx="118">
                  <c:v>41574</c:v>
                </c:pt>
                <c:pt idx="119">
                  <c:v>41575</c:v>
                </c:pt>
                <c:pt idx="120">
                  <c:v>41576</c:v>
                </c:pt>
                <c:pt idx="121">
                  <c:v>41577</c:v>
                </c:pt>
                <c:pt idx="122">
                  <c:v>41578</c:v>
                </c:pt>
                <c:pt idx="123">
                  <c:v>41579</c:v>
                </c:pt>
                <c:pt idx="124">
                  <c:v>41580</c:v>
                </c:pt>
                <c:pt idx="125">
                  <c:v>41581</c:v>
                </c:pt>
                <c:pt idx="126">
                  <c:v>41582</c:v>
                </c:pt>
                <c:pt idx="127">
                  <c:v>41583</c:v>
                </c:pt>
                <c:pt idx="128">
                  <c:v>41584</c:v>
                </c:pt>
                <c:pt idx="129">
                  <c:v>41585</c:v>
                </c:pt>
                <c:pt idx="130">
                  <c:v>41586</c:v>
                </c:pt>
                <c:pt idx="131">
                  <c:v>41587</c:v>
                </c:pt>
                <c:pt idx="132">
                  <c:v>41588</c:v>
                </c:pt>
                <c:pt idx="133">
                  <c:v>41589</c:v>
                </c:pt>
                <c:pt idx="134">
                  <c:v>41590</c:v>
                </c:pt>
                <c:pt idx="135">
                  <c:v>41591</c:v>
                </c:pt>
                <c:pt idx="136">
                  <c:v>41592</c:v>
                </c:pt>
                <c:pt idx="137">
                  <c:v>41593</c:v>
                </c:pt>
                <c:pt idx="138">
                  <c:v>41594</c:v>
                </c:pt>
                <c:pt idx="139">
                  <c:v>41595</c:v>
                </c:pt>
                <c:pt idx="140">
                  <c:v>41596</c:v>
                </c:pt>
                <c:pt idx="141">
                  <c:v>41597</c:v>
                </c:pt>
                <c:pt idx="142">
                  <c:v>41598</c:v>
                </c:pt>
                <c:pt idx="143">
                  <c:v>41599</c:v>
                </c:pt>
                <c:pt idx="144">
                  <c:v>41600</c:v>
                </c:pt>
                <c:pt idx="145">
                  <c:v>41601</c:v>
                </c:pt>
                <c:pt idx="146">
                  <c:v>41602</c:v>
                </c:pt>
                <c:pt idx="147">
                  <c:v>41603</c:v>
                </c:pt>
                <c:pt idx="148">
                  <c:v>41604</c:v>
                </c:pt>
                <c:pt idx="149">
                  <c:v>41605</c:v>
                </c:pt>
                <c:pt idx="150">
                  <c:v>41606</c:v>
                </c:pt>
                <c:pt idx="151">
                  <c:v>41607</c:v>
                </c:pt>
                <c:pt idx="152">
                  <c:v>41608</c:v>
                </c:pt>
                <c:pt idx="153">
                  <c:v>41609</c:v>
                </c:pt>
                <c:pt idx="154">
                  <c:v>41610</c:v>
                </c:pt>
                <c:pt idx="155">
                  <c:v>41611</c:v>
                </c:pt>
                <c:pt idx="156">
                  <c:v>41612</c:v>
                </c:pt>
                <c:pt idx="157">
                  <c:v>41613</c:v>
                </c:pt>
                <c:pt idx="158">
                  <c:v>41614</c:v>
                </c:pt>
                <c:pt idx="159">
                  <c:v>41615</c:v>
                </c:pt>
                <c:pt idx="160">
                  <c:v>41616</c:v>
                </c:pt>
                <c:pt idx="161">
                  <c:v>41617</c:v>
                </c:pt>
                <c:pt idx="162">
                  <c:v>41618</c:v>
                </c:pt>
                <c:pt idx="163">
                  <c:v>41619</c:v>
                </c:pt>
                <c:pt idx="164">
                  <c:v>41620</c:v>
                </c:pt>
                <c:pt idx="165">
                  <c:v>41621</c:v>
                </c:pt>
                <c:pt idx="166">
                  <c:v>41622</c:v>
                </c:pt>
                <c:pt idx="167">
                  <c:v>41623</c:v>
                </c:pt>
                <c:pt idx="168">
                  <c:v>41624</c:v>
                </c:pt>
                <c:pt idx="169">
                  <c:v>41625</c:v>
                </c:pt>
                <c:pt idx="170">
                  <c:v>41626</c:v>
                </c:pt>
                <c:pt idx="171">
                  <c:v>41627</c:v>
                </c:pt>
                <c:pt idx="172">
                  <c:v>41628</c:v>
                </c:pt>
                <c:pt idx="173">
                  <c:v>41629</c:v>
                </c:pt>
                <c:pt idx="174">
                  <c:v>41630</c:v>
                </c:pt>
                <c:pt idx="175">
                  <c:v>41631</c:v>
                </c:pt>
                <c:pt idx="176">
                  <c:v>41632</c:v>
                </c:pt>
                <c:pt idx="177">
                  <c:v>41633</c:v>
                </c:pt>
                <c:pt idx="178">
                  <c:v>41634</c:v>
                </c:pt>
                <c:pt idx="179">
                  <c:v>41635</c:v>
                </c:pt>
                <c:pt idx="180">
                  <c:v>41636</c:v>
                </c:pt>
                <c:pt idx="181">
                  <c:v>41637</c:v>
                </c:pt>
                <c:pt idx="182">
                  <c:v>41638</c:v>
                </c:pt>
                <c:pt idx="183">
                  <c:v>41639</c:v>
                </c:pt>
                <c:pt idx="184">
                  <c:v>41640</c:v>
                </c:pt>
                <c:pt idx="185">
                  <c:v>41641</c:v>
                </c:pt>
                <c:pt idx="186">
                  <c:v>41642</c:v>
                </c:pt>
                <c:pt idx="187">
                  <c:v>41643</c:v>
                </c:pt>
                <c:pt idx="188">
                  <c:v>41644</c:v>
                </c:pt>
                <c:pt idx="189">
                  <c:v>41645</c:v>
                </c:pt>
                <c:pt idx="190">
                  <c:v>41646</c:v>
                </c:pt>
                <c:pt idx="191">
                  <c:v>41647</c:v>
                </c:pt>
                <c:pt idx="192">
                  <c:v>41648</c:v>
                </c:pt>
                <c:pt idx="193">
                  <c:v>41649</c:v>
                </c:pt>
                <c:pt idx="194">
                  <c:v>41650</c:v>
                </c:pt>
                <c:pt idx="195">
                  <c:v>41651</c:v>
                </c:pt>
                <c:pt idx="196">
                  <c:v>41652</c:v>
                </c:pt>
                <c:pt idx="197">
                  <c:v>41653</c:v>
                </c:pt>
                <c:pt idx="198">
                  <c:v>41654</c:v>
                </c:pt>
                <c:pt idx="199">
                  <c:v>41655</c:v>
                </c:pt>
                <c:pt idx="200">
                  <c:v>41656</c:v>
                </c:pt>
                <c:pt idx="201">
                  <c:v>41657</c:v>
                </c:pt>
                <c:pt idx="202">
                  <c:v>41658</c:v>
                </c:pt>
                <c:pt idx="203">
                  <c:v>41659</c:v>
                </c:pt>
                <c:pt idx="204">
                  <c:v>41660</c:v>
                </c:pt>
                <c:pt idx="205">
                  <c:v>41661</c:v>
                </c:pt>
                <c:pt idx="206">
                  <c:v>41662</c:v>
                </c:pt>
                <c:pt idx="207">
                  <c:v>41663</c:v>
                </c:pt>
                <c:pt idx="208">
                  <c:v>41664</c:v>
                </c:pt>
                <c:pt idx="209">
                  <c:v>41665</c:v>
                </c:pt>
                <c:pt idx="210">
                  <c:v>41666</c:v>
                </c:pt>
                <c:pt idx="211">
                  <c:v>41667</c:v>
                </c:pt>
                <c:pt idx="212">
                  <c:v>41668</c:v>
                </c:pt>
                <c:pt idx="213">
                  <c:v>41669</c:v>
                </c:pt>
                <c:pt idx="214">
                  <c:v>41670</c:v>
                </c:pt>
                <c:pt idx="215">
                  <c:v>41671</c:v>
                </c:pt>
                <c:pt idx="216">
                  <c:v>41672</c:v>
                </c:pt>
                <c:pt idx="217">
                  <c:v>41673</c:v>
                </c:pt>
                <c:pt idx="218">
                  <c:v>41674</c:v>
                </c:pt>
                <c:pt idx="219">
                  <c:v>41675</c:v>
                </c:pt>
                <c:pt idx="220">
                  <c:v>41676</c:v>
                </c:pt>
                <c:pt idx="221">
                  <c:v>41677</c:v>
                </c:pt>
                <c:pt idx="222">
                  <c:v>41678</c:v>
                </c:pt>
                <c:pt idx="223">
                  <c:v>41679</c:v>
                </c:pt>
                <c:pt idx="224">
                  <c:v>41680</c:v>
                </c:pt>
                <c:pt idx="225">
                  <c:v>41681</c:v>
                </c:pt>
                <c:pt idx="226">
                  <c:v>41682</c:v>
                </c:pt>
                <c:pt idx="227">
                  <c:v>41683</c:v>
                </c:pt>
                <c:pt idx="228">
                  <c:v>41684</c:v>
                </c:pt>
                <c:pt idx="229">
                  <c:v>41685</c:v>
                </c:pt>
                <c:pt idx="230">
                  <c:v>41686</c:v>
                </c:pt>
                <c:pt idx="231">
                  <c:v>41687</c:v>
                </c:pt>
                <c:pt idx="232">
                  <c:v>41688</c:v>
                </c:pt>
                <c:pt idx="233">
                  <c:v>41689</c:v>
                </c:pt>
                <c:pt idx="234">
                  <c:v>41690</c:v>
                </c:pt>
                <c:pt idx="235">
                  <c:v>41691</c:v>
                </c:pt>
                <c:pt idx="236">
                  <c:v>41692</c:v>
                </c:pt>
                <c:pt idx="237">
                  <c:v>41693</c:v>
                </c:pt>
                <c:pt idx="238">
                  <c:v>41694</c:v>
                </c:pt>
                <c:pt idx="239">
                  <c:v>41695</c:v>
                </c:pt>
                <c:pt idx="240">
                  <c:v>41696</c:v>
                </c:pt>
                <c:pt idx="241">
                  <c:v>41697</c:v>
                </c:pt>
                <c:pt idx="242">
                  <c:v>41698</c:v>
                </c:pt>
                <c:pt idx="243">
                  <c:v>41699</c:v>
                </c:pt>
                <c:pt idx="244">
                  <c:v>41700</c:v>
                </c:pt>
                <c:pt idx="245">
                  <c:v>41701</c:v>
                </c:pt>
                <c:pt idx="246">
                  <c:v>41702</c:v>
                </c:pt>
                <c:pt idx="247">
                  <c:v>41703</c:v>
                </c:pt>
                <c:pt idx="248">
                  <c:v>41704</c:v>
                </c:pt>
                <c:pt idx="249">
                  <c:v>41705</c:v>
                </c:pt>
                <c:pt idx="250">
                  <c:v>41706</c:v>
                </c:pt>
                <c:pt idx="251">
                  <c:v>41707</c:v>
                </c:pt>
                <c:pt idx="252">
                  <c:v>41708</c:v>
                </c:pt>
                <c:pt idx="253">
                  <c:v>41709</c:v>
                </c:pt>
                <c:pt idx="254">
                  <c:v>41710</c:v>
                </c:pt>
                <c:pt idx="255">
                  <c:v>41711</c:v>
                </c:pt>
                <c:pt idx="256">
                  <c:v>41712</c:v>
                </c:pt>
                <c:pt idx="257">
                  <c:v>41713</c:v>
                </c:pt>
                <c:pt idx="258">
                  <c:v>41714</c:v>
                </c:pt>
                <c:pt idx="259">
                  <c:v>41715</c:v>
                </c:pt>
                <c:pt idx="260">
                  <c:v>41716</c:v>
                </c:pt>
                <c:pt idx="261">
                  <c:v>41717</c:v>
                </c:pt>
                <c:pt idx="262">
                  <c:v>41718</c:v>
                </c:pt>
                <c:pt idx="263">
                  <c:v>41719</c:v>
                </c:pt>
                <c:pt idx="264">
                  <c:v>41720</c:v>
                </c:pt>
                <c:pt idx="265">
                  <c:v>41721</c:v>
                </c:pt>
                <c:pt idx="266">
                  <c:v>41722</c:v>
                </c:pt>
                <c:pt idx="267">
                  <c:v>41723</c:v>
                </c:pt>
                <c:pt idx="268">
                  <c:v>41724</c:v>
                </c:pt>
                <c:pt idx="269">
                  <c:v>41725</c:v>
                </c:pt>
                <c:pt idx="270">
                  <c:v>41726</c:v>
                </c:pt>
                <c:pt idx="271">
                  <c:v>41727</c:v>
                </c:pt>
                <c:pt idx="272">
                  <c:v>41728</c:v>
                </c:pt>
                <c:pt idx="273">
                  <c:v>41729</c:v>
                </c:pt>
                <c:pt idx="274">
                  <c:v>41730</c:v>
                </c:pt>
                <c:pt idx="275">
                  <c:v>41731</c:v>
                </c:pt>
                <c:pt idx="276">
                  <c:v>41732</c:v>
                </c:pt>
                <c:pt idx="277">
                  <c:v>41733</c:v>
                </c:pt>
                <c:pt idx="278">
                  <c:v>41734</c:v>
                </c:pt>
                <c:pt idx="279">
                  <c:v>41735</c:v>
                </c:pt>
                <c:pt idx="280">
                  <c:v>41736</c:v>
                </c:pt>
                <c:pt idx="281">
                  <c:v>41737</c:v>
                </c:pt>
                <c:pt idx="282">
                  <c:v>41738</c:v>
                </c:pt>
                <c:pt idx="283">
                  <c:v>41739</c:v>
                </c:pt>
                <c:pt idx="284">
                  <c:v>41740</c:v>
                </c:pt>
                <c:pt idx="285">
                  <c:v>41741</c:v>
                </c:pt>
                <c:pt idx="286">
                  <c:v>41742</c:v>
                </c:pt>
                <c:pt idx="287">
                  <c:v>41743</c:v>
                </c:pt>
                <c:pt idx="288">
                  <c:v>41744</c:v>
                </c:pt>
                <c:pt idx="289">
                  <c:v>41745</c:v>
                </c:pt>
                <c:pt idx="290">
                  <c:v>41746</c:v>
                </c:pt>
                <c:pt idx="291">
                  <c:v>41747</c:v>
                </c:pt>
                <c:pt idx="292">
                  <c:v>41748</c:v>
                </c:pt>
                <c:pt idx="293">
                  <c:v>41749</c:v>
                </c:pt>
                <c:pt idx="294">
                  <c:v>41750</c:v>
                </c:pt>
                <c:pt idx="295">
                  <c:v>41751</c:v>
                </c:pt>
                <c:pt idx="296">
                  <c:v>41752</c:v>
                </c:pt>
                <c:pt idx="297">
                  <c:v>41753</c:v>
                </c:pt>
                <c:pt idx="298">
                  <c:v>41754</c:v>
                </c:pt>
                <c:pt idx="299">
                  <c:v>41755</c:v>
                </c:pt>
                <c:pt idx="300">
                  <c:v>41756</c:v>
                </c:pt>
                <c:pt idx="301">
                  <c:v>41757</c:v>
                </c:pt>
                <c:pt idx="302">
                  <c:v>41758</c:v>
                </c:pt>
                <c:pt idx="303">
                  <c:v>41759</c:v>
                </c:pt>
                <c:pt idx="304">
                  <c:v>41760</c:v>
                </c:pt>
                <c:pt idx="305">
                  <c:v>41761</c:v>
                </c:pt>
                <c:pt idx="306">
                  <c:v>41762</c:v>
                </c:pt>
                <c:pt idx="307">
                  <c:v>41763</c:v>
                </c:pt>
                <c:pt idx="308">
                  <c:v>41764</c:v>
                </c:pt>
                <c:pt idx="309">
                  <c:v>41765</c:v>
                </c:pt>
                <c:pt idx="310">
                  <c:v>41766</c:v>
                </c:pt>
                <c:pt idx="311">
                  <c:v>41767</c:v>
                </c:pt>
                <c:pt idx="312">
                  <c:v>41768</c:v>
                </c:pt>
                <c:pt idx="313">
                  <c:v>41769</c:v>
                </c:pt>
                <c:pt idx="314">
                  <c:v>41770</c:v>
                </c:pt>
                <c:pt idx="315">
                  <c:v>41771</c:v>
                </c:pt>
                <c:pt idx="316">
                  <c:v>41772</c:v>
                </c:pt>
                <c:pt idx="317">
                  <c:v>41773</c:v>
                </c:pt>
                <c:pt idx="318">
                  <c:v>41774</c:v>
                </c:pt>
                <c:pt idx="319">
                  <c:v>41775</c:v>
                </c:pt>
                <c:pt idx="320">
                  <c:v>41776</c:v>
                </c:pt>
                <c:pt idx="321">
                  <c:v>41777</c:v>
                </c:pt>
                <c:pt idx="322">
                  <c:v>41778</c:v>
                </c:pt>
                <c:pt idx="323">
                  <c:v>41779</c:v>
                </c:pt>
                <c:pt idx="324">
                  <c:v>41780</c:v>
                </c:pt>
                <c:pt idx="325">
                  <c:v>41781</c:v>
                </c:pt>
                <c:pt idx="326">
                  <c:v>41782</c:v>
                </c:pt>
                <c:pt idx="327">
                  <c:v>41783</c:v>
                </c:pt>
                <c:pt idx="328">
                  <c:v>41784</c:v>
                </c:pt>
                <c:pt idx="329">
                  <c:v>41785</c:v>
                </c:pt>
                <c:pt idx="330">
                  <c:v>41786</c:v>
                </c:pt>
                <c:pt idx="331">
                  <c:v>41787</c:v>
                </c:pt>
                <c:pt idx="332">
                  <c:v>41788</c:v>
                </c:pt>
                <c:pt idx="333">
                  <c:v>41789</c:v>
                </c:pt>
                <c:pt idx="334">
                  <c:v>41790</c:v>
                </c:pt>
                <c:pt idx="335">
                  <c:v>41791</c:v>
                </c:pt>
                <c:pt idx="336">
                  <c:v>41792</c:v>
                </c:pt>
                <c:pt idx="337">
                  <c:v>41793</c:v>
                </c:pt>
                <c:pt idx="338">
                  <c:v>41794</c:v>
                </c:pt>
                <c:pt idx="339">
                  <c:v>41795</c:v>
                </c:pt>
                <c:pt idx="340">
                  <c:v>41796</c:v>
                </c:pt>
                <c:pt idx="341">
                  <c:v>41797</c:v>
                </c:pt>
                <c:pt idx="342">
                  <c:v>41798</c:v>
                </c:pt>
                <c:pt idx="343">
                  <c:v>41799</c:v>
                </c:pt>
                <c:pt idx="344">
                  <c:v>41800</c:v>
                </c:pt>
                <c:pt idx="345">
                  <c:v>41801</c:v>
                </c:pt>
                <c:pt idx="346">
                  <c:v>41802</c:v>
                </c:pt>
                <c:pt idx="347">
                  <c:v>41803</c:v>
                </c:pt>
                <c:pt idx="348">
                  <c:v>41804</c:v>
                </c:pt>
                <c:pt idx="349">
                  <c:v>41805</c:v>
                </c:pt>
                <c:pt idx="350">
                  <c:v>41806</c:v>
                </c:pt>
                <c:pt idx="351">
                  <c:v>41807</c:v>
                </c:pt>
                <c:pt idx="352">
                  <c:v>41808</c:v>
                </c:pt>
                <c:pt idx="353">
                  <c:v>41809</c:v>
                </c:pt>
                <c:pt idx="354">
                  <c:v>41810</c:v>
                </c:pt>
                <c:pt idx="355">
                  <c:v>41811</c:v>
                </c:pt>
                <c:pt idx="356">
                  <c:v>41812</c:v>
                </c:pt>
                <c:pt idx="357">
                  <c:v>41813</c:v>
                </c:pt>
                <c:pt idx="358">
                  <c:v>41814</c:v>
                </c:pt>
                <c:pt idx="359">
                  <c:v>41815</c:v>
                </c:pt>
                <c:pt idx="360">
                  <c:v>41816</c:v>
                </c:pt>
                <c:pt idx="361">
                  <c:v>41817</c:v>
                </c:pt>
                <c:pt idx="362">
                  <c:v>41818</c:v>
                </c:pt>
                <c:pt idx="363">
                  <c:v>41819</c:v>
                </c:pt>
                <c:pt idx="364">
                  <c:v>41820</c:v>
                </c:pt>
                <c:pt idx="365">
                  <c:v>41821</c:v>
                </c:pt>
                <c:pt idx="366">
                  <c:v>41822</c:v>
                </c:pt>
                <c:pt idx="367">
                  <c:v>41823</c:v>
                </c:pt>
                <c:pt idx="368">
                  <c:v>41824</c:v>
                </c:pt>
                <c:pt idx="369">
                  <c:v>41825</c:v>
                </c:pt>
                <c:pt idx="370">
                  <c:v>41826</c:v>
                </c:pt>
                <c:pt idx="371">
                  <c:v>41827</c:v>
                </c:pt>
                <c:pt idx="372">
                  <c:v>41828</c:v>
                </c:pt>
                <c:pt idx="373">
                  <c:v>41829</c:v>
                </c:pt>
                <c:pt idx="374">
                  <c:v>41830</c:v>
                </c:pt>
                <c:pt idx="375">
                  <c:v>41831</c:v>
                </c:pt>
                <c:pt idx="376">
                  <c:v>41832</c:v>
                </c:pt>
                <c:pt idx="377">
                  <c:v>41833</c:v>
                </c:pt>
                <c:pt idx="378">
                  <c:v>41834</c:v>
                </c:pt>
                <c:pt idx="379">
                  <c:v>41835</c:v>
                </c:pt>
                <c:pt idx="380">
                  <c:v>41836</c:v>
                </c:pt>
                <c:pt idx="381">
                  <c:v>41837</c:v>
                </c:pt>
                <c:pt idx="382">
                  <c:v>41838</c:v>
                </c:pt>
                <c:pt idx="383">
                  <c:v>41839</c:v>
                </c:pt>
                <c:pt idx="384">
                  <c:v>41840</c:v>
                </c:pt>
                <c:pt idx="385">
                  <c:v>41841</c:v>
                </c:pt>
                <c:pt idx="386">
                  <c:v>41842</c:v>
                </c:pt>
                <c:pt idx="387">
                  <c:v>41843</c:v>
                </c:pt>
                <c:pt idx="388">
                  <c:v>41844</c:v>
                </c:pt>
                <c:pt idx="389">
                  <c:v>41845</c:v>
                </c:pt>
                <c:pt idx="390">
                  <c:v>41846</c:v>
                </c:pt>
                <c:pt idx="391">
                  <c:v>41847</c:v>
                </c:pt>
                <c:pt idx="392">
                  <c:v>41848</c:v>
                </c:pt>
                <c:pt idx="393">
                  <c:v>41849</c:v>
                </c:pt>
                <c:pt idx="394">
                  <c:v>41850</c:v>
                </c:pt>
                <c:pt idx="395">
                  <c:v>41851</c:v>
                </c:pt>
                <c:pt idx="396">
                  <c:v>41852</c:v>
                </c:pt>
                <c:pt idx="397">
                  <c:v>41853</c:v>
                </c:pt>
                <c:pt idx="398">
                  <c:v>41854</c:v>
                </c:pt>
                <c:pt idx="399">
                  <c:v>41855</c:v>
                </c:pt>
                <c:pt idx="400">
                  <c:v>41856</c:v>
                </c:pt>
                <c:pt idx="401">
                  <c:v>41857</c:v>
                </c:pt>
                <c:pt idx="402">
                  <c:v>41858</c:v>
                </c:pt>
                <c:pt idx="403">
                  <c:v>41859</c:v>
                </c:pt>
                <c:pt idx="404">
                  <c:v>41860</c:v>
                </c:pt>
                <c:pt idx="405">
                  <c:v>41861</c:v>
                </c:pt>
                <c:pt idx="406">
                  <c:v>41862</c:v>
                </c:pt>
                <c:pt idx="407">
                  <c:v>41863</c:v>
                </c:pt>
                <c:pt idx="408">
                  <c:v>41864</c:v>
                </c:pt>
                <c:pt idx="409">
                  <c:v>41865</c:v>
                </c:pt>
                <c:pt idx="410">
                  <c:v>41866</c:v>
                </c:pt>
                <c:pt idx="411">
                  <c:v>41867</c:v>
                </c:pt>
                <c:pt idx="412">
                  <c:v>41868</c:v>
                </c:pt>
                <c:pt idx="413">
                  <c:v>41869</c:v>
                </c:pt>
                <c:pt idx="414">
                  <c:v>41870</c:v>
                </c:pt>
                <c:pt idx="415">
                  <c:v>41871</c:v>
                </c:pt>
                <c:pt idx="416">
                  <c:v>41872</c:v>
                </c:pt>
                <c:pt idx="417">
                  <c:v>41873</c:v>
                </c:pt>
                <c:pt idx="418">
                  <c:v>41874</c:v>
                </c:pt>
                <c:pt idx="419">
                  <c:v>41875</c:v>
                </c:pt>
                <c:pt idx="420">
                  <c:v>41876</c:v>
                </c:pt>
                <c:pt idx="421">
                  <c:v>41877</c:v>
                </c:pt>
                <c:pt idx="422">
                  <c:v>41878</c:v>
                </c:pt>
                <c:pt idx="423">
                  <c:v>41879</c:v>
                </c:pt>
                <c:pt idx="424">
                  <c:v>41880</c:v>
                </c:pt>
                <c:pt idx="425">
                  <c:v>41881</c:v>
                </c:pt>
                <c:pt idx="426">
                  <c:v>41882</c:v>
                </c:pt>
                <c:pt idx="427">
                  <c:v>41883</c:v>
                </c:pt>
                <c:pt idx="428">
                  <c:v>41884</c:v>
                </c:pt>
                <c:pt idx="429">
                  <c:v>41885</c:v>
                </c:pt>
                <c:pt idx="430">
                  <c:v>41886</c:v>
                </c:pt>
                <c:pt idx="431">
                  <c:v>41887</c:v>
                </c:pt>
                <c:pt idx="432">
                  <c:v>41888</c:v>
                </c:pt>
                <c:pt idx="433">
                  <c:v>41889</c:v>
                </c:pt>
                <c:pt idx="434">
                  <c:v>41890</c:v>
                </c:pt>
                <c:pt idx="435">
                  <c:v>41891</c:v>
                </c:pt>
                <c:pt idx="436">
                  <c:v>41892</c:v>
                </c:pt>
                <c:pt idx="437">
                  <c:v>41893</c:v>
                </c:pt>
                <c:pt idx="438">
                  <c:v>41894</c:v>
                </c:pt>
                <c:pt idx="439">
                  <c:v>41895</c:v>
                </c:pt>
                <c:pt idx="440">
                  <c:v>41896</c:v>
                </c:pt>
                <c:pt idx="441">
                  <c:v>41897</c:v>
                </c:pt>
                <c:pt idx="442">
                  <c:v>41898</c:v>
                </c:pt>
                <c:pt idx="443">
                  <c:v>41899</c:v>
                </c:pt>
                <c:pt idx="444">
                  <c:v>41900</c:v>
                </c:pt>
                <c:pt idx="445">
                  <c:v>41901</c:v>
                </c:pt>
                <c:pt idx="446">
                  <c:v>41902</c:v>
                </c:pt>
                <c:pt idx="447">
                  <c:v>41903</c:v>
                </c:pt>
                <c:pt idx="448">
                  <c:v>41904</c:v>
                </c:pt>
                <c:pt idx="449">
                  <c:v>41905</c:v>
                </c:pt>
                <c:pt idx="450">
                  <c:v>41906</c:v>
                </c:pt>
                <c:pt idx="451">
                  <c:v>41907</c:v>
                </c:pt>
                <c:pt idx="452">
                  <c:v>41908</c:v>
                </c:pt>
                <c:pt idx="453">
                  <c:v>41909</c:v>
                </c:pt>
                <c:pt idx="454">
                  <c:v>41910</c:v>
                </c:pt>
                <c:pt idx="455">
                  <c:v>41911</c:v>
                </c:pt>
                <c:pt idx="456">
                  <c:v>41912</c:v>
                </c:pt>
                <c:pt idx="457">
                  <c:v>41913</c:v>
                </c:pt>
                <c:pt idx="458">
                  <c:v>41914</c:v>
                </c:pt>
                <c:pt idx="459">
                  <c:v>41915</c:v>
                </c:pt>
                <c:pt idx="460">
                  <c:v>41916</c:v>
                </c:pt>
                <c:pt idx="461">
                  <c:v>41917</c:v>
                </c:pt>
                <c:pt idx="462">
                  <c:v>41918</c:v>
                </c:pt>
                <c:pt idx="463">
                  <c:v>41919</c:v>
                </c:pt>
                <c:pt idx="464">
                  <c:v>41920</c:v>
                </c:pt>
                <c:pt idx="465">
                  <c:v>41921</c:v>
                </c:pt>
                <c:pt idx="466">
                  <c:v>41922</c:v>
                </c:pt>
                <c:pt idx="467">
                  <c:v>41923</c:v>
                </c:pt>
                <c:pt idx="468">
                  <c:v>41924</c:v>
                </c:pt>
                <c:pt idx="469">
                  <c:v>41925</c:v>
                </c:pt>
                <c:pt idx="470">
                  <c:v>41926</c:v>
                </c:pt>
                <c:pt idx="471">
                  <c:v>41927</c:v>
                </c:pt>
                <c:pt idx="472">
                  <c:v>41928</c:v>
                </c:pt>
                <c:pt idx="473">
                  <c:v>41929</c:v>
                </c:pt>
                <c:pt idx="474">
                  <c:v>41930</c:v>
                </c:pt>
                <c:pt idx="475">
                  <c:v>41931</c:v>
                </c:pt>
                <c:pt idx="476">
                  <c:v>41932</c:v>
                </c:pt>
                <c:pt idx="477">
                  <c:v>41933</c:v>
                </c:pt>
                <c:pt idx="478">
                  <c:v>41934</c:v>
                </c:pt>
                <c:pt idx="479">
                  <c:v>41935</c:v>
                </c:pt>
                <c:pt idx="480">
                  <c:v>41936</c:v>
                </c:pt>
                <c:pt idx="481">
                  <c:v>41937</c:v>
                </c:pt>
                <c:pt idx="482">
                  <c:v>41938</c:v>
                </c:pt>
                <c:pt idx="483">
                  <c:v>41939</c:v>
                </c:pt>
                <c:pt idx="484">
                  <c:v>41940</c:v>
                </c:pt>
                <c:pt idx="485">
                  <c:v>41941</c:v>
                </c:pt>
                <c:pt idx="486">
                  <c:v>41942</c:v>
                </c:pt>
                <c:pt idx="487">
                  <c:v>41943</c:v>
                </c:pt>
                <c:pt idx="488">
                  <c:v>41944</c:v>
                </c:pt>
                <c:pt idx="489">
                  <c:v>41945</c:v>
                </c:pt>
                <c:pt idx="490">
                  <c:v>41946</c:v>
                </c:pt>
                <c:pt idx="491">
                  <c:v>41947</c:v>
                </c:pt>
                <c:pt idx="492">
                  <c:v>41948</c:v>
                </c:pt>
                <c:pt idx="493">
                  <c:v>41949</c:v>
                </c:pt>
                <c:pt idx="494">
                  <c:v>41950</c:v>
                </c:pt>
                <c:pt idx="495">
                  <c:v>41951</c:v>
                </c:pt>
                <c:pt idx="496">
                  <c:v>41952</c:v>
                </c:pt>
                <c:pt idx="497">
                  <c:v>41953</c:v>
                </c:pt>
                <c:pt idx="498">
                  <c:v>41954</c:v>
                </c:pt>
                <c:pt idx="499">
                  <c:v>41955</c:v>
                </c:pt>
                <c:pt idx="500">
                  <c:v>41956</c:v>
                </c:pt>
                <c:pt idx="501">
                  <c:v>41957</c:v>
                </c:pt>
                <c:pt idx="502">
                  <c:v>41958</c:v>
                </c:pt>
                <c:pt idx="503">
                  <c:v>41959</c:v>
                </c:pt>
                <c:pt idx="504">
                  <c:v>41960</c:v>
                </c:pt>
                <c:pt idx="505">
                  <c:v>41961</c:v>
                </c:pt>
                <c:pt idx="506">
                  <c:v>41962</c:v>
                </c:pt>
                <c:pt idx="507">
                  <c:v>41963</c:v>
                </c:pt>
                <c:pt idx="508">
                  <c:v>41964</c:v>
                </c:pt>
                <c:pt idx="509">
                  <c:v>41965</c:v>
                </c:pt>
                <c:pt idx="510">
                  <c:v>41966</c:v>
                </c:pt>
                <c:pt idx="511">
                  <c:v>41967</c:v>
                </c:pt>
                <c:pt idx="512">
                  <c:v>41968</c:v>
                </c:pt>
                <c:pt idx="513">
                  <c:v>41969</c:v>
                </c:pt>
                <c:pt idx="514">
                  <c:v>41970</c:v>
                </c:pt>
                <c:pt idx="515">
                  <c:v>41971</c:v>
                </c:pt>
                <c:pt idx="516">
                  <c:v>41972</c:v>
                </c:pt>
                <c:pt idx="517">
                  <c:v>41973</c:v>
                </c:pt>
                <c:pt idx="518">
                  <c:v>41974</c:v>
                </c:pt>
                <c:pt idx="519">
                  <c:v>41975</c:v>
                </c:pt>
                <c:pt idx="520">
                  <c:v>41976</c:v>
                </c:pt>
                <c:pt idx="521">
                  <c:v>41977</c:v>
                </c:pt>
                <c:pt idx="522">
                  <c:v>41978</c:v>
                </c:pt>
                <c:pt idx="523">
                  <c:v>41979</c:v>
                </c:pt>
                <c:pt idx="524">
                  <c:v>41980</c:v>
                </c:pt>
                <c:pt idx="525">
                  <c:v>41981</c:v>
                </c:pt>
                <c:pt idx="526">
                  <c:v>41982</c:v>
                </c:pt>
                <c:pt idx="527">
                  <c:v>41983</c:v>
                </c:pt>
                <c:pt idx="528">
                  <c:v>41984</c:v>
                </c:pt>
                <c:pt idx="529">
                  <c:v>41985</c:v>
                </c:pt>
                <c:pt idx="530">
                  <c:v>41986</c:v>
                </c:pt>
                <c:pt idx="531">
                  <c:v>41987</c:v>
                </c:pt>
                <c:pt idx="532">
                  <c:v>41988</c:v>
                </c:pt>
                <c:pt idx="533">
                  <c:v>41989</c:v>
                </c:pt>
                <c:pt idx="534">
                  <c:v>41990</c:v>
                </c:pt>
                <c:pt idx="535">
                  <c:v>41991</c:v>
                </c:pt>
                <c:pt idx="536">
                  <c:v>41992</c:v>
                </c:pt>
                <c:pt idx="537">
                  <c:v>41993</c:v>
                </c:pt>
                <c:pt idx="538">
                  <c:v>41994</c:v>
                </c:pt>
                <c:pt idx="539">
                  <c:v>41995</c:v>
                </c:pt>
                <c:pt idx="540">
                  <c:v>41996</c:v>
                </c:pt>
                <c:pt idx="541">
                  <c:v>41997</c:v>
                </c:pt>
                <c:pt idx="542">
                  <c:v>41998</c:v>
                </c:pt>
                <c:pt idx="543">
                  <c:v>41999</c:v>
                </c:pt>
                <c:pt idx="544">
                  <c:v>42000</c:v>
                </c:pt>
                <c:pt idx="545">
                  <c:v>42001</c:v>
                </c:pt>
                <c:pt idx="546">
                  <c:v>42002</c:v>
                </c:pt>
                <c:pt idx="547">
                  <c:v>42003</c:v>
                </c:pt>
                <c:pt idx="548">
                  <c:v>42004</c:v>
                </c:pt>
                <c:pt idx="549">
                  <c:v>42005</c:v>
                </c:pt>
                <c:pt idx="550">
                  <c:v>42006</c:v>
                </c:pt>
                <c:pt idx="551">
                  <c:v>42007</c:v>
                </c:pt>
                <c:pt idx="552">
                  <c:v>42008</c:v>
                </c:pt>
                <c:pt idx="553">
                  <c:v>42009</c:v>
                </c:pt>
                <c:pt idx="554">
                  <c:v>42010</c:v>
                </c:pt>
                <c:pt idx="555">
                  <c:v>42011</c:v>
                </c:pt>
                <c:pt idx="556">
                  <c:v>42012</c:v>
                </c:pt>
                <c:pt idx="557">
                  <c:v>42013</c:v>
                </c:pt>
                <c:pt idx="558">
                  <c:v>42014</c:v>
                </c:pt>
                <c:pt idx="559">
                  <c:v>42015</c:v>
                </c:pt>
                <c:pt idx="560">
                  <c:v>42016</c:v>
                </c:pt>
                <c:pt idx="561">
                  <c:v>42017</c:v>
                </c:pt>
                <c:pt idx="562">
                  <c:v>42018</c:v>
                </c:pt>
                <c:pt idx="563">
                  <c:v>42019</c:v>
                </c:pt>
                <c:pt idx="564">
                  <c:v>42020</c:v>
                </c:pt>
                <c:pt idx="565">
                  <c:v>42021</c:v>
                </c:pt>
                <c:pt idx="566">
                  <c:v>42022</c:v>
                </c:pt>
                <c:pt idx="567">
                  <c:v>42023</c:v>
                </c:pt>
                <c:pt idx="568">
                  <c:v>42024</c:v>
                </c:pt>
                <c:pt idx="569">
                  <c:v>42025</c:v>
                </c:pt>
                <c:pt idx="570">
                  <c:v>42026</c:v>
                </c:pt>
                <c:pt idx="571">
                  <c:v>42027</c:v>
                </c:pt>
                <c:pt idx="572">
                  <c:v>42028</c:v>
                </c:pt>
                <c:pt idx="573">
                  <c:v>42029</c:v>
                </c:pt>
                <c:pt idx="574">
                  <c:v>42030</c:v>
                </c:pt>
                <c:pt idx="575">
                  <c:v>42031</c:v>
                </c:pt>
                <c:pt idx="576">
                  <c:v>42032</c:v>
                </c:pt>
                <c:pt idx="577">
                  <c:v>42033</c:v>
                </c:pt>
                <c:pt idx="578">
                  <c:v>42034</c:v>
                </c:pt>
                <c:pt idx="579">
                  <c:v>42035</c:v>
                </c:pt>
                <c:pt idx="580">
                  <c:v>42036</c:v>
                </c:pt>
                <c:pt idx="581">
                  <c:v>42037</c:v>
                </c:pt>
                <c:pt idx="582">
                  <c:v>42038</c:v>
                </c:pt>
                <c:pt idx="583">
                  <c:v>42039</c:v>
                </c:pt>
                <c:pt idx="584">
                  <c:v>42040</c:v>
                </c:pt>
                <c:pt idx="585">
                  <c:v>42041</c:v>
                </c:pt>
                <c:pt idx="586">
                  <c:v>42042</c:v>
                </c:pt>
                <c:pt idx="587">
                  <c:v>42043</c:v>
                </c:pt>
                <c:pt idx="588">
                  <c:v>42044</c:v>
                </c:pt>
                <c:pt idx="589">
                  <c:v>42045</c:v>
                </c:pt>
                <c:pt idx="590">
                  <c:v>42046</c:v>
                </c:pt>
                <c:pt idx="591">
                  <c:v>42047</c:v>
                </c:pt>
                <c:pt idx="592">
                  <c:v>42048</c:v>
                </c:pt>
                <c:pt idx="593">
                  <c:v>42049</c:v>
                </c:pt>
                <c:pt idx="594">
                  <c:v>42050</c:v>
                </c:pt>
                <c:pt idx="595">
                  <c:v>42051</c:v>
                </c:pt>
                <c:pt idx="596">
                  <c:v>42052</c:v>
                </c:pt>
                <c:pt idx="597">
                  <c:v>42053</c:v>
                </c:pt>
                <c:pt idx="598">
                  <c:v>42054</c:v>
                </c:pt>
                <c:pt idx="599">
                  <c:v>42055</c:v>
                </c:pt>
                <c:pt idx="600">
                  <c:v>42056</c:v>
                </c:pt>
                <c:pt idx="601">
                  <c:v>42057</c:v>
                </c:pt>
                <c:pt idx="602">
                  <c:v>42058</c:v>
                </c:pt>
                <c:pt idx="603">
                  <c:v>42059</c:v>
                </c:pt>
                <c:pt idx="604">
                  <c:v>42060</c:v>
                </c:pt>
                <c:pt idx="605">
                  <c:v>42061</c:v>
                </c:pt>
                <c:pt idx="606">
                  <c:v>42062</c:v>
                </c:pt>
                <c:pt idx="607">
                  <c:v>42063</c:v>
                </c:pt>
                <c:pt idx="608">
                  <c:v>42064</c:v>
                </c:pt>
                <c:pt idx="609">
                  <c:v>42065</c:v>
                </c:pt>
                <c:pt idx="610">
                  <c:v>42066</c:v>
                </c:pt>
                <c:pt idx="611">
                  <c:v>42067</c:v>
                </c:pt>
                <c:pt idx="612">
                  <c:v>42068</c:v>
                </c:pt>
                <c:pt idx="613">
                  <c:v>42069</c:v>
                </c:pt>
                <c:pt idx="614">
                  <c:v>42070</c:v>
                </c:pt>
                <c:pt idx="615">
                  <c:v>42071</c:v>
                </c:pt>
                <c:pt idx="616">
                  <c:v>42072</c:v>
                </c:pt>
                <c:pt idx="617">
                  <c:v>42073</c:v>
                </c:pt>
                <c:pt idx="618">
                  <c:v>42074</c:v>
                </c:pt>
                <c:pt idx="619">
                  <c:v>42075</c:v>
                </c:pt>
                <c:pt idx="620">
                  <c:v>42076</c:v>
                </c:pt>
                <c:pt idx="621">
                  <c:v>42077</c:v>
                </c:pt>
                <c:pt idx="622">
                  <c:v>42078</c:v>
                </c:pt>
                <c:pt idx="623">
                  <c:v>42079</c:v>
                </c:pt>
                <c:pt idx="624">
                  <c:v>42080</c:v>
                </c:pt>
                <c:pt idx="625">
                  <c:v>42081</c:v>
                </c:pt>
                <c:pt idx="626">
                  <c:v>42082</c:v>
                </c:pt>
                <c:pt idx="627">
                  <c:v>42083</c:v>
                </c:pt>
                <c:pt idx="628">
                  <c:v>42084</c:v>
                </c:pt>
                <c:pt idx="629">
                  <c:v>42085</c:v>
                </c:pt>
                <c:pt idx="630">
                  <c:v>42086</c:v>
                </c:pt>
                <c:pt idx="631">
                  <c:v>42087</c:v>
                </c:pt>
                <c:pt idx="632">
                  <c:v>42088</c:v>
                </c:pt>
                <c:pt idx="633">
                  <c:v>42089</c:v>
                </c:pt>
                <c:pt idx="634">
                  <c:v>42090</c:v>
                </c:pt>
                <c:pt idx="635">
                  <c:v>42091</c:v>
                </c:pt>
                <c:pt idx="636">
                  <c:v>42092</c:v>
                </c:pt>
                <c:pt idx="637">
                  <c:v>42093</c:v>
                </c:pt>
                <c:pt idx="638">
                  <c:v>42094</c:v>
                </c:pt>
                <c:pt idx="639">
                  <c:v>42095</c:v>
                </c:pt>
                <c:pt idx="640">
                  <c:v>42096</c:v>
                </c:pt>
                <c:pt idx="641">
                  <c:v>42097</c:v>
                </c:pt>
                <c:pt idx="642">
                  <c:v>42098</c:v>
                </c:pt>
                <c:pt idx="643">
                  <c:v>42099</c:v>
                </c:pt>
                <c:pt idx="644">
                  <c:v>42100</c:v>
                </c:pt>
                <c:pt idx="645">
                  <c:v>42101</c:v>
                </c:pt>
                <c:pt idx="646">
                  <c:v>42102</c:v>
                </c:pt>
                <c:pt idx="647">
                  <c:v>42103</c:v>
                </c:pt>
                <c:pt idx="648">
                  <c:v>42104</c:v>
                </c:pt>
                <c:pt idx="649">
                  <c:v>42105</c:v>
                </c:pt>
                <c:pt idx="650">
                  <c:v>42106</c:v>
                </c:pt>
                <c:pt idx="651">
                  <c:v>42107</c:v>
                </c:pt>
                <c:pt idx="652">
                  <c:v>42108</c:v>
                </c:pt>
                <c:pt idx="653">
                  <c:v>42109</c:v>
                </c:pt>
                <c:pt idx="654">
                  <c:v>42110</c:v>
                </c:pt>
                <c:pt idx="655">
                  <c:v>42111</c:v>
                </c:pt>
                <c:pt idx="656">
                  <c:v>42112</c:v>
                </c:pt>
                <c:pt idx="657">
                  <c:v>42113</c:v>
                </c:pt>
                <c:pt idx="658">
                  <c:v>42114</c:v>
                </c:pt>
                <c:pt idx="659">
                  <c:v>42115</c:v>
                </c:pt>
                <c:pt idx="660">
                  <c:v>42116</c:v>
                </c:pt>
                <c:pt idx="661">
                  <c:v>42117</c:v>
                </c:pt>
                <c:pt idx="662">
                  <c:v>42118</c:v>
                </c:pt>
                <c:pt idx="663">
                  <c:v>42119</c:v>
                </c:pt>
                <c:pt idx="664">
                  <c:v>42120</c:v>
                </c:pt>
                <c:pt idx="665">
                  <c:v>42121</c:v>
                </c:pt>
                <c:pt idx="666">
                  <c:v>42122</c:v>
                </c:pt>
                <c:pt idx="667">
                  <c:v>42123</c:v>
                </c:pt>
                <c:pt idx="668">
                  <c:v>42124</c:v>
                </c:pt>
                <c:pt idx="669">
                  <c:v>42125</c:v>
                </c:pt>
                <c:pt idx="670">
                  <c:v>42126</c:v>
                </c:pt>
                <c:pt idx="671">
                  <c:v>42127</c:v>
                </c:pt>
                <c:pt idx="672">
                  <c:v>42128</c:v>
                </c:pt>
                <c:pt idx="673">
                  <c:v>42129</c:v>
                </c:pt>
                <c:pt idx="674">
                  <c:v>42130</c:v>
                </c:pt>
                <c:pt idx="675">
                  <c:v>42131</c:v>
                </c:pt>
                <c:pt idx="676">
                  <c:v>42132</c:v>
                </c:pt>
                <c:pt idx="677">
                  <c:v>42133</c:v>
                </c:pt>
                <c:pt idx="678">
                  <c:v>42134</c:v>
                </c:pt>
                <c:pt idx="679">
                  <c:v>42135</c:v>
                </c:pt>
                <c:pt idx="680">
                  <c:v>42136</c:v>
                </c:pt>
                <c:pt idx="681">
                  <c:v>42137</c:v>
                </c:pt>
                <c:pt idx="682">
                  <c:v>42138</c:v>
                </c:pt>
                <c:pt idx="683">
                  <c:v>42139</c:v>
                </c:pt>
                <c:pt idx="684">
                  <c:v>42140</c:v>
                </c:pt>
                <c:pt idx="685">
                  <c:v>42141</c:v>
                </c:pt>
                <c:pt idx="686">
                  <c:v>42142</c:v>
                </c:pt>
                <c:pt idx="687">
                  <c:v>42143</c:v>
                </c:pt>
                <c:pt idx="688">
                  <c:v>42144</c:v>
                </c:pt>
                <c:pt idx="689">
                  <c:v>42145</c:v>
                </c:pt>
                <c:pt idx="690">
                  <c:v>42146</c:v>
                </c:pt>
                <c:pt idx="691">
                  <c:v>42147</c:v>
                </c:pt>
                <c:pt idx="692">
                  <c:v>42148</c:v>
                </c:pt>
                <c:pt idx="693">
                  <c:v>42149</c:v>
                </c:pt>
                <c:pt idx="694">
                  <c:v>42150</c:v>
                </c:pt>
                <c:pt idx="695">
                  <c:v>42151</c:v>
                </c:pt>
                <c:pt idx="696">
                  <c:v>42152</c:v>
                </c:pt>
                <c:pt idx="697">
                  <c:v>42153</c:v>
                </c:pt>
                <c:pt idx="698">
                  <c:v>42154</c:v>
                </c:pt>
                <c:pt idx="699">
                  <c:v>42155</c:v>
                </c:pt>
                <c:pt idx="700">
                  <c:v>42156</c:v>
                </c:pt>
                <c:pt idx="701">
                  <c:v>42157</c:v>
                </c:pt>
                <c:pt idx="702">
                  <c:v>42158</c:v>
                </c:pt>
                <c:pt idx="703">
                  <c:v>42159</c:v>
                </c:pt>
                <c:pt idx="704">
                  <c:v>42160</c:v>
                </c:pt>
                <c:pt idx="705">
                  <c:v>42161</c:v>
                </c:pt>
                <c:pt idx="706">
                  <c:v>42162</c:v>
                </c:pt>
                <c:pt idx="707">
                  <c:v>42163</c:v>
                </c:pt>
                <c:pt idx="708">
                  <c:v>42164</c:v>
                </c:pt>
                <c:pt idx="709">
                  <c:v>42165</c:v>
                </c:pt>
                <c:pt idx="710">
                  <c:v>42166</c:v>
                </c:pt>
                <c:pt idx="711">
                  <c:v>42167</c:v>
                </c:pt>
                <c:pt idx="712">
                  <c:v>42168</c:v>
                </c:pt>
                <c:pt idx="713">
                  <c:v>42169</c:v>
                </c:pt>
                <c:pt idx="714">
                  <c:v>42170</c:v>
                </c:pt>
                <c:pt idx="715">
                  <c:v>42171</c:v>
                </c:pt>
                <c:pt idx="716">
                  <c:v>42172</c:v>
                </c:pt>
                <c:pt idx="717">
                  <c:v>42173</c:v>
                </c:pt>
                <c:pt idx="718">
                  <c:v>42174</c:v>
                </c:pt>
                <c:pt idx="719">
                  <c:v>42175</c:v>
                </c:pt>
                <c:pt idx="720">
                  <c:v>42176</c:v>
                </c:pt>
                <c:pt idx="721">
                  <c:v>42177</c:v>
                </c:pt>
                <c:pt idx="722">
                  <c:v>42178</c:v>
                </c:pt>
                <c:pt idx="723">
                  <c:v>42179</c:v>
                </c:pt>
                <c:pt idx="724">
                  <c:v>42180</c:v>
                </c:pt>
                <c:pt idx="725">
                  <c:v>42181</c:v>
                </c:pt>
                <c:pt idx="726">
                  <c:v>42182</c:v>
                </c:pt>
                <c:pt idx="727">
                  <c:v>42183</c:v>
                </c:pt>
                <c:pt idx="728">
                  <c:v>42184</c:v>
                </c:pt>
                <c:pt idx="729">
                  <c:v>42185</c:v>
                </c:pt>
                <c:pt idx="730">
                  <c:v>42186</c:v>
                </c:pt>
                <c:pt idx="731">
                  <c:v>42187</c:v>
                </c:pt>
                <c:pt idx="732">
                  <c:v>42188</c:v>
                </c:pt>
                <c:pt idx="733">
                  <c:v>42189</c:v>
                </c:pt>
                <c:pt idx="734">
                  <c:v>42190</c:v>
                </c:pt>
                <c:pt idx="735">
                  <c:v>42191</c:v>
                </c:pt>
                <c:pt idx="736">
                  <c:v>42192</c:v>
                </c:pt>
                <c:pt idx="737">
                  <c:v>42193</c:v>
                </c:pt>
                <c:pt idx="738">
                  <c:v>42194</c:v>
                </c:pt>
                <c:pt idx="739">
                  <c:v>42195</c:v>
                </c:pt>
                <c:pt idx="740">
                  <c:v>42196</c:v>
                </c:pt>
                <c:pt idx="741">
                  <c:v>42197</c:v>
                </c:pt>
                <c:pt idx="742">
                  <c:v>42198</c:v>
                </c:pt>
                <c:pt idx="743">
                  <c:v>42199</c:v>
                </c:pt>
                <c:pt idx="744">
                  <c:v>42200</c:v>
                </c:pt>
                <c:pt idx="745">
                  <c:v>42201</c:v>
                </c:pt>
                <c:pt idx="746">
                  <c:v>42202</c:v>
                </c:pt>
                <c:pt idx="747">
                  <c:v>42203</c:v>
                </c:pt>
                <c:pt idx="748">
                  <c:v>42204</c:v>
                </c:pt>
                <c:pt idx="749">
                  <c:v>42205</c:v>
                </c:pt>
                <c:pt idx="750">
                  <c:v>42206</c:v>
                </c:pt>
                <c:pt idx="751">
                  <c:v>42207</c:v>
                </c:pt>
                <c:pt idx="752">
                  <c:v>42208</c:v>
                </c:pt>
                <c:pt idx="753">
                  <c:v>42209</c:v>
                </c:pt>
                <c:pt idx="754">
                  <c:v>42210</c:v>
                </c:pt>
                <c:pt idx="755">
                  <c:v>42211</c:v>
                </c:pt>
                <c:pt idx="756">
                  <c:v>42212</c:v>
                </c:pt>
                <c:pt idx="757">
                  <c:v>42213</c:v>
                </c:pt>
                <c:pt idx="758">
                  <c:v>42214</c:v>
                </c:pt>
                <c:pt idx="759">
                  <c:v>42215</c:v>
                </c:pt>
                <c:pt idx="760">
                  <c:v>42216</c:v>
                </c:pt>
                <c:pt idx="761">
                  <c:v>42217</c:v>
                </c:pt>
                <c:pt idx="762">
                  <c:v>42218</c:v>
                </c:pt>
                <c:pt idx="763">
                  <c:v>42219</c:v>
                </c:pt>
                <c:pt idx="764">
                  <c:v>42220</c:v>
                </c:pt>
                <c:pt idx="765">
                  <c:v>42221</c:v>
                </c:pt>
                <c:pt idx="766">
                  <c:v>42222</c:v>
                </c:pt>
                <c:pt idx="767">
                  <c:v>42223</c:v>
                </c:pt>
                <c:pt idx="768">
                  <c:v>42224</c:v>
                </c:pt>
                <c:pt idx="769">
                  <c:v>42225</c:v>
                </c:pt>
                <c:pt idx="770">
                  <c:v>42226</c:v>
                </c:pt>
                <c:pt idx="771">
                  <c:v>42227</c:v>
                </c:pt>
                <c:pt idx="772">
                  <c:v>42228</c:v>
                </c:pt>
                <c:pt idx="773">
                  <c:v>42229</c:v>
                </c:pt>
                <c:pt idx="774">
                  <c:v>42230</c:v>
                </c:pt>
                <c:pt idx="775">
                  <c:v>42231</c:v>
                </c:pt>
                <c:pt idx="776">
                  <c:v>42232</c:v>
                </c:pt>
                <c:pt idx="777">
                  <c:v>42233</c:v>
                </c:pt>
                <c:pt idx="778">
                  <c:v>42234</c:v>
                </c:pt>
                <c:pt idx="779">
                  <c:v>42235</c:v>
                </c:pt>
                <c:pt idx="780">
                  <c:v>42236</c:v>
                </c:pt>
                <c:pt idx="781">
                  <c:v>42237</c:v>
                </c:pt>
                <c:pt idx="782">
                  <c:v>42238</c:v>
                </c:pt>
                <c:pt idx="783">
                  <c:v>42239</c:v>
                </c:pt>
                <c:pt idx="784">
                  <c:v>42240</c:v>
                </c:pt>
                <c:pt idx="785">
                  <c:v>42241</c:v>
                </c:pt>
                <c:pt idx="786">
                  <c:v>42242</c:v>
                </c:pt>
                <c:pt idx="787">
                  <c:v>42243</c:v>
                </c:pt>
                <c:pt idx="788">
                  <c:v>42244</c:v>
                </c:pt>
                <c:pt idx="789">
                  <c:v>42245</c:v>
                </c:pt>
                <c:pt idx="790">
                  <c:v>42246</c:v>
                </c:pt>
                <c:pt idx="791">
                  <c:v>42247</c:v>
                </c:pt>
                <c:pt idx="792">
                  <c:v>42248</c:v>
                </c:pt>
                <c:pt idx="793">
                  <c:v>42249</c:v>
                </c:pt>
                <c:pt idx="794">
                  <c:v>42250</c:v>
                </c:pt>
                <c:pt idx="795">
                  <c:v>42251</c:v>
                </c:pt>
                <c:pt idx="796">
                  <c:v>42252</c:v>
                </c:pt>
                <c:pt idx="797">
                  <c:v>42253</c:v>
                </c:pt>
                <c:pt idx="798">
                  <c:v>42254</c:v>
                </c:pt>
                <c:pt idx="799">
                  <c:v>42255</c:v>
                </c:pt>
                <c:pt idx="800">
                  <c:v>42256</c:v>
                </c:pt>
                <c:pt idx="801">
                  <c:v>42257</c:v>
                </c:pt>
                <c:pt idx="802">
                  <c:v>42258</c:v>
                </c:pt>
                <c:pt idx="803">
                  <c:v>42259</c:v>
                </c:pt>
                <c:pt idx="804">
                  <c:v>42260</c:v>
                </c:pt>
                <c:pt idx="805">
                  <c:v>42261</c:v>
                </c:pt>
                <c:pt idx="806">
                  <c:v>42262</c:v>
                </c:pt>
                <c:pt idx="807">
                  <c:v>42263</c:v>
                </c:pt>
                <c:pt idx="808">
                  <c:v>42264</c:v>
                </c:pt>
                <c:pt idx="809">
                  <c:v>42265</c:v>
                </c:pt>
                <c:pt idx="810">
                  <c:v>42266</c:v>
                </c:pt>
                <c:pt idx="811">
                  <c:v>42267</c:v>
                </c:pt>
                <c:pt idx="812">
                  <c:v>42268</c:v>
                </c:pt>
                <c:pt idx="813">
                  <c:v>42269</c:v>
                </c:pt>
                <c:pt idx="814">
                  <c:v>42270</c:v>
                </c:pt>
                <c:pt idx="815">
                  <c:v>42271</c:v>
                </c:pt>
                <c:pt idx="816">
                  <c:v>42272</c:v>
                </c:pt>
                <c:pt idx="817">
                  <c:v>42273</c:v>
                </c:pt>
                <c:pt idx="818">
                  <c:v>42274</c:v>
                </c:pt>
                <c:pt idx="819">
                  <c:v>42275</c:v>
                </c:pt>
                <c:pt idx="820">
                  <c:v>42276</c:v>
                </c:pt>
                <c:pt idx="821">
                  <c:v>42277</c:v>
                </c:pt>
                <c:pt idx="822">
                  <c:v>42278</c:v>
                </c:pt>
                <c:pt idx="823">
                  <c:v>42279</c:v>
                </c:pt>
                <c:pt idx="824">
                  <c:v>42280</c:v>
                </c:pt>
                <c:pt idx="825">
                  <c:v>42281</c:v>
                </c:pt>
                <c:pt idx="826">
                  <c:v>42282</c:v>
                </c:pt>
                <c:pt idx="827">
                  <c:v>42283</c:v>
                </c:pt>
                <c:pt idx="828">
                  <c:v>42284</c:v>
                </c:pt>
                <c:pt idx="829">
                  <c:v>42285</c:v>
                </c:pt>
                <c:pt idx="830">
                  <c:v>42286</c:v>
                </c:pt>
                <c:pt idx="831">
                  <c:v>42287</c:v>
                </c:pt>
                <c:pt idx="832">
                  <c:v>42288</c:v>
                </c:pt>
                <c:pt idx="833">
                  <c:v>42289</c:v>
                </c:pt>
                <c:pt idx="834">
                  <c:v>42290</c:v>
                </c:pt>
                <c:pt idx="835">
                  <c:v>42291</c:v>
                </c:pt>
                <c:pt idx="836">
                  <c:v>42292</c:v>
                </c:pt>
                <c:pt idx="837">
                  <c:v>42293</c:v>
                </c:pt>
                <c:pt idx="838">
                  <c:v>42294</c:v>
                </c:pt>
                <c:pt idx="839">
                  <c:v>42295</c:v>
                </c:pt>
                <c:pt idx="840">
                  <c:v>42296</c:v>
                </c:pt>
                <c:pt idx="841">
                  <c:v>42297</c:v>
                </c:pt>
                <c:pt idx="842">
                  <c:v>42298</c:v>
                </c:pt>
                <c:pt idx="843">
                  <c:v>42299</c:v>
                </c:pt>
                <c:pt idx="844">
                  <c:v>42300</c:v>
                </c:pt>
                <c:pt idx="845">
                  <c:v>42301</c:v>
                </c:pt>
                <c:pt idx="846">
                  <c:v>42302</c:v>
                </c:pt>
                <c:pt idx="847">
                  <c:v>42303</c:v>
                </c:pt>
                <c:pt idx="848">
                  <c:v>42304</c:v>
                </c:pt>
                <c:pt idx="849">
                  <c:v>42305</c:v>
                </c:pt>
                <c:pt idx="850">
                  <c:v>42306</c:v>
                </c:pt>
                <c:pt idx="851">
                  <c:v>42307</c:v>
                </c:pt>
                <c:pt idx="852">
                  <c:v>42308</c:v>
                </c:pt>
                <c:pt idx="853">
                  <c:v>42309</c:v>
                </c:pt>
                <c:pt idx="854">
                  <c:v>42310</c:v>
                </c:pt>
                <c:pt idx="855">
                  <c:v>42311</c:v>
                </c:pt>
                <c:pt idx="856">
                  <c:v>42312</c:v>
                </c:pt>
                <c:pt idx="857">
                  <c:v>42313</c:v>
                </c:pt>
                <c:pt idx="858">
                  <c:v>42314</c:v>
                </c:pt>
                <c:pt idx="859">
                  <c:v>42315</c:v>
                </c:pt>
                <c:pt idx="860">
                  <c:v>42316</c:v>
                </c:pt>
                <c:pt idx="861">
                  <c:v>42317</c:v>
                </c:pt>
                <c:pt idx="862">
                  <c:v>42318</c:v>
                </c:pt>
                <c:pt idx="863">
                  <c:v>42319</c:v>
                </c:pt>
                <c:pt idx="864">
                  <c:v>42320</c:v>
                </c:pt>
                <c:pt idx="865">
                  <c:v>42321</c:v>
                </c:pt>
                <c:pt idx="866">
                  <c:v>42322</c:v>
                </c:pt>
                <c:pt idx="867">
                  <c:v>42323</c:v>
                </c:pt>
                <c:pt idx="868">
                  <c:v>42324</c:v>
                </c:pt>
                <c:pt idx="869">
                  <c:v>42325</c:v>
                </c:pt>
                <c:pt idx="870">
                  <c:v>42326</c:v>
                </c:pt>
                <c:pt idx="871">
                  <c:v>42327</c:v>
                </c:pt>
                <c:pt idx="872">
                  <c:v>42328</c:v>
                </c:pt>
                <c:pt idx="873">
                  <c:v>42329</c:v>
                </c:pt>
                <c:pt idx="874">
                  <c:v>42330</c:v>
                </c:pt>
                <c:pt idx="875">
                  <c:v>42331</c:v>
                </c:pt>
                <c:pt idx="876">
                  <c:v>42332</c:v>
                </c:pt>
                <c:pt idx="877">
                  <c:v>42333</c:v>
                </c:pt>
                <c:pt idx="878">
                  <c:v>42334</c:v>
                </c:pt>
                <c:pt idx="879">
                  <c:v>42335</c:v>
                </c:pt>
                <c:pt idx="880">
                  <c:v>42336</c:v>
                </c:pt>
                <c:pt idx="881">
                  <c:v>42337</c:v>
                </c:pt>
                <c:pt idx="882">
                  <c:v>42338</c:v>
                </c:pt>
                <c:pt idx="883">
                  <c:v>42339</c:v>
                </c:pt>
                <c:pt idx="884">
                  <c:v>42340</c:v>
                </c:pt>
                <c:pt idx="885">
                  <c:v>42341</c:v>
                </c:pt>
                <c:pt idx="886">
                  <c:v>42342</c:v>
                </c:pt>
                <c:pt idx="887">
                  <c:v>42343</c:v>
                </c:pt>
                <c:pt idx="888">
                  <c:v>42344</c:v>
                </c:pt>
                <c:pt idx="889">
                  <c:v>42345</c:v>
                </c:pt>
                <c:pt idx="890">
                  <c:v>42346</c:v>
                </c:pt>
                <c:pt idx="891">
                  <c:v>42347</c:v>
                </c:pt>
                <c:pt idx="892">
                  <c:v>42348</c:v>
                </c:pt>
                <c:pt idx="893">
                  <c:v>42349</c:v>
                </c:pt>
                <c:pt idx="894">
                  <c:v>42350</c:v>
                </c:pt>
                <c:pt idx="895">
                  <c:v>42351</c:v>
                </c:pt>
                <c:pt idx="896">
                  <c:v>42352</c:v>
                </c:pt>
                <c:pt idx="897">
                  <c:v>42353</c:v>
                </c:pt>
                <c:pt idx="898">
                  <c:v>42354</c:v>
                </c:pt>
                <c:pt idx="899">
                  <c:v>42355</c:v>
                </c:pt>
                <c:pt idx="900">
                  <c:v>42356</c:v>
                </c:pt>
                <c:pt idx="901">
                  <c:v>42357</c:v>
                </c:pt>
                <c:pt idx="902">
                  <c:v>42358</c:v>
                </c:pt>
                <c:pt idx="903">
                  <c:v>42359</c:v>
                </c:pt>
                <c:pt idx="904">
                  <c:v>42360</c:v>
                </c:pt>
                <c:pt idx="905">
                  <c:v>42361</c:v>
                </c:pt>
                <c:pt idx="906">
                  <c:v>42362</c:v>
                </c:pt>
                <c:pt idx="907">
                  <c:v>42363</c:v>
                </c:pt>
                <c:pt idx="908">
                  <c:v>42364</c:v>
                </c:pt>
                <c:pt idx="909">
                  <c:v>42365</c:v>
                </c:pt>
                <c:pt idx="910">
                  <c:v>42366</c:v>
                </c:pt>
                <c:pt idx="911">
                  <c:v>42367</c:v>
                </c:pt>
                <c:pt idx="912">
                  <c:v>42368</c:v>
                </c:pt>
                <c:pt idx="913">
                  <c:v>42369</c:v>
                </c:pt>
                <c:pt idx="914">
                  <c:v>42370</c:v>
                </c:pt>
                <c:pt idx="915">
                  <c:v>42371</c:v>
                </c:pt>
                <c:pt idx="916">
                  <c:v>42372</c:v>
                </c:pt>
                <c:pt idx="917">
                  <c:v>42373</c:v>
                </c:pt>
                <c:pt idx="918">
                  <c:v>42374</c:v>
                </c:pt>
                <c:pt idx="919">
                  <c:v>42375</c:v>
                </c:pt>
                <c:pt idx="920">
                  <c:v>42376</c:v>
                </c:pt>
                <c:pt idx="921">
                  <c:v>42377</c:v>
                </c:pt>
                <c:pt idx="922">
                  <c:v>42378</c:v>
                </c:pt>
                <c:pt idx="923">
                  <c:v>42379</c:v>
                </c:pt>
                <c:pt idx="924">
                  <c:v>42380</c:v>
                </c:pt>
                <c:pt idx="925">
                  <c:v>42381</c:v>
                </c:pt>
                <c:pt idx="926">
                  <c:v>42382</c:v>
                </c:pt>
                <c:pt idx="927">
                  <c:v>42383</c:v>
                </c:pt>
                <c:pt idx="928">
                  <c:v>42384</c:v>
                </c:pt>
                <c:pt idx="929">
                  <c:v>42385</c:v>
                </c:pt>
                <c:pt idx="930">
                  <c:v>42386</c:v>
                </c:pt>
                <c:pt idx="931">
                  <c:v>42387</c:v>
                </c:pt>
                <c:pt idx="932">
                  <c:v>42388</c:v>
                </c:pt>
                <c:pt idx="933">
                  <c:v>42389</c:v>
                </c:pt>
                <c:pt idx="934">
                  <c:v>42390</c:v>
                </c:pt>
                <c:pt idx="935">
                  <c:v>42391</c:v>
                </c:pt>
                <c:pt idx="936">
                  <c:v>42392</c:v>
                </c:pt>
                <c:pt idx="937">
                  <c:v>42393</c:v>
                </c:pt>
                <c:pt idx="938">
                  <c:v>42394</c:v>
                </c:pt>
                <c:pt idx="939">
                  <c:v>42395</c:v>
                </c:pt>
                <c:pt idx="940">
                  <c:v>42396</c:v>
                </c:pt>
                <c:pt idx="941">
                  <c:v>42397</c:v>
                </c:pt>
                <c:pt idx="942">
                  <c:v>42398</c:v>
                </c:pt>
                <c:pt idx="943">
                  <c:v>42399</c:v>
                </c:pt>
                <c:pt idx="944">
                  <c:v>42400</c:v>
                </c:pt>
                <c:pt idx="945">
                  <c:v>42401</c:v>
                </c:pt>
                <c:pt idx="946">
                  <c:v>42402</c:v>
                </c:pt>
                <c:pt idx="947">
                  <c:v>42403</c:v>
                </c:pt>
                <c:pt idx="948">
                  <c:v>42404</c:v>
                </c:pt>
                <c:pt idx="949">
                  <c:v>42405</c:v>
                </c:pt>
                <c:pt idx="950">
                  <c:v>42406</c:v>
                </c:pt>
                <c:pt idx="951">
                  <c:v>42407</c:v>
                </c:pt>
                <c:pt idx="952">
                  <c:v>42408</c:v>
                </c:pt>
                <c:pt idx="953">
                  <c:v>42409</c:v>
                </c:pt>
                <c:pt idx="954">
                  <c:v>42410</c:v>
                </c:pt>
                <c:pt idx="955">
                  <c:v>42411</c:v>
                </c:pt>
                <c:pt idx="956">
                  <c:v>42412</c:v>
                </c:pt>
                <c:pt idx="957">
                  <c:v>42413</c:v>
                </c:pt>
                <c:pt idx="958">
                  <c:v>42414</c:v>
                </c:pt>
                <c:pt idx="959">
                  <c:v>42415</c:v>
                </c:pt>
                <c:pt idx="960">
                  <c:v>42416</c:v>
                </c:pt>
                <c:pt idx="961">
                  <c:v>42417</c:v>
                </c:pt>
                <c:pt idx="962">
                  <c:v>42418</c:v>
                </c:pt>
                <c:pt idx="963">
                  <c:v>42419</c:v>
                </c:pt>
                <c:pt idx="964">
                  <c:v>42420</c:v>
                </c:pt>
                <c:pt idx="965">
                  <c:v>42421</c:v>
                </c:pt>
                <c:pt idx="966">
                  <c:v>42422</c:v>
                </c:pt>
                <c:pt idx="967">
                  <c:v>42423</c:v>
                </c:pt>
                <c:pt idx="968">
                  <c:v>42424</c:v>
                </c:pt>
                <c:pt idx="969">
                  <c:v>42425</c:v>
                </c:pt>
                <c:pt idx="970">
                  <c:v>42426</c:v>
                </c:pt>
                <c:pt idx="971">
                  <c:v>42427</c:v>
                </c:pt>
                <c:pt idx="972">
                  <c:v>42428</c:v>
                </c:pt>
                <c:pt idx="973">
                  <c:v>42429</c:v>
                </c:pt>
                <c:pt idx="974">
                  <c:v>42430</c:v>
                </c:pt>
                <c:pt idx="975">
                  <c:v>42431</c:v>
                </c:pt>
                <c:pt idx="976">
                  <c:v>42432</c:v>
                </c:pt>
                <c:pt idx="977">
                  <c:v>42433</c:v>
                </c:pt>
                <c:pt idx="978">
                  <c:v>42434</c:v>
                </c:pt>
                <c:pt idx="979">
                  <c:v>42435</c:v>
                </c:pt>
                <c:pt idx="980">
                  <c:v>42436</c:v>
                </c:pt>
                <c:pt idx="981">
                  <c:v>42437</c:v>
                </c:pt>
                <c:pt idx="982">
                  <c:v>42438</c:v>
                </c:pt>
                <c:pt idx="983">
                  <c:v>42439</c:v>
                </c:pt>
                <c:pt idx="984">
                  <c:v>42440</c:v>
                </c:pt>
                <c:pt idx="985">
                  <c:v>42441</c:v>
                </c:pt>
                <c:pt idx="986">
                  <c:v>42442</c:v>
                </c:pt>
                <c:pt idx="987">
                  <c:v>42443</c:v>
                </c:pt>
                <c:pt idx="988">
                  <c:v>42444</c:v>
                </c:pt>
                <c:pt idx="989">
                  <c:v>42445</c:v>
                </c:pt>
                <c:pt idx="990">
                  <c:v>42446</c:v>
                </c:pt>
                <c:pt idx="991">
                  <c:v>42447</c:v>
                </c:pt>
                <c:pt idx="992">
                  <c:v>42448</c:v>
                </c:pt>
                <c:pt idx="993">
                  <c:v>42449</c:v>
                </c:pt>
                <c:pt idx="994">
                  <c:v>42450</c:v>
                </c:pt>
                <c:pt idx="995">
                  <c:v>42451</c:v>
                </c:pt>
                <c:pt idx="996">
                  <c:v>42452</c:v>
                </c:pt>
                <c:pt idx="997">
                  <c:v>42453</c:v>
                </c:pt>
                <c:pt idx="998">
                  <c:v>42454</c:v>
                </c:pt>
                <c:pt idx="999">
                  <c:v>42455</c:v>
                </c:pt>
                <c:pt idx="1000">
                  <c:v>42456</c:v>
                </c:pt>
                <c:pt idx="1001">
                  <c:v>42457</c:v>
                </c:pt>
                <c:pt idx="1002">
                  <c:v>42458</c:v>
                </c:pt>
                <c:pt idx="1003">
                  <c:v>42459</c:v>
                </c:pt>
                <c:pt idx="1004">
                  <c:v>42460</c:v>
                </c:pt>
                <c:pt idx="1005">
                  <c:v>42461</c:v>
                </c:pt>
                <c:pt idx="1006">
                  <c:v>42462</c:v>
                </c:pt>
                <c:pt idx="1007">
                  <c:v>42463</c:v>
                </c:pt>
                <c:pt idx="1008">
                  <c:v>42464</c:v>
                </c:pt>
                <c:pt idx="1009">
                  <c:v>42465</c:v>
                </c:pt>
                <c:pt idx="1010">
                  <c:v>42466</c:v>
                </c:pt>
                <c:pt idx="1011">
                  <c:v>42467</c:v>
                </c:pt>
                <c:pt idx="1012">
                  <c:v>42468</c:v>
                </c:pt>
                <c:pt idx="1013">
                  <c:v>42469</c:v>
                </c:pt>
                <c:pt idx="1014">
                  <c:v>42470</c:v>
                </c:pt>
                <c:pt idx="1015">
                  <c:v>42471</c:v>
                </c:pt>
                <c:pt idx="1016">
                  <c:v>42472</c:v>
                </c:pt>
                <c:pt idx="1017">
                  <c:v>42473</c:v>
                </c:pt>
                <c:pt idx="1018">
                  <c:v>42474</c:v>
                </c:pt>
                <c:pt idx="1019">
                  <c:v>42475</c:v>
                </c:pt>
                <c:pt idx="1020">
                  <c:v>42476</c:v>
                </c:pt>
                <c:pt idx="1021">
                  <c:v>42477</c:v>
                </c:pt>
                <c:pt idx="1022">
                  <c:v>42478</c:v>
                </c:pt>
                <c:pt idx="1023">
                  <c:v>42479</c:v>
                </c:pt>
                <c:pt idx="1024">
                  <c:v>42480</c:v>
                </c:pt>
                <c:pt idx="1025">
                  <c:v>42481</c:v>
                </c:pt>
                <c:pt idx="1026">
                  <c:v>42482</c:v>
                </c:pt>
                <c:pt idx="1027">
                  <c:v>42483</c:v>
                </c:pt>
                <c:pt idx="1028">
                  <c:v>42484</c:v>
                </c:pt>
                <c:pt idx="1029">
                  <c:v>42485</c:v>
                </c:pt>
                <c:pt idx="1030">
                  <c:v>42486</c:v>
                </c:pt>
                <c:pt idx="1031">
                  <c:v>42487</c:v>
                </c:pt>
                <c:pt idx="1032">
                  <c:v>42488</c:v>
                </c:pt>
                <c:pt idx="1033">
                  <c:v>42489</c:v>
                </c:pt>
                <c:pt idx="1034">
                  <c:v>42490</c:v>
                </c:pt>
                <c:pt idx="1035">
                  <c:v>42491</c:v>
                </c:pt>
                <c:pt idx="1036">
                  <c:v>42492</c:v>
                </c:pt>
                <c:pt idx="1037">
                  <c:v>42493</c:v>
                </c:pt>
                <c:pt idx="1038">
                  <c:v>42494</c:v>
                </c:pt>
                <c:pt idx="1039">
                  <c:v>42495</c:v>
                </c:pt>
                <c:pt idx="1040">
                  <c:v>42496</c:v>
                </c:pt>
                <c:pt idx="1041">
                  <c:v>42497</c:v>
                </c:pt>
                <c:pt idx="1042">
                  <c:v>42498</c:v>
                </c:pt>
                <c:pt idx="1043">
                  <c:v>42499</c:v>
                </c:pt>
                <c:pt idx="1044">
                  <c:v>42500</c:v>
                </c:pt>
                <c:pt idx="1045">
                  <c:v>42501</c:v>
                </c:pt>
                <c:pt idx="1046">
                  <c:v>42502</c:v>
                </c:pt>
                <c:pt idx="1047">
                  <c:v>42503</c:v>
                </c:pt>
                <c:pt idx="1048">
                  <c:v>42504</c:v>
                </c:pt>
                <c:pt idx="1049">
                  <c:v>42505</c:v>
                </c:pt>
                <c:pt idx="1050">
                  <c:v>42506</c:v>
                </c:pt>
                <c:pt idx="1051">
                  <c:v>42507</c:v>
                </c:pt>
                <c:pt idx="1052">
                  <c:v>42508</c:v>
                </c:pt>
                <c:pt idx="1053">
                  <c:v>42509</c:v>
                </c:pt>
                <c:pt idx="1054">
                  <c:v>42510</c:v>
                </c:pt>
                <c:pt idx="1055">
                  <c:v>42511</c:v>
                </c:pt>
                <c:pt idx="1056">
                  <c:v>42512</c:v>
                </c:pt>
                <c:pt idx="1057">
                  <c:v>42513</c:v>
                </c:pt>
                <c:pt idx="1058">
                  <c:v>42514</c:v>
                </c:pt>
                <c:pt idx="1059">
                  <c:v>42515</c:v>
                </c:pt>
                <c:pt idx="1060">
                  <c:v>42516</c:v>
                </c:pt>
                <c:pt idx="1061">
                  <c:v>42517</c:v>
                </c:pt>
                <c:pt idx="1062">
                  <c:v>42518</c:v>
                </c:pt>
                <c:pt idx="1063">
                  <c:v>42519</c:v>
                </c:pt>
                <c:pt idx="1064">
                  <c:v>42520</c:v>
                </c:pt>
                <c:pt idx="1065">
                  <c:v>42521</c:v>
                </c:pt>
                <c:pt idx="1066">
                  <c:v>42522</c:v>
                </c:pt>
                <c:pt idx="1067">
                  <c:v>42523</c:v>
                </c:pt>
                <c:pt idx="1068">
                  <c:v>42524</c:v>
                </c:pt>
                <c:pt idx="1069">
                  <c:v>42525</c:v>
                </c:pt>
                <c:pt idx="1070">
                  <c:v>42526</c:v>
                </c:pt>
                <c:pt idx="1071">
                  <c:v>42527</c:v>
                </c:pt>
                <c:pt idx="1072">
                  <c:v>42528</c:v>
                </c:pt>
                <c:pt idx="1073">
                  <c:v>42529</c:v>
                </c:pt>
                <c:pt idx="1074">
                  <c:v>42530</c:v>
                </c:pt>
                <c:pt idx="1075">
                  <c:v>42531</c:v>
                </c:pt>
                <c:pt idx="1076">
                  <c:v>42532</c:v>
                </c:pt>
                <c:pt idx="1077">
                  <c:v>42533</c:v>
                </c:pt>
                <c:pt idx="1078">
                  <c:v>42534</c:v>
                </c:pt>
                <c:pt idx="1079">
                  <c:v>42535</c:v>
                </c:pt>
                <c:pt idx="1080">
                  <c:v>42536</c:v>
                </c:pt>
                <c:pt idx="1081">
                  <c:v>42537</c:v>
                </c:pt>
                <c:pt idx="1082">
                  <c:v>42538</c:v>
                </c:pt>
                <c:pt idx="1083">
                  <c:v>42539</c:v>
                </c:pt>
                <c:pt idx="1084">
                  <c:v>42540</c:v>
                </c:pt>
                <c:pt idx="1085">
                  <c:v>42541</c:v>
                </c:pt>
                <c:pt idx="1086">
                  <c:v>42542</c:v>
                </c:pt>
                <c:pt idx="1087">
                  <c:v>42543</c:v>
                </c:pt>
                <c:pt idx="1088">
                  <c:v>42544</c:v>
                </c:pt>
                <c:pt idx="1089">
                  <c:v>42545</c:v>
                </c:pt>
                <c:pt idx="1090">
                  <c:v>42546</c:v>
                </c:pt>
                <c:pt idx="1091">
                  <c:v>42547</c:v>
                </c:pt>
                <c:pt idx="1092">
                  <c:v>42548</c:v>
                </c:pt>
                <c:pt idx="1093">
                  <c:v>42549</c:v>
                </c:pt>
                <c:pt idx="1094">
                  <c:v>42550</c:v>
                </c:pt>
                <c:pt idx="1095">
                  <c:v>42551</c:v>
                </c:pt>
                <c:pt idx="1096">
                  <c:v>42552</c:v>
                </c:pt>
                <c:pt idx="1097">
                  <c:v>42553</c:v>
                </c:pt>
                <c:pt idx="1098">
                  <c:v>42554</c:v>
                </c:pt>
                <c:pt idx="1099">
                  <c:v>42555</c:v>
                </c:pt>
                <c:pt idx="1100">
                  <c:v>42556</c:v>
                </c:pt>
                <c:pt idx="1101">
                  <c:v>42557</c:v>
                </c:pt>
                <c:pt idx="1102">
                  <c:v>42558</c:v>
                </c:pt>
                <c:pt idx="1103">
                  <c:v>42559</c:v>
                </c:pt>
                <c:pt idx="1104">
                  <c:v>42560</c:v>
                </c:pt>
                <c:pt idx="1105">
                  <c:v>42561</c:v>
                </c:pt>
                <c:pt idx="1106">
                  <c:v>42562</c:v>
                </c:pt>
                <c:pt idx="1107">
                  <c:v>42563</c:v>
                </c:pt>
                <c:pt idx="1108">
                  <c:v>42564</c:v>
                </c:pt>
                <c:pt idx="1109">
                  <c:v>42565</c:v>
                </c:pt>
                <c:pt idx="1110">
                  <c:v>42566</c:v>
                </c:pt>
                <c:pt idx="1111">
                  <c:v>42567</c:v>
                </c:pt>
                <c:pt idx="1112">
                  <c:v>42568</c:v>
                </c:pt>
                <c:pt idx="1113">
                  <c:v>42569</c:v>
                </c:pt>
                <c:pt idx="1114">
                  <c:v>42570</c:v>
                </c:pt>
                <c:pt idx="1115">
                  <c:v>42571</c:v>
                </c:pt>
                <c:pt idx="1116">
                  <c:v>42572</c:v>
                </c:pt>
                <c:pt idx="1117">
                  <c:v>42573</c:v>
                </c:pt>
                <c:pt idx="1118">
                  <c:v>42574</c:v>
                </c:pt>
                <c:pt idx="1119">
                  <c:v>42575</c:v>
                </c:pt>
                <c:pt idx="1120">
                  <c:v>42576</c:v>
                </c:pt>
                <c:pt idx="1121">
                  <c:v>42577</c:v>
                </c:pt>
                <c:pt idx="1122">
                  <c:v>42578</c:v>
                </c:pt>
                <c:pt idx="1123">
                  <c:v>42579</c:v>
                </c:pt>
                <c:pt idx="1124">
                  <c:v>42580</c:v>
                </c:pt>
                <c:pt idx="1125">
                  <c:v>42581</c:v>
                </c:pt>
                <c:pt idx="1126">
                  <c:v>42582</c:v>
                </c:pt>
                <c:pt idx="1127">
                  <c:v>42583</c:v>
                </c:pt>
                <c:pt idx="1128">
                  <c:v>42584</c:v>
                </c:pt>
                <c:pt idx="1129">
                  <c:v>42585</c:v>
                </c:pt>
                <c:pt idx="1130">
                  <c:v>42586</c:v>
                </c:pt>
                <c:pt idx="1131">
                  <c:v>42587</c:v>
                </c:pt>
                <c:pt idx="1132">
                  <c:v>42588</c:v>
                </c:pt>
                <c:pt idx="1133">
                  <c:v>42589</c:v>
                </c:pt>
                <c:pt idx="1134">
                  <c:v>42590</c:v>
                </c:pt>
                <c:pt idx="1135">
                  <c:v>42591</c:v>
                </c:pt>
                <c:pt idx="1136">
                  <c:v>42592</c:v>
                </c:pt>
                <c:pt idx="1137">
                  <c:v>42593</c:v>
                </c:pt>
                <c:pt idx="1138">
                  <c:v>42594</c:v>
                </c:pt>
                <c:pt idx="1139">
                  <c:v>42595</c:v>
                </c:pt>
                <c:pt idx="1140">
                  <c:v>42596</c:v>
                </c:pt>
                <c:pt idx="1141">
                  <c:v>42597</c:v>
                </c:pt>
                <c:pt idx="1142">
                  <c:v>42598</c:v>
                </c:pt>
                <c:pt idx="1143">
                  <c:v>42599</c:v>
                </c:pt>
                <c:pt idx="1144">
                  <c:v>42600</c:v>
                </c:pt>
                <c:pt idx="1145">
                  <c:v>42601</c:v>
                </c:pt>
                <c:pt idx="1146">
                  <c:v>42602</c:v>
                </c:pt>
                <c:pt idx="1147">
                  <c:v>42603</c:v>
                </c:pt>
                <c:pt idx="1148">
                  <c:v>42604</c:v>
                </c:pt>
                <c:pt idx="1149">
                  <c:v>42605</c:v>
                </c:pt>
                <c:pt idx="1150">
                  <c:v>42606</c:v>
                </c:pt>
                <c:pt idx="1151">
                  <c:v>42607</c:v>
                </c:pt>
                <c:pt idx="1152">
                  <c:v>42608</c:v>
                </c:pt>
                <c:pt idx="1153">
                  <c:v>42609</c:v>
                </c:pt>
                <c:pt idx="1154">
                  <c:v>42610</c:v>
                </c:pt>
                <c:pt idx="1155">
                  <c:v>42611</c:v>
                </c:pt>
                <c:pt idx="1156">
                  <c:v>42612</c:v>
                </c:pt>
                <c:pt idx="1157">
                  <c:v>42613</c:v>
                </c:pt>
                <c:pt idx="1158">
                  <c:v>42614</c:v>
                </c:pt>
                <c:pt idx="1159">
                  <c:v>42615</c:v>
                </c:pt>
              </c:numCache>
            </c:numRef>
          </c:cat>
          <c:val>
            <c:numRef>
              <c:f>'LGC&amp;STC spot prices'!$B$2:$B$1161</c:f>
              <c:numCache>
                <c:formatCode>#,##0.00</c:formatCode>
                <c:ptCount val="1160"/>
                <c:pt idx="0">
                  <c:v>33.050000000000004</c:v>
                </c:pt>
                <c:pt idx="1">
                  <c:v>33.050000000000004</c:v>
                </c:pt>
                <c:pt idx="2">
                  <c:v>33</c:v>
                </c:pt>
                <c:pt idx="3">
                  <c:v>33</c:v>
                </c:pt>
                <c:pt idx="4">
                  <c:v>32.849999999999994</c:v>
                </c:pt>
                <c:pt idx="5">
                  <c:v>0</c:v>
                </c:pt>
                <c:pt idx="6">
                  <c:v>0</c:v>
                </c:pt>
                <c:pt idx="7">
                  <c:v>32.65</c:v>
                </c:pt>
                <c:pt idx="8">
                  <c:v>32.6</c:v>
                </c:pt>
                <c:pt idx="9">
                  <c:v>32.6</c:v>
                </c:pt>
                <c:pt idx="10">
                  <c:v>32.6</c:v>
                </c:pt>
                <c:pt idx="11">
                  <c:v>32.449999999999996</c:v>
                </c:pt>
                <c:pt idx="12">
                  <c:v>0</c:v>
                </c:pt>
                <c:pt idx="13">
                  <c:v>0</c:v>
                </c:pt>
                <c:pt idx="14">
                  <c:v>32.449999999999996</c:v>
                </c:pt>
                <c:pt idx="15">
                  <c:v>32.5</c:v>
                </c:pt>
                <c:pt idx="16">
                  <c:v>32.5</c:v>
                </c:pt>
                <c:pt idx="17">
                  <c:v>32.5</c:v>
                </c:pt>
                <c:pt idx="18">
                  <c:v>32.5</c:v>
                </c:pt>
                <c:pt idx="19">
                  <c:v>0</c:v>
                </c:pt>
                <c:pt idx="20">
                  <c:v>0</c:v>
                </c:pt>
                <c:pt idx="21">
                  <c:v>32</c:v>
                </c:pt>
                <c:pt idx="22">
                  <c:v>32.050000000000004</c:v>
                </c:pt>
                <c:pt idx="23">
                  <c:v>31.75</c:v>
                </c:pt>
                <c:pt idx="24">
                  <c:v>31.7</c:v>
                </c:pt>
                <c:pt idx="25">
                  <c:v>31.65000000000002</c:v>
                </c:pt>
                <c:pt idx="26">
                  <c:v>0</c:v>
                </c:pt>
                <c:pt idx="27">
                  <c:v>0</c:v>
                </c:pt>
                <c:pt idx="28">
                  <c:v>31.5</c:v>
                </c:pt>
                <c:pt idx="29">
                  <c:v>31.7</c:v>
                </c:pt>
                <c:pt idx="30">
                  <c:v>31.6</c:v>
                </c:pt>
                <c:pt idx="31">
                  <c:v>31.4</c:v>
                </c:pt>
                <c:pt idx="32">
                  <c:v>32.15</c:v>
                </c:pt>
                <c:pt idx="33">
                  <c:v>0</c:v>
                </c:pt>
                <c:pt idx="34">
                  <c:v>0</c:v>
                </c:pt>
                <c:pt idx="35">
                  <c:v>31.65000000000002</c:v>
                </c:pt>
                <c:pt idx="36">
                  <c:v>31.65000000000002</c:v>
                </c:pt>
                <c:pt idx="37">
                  <c:v>31.5</c:v>
                </c:pt>
                <c:pt idx="38">
                  <c:v>31.4</c:v>
                </c:pt>
                <c:pt idx="39">
                  <c:v>31.5</c:v>
                </c:pt>
                <c:pt idx="40">
                  <c:v>0</c:v>
                </c:pt>
                <c:pt idx="41">
                  <c:v>0</c:v>
                </c:pt>
                <c:pt idx="42">
                  <c:v>32.15</c:v>
                </c:pt>
                <c:pt idx="43">
                  <c:v>32</c:v>
                </c:pt>
                <c:pt idx="44">
                  <c:v>32</c:v>
                </c:pt>
                <c:pt idx="45">
                  <c:v>32</c:v>
                </c:pt>
                <c:pt idx="46">
                  <c:v>32</c:v>
                </c:pt>
                <c:pt idx="47">
                  <c:v>0</c:v>
                </c:pt>
                <c:pt idx="48">
                  <c:v>0</c:v>
                </c:pt>
                <c:pt idx="49">
                  <c:v>32</c:v>
                </c:pt>
                <c:pt idx="50">
                  <c:v>32</c:v>
                </c:pt>
                <c:pt idx="51">
                  <c:v>32.1</c:v>
                </c:pt>
                <c:pt idx="52">
                  <c:v>32.1</c:v>
                </c:pt>
                <c:pt idx="53">
                  <c:v>32.1</c:v>
                </c:pt>
                <c:pt idx="54">
                  <c:v>0</c:v>
                </c:pt>
                <c:pt idx="55">
                  <c:v>0</c:v>
                </c:pt>
                <c:pt idx="56">
                  <c:v>32</c:v>
                </c:pt>
                <c:pt idx="57">
                  <c:v>32</c:v>
                </c:pt>
                <c:pt idx="58">
                  <c:v>32.25</c:v>
                </c:pt>
                <c:pt idx="59">
                  <c:v>32.200000000000003</c:v>
                </c:pt>
                <c:pt idx="60">
                  <c:v>32.5</c:v>
                </c:pt>
                <c:pt idx="61">
                  <c:v>0</c:v>
                </c:pt>
                <c:pt idx="62">
                  <c:v>0</c:v>
                </c:pt>
                <c:pt idx="63">
                  <c:v>32.300000000000004</c:v>
                </c:pt>
                <c:pt idx="64">
                  <c:v>32.300000000000004</c:v>
                </c:pt>
                <c:pt idx="65">
                  <c:v>32.65</c:v>
                </c:pt>
                <c:pt idx="66">
                  <c:v>32.65</c:v>
                </c:pt>
                <c:pt idx="67">
                  <c:v>33</c:v>
                </c:pt>
                <c:pt idx="68">
                  <c:v>0</c:v>
                </c:pt>
                <c:pt idx="69">
                  <c:v>0</c:v>
                </c:pt>
                <c:pt idx="70">
                  <c:v>33.15</c:v>
                </c:pt>
                <c:pt idx="71">
                  <c:v>33.6</c:v>
                </c:pt>
                <c:pt idx="72">
                  <c:v>33.4</c:v>
                </c:pt>
                <c:pt idx="73">
                  <c:v>33.65</c:v>
                </c:pt>
                <c:pt idx="74">
                  <c:v>33.700000000000003</c:v>
                </c:pt>
                <c:pt idx="75">
                  <c:v>0</c:v>
                </c:pt>
                <c:pt idx="76">
                  <c:v>0</c:v>
                </c:pt>
                <c:pt idx="77">
                  <c:v>33.9</c:v>
                </c:pt>
                <c:pt idx="78">
                  <c:v>33.9</c:v>
                </c:pt>
                <c:pt idx="79">
                  <c:v>34.349999999999994</c:v>
                </c:pt>
                <c:pt idx="80">
                  <c:v>34.75</c:v>
                </c:pt>
                <c:pt idx="81">
                  <c:v>34.800000000000004</c:v>
                </c:pt>
                <c:pt idx="82">
                  <c:v>0</c:v>
                </c:pt>
                <c:pt idx="83">
                  <c:v>0</c:v>
                </c:pt>
                <c:pt idx="84">
                  <c:v>34.9</c:v>
                </c:pt>
                <c:pt idx="85">
                  <c:v>34.9</c:v>
                </c:pt>
                <c:pt idx="86">
                  <c:v>34.5</c:v>
                </c:pt>
                <c:pt idx="87">
                  <c:v>34.550000000000004</c:v>
                </c:pt>
                <c:pt idx="88">
                  <c:v>34.75</c:v>
                </c:pt>
                <c:pt idx="89">
                  <c:v>0</c:v>
                </c:pt>
                <c:pt idx="90">
                  <c:v>0</c:v>
                </c:pt>
                <c:pt idx="91">
                  <c:v>34.800000000000004</c:v>
                </c:pt>
                <c:pt idx="92">
                  <c:v>34.800000000000004</c:v>
                </c:pt>
                <c:pt idx="93">
                  <c:v>34.800000000000004</c:v>
                </c:pt>
                <c:pt idx="94">
                  <c:v>34.800000000000004</c:v>
                </c:pt>
                <c:pt idx="95">
                  <c:v>34.65</c:v>
                </c:pt>
                <c:pt idx="96">
                  <c:v>0</c:v>
                </c:pt>
                <c:pt idx="97">
                  <c:v>0</c:v>
                </c:pt>
                <c:pt idx="98">
                  <c:v>34.65</c:v>
                </c:pt>
                <c:pt idx="99">
                  <c:v>34.5</c:v>
                </c:pt>
                <c:pt idx="100">
                  <c:v>34.65</c:v>
                </c:pt>
                <c:pt idx="101">
                  <c:v>34.75</c:v>
                </c:pt>
                <c:pt idx="102">
                  <c:v>34.75</c:v>
                </c:pt>
                <c:pt idx="103">
                  <c:v>0</c:v>
                </c:pt>
                <c:pt idx="104">
                  <c:v>0</c:v>
                </c:pt>
                <c:pt idx="105">
                  <c:v>34.75</c:v>
                </c:pt>
                <c:pt idx="106">
                  <c:v>34.800000000000004</c:v>
                </c:pt>
                <c:pt idx="107">
                  <c:v>34.5</c:v>
                </c:pt>
                <c:pt idx="108">
                  <c:v>34.5</c:v>
                </c:pt>
                <c:pt idx="109">
                  <c:v>34.5</c:v>
                </c:pt>
                <c:pt idx="110">
                  <c:v>0</c:v>
                </c:pt>
                <c:pt idx="111">
                  <c:v>0</c:v>
                </c:pt>
                <c:pt idx="112">
                  <c:v>34.5</c:v>
                </c:pt>
                <c:pt idx="113">
                  <c:v>34.5</c:v>
                </c:pt>
                <c:pt idx="114">
                  <c:v>34.5</c:v>
                </c:pt>
                <c:pt idx="115">
                  <c:v>34.5</c:v>
                </c:pt>
                <c:pt idx="116">
                  <c:v>34.4</c:v>
                </c:pt>
                <c:pt idx="117">
                  <c:v>0</c:v>
                </c:pt>
                <c:pt idx="118">
                  <c:v>0</c:v>
                </c:pt>
                <c:pt idx="119">
                  <c:v>34</c:v>
                </c:pt>
                <c:pt idx="120">
                  <c:v>33.949999999999996</c:v>
                </c:pt>
                <c:pt idx="121">
                  <c:v>34</c:v>
                </c:pt>
                <c:pt idx="122">
                  <c:v>34</c:v>
                </c:pt>
                <c:pt idx="123">
                  <c:v>34</c:v>
                </c:pt>
                <c:pt idx="124">
                  <c:v>0</c:v>
                </c:pt>
                <c:pt idx="125">
                  <c:v>0</c:v>
                </c:pt>
                <c:pt idx="126">
                  <c:v>33.9</c:v>
                </c:pt>
                <c:pt idx="127">
                  <c:v>34.15</c:v>
                </c:pt>
                <c:pt idx="128">
                  <c:v>34.349999999999994</c:v>
                </c:pt>
                <c:pt idx="129">
                  <c:v>34.25</c:v>
                </c:pt>
                <c:pt idx="130">
                  <c:v>34.349999999999994</c:v>
                </c:pt>
                <c:pt idx="131">
                  <c:v>0</c:v>
                </c:pt>
                <c:pt idx="132">
                  <c:v>0</c:v>
                </c:pt>
                <c:pt idx="133">
                  <c:v>34.349999999999994</c:v>
                </c:pt>
                <c:pt idx="134">
                  <c:v>33</c:v>
                </c:pt>
                <c:pt idx="135">
                  <c:v>32.65</c:v>
                </c:pt>
                <c:pt idx="136">
                  <c:v>32.75</c:v>
                </c:pt>
                <c:pt idx="137">
                  <c:v>32.75</c:v>
                </c:pt>
                <c:pt idx="138">
                  <c:v>0</c:v>
                </c:pt>
                <c:pt idx="139">
                  <c:v>0</c:v>
                </c:pt>
                <c:pt idx="140">
                  <c:v>32.949999999999996</c:v>
                </c:pt>
                <c:pt idx="141">
                  <c:v>32.949999999999996</c:v>
                </c:pt>
                <c:pt idx="142">
                  <c:v>32.9</c:v>
                </c:pt>
                <c:pt idx="143">
                  <c:v>33</c:v>
                </c:pt>
                <c:pt idx="144">
                  <c:v>33.25</c:v>
                </c:pt>
                <c:pt idx="145">
                  <c:v>0</c:v>
                </c:pt>
                <c:pt idx="146">
                  <c:v>0</c:v>
                </c:pt>
                <c:pt idx="147">
                  <c:v>33.25</c:v>
                </c:pt>
                <c:pt idx="148">
                  <c:v>33.25</c:v>
                </c:pt>
                <c:pt idx="149">
                  <c:v>33.6</c:v>
                </c:pt>
                <c:pt idx="150">
                  <c:v>33.550000000000004</c:v>
                </c:pt>
                <c:pt idx="151">
                  <c:v>33.550000000000004</c:v>
                </c:pt>
                <c:pt idx="152">
                  <c:v>0</c:v>
                </c:pt>
                <c:pt idx="153">
                  <c:v>0</c:v>
                </c:pt>
                <c:pt idx="154">
                  <c:v>0</c:v>
                </c:pt>
                <c:pt idx="155">
                  <c:v>33.550000000000004</c:v>
                </c:pt>
                <c:pt idx="156">
                  <c:v>33.6</c:v>
                </c:pt>
                <c:pt idx="157">
                  <c:v>33.6</c:v>
                </c:pt>
                <c:pt idx="158">
                  <c:v>33.800000000000004</c:v>
                </c:pt>
                <c:pt idx="159">
                  <c:v>0</c:v>
                </c:pt>
                <c:pt idx="160">
                  <c:v>0</c:v>
                </c:pt>
                <c:pt idx="161">
                  <c:v>33.800000000000004</c:v>
                </c:pt>
                <c:pt idx="162">
                  <c:v>33.75</c:v>
                </c:pt>
                <c:pt idx="163">
                  <c:v>33.75</c:v>
                </c:pt>
                <c:pt idx="164">
                  <c:v>33.75</c:v>
                </c:pt>
                <c:pt idx="165">
                  <c:v>33.700000000000003</c:v>
                </c:pt>
                <c:pt idx="166">
                  <c:v>0</c:v>
                </c:pt>
                <c:pt idx="167">
                  <c:v>0</c:v>
                </c:pt>
                <c:pt idx="168">
                  <c:v>33.700000000000003</c:v>
                </c:pt>
                <c:pt idx="169">
                  <c:v>33.700000000000003</c:v>
                </c:pt>
                <c:pt idx="170">
                  <c:v>33.6</c:v>
                </c:pt>
                <c:pt idx="171">
                  <c:v>32.949999999999996</c:v>
                </c:pt>
                <c:pt idx="172">
                  <c:v>32.9</c:v>
                </c:pt>
                <c:pt idx="173">
                  <c:v>0</c:v>
                </c:pt>
                <c:pt idx="174">
                  <c:v>0</c:v>
                </c:pt>
                <c:pt idx="175">
                  <c:v>32.9</c:v>
                </c:pt>
                <c:pt idx="176">
                  <c:v>32.9</c:v>
                </c:pt>
                <c:pt idx="177">
                  <c:v>0</c:v>
                </c:pt>
                <c:pt idx="178">
                  <c:v>0</c:v>
                </c:pt>
                <c:pt idx="179">
                  <c:v>32.9</c:v>
                </c:pt>
                <c:pt idx="180">
                  <c:v>0</c:v>
                </c:pt>
                <c:pt idx="181">
                  <c:v>0</c:v>
                </c:pt>
                <c:pt idx="182">
                  <c:v>33</c:v>
                </c:pt>
                <c:pt idx="183">
                  <c:v>33</c:v>
                </c:pt>
                <c:pt idx="184">
                  <c:v>0</c:v>
                </c:pt>
                <c:pt idx="185">
                  <c:v>32.9</c:v>
                </c:pt>
                <c:pt idx="186">
                  <c:v>32.65</c:v>
                </c:pt>
                <c:pt idx="187">
                  <c:v>0</c:v>
                </c:pt>
                <c:pt idx="188">
                  <c:v>0</c:v>
                </c:pt>
                <c:pt idx="189">
                  <c:v>33.1</c:v>
                </c:pt>
                <c:pt idx="190">
                  <c:v>33</c:v>
                </c:pt>
                <c:pt idx="191">
                  <c:v>33</c:v>
                </c:pt>
                <c:pt idx="192">
                  <c:v>32.5</c:v>
                </c:pt>
                <c:pt idx="193">
                  <c:v>32.65</c:v>
                </c:pt>
                <c:pt idx="194">
                  <c:v>0</c:v>
                </c:pt>
                <c:pt idx="195">
                  <c:v>0</c:v>
                </c:pt>
                <c:pt idx="196">
                  <c:v>32.25</c:v>
                </c:pt>
                <c:pt idx="197">
                  <c:v>31.8</c:v>
                </c:pt>
                <c:pt idx="198">
                  <c:v>31.5</c:v>
                </c:pt>
                <c:pt idx="199">
                  <c:v>32.050000000000004</c:v>
                </c:pt>
                <c:pt idx="200">
                  <c:v>32</c:v>
                </c:pt>
                <c:pt idx="201">
                  <c:v>0</c:v>
                </c:pt>
                <c:pt idx="202">
                  <c:v>0</c:v>
                </c:pt>
                <c:pt idx="203">
                  <c:v>31.35</c:v>
                </c:pt>
                <c:pt idx="204">
                  <c:v>30</c:v>
                </c:pt>
                <c:pt idx="205">
                  <c:v>30</c:v>
                </c:pt>
                <c:pt idx="206">
                  <c:v>30.25</c:v>
                </c:pt>
                <c:pt idx="207">
                  <c:v>30.25</c:v>
                </c:pt>
                <c:pt idx="208">
                  <c:v>0</c:v>
                </c:pt>
                <c:pt idx="209">
                  <c:v>0</c:v>
                </c:pt>
                <c:pt idx="210">
                  <c:v>0</c:v>
                </c:pt>
                <c:pt idx="211">
                  <c:v>31</c:v>
                </c:pt>
                <c:pt idx="212">
                  <c:v>31</c:v>
                </c:pt>
                <c:pt idx="213">
                  <c:v>31.15000000000002</c:v>
                </c:pt>
                <c:pt idx="214">
                  <c:v>31.15000000000002</c:v>
                </c:pt>
                <c:pt idx="215">
                  <c:v>0</c:v>
                </c:pt>
                <c:pt idx="216">
                  <c:v>0</c:v>
                </c:pt>
                <c:pt idx="217">
                  <c:v>31.15000000000002</c:v>
                </c:pt>
                <c:pt idx="218">
                  <c:v>31.15000000000002</c:v>
                </c:pt>
                <c:pt idx="219">
                  <c:v>31.15000000000002</c:v>
                </c:pt>
                <c:pt idx="220">
                  <c:v>31.1</c:v>
                </c:pt>
                <c:pt idx="221">
                  <c:v>31.1</c:v>
                </c:pt>
                <c:pt idx="222">
                  <c:v>0</c:v>
                </c:pt>
                <c:pt idx="223">
                  <c:v>0</c:v>
                </c:pt>
                <c:pt idx="224">
                  <c:v>31.1</c:v>
                </c:pt>
                <c:pt idx="225">
                  <c:v>31.05</c:v>
                </c:pt>
                <c:pt idx="226">
                  <c:v>30.15000000000002</c:v>
                </c:pt>
                <c:pt idx="227">
                  <c:v>30.1</c:v>
                </c:pt>
                <c:pt idx="228">
                  <c:v>30.15000000000002</c:v>
                </c:pt>
                <c:pt idx="229">
                  <c:v>0</c:v>
                </c:pt>
                <c:pt idx="230">
                  <c:v>0</c:v>
                </c:pt>
                <c:pt idx="231">
                  <c:v>30.15000000000002</c:v>
                </c:pt>
                <c:pt idx="232">
                  <c:v>28</c:v>
                </c:pt>
                <c:pt idx="233">
                  <c:v>26.5</c:v>
                </c:pt>
                <c:pt idx="234">
                  <c:v>26.5</c:v>
                </c:pt>
                <c:pt idx="235">
                  <c:v>26.5</c:v>
                </c:pt>
                <c:pt idx="236">
                  <c:v>0</c:v>
                </c:pt>
                <c:pt idx="237">
                  <c:v>0</c:v>
                </c:pt>
                <c:pt idx="238">
                  <c:v>25.5</c:v>
                </c:pt>
                <c:pt idx="239">
                  <c:v>25.5</c:v>
                </c:pt>
                <c:pt idx="240">
                  <c:v>26</c:v>
                </c:pt>
                <c:pt idx="241">
                  <c:v>26.25</c:v>
                </c:pt>
                <c:pt idx="242">
                  <c:v>26.5</c:v>
                </c:pt>
                <c:pt idx="243">
                  <c:v>0</c:v>
                </c:pt>
                <c:pt idx="244">
                  <c:v>0</c:v>
                </c:pt>
                <c:pt idx="245">
                  <c:v>26.5</c:v>
                </c:pt>
                <c:pt idx="246">
                  <c:v>26.25</c:v>
                </c:pt>
                <c:pt idx="247">
                  <c:v>26.25</c:v>
                </c:pt>
                <c:pt idx="248">
                  <c:v>26</c:v>
                </c:pt>
                <c:pt idx="249">
                  <c:v>26</c:v>
                </c:pt>
                <c:pt idx="250">
                  <c:v>0</c:v>
                </c:pt>
                <c:pt idx="251">
                  <c:v>0</c:v>
                </c:pt>
                <c:pt idx="252">
                  <c:v>26</c:v>
                </c:pt>
                <c:pt idx="253">
                  <c:v>26.15000000000002</c:v>
                </c:pt>
                <c:pt idx="254">
                  <c:v>26.15000000000002</c:v>
                </c:pt>
                <c:pt idx="255">
                  <c:v>26.15000000000002</c:v>
                </c:pt>
                <c:pt idx="256">
                  <c:v>26.15000000000002</c:v>
                </c:pt>
                <c:pt idx="257">
                  <c:v>0</c:v>
                </c:pt>
                <c:pt idx="258">
                  <c:v>0</c:v>
                </c:pt>
                <c:pt idx="259">
                  <c:v>26.15000000000002</c:v>
                </c:pt>
                <c:pt idx="260">
                  <c:v>26.25</c:v>
                </c:pt>
                <c:pt idx="261">
                  <c:v>27</c:v>
                </c:pt>
                <c:pt idx="262">
                  <c:v>27.2</c:v>
                </c:pt>
                <c:pt idx="263">
                  <c:v>27.2</c:v>
                </c:pt>
                <c:pt idx="264">
                  <c:v>0</c:v>
                </c:pt>
                <c:pt idx="265">
                  <c:v>0</c:v>
                </c:pt>
                <c:pt idx="266">
                  <c:v>27.2</c:v>
                </c:pt>
                <c:pt idx="267">
                  <c:v>27.1</c:v>
                </c:pt>
                <c:pt idx="268">
                  <c:v>27.2</c:v>
                </c:pt>
                <c:pt idx="269">
                  <c:v>27.5</c:v>
                </c:pt>
                <c:pt idx="270">
                  <c:v>28</c:v>
                </c:pt>
                <c:pt idx="271">
                  <c:v>0</c:v>
                </c:pt>
                <c:pt idx="272">
                  <c:v>0</c:v>
                </c:pt>
                <c:pt idx="273">
                  <c:v>28.5</c:v>
                </c:pt>
                <c:pt idx="274">
                  <c:v>28.65000000000002</c:v>
                </c:pt>
                <c:pt idx="275">
                  <c:v>28.65000000000002</c:v>
                </c:pt>
                <c:pt idx="276">
                  <c:v>28.6</c:v>
                </c:pt>
                <c:pt idx="277">
                  <c:v>28.35</c:v>
                </c:pt>
                <c:pt idx="278">
                  <c:v>0</c:v>
                </c:pt>
                <c:pt idx="279">
                  <c:v>0</c:v>
                </c:pt>
                <c:pt idx="280">
                  <c:v>28.35</c:v>
                </c:pt>
                <c:pt idx="281">
                  <c:v>28.25</c:v>
                </c:pt>
                <c:pt idx="282">
                  <c:v>28.25</c:v>
                </c:pt>
                <c:pt idx="283">
                  <c:v>28.25</c:v>
                </c:pt>
                <c:pt idx="284">
                  <c:v>29</c:v>
                </c:pt>
                <c:pt idx="285">
                  <c:v>0</c:v>
                </c:pt>
                <c:pt idx="286">
                  <c:v>0</c:v>
                </c:pt>
                <c:pt idx="287">
                  <c:v>29</c:v>
                </c:pt>
                <c:pt idx="288">
                  <c:v>29</c:v>
                </c:pt>
                <c:pt idx="289">
                  <c:v>29</c:v>
                </c:pt>
                <c:pt idx="290">
                  <c:v>29</c:v>
                </c:pt>
                <c:pt idx="291">
                  <c:v>0</c:v>
                </c:pt>
                <c:pt idx="292">
                  <c:v>0</c:v>
                </c:pt>
                <c:pt idx="293">
                  <c:v>0</c:v>
                </c:pt>
                <c:pt idx="294">
                  <c:v>0</c:v>
                </c:pt>
                <c:pt idx="295">
                  <c:v>29</c:v>
                </c:pt>
                <c:pt idx="296">
                  <c:v>29</c:v>
                </c:pt>
                <c:pt idx="297">
                  <c:v>29</c:v>
                </c:pt>
                <c:pt idx="298">
                  <c:v>0</c:v>
                </c:pt>
                <c:pt idx="299">
                  <c:v>0</c:v>
                </c:pt>
                <c:pt idx="300">
                  <c:v>0</c:v>
                </c:pt>
                <c:pt idx="301">
                  <c:v>28.5</c:v>
                </c:pt>
                <c:pt idx="302">
                  <c:v>28.5</c:v>
                </c:pt>
                <c:pt idx="303">
                  <c:v>28.5</c:v>
                </c:pt>
                <c:pt idx="304">
                  <c:v>28.5</c:v>
                </c:pt>
                <c:pt idx="305">
                  <c:v>28.5</c:v>
                </c:pt>
                <c:pt idx="306">
                  <c:v>0</c:v>
                </c:pt>
                <c:pt idx="307">
                  <c:v>0</c:v>
                </c:pt>
                <c:pt idx="308">
                  <c:v>27.75</c:v>
                </c:pt>
                <c:pt idx="309">
                  <c:v>27.75</c:v>
                </c:pt>
                <c:pt idx="310">
                  <c:v>27.75</c:v>
                </c:pt>
                <c:pt idx="311">
                  <c:v>27.9</c:v>
                </c:pt>
                <c:pt idx="312">
                  <c:v>27.9</c:v>
                </c:pt>
                <c:pt idx="313">
                  <c:v>0</c:v>
                </c:pt>
                <c:pt idx="314">
                  <c:v>0</c:v>
                </c:pt>
                <c:pt idx="315">
                  <c:v>27.9</c:v>
                </c:pt>
                <c:pt idx="316">
                  <c:v>26.9</c:v>
                </c:pt>
                <c:pt idx="317">
                  <c:v>26.9</c:v>
                </c:pt>
                <c:pt idx="318">
                  <c:v>27</c:v>
                </c:pt>
                <c:pt idx="319">
                  <c:v>27</c:v>
                </c:pt>
                <c:pt idx="320">
                  <c:v>0</c:v>
                </c:pt>
                <c:pt idx="321">
                  <c:v>0</c:v>
                </c:pt>
                <c:pt idx="322">
                  <c:v>26.9</c:v>
                </c:pt>
                <c:pt idx="323">
                  <c:v>26.75</c:v>
                </c:pt>
                <c:pt idx="324">
                  <c:v>26</c:v>
                </c:pt>
                <c:pt idx="325">
                  <c:v>25.9</c:v>
                </c:pt>
                <c:pt idx="326">
                  <c:v>25.75</c:v>
                </c:pt>
                <c:pt idx="327">
                  <c:v>0</c:v>
                </c:pt>
                <c:pt idx="328">
                  <c:v>0</c:v>
                </c:pt>
                <c:pt idx="329">
                  <c:v>25.75</c:v>
                </c:pt>
                <c:pt idx="330">
                  <c:v>25.75</c:v>
                </c:pt>
                <c:pt idx="331">
                  <c:v>25.55</c:v>
                </c:pt>
                <c:pt idx="332">
                  <c:v>25.25</c:v>
                </c:pt>
                <c:pt idx="333">
                  <c:v>25.4</c:v>
                </c:pt>
                <c:pt idx="334">
                  <c:v>0</c:v>
                </c:pt>
                <c:pt idx="335">
                  <c:v>0</c:v>
                </c:pt>
                <c:pt idx="336">
                  <c:v>25.4</c:v>
                </c:pt>
                <c:pt idx="337">
                  <c:v>25.4</c:v>
                </c:pt>
                <c:pt idx="338">
                  <c:v>25.4</c:v>
                </c:pt>
                <c:pt idx="339">
                  <c:v>25.4</c:v>
                </c:pt>
                <c:pt idx="340">
                  <c:v>25.4</c:v>
                </c:pt>
                <c:pt idx="341">
                  <c:v>0</c:v>
                </c:pt>
                <c:pt idx="342">
                  <c:v>0</c:v>
                </c:pt>
                <c:pt idx="343">
                  <c:v>0</c:v>
                </c:pt>
                <c:pt idx="344">
                  <c:v>25.25</c:v>
                </c:pt>
                <c:pt idx="345">
                  <c:v>25.25</c:v>
                </c:pt>
                <c:pt idx="346">
                  <c:v>25</c:v>
                </c:pt>
                <c:pt idx="347">
                  <c:v>25</c:v>
                </c:pt>
                <c:pt idx="348">
                  <c:v>0</c:v>
                </c:pt>
                <c:pt idx="349">
                  <c:v>0</c:v>
                </c:pt>
                <c:pt idx="350">
                  <c:v>25</c:v>
                </c:pt>
                <c:pt idx="351">
                  <c:v>24.7</c:v>
                </c:pt>
                <c:pt idx="352">
                  <c:v>24.7</c:v>
                </c:pt>
                <c:pt idx="353">
                  <c:v>22.65000000000002</c:v>
                </c:pt>
                <c:pt idx="354">
                  <c:v>22.25</c:v>
                </c:pt>
                <c:pt idx="355">
                  <c:v>0</c:v>
                </c:pt>
                <c:pt idx="356">
                  <c:v>0</c:v>
                </c:pt>
                <c:pt idx="357">
                  <c:v>22.35</c:v>
                </c:pt>
                <c:pt idx="358">
                  <c:v>21.5</c:v>
                </c:pt>
                <c:pt idx="359">
                  <c:v>22.5</c:v>
                </c:pt>
                <c:pt idx="360">
                  <c:v>27.5</c:v>
                </c:pt>
                <c:pt idx="361">
                  <c:v>28.75</c:v>
                </c:pt>
                <c:pt idx="362">
                  <c:v>0</c:v>
                </c:pt>
                <c:pt idx="363">
                  <c:v>0</c:v>
                </c:pt>
                <c:pt idx="364">
                  <c:v>28.75</c:v>
                </c:pt>
                <c:pt idx="365">
                  <c:v>29</c:v>
                </c:pt>
                <c:pt idx="366">
                  <c:v>29.25</c:v>
                </c:pt>
                <c:pt idx="367">
                  <c:v>30.25</c:v>
                </c:pt>
                <c:pt idx="368">
                  <c:v>30.4</c:v>
                </c:pt>
                <c:pt idx="369">
                  <c:v>0</c:v>
                </c:pt>
                <c:pt idx="370">
                  <c:v>0</c:v>
                </c:pt>
                <c:pt idx="371">
                  <c:v>30.5</c:v>
                </c:pt>
                <c:pt idx="372">
                  <c:v>30</c:v>
                </c:pt>
                <c:pt idx="373">
                  <c:v>30.25</c:v>
                </c:pt>
                <c:pt idx="374">
                  <c:v>30.5</c:v>
                </c:pt>
                <c:pt idx="375">
                  <c:v>30.9</c:v>
                </c:pt>
                <c:pt idx="376">
                  <c:v>0</c:v>
                </c:pt>
                <c:pt idx="377">
                  <c:v>0</c:v>
                </c:pt>
                <c:pt idx="378">
                  <c:v>30.9</c:v>
                </c:pt>
                <c:pt idx="379">
                  <c:v>30.8</c:v>
                </c:pt>
                <c:pt idx="380">
                  <c:v>30.8</c:v>
                </c:pt>
                <c:pt idx="381">
                  <c:v>30.6</c:v>
                </c:pt>
                <c:pt idx="382">
                  <c:v>30.6</c:v>
                </c:pt>
                <c:pt idx="383">
                  <c:v>0</c:v>
                </c:pt>
                <c:pt idx="384">
                  <c:v>0</c:v>
                </c:pt>
                <c:pt idx="385">
                  <c:v>30.6</c:v>
                </c:pt>
                <c:pt idx="386">
                  <c:v>30.5</c:v>
                </c:pt>
                <c:pt idx="387">
                  <c:v>30.4</c:v>
                </c:pt>
                <c:pt idx="388">
                  <c:v>30.4</c:v>
                </c:pt>
                <c:pt idx="389">
                  <c:v>30.4</c:v>
                </c:pt>
                <c:pt idx="390">
                  <c:v>0</c:v>
                </c:pt>
                <c:pt idx="391">
                  <c:v>0</c:v>
                </c:pt>
                <c:pt idx="392">
                  <c:v>30.4</c:v>
                </c:pt>
                <c:pt idx="393">
                  <c:v>30.35</c:v>
                </c:pt>
                <c:pt idx="394">
                  <c:v>29.5</c:v>
                </c:pt>
                <c:pt idx="395">
                  <c:v>28.75</c:v>
                </c:pt>
                <c:pt idx="396">
                  <c:v>28.9</c:v>
                </c:pt>
                <c:pt idx="397">
                  <c:v>0</c:v>
                </c:pt>
                <c:pt idx="398">
                  <c:v>0</c:v>
                </c:pt>
                <c:pt idx="399">
                  <c:v>28.75</c:v>
                </c:pt>
                <c:pt idx="400">
                  <c:v>28.75</c:v>
                </c:pt>
                <c:pt idx="401">
                  <c:v>28.75</c:v>
                </c:pt>
                <c:pt idx="402">
                  <c:v>28.75</c:v>
                </c:pt>
                <c:pt idx="403">
                  <c:v>28.75</c:v>
                </c:pt>
                <c:pt idx="404">
                  <c:v>0</c:v>
                </c:pt>
                <c:pt idx="405">
                  <c:v>0</c:v>
                </c:pt>
                <c:pt idx="406">
                  <c:v>29</c:v>
                </c:pt>
                <c:pt idx="407">
                  <c:v>28.75</c:v>
                </c:pt>
                <c:pt idx="408">
                  <c:v>28.75</c:v>
                </c:pt>
                <c:pt idx="409">
                  <c:v>28.75</c:v>
                </c:pt>
                <c:pt idx="410">
                  <c:v>29.15000000000002</c:v>
                </c:pt>
                <c:pt idx="411">
                  <c:v>0</c:v>
                </c:pt>
                <c:pt idx="412">
                  <c:v>0</c:v>
                </c:pt>
                <c:pt idx="413">
                  <c:v>29.25</c:v>
                </c:pt>
                <c:pt idx="414">
                  <c:v>28.5</c:v>
                </c:pt>
                <c:pt idx="415">
                  <c:v>28.5</c:v>
                </c:pt>
                <c:pt idx="416">
                  <c:v>28.5</c:v>
                </c:pt>
                <c:pt idx="417">
                  <c:v>28.75</c:v>
                </c:pt>
                <c:pt idx="418">
                  <c:v>0</c:v>
                </c:pt>
                <c:pt idx="419">
                  <c:v>0</c:v>
                </c:pt>
                <c:pt idx="420">
                  <c:v>28.75</c:v>
                </c:pt>
                <c:pt idx="421">
                  <c:v>28.75</c:v>
                </c:pt>
                <c:pt idx="422">
                  <c:v>28.25</c:v>
                </c:pt>
                <c:pt idx="423">
                  <c:v>28</c:v>
                </c:pt>
                <c:pt idx="424">
                  <c:v>27.5</c:v>
                </c:pt>
                <c:pt idx="425">
                  <c:v>0</c:v>
                </c:pt>
                <c:pt idx="426">
                  <c:v>0</c:v>
                </c:pt>
                <c:pt idx="427">
                  <c:v>27.5</c:v>
                </c:pt>
                <c:pt idx="428">
                  <c:v>27</c:v>
                </c:pt>
                <c:pt idx="429">
                  <c:v>27</c:v>
                </c:pt>
                <c:pt idx="430">
                  <c:v>28.4</c:v>
                </c:pt>
                <c:pt idx="431">
                  <c:v>29.65000000000002</c:v>
                </c:pt>
                <c:pt idx="432">
                  <c:v>0</c:v>
                </c:pt>
                <c:pt idx="433">
                  <c:v>0</c:v>
                </c:pt>
                <c:pt idx="434">
                  <c:v>31.5</c:v>
                </c:pt>
                <c:pt idx="435">
                  <c:v>31.5</c:v>
                </c:pt>
                <c:pt idx="436">
                  <c:v>32</c:v>
                </c:pt>
                <c:pt idx="437">
                  <c:v>32</c:v>
                </c:pt>
                <c:pt idx="438">
                  <c:v>32</c:v>
                </c:pt>
                <c:pt idx="439">
                  <c:v>0</c:v>
                </c:pt>
                <c:pt idx="440">
                  <c:v>0</c:v>
                </c:pt>
                <c:pt idx="441">
                  <c:v>31.9</c:v>
                </c:pt>
                <c:pt idx="442">
                  <c:v>31.9</c:v>
                </c:pt>
                <c:pt idx="443">
                  <c:v>32.1</c:v>
                </c:pt>
                <c:pt idx="444">
                  <c:v>32.200000000000003</c:v>
                </c:pt>
                <c:pt idx="445">
                  <c:v>32.4</c:v>
                </c:pt>
                <c:pt idx="446">
                  <c:v>0</c:v>
                </c:pt>
                <c:pt idx="447">
                  <c:v>0</c:v>
                </c:pt>
                <c:pt idx="448">
                  <c:v>33</c:v>
                </c:pt>
                <c:pt idx="449">
                  <c:v>33</c:v>
                </c:pt>
                <c:pt idx="450">
                  <c:v>32.800000000000004</c:v>
                </c:pt>
                <c:pt idx="451">
                  <c:v>32.75</c:v>
                </c:pt>
                <c:pt idx="452">
                  <c:v>32.75</c:v>
                </c:pt>
                <c:pt idx="453">
                  <c:v>0</c:v>
                </c:pt>
                <c:pt idx="454">
                  <c:v>0</c:v>
                </c:pt>
                <c:pt idx="455">
                  <c:v>33</c:v>
                </c:pt>
                <c:pt idx="456">
                  <c:v>33.4</c:v>
                </c:pt>
                <c:pt idx="457">
                  <c:v>33.1</c:v>
                </c:pt>
                <c:pt idx="458">
                  <c:v>33.1</c:v>
                </c:pt>
                <c:pt idx="459">
                  <c:v>33.4</c:v>
                </c:pt>
                <c:pt idx="460">
                  <c:v>0</c:v>
                </c:pt>
                <c:pt idx="461">
                  <c:v>0</c:v>
                </c:pt>
                <c:pt idx="462">
                  <c:v>33.4</c:v>
                </c:pt>
                <c:pt idx="463">
                  <c:v>33.5</c:v>
                </c:pt>
                <c:pt idx="464">
                  <c:v>34.75</c:v>
                </c:pt>
                <c:pt idx="465">
                  <c:v>35</c:v>
                </c:pt>
                <c:pt idx="466">
                  <c:v>35</c:v>
                </c:pt>
                <c:pt idx="467">
                  <c:v>0</c:v>
                </c:pt>
                <c:pt idx="468">
                  <c:v>0</c:v>
                </c:pt>
                <c:pt idx="469">
                  <c:v>35</c:v>
                </c:pt>
                <c:pt idx="470">
                  <c:v>35</c:v>
                </c:pt>
                <c:pt idx="471">
                  <c:v>35</c:v>
                </c:pt>
                <c:pt idx="472">
                  <c:v>35.5</c:v>
                </c:pt>
                <c:pt idx="473">
                  <c:v>35.5</c:v>
                </c:pt>
                <c:pt idx="474">
                  <c:v>0</c:v>
                </c:pt>
                <c:pt idx="475">
                  <c:v>0</c:v>
                </c:pt>
                <c:pt idx="476">
                  <c:v>35.5</c:v>
                </c:pt>
                <c:pt idx="477">
                  <c:v>35.5</c:v>
                </c:pt>
                <c:pt idx="478">
                  <c:v>35.25</c:v>
                </c:pt>
                <c:pt idx="479">
                  <c:v>35.25</c:v>
                </c:pt>
                <c:pt idx="480">
                  <c:v>35.25</c:v>
                </c:pt>
                <c:pt idx="481">
                  <c:v>0</c:v>
                </c:pt>
                <c:pt idx="482">
                  <c:v>0</c:v>
                </c:pt>
                <c:pt idx="483">
                  <c:v>35.050000000000004</c:v>
                </c:pt>
                <c:pt idx="484">
                  <c:v>35.050000000000004</c:v>
                </c:pt>
                <c:pt idx="485">
                  <c:v>34.800000000000004</c:v>
                </c:pt>
                <c:pt idx="486">
                  <c:v>34.800000000000004</c:v>
                </c:pt>
                <c:pt idx="487">
                  <c:v>34.800000000000004</c:v>
                </c:pt>
                <c:pt idx="488">
                  <c:v>0</c:v>
                </c:pt>
                <c:pt idx="489">
                  <c:v>0</c:v>
                </c:pt>
                <c:pt idx="490">
                  <c:v>34.75</c:v>
                </c:pt>
                <c:pt idx="491">
                  <c:v>34.75</c:v>
                </c:pt>
                <c:pt idx="492">
                  <c:v>34.75</c:v>
                </c:pt>
                <c:pt idx="493">
                  <c:v>34.75</c:v>
                </c:pt>
                <c:pt idx="494">
                  <c:v>34.550000000000004</c:v>
                </c:pt>
                <c:pt idx="495">
                  <c:v>0</c:v>
                </c:pt>
                <c:pt idx="496">
                  <c:v>0</c:v>
                </c:pt>
                <c:pt idx="497">
                  <c:v>34.550000000000004</c:v>
                </c:pt>
                <c:pt idx="498">
                  <c:v>34.25</c:v>
                </c:pt>
                <c:pt idx="499">
                  <c:v>34.5</c:v>
                </c:pt>
                <c:pt idx="500">
                  <c:v>34</c:v>
                </c:pt>
                <c:pt idx="501">
                  <c:v>33.4</c:v>
                </c:pt>
                <c:pt idx="502">
                  <c:v>0</c:v>
                </c:pt>
                <c:pt idx="503">
                  <c:v>0</c:v>
                </c:pt>
                <c:pt idx="504">
                  <c:v>33.200000000000003</c:v>
                </c:pt>
                <c:pt idx="505">
                  <c:v>33</c:v>
                </c:pt>
                <c:pt idx="506">
                  <c:v>33</c:v>
                </c:pt>
                <c:pt idx="507">
                  <c:v>32</c:v>
                </c:pt>
                <c:pt idx="508">
                  <c:v>32</c:v>
                </c:pt>
                <c:pt idx="509">
                  <c:v>0</c:v>
                </c:pt>
                <c:pt idx="510">
                  <c:v>0</c:v>
                </c:pt>
                <c:pt idx="511">
                  <c:v>32.25</c:v>
                </c:pt>
                <c:pt idx="512">
                  <c:v>32</c:v>
                </c:pt>
                <c:pt idx="513">
                  <c:v>31.75</c:v>
                </c:pt>
                <c:pt idx="514">
                  <c:v>31.8</c:v>
                </c:pt>
                <c:pt idx="515">
                  <c:v>31.8</c:v>
                </c:pt>
                <c:pt idx="516">
                  <c:v>0</c:v>
                </c:pt>
                <c:pt idx="517">
                  <c:v>0</c:v>
                </c:pt>
                <c:pt idx="518">
                  <c:v>31.8</c:v>
                </c:pt>
                <c:pt idx="519">
                  <c:v>31.8</c:v>
                </c:pt>
                <c:pt idx="520">
                  <c:v>32.700000000000003</c:v>
                </c:pt>
                <c:pt idx="521">
                  <c:v>32.700000000000003</c:v>
                </c:pt>
                <c:pt idx="522">
                  <c:v>32.700000000000003</c:v>
                </c:pt>
                <c:pt idx="523">
                  <c:v>0</c:v>
                </c:pt>
                <c:pt idx="524">
                  <c:v>0</c:v>
                </c:pt>
                <c:pt idx="525">
                  <c:v>33.1</c:v>
                </c:pt>
                <c:pt idx="526">
                  <c:v>33.200000000000003</c:v>
                </c:pt>
                <c:pt idx="527">
                  <c:v>33.300000000000004</c:v>
                </c:pt>
                <c:pt idx="528">
                  <c:v>33</c:v>
                </c:pt>
                <c:pt idx="529">
                  <c:v>32.800000000000004</c:v>
                </c:pt>
                <c:pt idx="530">
                  <c:v>0</c:v>
                </c:pt>
                <c:pt idx="531">
                  <c:v>0</c:v>
                </c:pt>
                <c:pt idx="532">
                  <c:v>32.800000000000004</c:v>
                </c:pt>
                <c:pt idx="533">
                  <c:v>32.75</c:v>
                </c:pt>
                <c:pt idx="534">
                  <c:v>32.75</c:v>
                </c:pt>
                <c:pt idx="535">
                  <c:v>32.75</c:v>
                </c:pt>
                <c:pt idx="536">
                  <c:v>32.75</c:v>
                </c:pt>
                <c:pt idx="537">
                  <c:v>0</c:v>
                </c:pt>
                <c:pt idx="538">
                  <c:v>0</c:v>
                </c:pt>
                <c:pt idx="539">
                  <c:v>32.75</c:v>
                </c:pt>
                <c:pt idx="540">
                  <c:v>32.75</c:v>
                </c:pt>
                <c:pt idx="541">
                  <c:v>33.1</c:v>
                </c:pt>
                <c:pt idx="542">
                  <c:v>0</c:v>
                </c:pt>
                <c:pt idx="543">
                  <c:v>0</c:v>
                </c:pt>
                <c:pt idx="544">
                  <c:v>0</c:v>
                </c:pt>
                <c:pt idx="545">
                  <c:v>0</c:v>
                </c:pt>
                <c:pt idx="546">
                  <c:v>33.1</c:v>
                </c:pt>
                <c:pt idx="547">
                  <c:v>33.1</c:v>
                </c:pt>
                <c:pt idx="548">
                  <c:v>33.1</c:v>
                </c:pt>
                <c:pt idx="549">
                  <c:v>0</c:v>
                </c:pt>
                <c:pt idx="550">
                  <c:v>33.1</c:v>
                </c:pt>
                <c:pt idx="551">
                  <c:v>0</c:v>
                </c:pt>
                <c:pt idx="552">
                  <c:v>0</c:v>
                </c:pt>
                <c:pt idx="553">
                  <c:v>33.4</c:v>
                </c:pt>
                <c:pt idx="554">
                  <c:v>33.4</c:v>
                </c:pt>
                <c:pt idx="555">
                  <c:v>33.4</c:v>
                </c:pt>
                <c:pt idx="556">
                  <c:v>33.4</c:v>
                </c:pt>
                <c:pt idx="557">
                  <c:v>33.4</c:v>
                </c:pt>
                <c:pt idx="558">
                  <c:v>0</c:v>
                </c:pt>
                <c:pt idx="559">
                  <c:v>0</c:v>
                </c:pt>
                <c:pt idx="560">
                  <c:v>33.050000000000004</c:v>
                </c:pt>
                <c:pt idx="561">
                  <c:v>33.050000000000004</c:v>
                </c:pt>
                <c:pt idx="562">
                  <c:v>33.1</c:v>
                </c:pt>
                <c:pt idx="563">
                  <c:v>33.25</c:v>
                </c:pt>
                <c:pt idx="564">
                  <c:v>33.25</c:v>
                </c:pt>
                <c:pt idx="565">
                  <c:v>0</c:v>
                </c:pt>
                <c:pt idx="566">
                  <c:v>0</c:v>
                </c:pt>
                <c:pt idx="567">
                  <c:v>33.449999999999996</c:v>
                </c:pt>
                <c:pt idx="568">
                  <c:v>33.550000000000004</c:v>
                </c:pt>
                <c:pt idx="569">
                  <c:v>33.550000000000004</c:v>
                </c:pt>
                <c:pt idx="570">
                  <c:v>33.550000000000004</c:v>
                </c:pt>
                <c:pt idx="571">
                  <c:v>34.700000000000003</c:v>
                </c:pt>
                <c:pt idx="572">
                  <c:v>0</c:v>
                </c:pt>
                <c:pt idx="573">
                  <c:v>0</c:v>
                </c:pt>
                <c:pt idx="574">
                  <c:v>0</c:v>
                </c:pt>
                <c:pt idx="575">
                  <c:v>34.700000000000003</c:v>
                </c:pt>
                <c:pt idx="576">
                  <c:v>34.700000000000003</c:v>
                </c:pt>
                <c:pt idx="577">
                  <c:v>34.5</c:v>
                </c:pt>
                <c:pt idx="578">
                  <c:v>34.5</c:v>
                </c:pt>
                <c:pt idx="579">
                  <c:v>0</c:v>
                </c:pt>
                <c:pt idx="580">
                  <c:v>0</c:v>
                </c:pt>
                <c:pt idx="581">
                  <c:v>34.5</c:v>
                </c:pt>
                <c:pt idx="582">
                  <c:v>34.5</c:v>
                </c:pt>
                <c:pt idx="583">
                  <c:v>34.5</c:v>
                </c:pt>
                <c:pt idx="584">
                  <c:v>34.6</c:v>
                </c:pt>
                <c:pt idx="585">
                  <c:v>34.6</c:v>
                </c:pt>
                <c:pt idx="586">
                  <c:v>0</c:v>
                </c:pt>
                <c:pt idx="587">
                  <c:v>0</c:v>
                </c:pt>
                <c:pt idx="588">
                  <c:v>34.6</c:v>
                </c:pt>
                <c:pt idx="589">
                  <c:v>34.700000000000003</c:v>
                </c:pt>
                <c:pt idx="590">
                  <c:v>35.15</c:v>
                </c:pt>
                <c:pt idx="591">
                  <c:v>35.25</c:v>
                </c:pt>
                <c:pt idx="592">
                  <c:v>36.4</c:v>
                </c:pt>
                <c:pt idx="593">
                  <c:v>0</c:v>
                </c:pt>
                <c:pt idx="594">
                  <c:v>0</c:v>
                </c:pt>
                <c:pt idx="595">
                  <c:v>36.4</c:v>
                </c:pt>
                <c:pt idx="596">
                  <c:v>36.4</c:v>
                </c:pt>
                <c:pt idx="597">
                  <c:v>37.5</c:v>
                </c:pt>
                <c:pt idx="598">
                  <c:v>38.5</c:v>
                </c:pt>
                <c:pt idx="599">
                  <c:v>40.300000000000004</c:v>
                </c:pt>
                <c:pt idx="600">
                  <c:v>0</c:v>
                </c:pt>
                <c:pt idx="601">
                  <c:v>0</c:v>
                </c:pt>
                <c:pt idx="602">
                  <c:v>42</c:v>
                </c:pt>
                <c:pt idx="603">
                  <c:v>42</c:v>
                </c:pt>
                <c:pt idx="604">
                  <c:v>41</c:v>
                </c:pt>
                <c:pt idx="605">
                  <c:v>41.4</c:v>
                </c:pt>
                <c:pt idx="606">
                  <c:v>43.75</c:v>
                </c:pt>
                <c:pt idx="607">
                  <c:v>0</c:v>
                </c:pt>
                <c:pt idx="608">
                  <c:v>0</c:v>
                </c:pt>
                <c:pt idx="609">
                  <c:v>43.75</c:v>
                </c:pt>
                <c:pt idx="610">
                  <c:v>43</c:v>
                </c:pt>
                <c:pt idx="611">
                  <c:v>44</c:v>
                </c:pt>
                <c:pt idx="612">
                  <c:v>44.4</c:v>
                </c:pt>
                <c:pt idx="613">
                  <c:v>44.65</c:v>
                </c:pt>
                <c:pt idx="614">
                  <c:v>0</c:v>
                </c:pt>
                <c:pt idx="615">
                  <c:v>0</c:v>
                </c:pt>
                <c:pt idx="616">
                  <c:v>45.25</c:v>
                </c:pt>
                <c:pt idx="617">
                  <c:v>46</c:v>
                </c:pt>
                <c:pt idx="618">
                  <c:v>47.5</c:v>
                </c:pt>
                <c:pt idx="619">
                  <c:v>49.25</c:v>
                </c:pt>
                <c:pt idx="620">
                  <c:v>50</c:v>
                </c:pt>
                <c:pt idx="621">
                  <c:v>0</c:v>
                </c:pt>
                <c:pt idx="622">
                  <c:v>0</c:v>
                </c:pt>
                <c:pt idx="623">
                  <c:v>49.75</c:v>
                </c:pt>
                <c:pt idx="624">
                  <c:v>48.6</c:v>
                </c:pt>
                <c:pt idx="625">
                  <c:v>48.8</c:v>
                </c:pt>
                <c:pt idx="626">
                  <c:v>48.5</c:v>
                </c:pt>
                <c:pt idx="627">
                  <c:v>47.75</c:v>
                </c:pt>
                <c:pt idx="628">
                  <c:v>0</c:v>
                </c:pt>
                <c:pt idx="629">
                  <c:v>0</c:v>
                </c:pt>
                <c:pt idx="630">
                  <c:v>47.75</c:v>
                </c:pt>
                <c:pt idx="631">
                  <c:v>47.75</c:v>
                </c:pt>
                <c:pt idx="632">
                  <c:v>48.5</c:v>
                </c:pt>
                <c:pt idx="633">
                  <c:v>48</c:v>
                </c:pt>
                <c:pt idx="634">
                  <c:v>48</c:v>
                </c:pt>
                <c:pt idx="635">
                  <c:v>0</c:v>
                </c:pt>
                <c:pt idx="636">
                  <c:v>0</c:v>
                </c:pt>
                <c:pt idx="637">
                  <c:v>48</c:v>
                </c:pt>
                <c:pt idx="638">
                  <c:v>48</c:v>
                </c:pt>
                <c:pt idx="639">
                  <c:v>47.75</c:v>
                </c:pt>
                <c:pt idx="640">
                  <c:v>47.4</c:v>
                </c:pt>
                <c:pt idx="641">
                  <c:v>0</c:v>
                </c:pt>
                <c:pt idx="642">
                  <c:v>0</c:v>
                </c:pt>
                <c:pt idx="643">
                  <c:v>0</c:v>
                </c:pt>
                <c:pt idx="644">
                  <c:v>0</c:v>
                </c:pt>
                <c:pt idx="645">
                  <c:v>47.5</c:v>
                </c:pt>
                <c:pt idx="646">
                  <c:v>47.5</c:v>
                </c:pt>
                <c:pt idx="647">
                  <c:v>47.5</c:v>
                </c:pt>
                <c:pt idx="648">
                  <c:v>47.3</c:v>
                </c:pt>
                <c:pt idx="649">
                  <c:v>0</c:v>
                </c:pt>
                <c:pt idx="650">
                  <c:v>0</c:v>
                </c:pt>
                <c:pt idx="651">
                  <c:v>47.3</c:v>
                </c:pt>
                <c:pt idx="652">
                  <c:v>47.25</c:v>
                </c:pt>
                <c:pt idx="653">
                  <c:v>46.75</c:v>
                </c:pt>
                <c:pt idx="654">
                  <c:v>47.3</c:v>
                </c:pt>
                <c:pt idx="655">
                  <c:v>47.3</c:v>
                </c:pt>
                <c:pt idx="656">
                  <c:v>0</c:v>
                </c:pt>
                <c:pt idx="657">
                  <c:v>0</c:v>
                </c:pt>
                <c:pt idx="658">
                  <c:v>47.1</c:v>
                </c:pt>
                <c:pt idx="659">
                  <c:v>47</c:v>
                </c:pt>
                <c:pt idx="660">
                  <c:v>47</c:v>
                </c:pt>
                <c:pt idx="661">
                  <c:v>45.6</c:v>
                </c:pt>
                <c:pt idx="662">
                  <c:v>45.6</c:v>
                </c:pt>
                <c:pt idx="663">
                  <c:v>0</c:v>
                </c:pt>
                <c:pt idx="664">
                  <c:v>0</c:v>
                </c:pt>
                <c:pt idx="665">
                  <c:v>45.6</c:v>
                </c:pt>
                <c:pt idx="666">
                  <c:v>45.8</c:v>
                </c:pt>
                <c:pt idx="667">
                  <c:v>45.8</c:v>
                </c:pt>
                <c:pt idx="668">
                  <c:v>45.8</c:v>
                </c:pt>
                <c:pt idx="669">
                  <c:v>45.8</c:v>
                </c:pt>
                <c:pt idx="670">
                  <c:v>0</c:v>
                </c:pt>
                <c:pt idx="671">
                  <c:v>0</c:v>
                </c:pt>
                <c:pt idx="672">
                  <c:v>47.5</c:v>
                </c:pt>
                <c:pt idx="673">
                  <c:v>47.7</c:v>
                </c:pt>
                <c:pt idx="674">
                  <c:v>48.400000000000006</c:v>
                </c:pt>
                <c:pt idx="675">
                  <c:v>49.5</c:v>
                </c:pt>
                <c:pt idx="676">
                  <c:v>50.5</c:v>
                </c:pt>
                <c:pt idx="677">
                  <c:v>0</c:v>
                </c:pt>
                <c:pt idx="678">
                  <c:v>0</c:v>
                </c:pt>
                <c:pt idx="679">
                  <c:v>50.5</c:v>
                </c:pt>
                <c:pt idx="680">
                  <c:v>49.5</c:v>
                </c:pt>
                <c:pt idx="681">
                  <c:v>50.2</c:v>
                </c:pt>
                <c:pt idx="682">
                  <c:v>50.3</c:v>
                </c:pt>
                <c:pt idx="683">
                  <c:v>50.3</c:v>
                </c:pt>
                <c:pt idx="684">
                  <c:v>0</c:v>
                </c:pt>
                <c:pt idx="685">
                  <c:v>0</c:v>
                </c:pt>
                <c:pt idx="686">
                  <c:v>51</c:v>
                </c:pt>
                <c:pt idx="687">
                  <c:v>50.75</c:v>
                </c:pt>
                <c:pt idx="688">
                  <c:v>50.75</c:v>
                </c:pt>
                <c:pt idx="689">
                  <c:v>50</c:v>
                </c:pt>
                <c:pt idx="690">
                  <c:v>49.5</c:v>
                </c:pt>
                <c:pt idx="691">
                  <c:v>0</c:v>
                </c:pt>
                <c:pt idx="692">
                  <c:v>0</c:v>
                </c:pt>
                <c:pt idx="693">
                  <c:v>49.5</c:v>
                </c:pt>
                <c:pt idx="694">
                  <c:v>49.25</c:v>
                </c:pt>
                <c:pt idx="695">
                  <c:v>49.25</c:v>
                </c:pt>
                <c:pt idx="696">
                  <c:v>50.400000000000006</c:v>
                </c:pt>
                <c:pt idx="697">
                  <c:v>50.400000000000006</c:v>
                </c:pt>
                <c:pt idx="698">
                  <c:v>0</c:v>
                </c:pt>
                <c:pt idx="699">
                  <c:v>0</c:v>
                </c:pt>
                <c:pt idx="700">
                  <c:v>50.400000000000006</c:v>
                </c:pt>
                <c:pt idx="701">
                  <c:v>50.400000000000006</c:v>
                </c:pt>
                <c:pt idx="702">
                  <c:v>50.5</c:v>
                </c:pt>
                <c:pt idx="703">
                  <c:v>50.5</c:v>
                </c:pt>
                <c:pt idx="704">
                  <c:v>51.6</c:v>
                </c:pt>
                <c:pt idx="705">
                  <c:v>0</c:v>
                </c:pt>
                <c:pt idx="706">
                  <c:v>0</c:v>
                </c:pt>
                <c:pt idx="707">
                  <c:v>0</c:v>
                </c:pt>
                <c:pt idx="708">
                  <c:v>51.650000000000006</c:v>
                </c:pt>
                <c:pt idx="709">
                  <c:v>51.25</c:v>
                </c:pt>
                <c:pt idx="710">
                  <c:v>52.3</c:v>
                </c:pt>
                <c:pt idx="711">
                  <c:v>52</c:v>
                </c:pt>
                <c:pt idx="712">
                  <c:v>0</c:v>
                </c:pt>
                <c:pt idx="713">
                  <c:v>0</c:v>
                </c:pt>
                <c:pt idx="714">
                  <c:v>52.2</c:v>
                </c:pt>
                <c:pt idx="715">
                  <c:v>51.900000000000006</c:v>
                </c:pt>
                <c:pt idx="716">
                  <c:v>52</c:v>
                </c:pt>
                <c:pt idx="717">
                  <c:v>52.150000000000006</c:v>
                </c:pt>
                <c:pt idx="718">
                  <c:v>52.150000000000006</c:v>
                </c:pt>
                <c:pt idx="719">
                  <c:v>0</c:v>
                </c:pt>
                <c:pt idx="720">
                  <c:v>0</c:v>
                </c:pt>
                <c:pt idx="721">
                  <c:v>52.25</c:v>
                </c:pt>
                <c:pt idx="722">
                  <c:v>52</c:v>
                </c:pt>
                <c:pt idx="723">
                  <c:v>52.2</c:v>
                </c:pt>
                <c:pt idx="724">
                  <c:v>51.949999999999996</c:v>
                </c:pt>
                <c:pt idx="725">
                  <c:v>51.8</c:v>
                </c:pt>
                <c:pt idx="726">
                  <c:v>0</c:v>
                </c:pt>
                <c:pt idx="727">
                  <c:v>0</c:v>
                </c:pt>
                <c:pt idx="728">
                  <c:v>51.849999999999994</c:v>
                </c:pt>
                <c:pt idx="729">
                  <c:v>51.75</c:v>
                </c:pt>
                <c:pt idx="730">
                  <c:v>51.55</c:v>
                </c:pt>
                <c:pt idx="731">
                  <c:v>51.55</c:v>
                </c:pt>
                <c:pt idx="732">
                  <c:v>51.5</c:v>
                </c:pt>
                <c:pt idx="733">
                  <c:v>0</c:v>
                </c:pt>
                <c:pt idx="734">
                  <c:v>0</c:v>
                </c:pt>
                <c:pt idx="735">
                  <c:v>51.7</c:v>
                </c:pt>
                <c:pt idx="736">
                  <c:v>51.849999999999994</c:v>
                </c:pt>
                <c:pt idx="737">
                  <c:v>51.75</c:v>
                </c:pt>
                <c:pt idx="738">
                  <c:v>51.849999999999994</c:v>
                </c:pt>
                <c:pt idx="739">
                  <c:v>51.8</c:v>
                </c:pt>
                <c:pt idx="740">
                  <c:v>0</c:v>
                </c:pt>
                <c:pt idx="741">
                  <c:v>0</c:v>
                </c:pt>
                <c:pt idx="742">
                  <c:v>51.949999999999996</c:v>
                </c:pt>
                <c:pt idx="743">
                  <c:v>52</c:v>
                </c:pt>
                <c:pt idx="744">
                  <c:v>52.150000000000006</c:v>
                </c:pt>
                <c:pt idx="745">
                  <c:v>52</c:v>
                </c:pt>
                <c:pt idx="746">
                  <c:v>52</c:v>
                </c:pt>
                <c:pt idx="747">
                  <c:v>0</c:v>
                </c:pt>
                <c:pt idx="748">
                  <c:v>0</c:v>
                </c:pt>
                <c:pt idx="749">
                  <c:v>52</c:v>
                </c:pt>
                <c:pt idx="750">
                  <c:v>52</c:v>
                </c:pt>
                <c:pt idx="751">
                  <c:v>51.900000000000006</c:v>
                </c:pt>
                <c:pt idx="752">
                  <c:v>51.7</c:v>
                </c:pt>
                <c:pt idx="753">
                  <c:v>51.7</c:v>
                </c:pt>
                <c:pt idx="754">
                  <c:v>0</c:v>
                </c:pt>
                <c:pt idx="755">
                  <c:v>0</c:v>
                </c:pt>
                <c:pt idx="756">
                  <c:v>51.5</c:v>
                </c:pt>
                <c:pt idx="757">
                  <c:v>51.7</c:v>
                </c:pt>
                <c:pt idx="758">
                  <c:v>52.1</c:v>
                </c:pt>
                <c:pt idx="759">
                  <c:v>51.949999999999996</c:v>
                </c:pt>
                <c:pt idx="760">
                  <c:v>51.949999999999996</c:v>
                </c:pt>
                <c:pt idx="761">
                  <c:v>0</c:v>
                </c:pt>
                <c:pt idx="762">
                  <c:v>0</c:v>
                </c:pt>
                <c:pt idx="763">
                  <c:v>52.05</c:v>
                </c:pt>
                <c:pt idx="764">
                  <c:v>52.25</c:v>
                </c:pt>
                <c:pt idx="765">
                  <c:v>53.6</c:v>
                </c:pt>
                <c:pt idx="766">
                  <c:v>53.7</c:v>
                </c:pt>
                <c:pt idx="767">
                  <c:v>53.900000000000006</c:v>
                </c:pt>
                <c:pt idx="768">
                  <c:v>0</c:v>
                </c:pt>
                <c:pt idx="769">
                  <c:v>0</c:v>
                </c:pt>
                <c:pt idx="770">
                  <c:v>53.900000000000006</c:v>
                </c:pt>
                <c:pt idx="771">
                  <c:v>54.05</c:v>
                </c:pt>
                <c:pt idx="772">
                  <c:v>54.05</c:v>
                </c:pt>
                <c:pt idx="773">
                  <c:v>54.6</c:v>
                </c:pt>
                <c:pt idx="774">
                  <c:v>55.25</c:v>
                </c:pt>
                <c:pt idx="775">
                  <c:v>0</c:v>
                </c:pt>
                <c:pt idx="776">
                  <c:v>0</c:v>
                </c:pt>
                <c:pt idx="777">
                  <c:v>55.75</c:v>
                </c:pt>
                <c:pt idx="778">
                  <c:v>58.8</c:v>
                </c:pt>
                <c:pt idx="779">
                  <c:v>58.6</c:v>
                </c:pt>
                <c:pt idx="780">
                  <c:v>58.849999999999994</c:v>
                </c:pt>
                <c:pt idx="781">
                  <c:v>58.8</c:v>
                </c:pt>
                <c:pt idx="782">
                  <c:v>0</c:v>
                </c:pt>
                <c:pt idx="783">
                  <c:v>0</c:v>
                </c:pt>
                <c:pt idx="784">
                  <c:v>58.25</c:v>
                </c:pt>
                <c:pt idx="785">
                  <c:v>58</c:v>
                </c:pt>
                <c:pt idx="786">
                  <c:v>58.1</c:v>
                </c:pt>
                <c:pt idx="787">
                  <c:v>58.1</c:v>
                </c:pt>
                <c:pt idx="788">
                  <c:v>58</c:v>
                </c:pt>
                <c:pt idx="789">
                  <c:v>0</c:v>
                </c:pt>
                <c:pt idx="790">
                  <c:v>0</c:v>
                </c:pt>
                <c:pt idx="791">
                  <c:v>58.5</c:v>
                </c:pt>
                <c:pt idx="792">
                  <c:v>58.6</c:v>
                </c:pt>
                <c:pt idx="793">
                  <c:v>58.7</c:v>
                </c:pt>
                <c:pt idx="794">
                  <c:v>58.7</c:v>
                </c:pt>
                <c:pt idx="795">
                  <c:v>58.7</c:v>
                </c:pt>
                <c:pt idx="796">
                  <c:v>0</c:v>
                </c:pt>
                <c:pt idx="797">
                  <c:v>0</c:v>
                </c:pt>
                <c:pt idx="798">
                  <c:v>58.5</c:v>
                </c:pt>
                <c:pt idx="799">
                  <c:v>58.6</c:v>
                </c:pt>
                <c:pt idx="800">
                  <c:v>58.6</c:v>
                </c:pt>
                <c:pt idx="801">
                  <c:v>59.2</c:v>
                </c:pt>
                <c:pt idx="802">
                  <c:v>59.9</c:v>
                </c:pt>
                <c:pt idx="803">
                  <c:v>0</c:v>
                </c:pt>
                <c:pt idx="804">
                  <c:v>0</c:v>
                </c:pt>
                <c:pt idx="805">
                  <c:v>60.25</c:v>
                </c:pt>
                <c:pt idx="806">
                  <c:v>60.25</c:v>
                </c:pt>
                <c:pt idx="807">
                  <c:v>60</c:v>
                </c:pt>
                <c:pt idx="808">
                  <c:v>59.6</c:v>
                </c:pt>
                <c:pt idx="809">
                  <c:v>59.6</c:v>
                </c:pt>
                <c:pt idx="810">
                  <c:v>0</c:v>
                </c:pt>
                <c:pt idx="811">
                  <c:v>0</c:v>
                </c:pt>
                <c:pt idx="812">
                  <c:v>60.05</c:v>
                </c:pt>
                <c:pt idx="813">
                  <c:v>60.05</c:v>
                </c:pt>
                <c:pt idx="814">
                  <c:v>60.15</c:v>
                </c:pt>
                <c:pt idx="815">
                  <c:v>60.3</c:v>
                </c:pt>
                <c:pt idx="816">
                  <c:v>61.2</c:v>
                </c:pt>
                <c:pt idx="817">
                  <c:v>0</c:v>
                </c:pt>
                <c:pt idx="818">
                  <c:v>0</c:v>
                </c:pt>
                <c:pt idx="819">
                  <c:v>62.2</c:v>
                </c:pt>
                <c:pt idx="820">
                  <c:v>65</c:v>
                </c:pt>
                <c:pt idx="821">
                  <c:v>64.5</c:v>
                </c:pt>
                <c:pt idx="822">
                  <c:v>64.5</c:v>
                </c:pt>
                <c:pt idx="823">
                  <c:v>64.5</c:v>
                </c:pt>
                <c:pt idx="824">
                  <c:v>0</c:v>
                </c:pt>
                <c:pt idx="825">
                  <c:v>0</c:v>
                </c:pt>
                <c:pt idx="826">
                  <c:v>64.5</c:v>
                </c:pt>
                <c:pt idx="827">
                  <c:v>64.5</c:v>
                </c:pt>
                <c:pt idx="828">
                  <c:v>64.5</c:v>
                </c:pt>
                <c:pt idx="829">
                  <c:v>64.5</c:v>
                </c:pt>
                <c:pt idx="830">
                  <c:v>64.5</c:v>
                </c:pt>
                <c:pt idx="831">
                  <c:v>0</c:v>
                </c:pt>
                <c:pt idx="832">
                  <c:v>0</c:v>
                </c:pt>
                <c:pt idx="833">
                  <c:v>64.5</c:v>
                </c:pt>
                <c:pt idx="834">
                  <c:v>66</c:v>
                </c:pt>
                <c:pt idx="835">
                  <c:v>67</c:v>
                </c:pt>
                <c:pt idx="836">
                  <c:v>67.649999999999991</c:v>
                </c:pt>
                <c:pt idx="837">
                  <c:v>68.600000000000009</c:v>
                </c:pt>
                <c:pt idx="838">
                  <c:v>0</c:v>
                </c:pt>
                <c:pt idx="839">
                  <c:v>0</c:v>
                </c:pt>
                <c:pt idx="840">
                  <c:v>69.75</c:v>
                </c:pt>
                <c:pt idx="841">
                  <c:v>69.5</c:v>
                </c:pt>
                <c:pt idx="842">
                  <c:v>69.25</c:v>
                </c:pt>
                <c:pt idx="843">
                  <c:v>68.900000000000006</c:v>
                </c:pt>
                <c:pt idx="844">
                  <c:v>67.75</c:v>
                </c:pt>
                <c:pt idx="845">
                  <c:v>0</c:v>
                </c:pt>
                <c:pt idx="846">
                  <c:v>0</c:v>
                </c:pt>
                <c:pt idx="847">
                  <c:v>68</c:v>
                </c:pt>
                <c:pt idx="848">
                  <c:v>68.5</c:v>
                </c:pt>
                <c:pt idx="849">
                  <c:v>68.75</c:v>
                </c:pt>
                <c:pt idx="850">
                  <c:v>69.25</c:v>
                </c:pt>
                <c:pt idx="851">
                  <c:v>69.600000000000009</c:v>
                </c:pt>
                <c:pt idx="852">
                  <c:v>0</c:v>
                </c:pt>
                <c:pt idx="853">
                  <c:v>0</c:v>
                </c:pt>
                <c:pt idx="854">
                  <c:v>68.600000000000009</c:v>
                </c:pt>
                <c:pt idx="855">
                  <c:v>68.600000000000009</c:v>
                </c:pt>
                <c:pt idx="856">
                  <c:v>69.600000000000009</c:v>
                </c:pt>
                <c:pt idx="857">
                  <c:v>70.649999999999991</c:v>
                </c:pt>
                <c:pt idx="858">
                  <c:v>72.5</c:v>
                </c:pt>
                <c:pt idx="859">
                  <c:v>0</c:v>
                </c:pt>
                <c:pt idx="860">
                  <c:v>0</c:v>
                </c:pt>
                <c:pt idx="861">
                  <c:v>72.75</c:v>
                </c:pt>
                <c:pt idx="862">
                  <c:v>72</c:v>
                </c:pt>
                <c:pt idx="863">
                  <c:v>72.5</c:v>
                </c:pt>
                <c:pt idx="864">
                  <c:v>72.649999999999991</c:v>
                </c:pt>
                <c:pt idx="865">
                  <c:v>72.75</c:v>
                </c:pt>
                <c:pt idx="866">
                  <c:v>0</c:v>
                </c:pt>
                <c:pt idx="867">
                  <c:v>0</c:v>
                </c:pt>
                <c:pt idx="868">
                  <c:v>73</c:v>
                </c:pt>
                <c:pt idx="869">
                  <c:v>73</c:v>
                </c:pt>
                <c:pt idx="870">
                  <c:v>73.149999999999991</c:v>
                </c:pt>
                <c:pt idx="871">
                  <c:v>73</c:v>
                </c:pt>
                <c:pt idx="872">
                  <c:v>73.5</c:v>
                </c:pt>
                <c:pt idx="873">
                  <c:v>0</c:v>
                </c:pt>
                <c:pt idx="874">
                  <c:v>0</c:v>
                </c:pt>
                <c:pt idx="875">
                  <c:v>73.5</c:v>
                </c:pt>
                <c:pt idx="876">
                  <c:v>73</c:v>
                </c:pt>
                <c:pt idx="877">
                  <c:v>73.25</c:v>
                </c:pt>
                <c:pt idx="878">
                  <c:v>73.25</c:v>
                </c:pt>
                <c:pt idx="879">
                  <c:v>73.25</c:v>
                </c:pt>
                <c:pt idx="880">
                  <c:v>0</c:v>
                </c:pt>
                <c:pt idx="881">
                  <c:v>0</c:v>
                </c:pt>
                <c:pt idx="882">
                  <c:v>73.149999999999991</c:v>
                </c:pt>
                <c:pt idx="883">
                  <c:v>75.55</c:v>
                </c:pt>
                <c:pt idx="884">
                  <c:v>75.55</c:v>
                </c:pt>
                <c:pt idx="885">
                  <c:v>76.3</c:v>
                </c:pt>
                <c:pt idx="886">
                  <c:v>76.25</c:v>
                </c:pt>
                <c:pt idx="887">
                  <c:v>0</c:v>
                </c:pt>
                <c:pt idx="888">
                  <c:v>0</c:v>
                </c:pt>
                <c:pt idx="889">
                  <c:v>76.5</c:v>
                </c:pt>
                <c:pt idx="890">
                  <c:v>76.75</c:v>
                </c:pt>
                <c:pt idx="891">
                  <c:v>76.600000000000009</c:v>
                </c:pt>
                <c:pt idx="892">
                  <c:v>75.5</c:v>
                </c:pt>
                <c:pt idx="893">
                  <c:v>75.75</c:v>
                </c:pt>
                <c:pt idx="894">
                  <c:v>0</c:v>
                </c:pt>
                <c:pt idx="895">
                  <c:v>0</c:v>
                </c:pt>
                <c:pt idx="896">
                  <c:v>75.75</c:v>
                </c:pt>
                <c:pt idx="897">
                  <c:v>75</c:v>
                </c:pt>
                <c:pt idx="898">
                  <c:v>75</c:v>
                </c:pt>
                <c:pt idx="899">
                  <c:v>75</c:v>
                </c:pt>
                <c:pt idx="900">
                  <c:v>72.849999999999994</c:v>
                </c:pt>
                <c:pt idx="901">
                  <c:v>0</c:v>
                </c:pt>
                <c:pt idx="902">
                  <c:v>0</c:v>
                </c:pt>
                <c:pt idx="903">
                  <c:v>72.5</c:v>
                </c:pt>
                <c:pt idx="904">
                  <c:v>73</c:v>
                </c:pt>
                <c:pt idx="905">
                  <c:v>73</c:v>
                </c:pt>
                <c:pt idx="906">
                  <c:v>73</c:v>
                </c:pt>
                <c:pt idx="907">
                  <c:v>0</c:v>
                </c:pt>
                <c:pt idx="908">
                  <c:v>0</c:v>
                </c:pt>
                <c:pt idx="909">
                  <c:v>0</c:v>
                </c:pt>
                <c:pt idx="910">
                  <c:v>0</c:v>
                </c:pt>
                <c:pt idx="911">
                  <c:v>73</c:v>
                </c:pt>
                <c:pt idx="912">
                  <c:v>73</c:v>
                </c:pt>
                <c:pt idx="913">
                  <c:v>73</c:v>
                </c:pt>
                <c:pt idx="914">
                  <c:v>0</c:v>
                </c:pt>
                <c:pt idx="915">
                  <c:v>0</c:v>
                </c:pt>
                <c:pt idx="916">
                  <c:v>0</c:v>
                </c:pt>
                <c:pt idx="917">
                  <c:v>73</c:v>
                </c:pt>
                <c:pt idx="918">
                  <c:v>73</c:v>
                </c:pt>
                <c:pt idx="919">
                  <c:v>73</c:v>
                </c:pt>
                <c:pt idx="920">
                  <c:v>73</c:v>
                </c:pt>
                <c:pt idx="921">
                  <c:v>73</c:v>
                </c:pt>
                <c:pt idx="922">
                  <c:v>0</c:v>
                </c:pt>
                <c:pt idx="923">
                  <c:v>0</c:v>
                </c:pt>
                <c:pt idx="924">
                  <c:v>73.5</c:v>
                </c:pt>
                <c:pt idx="925">
                  <c:v>73.5</c:v>
                </c:pt>
                <c:pt idx="926">
                  <c:v>74</c:v>
                </c:pt>
                <c:pt idx="927">
                  <c:v>74.5</c:v>
                </c:pt>
                <c:pt idx="928">
                  <c:v>75.600000000000009</c:v>
                </c:pt>
                <c:pt idx="929">
                  <c:v>0</c:v>
                </c:pt>
                <c:pt idx="930">
                  <c:v>0</c:v>
                </c:pt>
                <c:pt idx="931">
                  <c:v>76.25</c:v>
                </c:pt>
                <c:pt idx="932">
                  <c:v>77.050000000000011</c:v>
                </c:pt>
                <c:pt idx="933">
                  <c:v>77.400000000000006</c:v>
                </c:pt>
                <c:pt idx="934">
                  <c:v>78.25</c:v>
                </c:pt>
                <c:pt idx="935">
                  <c:v>78.25</c:v>
                </c:pt>
                <c:pt idx="936">
                  <c:v>0</c:v>
                </c:pt>
                <c:pt idx="937">
                  <c:v>0</c:v>
                </c:pt>
                <c:pt idx="938">
                  <c:v>78.25</c:v>
                </c:pt>
                <c:pt idx="939">
                  <c:v>0</c:v>
                </c:pt>
                <c:pt idx="940">
                  <c:v>80</c:v>
                </c:pt>
                <c:pt idx="941">
                  <c:v>82.75</c:v>
                </c:pt>
                <c:pt idx="942">
                  <c:v>83.75</c:v>
                </c:pt>
                <c:pt idx="943">
                  <c:v>0</c:v>
                </c:pt>
                <c:pt idx="944">
                  <c:v>0</c:v>
                </c:pt>
                <c:pt idx="945">
                  <c:v>83</c:v>
                </c:pt>
                <c:pt idx="946">
                  <c:v>82.9</c:v>
                </c:pt>
                <c:pt idx="947">
                  <c:v>82.5</c:v>
                </c:pt>
                <c:pt idx="948">
                  <c:v>82.45</c:v>
                </c:pt>
                <c:pt idx="949">
                  <c:v>82.4</c:v>
                </c:pt>
                <c:pt idx="950">
                  <c:v>0</c:v>
                </c:pt>
                <c:pt idx="951">
                  <c:v>0</c:v>
                </c:pt>
                <c:pt idx="952">
                  <c:v>82.4</c:v>
                </c:pt>
                <c:pt idx="953">
                  <c:v>81.75</c:v>
                </c:pt>
                <c:pt idx="954">
                  <c:v>81</c:v>
                </c:pt>
                <c:pt idx="955">
                  <c:v>81</c:v>
                </c:pt>
                <c:pt idx="956">
                  <c:v>81</c:v>
                </c:pt>
                <c:pt idx="957">
                  <c:v>0</c:v>
                </c:pt>
                <c:pt idx="958">
                  <c:v>0</c:v>
                </c:pt>
                <c:pt idx="959">
                  <c:v>80.5</c:v>
                </c:pt>
                <c:pt idx="960">
                  <c:v>79.050000000000011</c:v>
                </c:pt>
                <c:pt idx="961">
                  <c:v>81.75</c:v>
                </c:pt>
                <c:pt idx="962">
                  <c:v>80.75</c:v>
                </c:pt>
                <c:pt idx="963">
                  <c:v>81.5</c:v>
                </c:pt>
                <c:pt idx="964">
                  <c:v>0</c:v>
                </c:pt>
                <c:pt idx="965">
                  <c:v>0</c:v>
                </c:pt>
                <c:pt idx="966">
                  <c:v>81.5</c:v>
                </c:pt>
                <c:pt idx="967">
                  <c:v>80.75</c:v>
                </c:pt>
                <c:pt idx="968">
                  <c:v>80.75</c:v>
                </c:pt>
                <c:pt idx="969">
                  <c:v>81</c:v>
                </c:pt>
                <c:pt idx="970">
                  <c:v>80</c:v>
                </c:pt>
                <c:pt idx="971">
                  <c:v>0</c:v>
                </c:pt>
                <c:pt idx="972">
                  <c:v>0</c:v>
                </c:pt>
                <c:pt idx="973">
                  <c:v>80.649999999999991</c:v>
                </c:pt>
                <c:pt idx="974">
                  <c:v>80.100000000000009</c:v>
                </c:pt>
                <c:pt idx="975">
                  <c:v>0</c:v>
                </c:pt>
                <c:pt idx="976">
                  <c:v>78.5</c:v>
                </c:pt>
                <c:pt idx="977">
                  <c:v>77.149999999999991</c:v>
                </c:pt>
                <c:pt idx="978">
                  <c:v>0</c:v>
                </c:pt>
                <c:pt idx="979">
                  <c:v>0</c:v>
                </c:pt>
                <c:pt idx="980">
                  <c:v>77</c:v>
                </c:pt>
                <c:pt idx="981">
                  <c:v>79</c:v>
                </c:pt>
                <c:pt idx="982">
                  <c:v>78.050000000000011</c:v>
                </c:pt>
                <c:pt idx="983">
                  <c:v>77.649999999999991</c:v>
                </c:pt>
                <c:pt idx="984">
                  <c:v>77.5</c:v>
                </c:pt>
                <c:pt idx="985">
                  <c:v>0</c:v>
                </c:pt>
                <c:pt idx="986">
                  <c:v>0</c:v>
                </c:pt>
                <c:pt idx="987">
                  <c:v>76.850000000000009</c:v>
                </c:pt>
                <c:pt idx="988">
                  <c:v>77.300000000000011</c:v>
                </c:pt>
                <c:pt idx="989">
                  <c:v>76.75</c:v>
                </c:pt>
                <c:pt idx="990">
                  <c:v>76.7</c:v>
                </c:pt>
                <c:pt idx="991">
                  <c:v>76.649999999999991</c:v>
                </c:pt>
                <c:pt idx="992">
                  <c:v>0</c:v>
                </c:pt>
                <c:pt idx="993">
                  <c:v>0</c:v>
                </c:pt>
                <c:pt idx="994">
                  <c:v>77</c:v>
                </c:pt>
                <c:pt idx="995">
                  <c:v>77.600000000000009</c:v>
                </c:pt>
                <c:pt idx="996">
                  <c:v>77.7</c:v>
                </c:pt>
                <c:pt idx="997">
                  <c:v>77.649999999999991</c:v>
                </c:pt>
                <c:pt idx="998">
                  <c:v>0</c:v>
                </c:pt>
                <c:pt idx="999">
                  <c:v>0</c:v>
                </c:pt>
                <c:pt idx="1000">
                  <c:v>0</c:v>
                </c:pt>
                <c:pt idx="1001">
                  <c:v>0</c:v>
                </c:pt>
                <c:pt idx="1002">
                  <c:v>77.75</c:v>
                </c:pt>
                <c:pt idx="1003">
                  <c:v>77.850000000000009</c:v>
                </c:pt>
                <c:pt idx="1004">
                  <c:v>74.900000000000006</c:v>
                </c:pt>
                <c:pt idx="1005">
                  <c:v>74.75</c:v>
                </c:pt>
                <c:pt idx="1006">
                  <c:v>0</c:v>
                </c:pt>
                <c:pt idx="1007">
                  <c:v>0</c:v>
                </c:pt>
                <c:pt idx="1008">
                  <c:v>75.900000000000006</c:v>
                </c:pt>
                <c:pt idx="1009">
                  <c:v>75.900000000000006</c:v>
                </c:pt>
                <c:pt idx="1010">
                  <c:v>76.75</c:v>
                </c:pt>
                <c:pt idx="1011">
                  <c:v>76.900000000000006</c:v>
                </c:pt>
                <c:pt idx="1012">
                  <c:v>77.75</c:v>
                </c:pt>
                <c:pt idx="1013">
                  <c:v>0</c:v>
                </c:pt>
                <c:pt idx="1014">
                  <c:v>0</c:v>
                </c:pt>
                <c:pt idx="1015">
                  <c:v>78.149999999999991</c:v>
                </c:pt>
                <c:pt idx="1016">
                  <c:v>79.649999999999991</c:v>
                </c:pt>
                <c:pt idx="1017">
                  <c:v>79.400000000000006</c:v>
                </c:pt>
                <c:pt idx="1018">
                  <c:v>79.550000000000011</c:v>
                </c:pt>
                <c:pt idx="1019">
                  <c:v>78.900000000000006</c:v>
                </c:pt>
                <c:pt idx="1020">
                  <c:v>0</c:v>
                </c:pt>
                <c:pt idx="1021">
                  <c:v>0</c:v>
                </c:pt>
                <c:pt idx="1022">
                  <c:v>78.900000000000006</c:v>
                </c:pt>
                <c:pt idx="1023">
                  <c:v>78.900000000000006</c:v>
                </c:pt>
                <c:pt idx="1024">
                  <c:v>79</c:v>
                </c:pt>
                <c:pt idx="1025">
                  <c:v>79.800000000000011</c:v>
                </c:pt>
                <c:pt idx="1026">
                  <c:v>79.7</c:v>
                </c:pt>
                <c:pt idx="1027">
                  <c:v>0</c:v>
                </c:pt>
                <c:pt idx="1028">
                  <c:v>0</c:v>
                </c:pt>
                <c:pt idx="1029">
                  <c:v>0</c:v>
                </c:pt>
                <c:pt idx="1030">
                  <c:v>79.600000000000009</c:v>
                </c:pt>
                <c:pt idx="1031">
                  <c:v>79.75</c:v>
                </c:pt>
                <c:pt idx="1032">
                  <c:v>79.800000000000011</c:v>
                </c:pt>
                <c:pt idx="1033">
                  <c:v>80.100000000000009</c:v>
                </c:pt>
                <c:pt idx="1034">
                  <c:v>0</c:v>
                </c:pt>
                <c:pt idx="1035">
                  <c:v>0</c:v>
                </c:pt>
                <c:pt idx="1036">
                  <c:v>80.149999999999991</c:v>
                </c:pt>
                <c:pt idx="1037">
                  <c:v>80.550000000000011</c:v>
                </c:pt>
                <c:pt idx="1038">
                  <c:v>80.300000000000011</c:v>
                </c:pt>
                <c:pt idx="1039">
                  <c:v>80.350000000000009</c:v>
                </c:pt>
                <c:pt idx="1040">
                  <c:v>80.350000000000009</c:v>
                </c:pt>
                <c:pt idx="1041">
                  <c:v>0</c:v>
                </c:pt>
                <c:pt idx="1042">
                  <c:v>0</c:v>
                </c:pt>
                <c:pt idx="1043">
                  <c:v>80.850000000000009</c:v>
                </c:pt>
                <c:pt idx="1044">
                  <c:v>81.100000000000009</c:v>
                </c:pt>
                <c:pt idx="1045">
                  <c:v>81.900000000000006</c:v>
                </c:pt>
                <c:pt idx="1046">
                  <c:v>82</c:v>
                </c:pt>
                <c:pt idx="1047">
                  <c:v>82</c:v>
                </c:pt>
                <c:pt idx="1048">
                  <c:v>0</c:v>
                </c:pt>
                <c:pt idx="1049">
                  <c:v>0</c:v>
                </c:pt>
                <c:pt idx="1050">
                  <c:v>82</c:v>
                </c:pt>
                <c:pt idx="1051">
                  <c:v>82.100000000000009</c:v>
                </c:pt>
                <c:pt idx="1052">
                  <c:v>81.900000000000006</c:v>
                </c:pt>
                <c:pt idx="1053">
                  <c:v>81.5</c:v>
                </c:pt>
                <c:pt idx="1054">
                  <c:v>81.400000000000006</c:v>
                </c:pt>
                <c:pt idx="1055">
                  <c:v>0</c:v>
                </c:pt>
                <c:pt idx="1056">
                  <c:v>0</c:v>
                </c:pt>
                <c:pt idx="1057">
                  <c:v>81.300000000000011</c:v>
                </c:pt>
                <c:pt idx="1058">
                  <c:v>81.75</c:v>
                </c:pt>
                <c:pt idx="1059">
                  <c:v>81.75</c:v>
                </c:pt>
                <c:pt idx="1060">
                  <c:v>81.75</c:v>
                </c:pt>
                <c:pt idx="1061">
                  <c:v>81.75</c:v>
                </c:pt>
                <c:pt idx="1062">
                  <c:v>0</c:v>
                </c:pt>
                <c:pt idx="1063">
                  <c:v>0</c:v>
                </c:pt>
                <c:pt idx="1064">
                  <c:v>81.900000000000006</c:v>
                </c:pt>
                <c:pt idx="1065">
                  <c:v>81.900000000000006</c:v>
                </c:pt>
                <c:pt idx="1066">
                  <c:v>81.649999999999991</c:v>
                </c:pt>
                <c:pt idx="1067">
                  <c:v>81.649999999999991</c:v>
                </c:pt>
                <c:pt idx="1068">
                  <c:v>81.600000000000009</c:v>
                </c:pt>
                <c:pt idx="1069">
                  <c:v>0</c:v>
                </c:pt>
                <c:pt idx="1070">
                  <c:v>0</c:v>
                </c:pt>
                <c:pt idx="1071">
                  <c:v>81.649999999999991</c:v>
                </c:pt>
                <c:pt idx="1072">
                  <c:v>81.7</c:v>
                </c:pt>
                <c:pt idx="1073">
                  <c:v>81.75</c:v>
                </c:pt>
                <c:pt idx="1074">
                  <c:v>81.7</c:v>
                </c:pt>
                <c:pt idx="1075">
                  <c:v>81.850000000000009</c:v>
                </c:pt>
                <c:pt idx="1076">
                  <c:v>0</c:v>
                </c:pt>
                <c:pt idx="1077">
                  <c:v>0</c:v>
                </c:pt>
                <c:pt idx="1078">
                  <c:v>0</c:v>
                </c:pt>
                <c:pt idx="1079">
                  <c:v>81.850000000000009</c:v>
                </c:pt>
                <c:pt idx="1080">
                  <c:v>81.850000000000009</c:v>
                </c:pt>
                <c:pt idx="1081">
                  <c:v>81.850000000000009</c:v>
                </c:pt>
                <c:pt idx="1082">
                  <c:v>82</c:v>
                </c:pt>
                <c:pt idx="1083">
                  <c:v>0</c:v>
                </c:pt>
                <c:pt idx="1084">
                  <c:v>0</c:v>
                </c:pt>
                <c:pt idx="1085">
                  <c:v>82</c:v>
                </c:pt>
                <c:pt idx="1086">
                  <c:v>82.300000000000011</c:v>
                </c:pt>
                <c:pt idx="1087">
                  <c:v>82.25</c:v>
                </c:pt>
                <c:pt idx="1088">
                  <c:v>82.25</c:v>
                </c:pt>
                <c:pt idx="1089">
                  <c:v>82.100000000000009</c:v>
                </c:pt>
                <c:pt idx="1090">
                  <c:v>0</c:v>
                </c:pt>
                <c:pt idx="1091">
                  <c:v>0</c:v>
                </c:pt>
                <c:pt idx="1092">
                  <c:v>82.100000000000009</c:v>
                </c:pt>
                <c:pt idx="1093">
                  <c:v>82.9</c:v>
                </c:pt>
                <c:pt idx="1094">
                  <c:v>83.5</c:v>
                </c:pt>
                <c:pt idx="1095">
                  <c:v>84.2</c:v>
                </c:pt>
                <c:pt idx="1096">
                  <c:v>85.149999999999991</c:v>
                </c:pt>
                <c:pt idx="1097">
                  <c:v>0</c:v>
                </c:pt>
                <c:pt idx="1098">
                  <c:v>0</c:v>
                </c:pt>
                <c:pt idx="1099">
                  <c:v>85.4</c:v>
                </c:pt>
                <c:pt idx="1100">
                  <c:v>85.45</c:v>
                </c:pt>
                <c:pt idx="1101">
                  <c:v>85.5</c:v>
                </c:pt>
                <c:pt idx="1102">
                  <c:v>85.800000000000011</c:v>
                </c:pt>
                <c:pt idx="1103">
                  <c:v>85.95</c:v>
                </c:pt>
                <c:pt idx="1104">
                  <c:v>0</c:v>
                </c:pt>
                <c:pt idx="1105">
                  <c:v>0</c:v>
                </c:pt>
                <c:pt idx="1106">
                  <c:v>85.850000000000009</c:v>
                </c:pt>
                <c:pt idx="1107">
                  <c:v>85.850000000000009</c:v>
                </c:pt>
                <c:pt idx="1108">
                  <c:v>85.800000000000011</c:v>
                </c:pt>
                <c:pt idx="1109">
                  <c:v>85.850000000000009</c:v>
                </c:pt>
                <c:pt idx="1110">
                  <c:v>85.850000000000009</c:v>
                </c:pt>
                <c:pt idx="1111">
                  <c:v>0</c:v>
                </c:pt>
                <c:pt idx="1112">
                  <c:v>0</c:v>
                </c:pt>
                <c:pt idx="1113">
                  <c:v>85.850000000000009</c:v>
                </c:pt>
                <c:pt idx="1114">
                  <c:v>85.9</c:v>
                </c:pt>
                <c:pt idx="1115">
                  <c:v>85.5</c:v>
                </c:pt>
                <c:pt idx="1116">
                  <c:v>85.4</c:v>
                </c:pt>
                <c:pt idx="1117">
                  <c:v>85.600000000000009</c:v>
                </c:pt>
                <c:pt idx="1118">
                  <c:v>0</c:v>
                </c:pt>
                <c:pt idx="1119">
                  <c:v>0</c:v>
                </c:pt>
                <c:pt idx="1120">
                  <c:v>85.649999999999991</c:v>
                </c:pt>
                <c:pt idx="1121">
                  <c:v>85.600000000000009</c:v>
                </c:pt>
                <c:pt idx="1122">
                  <c:v>85.550000000000011</c:v>
                </c:pt>
                <c:pt idx="1123">
                  <c:v>85.4</c:v>
                </c:pt>
                <c:pt idx="1124">
                  <c:v>85.4</c:v>
                </c:pt>
                <c:pt idx="1125">
                  <c:v>0</c:v>
                </c:pt>
                <c:pt idx="1126">
                  <c:v>0</c:v>
                </c:pt>
                <c:pt idx="1127">
                  <c:v>85.4</c:v>
                </c:pt>
                <c:pt idx="1128">
                  <c:v>85.4</c:v>
                </c:pt>
                <c:pt idx="1129">
                  <c:v>85.5</c:v>
                </c:pt>
                <c:pt idx="1130">
                  <c:v>85.9</c:v>
                </c:pt>
                <c:pt idx="1131">
                  <c:v>85.800000000000011</c:v>
                </c:pt>
                <c:pt idx="1132">
                  <c:v>0</c:v>
                </c:pt>
                <c:pt idx="1133">
                  <c:v>0</c:v>
                </c:pt>
                <c:pt idx="1134">
                  <c:v>85.800000000000011</c:v>
                </c:pt>
                <c:pt idx="1135">
                  <c:v>85.800000000000011</c:v>
                </c:pt>
                <c:pt idx="1136">
                  <c:v>86.300000000000011</c:v>
                </c:pt>
                <c:pt idx="1137">
                  <c:v>86.45</c:v>
                </c:pt>
                <c:pt idx="1138">
                  <c:v>86.45</c:v>
                </c:pt>
                <c:pt idx="1139">
                  <c:v>0</c:v>
                </c:pt>
                <c:pt idx="1140">
                  <c:v>0</c:v>
                </c:pt>
                <c:pt idx="1141">
                  <c:v>86.649999999999991</c:v>
                </c:pt>
                <c:pt idx="1142">
                  <c:v>86.649999999999991</c:v>
                </c:pt>
                <c:pt idx="1143">
                  <c:v>86.850000000000009</c:v>
                </c:pt>
                <c:pt idx="1144">
                  <c:v>86.95</c:v>
                </c:pt>
                <c:pt idx="1145">
                  <c:v>86.95</c:v>
                </c:pt>
                <c:pt idx="1146">
                  <c:v>0</c:v>
                </c:pt>
                <c:pt idx="1147">
                  <c:v>0</c:v>
                </c:pt>
                <c:pt idx="1148">
                  <c:v>87</c:v>
                </c:pt>
                <c:pt idx="1149">
                  <c:v>87.100000000000009</c:v>
                </c:pt>
                <c:pt idx="1150">
                  <c:v>87.4</c:v>
                </c:pt>
                <c:pt idx="1151">
                  <c:v>87.800000000000011</c:v>
                </c:pt>
                <c:pt idx="1152">
                  <c:v>87.800000000000011</c:v>
                </c:pt>
                <c:pt idx="1153">
                  <c:v>0</c:v>
                </c:pt>
                <c:pt idx="1154">
                  <c:v>0</c:v>
                </c:pt>
                <c:pt idx="1155">
                  <c:v>87.600000000000009</c:v>
                </c:pt>
                <c:pt idx="1156">
                  <c:v>87.4</c:v>
                </c:pt>
                <c:pt idx="1157">
                  <c:v>87.5</c:v>
                </c:pt>
                <c:pt idx="1158">
                  <c:v>87.5</c:v>
                </c:pt>
                <c:pt idx="1159">
                  <c:v>87.5</c:v>
                </c:pt>
              </c:numCache>
            </c:numRef>
          </c:val>
          <c:extLst xmlns:c16r2="http://schemas.microsoft.com/office/drawing/2015/06/chart">
            <c:ext xmlns:c16="http://schemas.microsoft.com/office/drawing/2014/chart" uri="{C3380CC4-5D6E-409C-BE32-E72D297353CC}">
              <c16:uniqueId val="{00000000-2E6D-4657-B8D7-E414E9AFD70A}"/>
            </c:ext>
          </c:extLst>
        </c:ser>
        <c:dLbls/>
        <c:marker val="1"/>
        <c:axId val="234127744"/>
        <c:axId val="234129280"/>
      </c:lineChart>
      <c:dateAx>
        <c:axId val="234127744"/>
        <c:scaling>
          <c:orientation val="minMax"/>
        </c:scaling>
        <c:axPos val="b"/>
        <c:numFmt formatCode="[$-C09]dd\-mmm\-yy;@" sourceLinked="0"/>
        <c:majorTickMark val="none"/>
        <c:tickLblPos val="nextTo"/>
        <c:spPr>
          <a:noFill/>
          <a:ln w="9525" cap="flat" cmpd="sng" algn="ctr">
            <a:solidFill>
              <a:schemeClr val="bg1">
                <a:lumMod val="50000"/>
              </a:schemeClr>
            </a:solidFill>
            <a:round/>
          </a:ln>
          <a:effectLst/>
        </c:spPr>
        <c:txPr>
          <a:bodyPr rot="-258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4129280"/>
        <c:crosses val="autoZero"/>
        <c:auto val="1"/>
        <c:lblOffset val="100"/>
        <c:baseTimeUnit val="days"/>
        <c:majorUnit val="2"/>
        <c:majorTimeUnit val="months"/>
      </c:dateAx>
      <c:valAx>
        <c:axId val="234129280"/>
        <c:scaling>
          <c:orientation val="minMax"/>
          <c:max val="90"/>
          <c:min val="2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LGC spot price ($/certificate)</a:t>
                </a:r>
              </a:p>
            </c:rich>
          </c:tx>
          <c:spPr>
            <a:noFill/>
            <a:ln>
              <a:noFill/>
            </a:ln>
            <a:effectLst/>
          </c:spPr>
        </c:title>
        <c:numFmt formatCode="#,##0" sourceLinked="0"/>
        <c:maj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127744"/>
        <c:crosses val="autoZero"/>
        <c:crossBetween val="between"/>
      </c:valAx>
      <c:spPr>
        <a:noFill/>
        <a:ln>
          <a:noFill/>
        </a:ln>
        <a:effectLst/>
      </c:spPr>
    </c:plotArea>
    <c:plotVisOnly val="1"/>
    <c:dispBlanksAs val="gap"/>
  </c:chart>
  <c:spPr>
    <a:solidFill>
      <a:schemeClr val="bg1"/>
    </a:solidFill>
    <a:ln w="9525" cap="flat" cmpd="sng" algn="ctr">
      <a:solidFill>
        <a:schemeClr val="bg1">
          <a:lumMod val="50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AU"/>
  <c:chart>
    <c:autoTitleDeleted val="1"/>
    <c:plotArea>
      <c:layout/>
      <c:lineChart>
        <c:grouping val="standard"/>
        <c:ser>
          <c:idx val="0"/>
          <c:order val="0"/>
          <c:tx>
            <c:strRef>
              <c:f>'LGC&amp;STC spot prices'!$C$1</c:f>
              <c:strCache>
                <c:ptCount val="1"/>
                <c:pt idx="0">
                  <c:v>SPOT SREC</c:v>
                </c:pt>
              </c:strCache>
            </c:strRef>
          </c:tx>
          <c:spPr>
            <a:ln w="28575" cap="rnd">
              <a:solidFill>
                <a:srgbClr val="C00000"/>
              </a:solidFill>
              <a:round/>
            </a:ln>
            <a:effectLst/>
          </c:spPr>
          <c:marker>
            <c:symbol val="none"/>
          </c:marker>
          <c:cat>
            <c:numRef>
              <c:f>'LGC&amp;STC spot prices'!$A$2:$A$1161</c:f>
              <c:numCache>
                <c:formatCode>m/d/yyyy</c:formatCode>
                <c:ptCount val="1160"/>
                <c:pt idx="0">
                  <c:v>41456</c:v>
                </c:pt>
                <c:pt idx="1">
                  <c:v>41457</c:v>
                </c:pt>
                <c:pt idx="2">
                  <c:v>41458</c:v>
                </c:pt>
                <c:pt idx="3">
                  <c:v>41459</c:v>
                </c:pt>
                <c:pt idx="4">
                  <c:v>41460</c:v>
                </c:pt>
                <c:pt idx="5">
                  <c:v>41461</c:v>
                </c:pt>
                <c:pt idx="6">
                  <c:v>41462</c:v>
                </c:pt>
                <c:pt idx="7">
                  <c:v>41463</c:v>
                </c:pt>
                <c:pt idx="8">
                  <c:v>41464</c:v>
                </c:pt>
                <c:pt idx="9">
                  <c:v>41465</c:v>
                </c:pt>
                <c:pt idx="10">
                  <c:v>41466</c:v>
                </c:pt>
                <c:pt idx="11">
                  <c:v>41467</c:v>
                </c:pt>
                <c:pt idx="12">
                  <c:v>41468</c:v>
                </c:pt>
                <c:pt idx="13">
                  <c:v>41469</c:v>
                </c:pt>
                <c:pt idx="14">
                  <c:v>41470</c:v>
                </c:pt>
                <c:pt idx="15">
                  <c:v>41471</c:v>
                </c:pt>
                <c:pt idx="16">
                  <c:v>41472</c:v>
                </c:pt>
                <c:pt idx="17">
                  <c:v>41473</c:v>
                </c:pt>
                <c:pt idx="18">
                  <c:v>41474</c:v>
                </c:pt>
                <c:pt idx="19">
                  <c:v>41475</c:v>
                </c:pt>
                <c:pt idx="20">
                  <c:v>41476</c:v>
                </c:pt>
                <c:pt idx="21">
                  <c:v>41477</c:v>
                </c:pt>
                <c:pt idx="22">
                  <c:v>41478</c:v>
                </c:pt>
                <c:pt idx="23">
                  <c:v>41479</c:v>
                </c:pt>
                <c:pt idx="24">
                  <c:v>41480</c:v>
                </c:pt>
                <c:pt idx="25">
                  <c:v>41481</c:v>
                </c:pt>
                <c:pt idx="26">
                  <c:v>41482</c:v>
                </c:pt>
                <c:pt idx="27">
                  <c:v>41483</c:v>
                </c:pt>
                <c:pt idx="28">
                  <c:v>41484</c:v>
                </c:pt>
                <c:pt idx="29">
                  <c:v>41485</c:v>
                </c:pt>
                <c:pt idx="30">
                  <c:v>41486</c:v>
                </c:pt>
                <c:pt idx="31">
                  <c:v>41487</c:v>
                </c:pt>
                <c:pt idx="32">
                  <c:v>41488</c:v>
                </c:pt>
                <c:pt idx="33">
                  <c:v>41489</c:v>
                </c:pt>
                <c:pt idx="34">
                  <c:v>41490</c:v>
                </c:pt>
                <c:pt idx="35">
                  <c:v>41491</c:v>
                </c:pt>
                <c:pt idx="36">
                  <c:v>41492</c:v>
                </c:pt>
                <c:pt idx="37">
                  <c:v>41493</c:v>
                </c:pt>
                <c:pt idx="38">
                  <c:v>41494</c:v>
                </c:pt>
                <c:pt idx="39">
                  <c:v>41495</c:v>
                </c:pt>
                <c:pt idx="40">
                  <c:v>41496</c:v>
                </c:pt>
                <c:pt idx="41">
                  <c:v>41497</c:v>
                </c:pt>
                <c:pt idx="42">
                  <c:v>41498</c:v>
                </c:pt>
                <c:pt idx="43">
                  <c:v>41499</c:v>
                </c:pt>
                <c:pt idx="44">
                  <c:v>41500</c:v>
                </c:pt>
                <c:pt idx="45">
                  <c:v>41501</c:v>
                </c:pt>
                <c:pt idx="46">
                  <c:v>41502</c:v>
                </c:pt>
                <c:pt idx="47">
                  <c:v>41503</c:v>
                </c:pt>
                <c:pt idx="48">
                  <c:v>41504</c:v>
                </c:pt>
                <c:pt idx="49">
                  <c:v>41505</c:v>
                </c:pt>
                <c:pt idx="50">
                  <c:v>41506</c:v>
                </c:pt>
                <c:pt idx="51">
                  <c:v>41507</c:v>
                </c:pt>
                <c:pt idx="52">
                  <c:v>41508</c:v>
                </c:pt>
                <c:pt idx="53">
                  <c:v>41509</c:v>
                </c:pt>
                <c:pt idx="54">
                  <c:v>41510</c:v>
                </c:pt>
                <c:pt idx="55">
                  <c:v>41511</c:v>
                </c:pt>
                <c:pt idx="56">
                  <c:v>41512</c:v>
                </c:pt>
                <c:pt idx="57">
                  <c:v>41513</c:v>
                </c:pt>
                <c:pt idx="58">
                  <c:v>41514</c:v>
                </c:pt>
                <c:pt idx="59">
                  <c:v>41515</c:v>
                </c:pt>
                <c:pt idx="60">
                  <c:v>41516</c:v>
                </c:pt>
                <c:pt idx="61">
                  <c:v>41517</c:v>
                </c:pt>
                <c:pt idx="62">
                  <c:v>41518</c:v>
                </c:pt>
                <c:pt idx="63">
                  <c:v>41519</c:v>
                </c:pt>
                <c:pt idx="64">
                  <c:v>41520</c:v>
                </c:pt>
                <c:pt idx="65">
                  <c:v>41521</c:v>
                </c:pt>
                <c:pt idx="66">
                  <c:v>41522</c:v>
                </c:pt>
                <c:pt idx="67">
                  <c:v>41523</c:v>
                </c:pt>
                <c:pt idx="68">
                  <c:v>41524</c:v>
                </c:pt>
                <c:pt idx="69">
                  <c:v>41525</c:v>
                </c:pt>
                <c:pt idx="70">
                  <c:v>41526</c:v>
                </c:pt>
                <c:pt idx="71">
                  <c:v>41527</c:v>
                </c:pt>
                <c:pt idx="72">
                  <c:v>41528</c:v>
                </c:pt>
                <c:pt idx="73">
                  <c:v>41529</c:v>
                </c:pt>
                <c:pt idx="74">
                  <c:v>41530</c:v>
                </c:pt>
                <c:pt idx="75">
                  <c:v>41531</c:v>
                </c:pt>
                <c:pt idx="76">
                  <c:v>41532</c:v>
                </c:pt>
                <c:pt idx="77">
                  <c:v>41533</c:v>
                </c:pt>
                <c:pt idx="78">
                  <c:v>41534</c:v>
                </c:pt>
                <c:pt idx="79">
                  <c:v>41535</c:v>
                </c:pt>
                <c:pt idx="80">
                  <c:v>41536</c:v>
                </c:pt>
                <c:pt idx="81">
                  <c:v>41537</c:v>
                </c:pt>
                <c:pt idx="82">
                  <c:v>41538</c:v>
                </c:pt>
                <c:pt idx="83">
                  <c:v>41539</c:v>
                </c:pt>
                <c:pt idx="84">
                  <c:v>41540</c:v>
                </c:pt>
                <c:pt idx="85">
                  <c:v>41541</c:v>
                </c:pt>
                <c:pt idx="86">
                  <c:v>41542</c:v>
                </c:pt>
                <c:pt idx="87">
                  <c:v>41543</c:v>
                </c:pt>
                <c:pt idx="88">
                  <c:v>41544</c:v>
                </c:pt>
                <c:pt idx="89">
                  <c:v>41545</c:v>
                </c:pt>
                <c:pt idx="90">
                  <c:v>41546</c:v>
                </c:pt>
                <c:pt idx="91">
                  <c:v>41547</c:v>
                </c:pt>
                <c:pt idx="92">
                  <c:v>41548</c:v>
                </c:pt>
                <c:pt idx="93">
                  <c:v>41549</c:v>
                </c:pt>
                <c:pt idx="94">
                  <c:v>41550</c:v>
                </c:pt>
                <c:pt idx="95">
                  <c:v>41551</c:v>
                </c:pt>
                <c:pt idx="96">
                  <c:v>41552</c:v>
                </c:pt>
                <c:pt idx="97">
                  <c:v>41553</c:v>
                </c:pt>
                <c:pt idx="98">
                  <c:v>41554</c:v>
                </c:pt>
                <c:pt idx="99">
                  <c:v>41555</c:v>
                </c:pt>
                <c:pt idx="100">
                  <c:v>41556</c:v>
                </c:pt>
                <c:pt idx="101">
                  <c:v>41557</c:v>
                </c:pt>
                <c:pt idx="102">
                  <c:v>41558</c:v>
                </c:pt>
                <c:pt idx="103">
                  <c:v>41559</c:v>
                </c:pt>
                <c:pt idx="104">
                  <c:v>41560</c:v>
                </c:pt>
                <c:pt idx="105">
                  <c:v>41561</c:v>
                </c:pt>
                <c:pt idx="106">
                  <c:v>41562</c:v>
                </c:pt>
                <c:pt idx="107">
                  <c:v>41563</c:v>
                </c:pt>
                <c:pt idx="108">
                  <c:v>41564</c:v>
                </c:pt>
                <c:pt idx="109">
                  <c:v>41565</c:v>
                </c:pt>
                <c:pt idx="110">
                  <c:v>41566</c:v>
                </c:pt>
                <c:pt idx="111">
                  <c:v>41567</c:v>
                </c:pt>
                <c:pt idx="112">
                  <c:v>41568</c:v>
                </c:pt>
                <c:pt idx="113">
                  <c:v>41569</c:v>
                </c:pt>
                <c:pt idx="114">
                  <c:v>41570</c:v>
                </c:pt>
                <c:pt idx="115">
                  <c:v>41571</c:v>
                </c:pt>
                <c:pt idx="116">
                  <c:v>41572</c:v>
                </c:pt>
                <c:pt idx="117">
                  <c:v>41573</c:v>
                </c:pt>
                <c:pt idx="118">
                  <c:v>41574</c:v>
                </c:pt>
                <c:pt idx="119">
                  <c:v>41575</c:v>
                </c:pt>
                <c:pt idx="120">
                  <c:v>41576</c:v>
                </c:pt>
                <c:pt idx="121">
                  <c:v>41577</c:v>
                </c:pt>
                <c:pt idx="122">
                  <c:v>41578</c:v>
                </c:pt>
                <c:pt idx="123">
                  <c:v>41579</c:v>
                </c:pt>
                <c:pt idx="124">
                  <c:v>41580</c:v>
                </c:pt>
                <c:pt idx="125">
                  <c:v>41581</c:v>
                </c:pt>
                <c:pt idx="126">
                  <c:v>41582</c:v>
                </c:pt>
                <c:pt idx="127">
                  <c:v>41583</c:v>
                </c:pt>
                <c:pt idx="128">
                  <c:v>41584</c:v>
                </c:pt>
                <c:pt idx="129">
                  <c:v>41585</c:v>
                </c:pt>
                <c:pt idx="130">
                  <c:v>41586</c:v>
                </c:pt>
                <c:pt idx="131">
                  <c:v>41587</c:v>
                </c:pt>
                <c:pt idx="132">
                  <c:v>41588</c:v>
                </c:pt>
                <c:pt idx="133">
                  <c:v>41589</c:v>
                </c:pt>
                <c:pt idx="134">
                  <c:v>41590</c:v>
                </c:pt>
                <c:pt idx="135">
                  <c:v>41591</c:v>
                </c:pt>
                <c:pt idx="136">
                  <c:v>41592</c:v>
                </c:pt>
                <c:pt idx="137">
                  <c:v>41593</c:v>
                </c:pt>
                <c:pt idx="138">
                  <c:v>41594</c:v>
                </c:pt>
                <c:pt idx="139">
                  <c:v>41595</c:v>
                </c:pt>
                <c:pt idx="140">
                  <c:v>41596</c:v>
                </c:pt>
                <c:pt idx="141">
                  <c:v>41597</c:v>
                </c:pt>
                <c:pt idx="142">
                  <c:v>41598</c:v>
                </c:pt>
                <c:pt idx="143">
                  <c:v>41599</c:v>
                </c:pt>
                <c:pt idx="144">
                  <c:v>41600</c:v>
                </c:pt>
                <c:pt idx="145">
                  <c:v>41601</c:v>
                </c:pt>
                <c:pt idx="146">
                  <c:v>41602</c:v>
                </c:pt>
                <c:pt idx="147">
                  <c:v>41603</c:v>
                </c:pt>
                <c:pt idx="148">
                  <c:v>41604</c:v>
                </c:pt>
                <c:pt idx="149">
                  <c:v>41605</c:v>
                </c:pt>
                <c:pt idx="150">
                  <c:v>41606</c:v>
                </c:pt>
                <c:pt idx="151">
                  <c:v>41607</c:v>
                </c:pt>
                <c:pt idx="152">
                  <c:v>41608</c:v>
                </c:pt>
                <c:pt idx="153">
                  <c:v>41609</c:v>
                </c:pt>
                <c:pt idx="154">
                  <c:v>41610</c:v>
                </c:pt>
                <c:pt idx="155">
                  <c:v>41611</c:v>
                </c:pt>
                <c:pt idx="156">
                  <c:v>41612</c:v>
                </c:pt>
                <c:pt idx="157">
                  <c:v>41613</c:v>
                </c:pt>
                <c:pt idx="158">
                  <c:v>41614</c:v>
                </c:pt>
                <c:pt idx="159">
                  <c:v>41615</c:v>
                </c:pt>
                <c:pt idx="160">
                  <c:v>41616</c:v>
                </c:pt>
                <c:pt idx="161">
                  <c:v>41617</c:v>
                </c:pt>
                <c:pt idx="162">
                  <c:v>41618</c:v>
                </c:pt>
                <c:pt idx="163">
                  <c:v>41619</c:v>
                </c:pt>
                <c:pt idx="164">
                  <c:v>41620</c:v>
                </c:pt>
                <c:pt idx="165">
                  <c:v>41621</c:v>
                </c:pt>
                <c:pt idx="166">
                  <c:v>41622</c:v>
                </c:pt>
                <c:pt idx="167">
                  <c:v>41623</c:v>
                </c:pt>
                <c:pt idx="168">
                  <c:v>41624</c:v>
                </c:pt>
                <c:pt idx="169">
                  <c:v>41625</c:v>
                </c:pt>
                <c:pt idx="170">
                  <c:v>41626</c:v>
                </c:pt>
                <c:pt idx="171">
                  <c:v>41627</c:v>
                </c:pt>
                <c:pt idx="172">
                  <c:v>41628</c:v>
                </c:pt>
                <c:pt idx="173">
                  <c:v>41629</c:v>
                </c:pt>
                <c:pt idx="174">
                  <c:v>41630</c:v>
                </c:pt>
                <c:pt idx="175">
                  <c:v>41631</c:v>
                </c:pt>
                <c:pt idx="176">
                  <c:v>41632</c:v>
                </c:pt>
                <c:pt idx="177">
                  <c:v>41633</c:v>
                </c:pt>
                <c:pt idx="178">
                  <c:v>41634</c:v>
                </c:pt>
                <c:pt idx="179">
                  <c:v>41635</c:v>
                </c:pt>
                <c:pt idx="180">
                  <c:v>41636</c:v>
                </c:pt>
                <c:pt idx="181">
                  <c:v>41637</c:v>
                </c:pt>
                <c:pt idx="182">
                  <c:v>41638</c:v>
                </c:pt>
                <c:pt idx="183">
                  <c:v>41639</c:v>
                </c:pt>
                <c:pt idx="184">
                  <c:v>41640</c:v>
                </c:pt>
                <c:pt idx="185">
                  <c:v>41641</c:v>
                </c:pt>
                <c:pt idx="186">
                  <c:v>41642</c:v>
                </c:pt>
                <c:pt idx="187">
                  <c:v>41643</c:v>
                </c:pt>
                <c:pt idx="188">
                  <c:v>41644</c:v>
                </c:pt>
                <c:pt idx="189">
                  <c:v>41645</c:v>
                </c:pt>
                <c:pt idx="190">
                  <c:v>41646</c:v>
                </c:pt>
                <c:pt idx="191">
                  <c:v>41647</c:v>
                </c:pt>
                <c:pt idx="192">
                  <c:v>41648</c:v>
                </c:pt>
                <c:pt idx="193">
                  <c:v>41649</c:v>
                </c:pt>
                <c:pt idx="194">
                  <c:v>41650</c:v>
                </c:pt>
                <c:pt idx="195">
                  <c:v>41651</c:v>
                </c:pt>
                <c:pt idx="196">
                  <c:v>41652</c:v>
                </c:pt>
                <c:pt idx="197">
                  <c:v>41653</c:v>
                </c:pt>
                <c:pt idx="198">
                  <c:v>41654</c:v>
                </c:pt>
                <c:pt idx="199">
                  <c:v>41655</c:v>
                </c:pt>
                <c:pt idx="200">
                  <c:v>41656</c:v>
                </c:pt>
                <c:pt idx="201">
                  <c:v>41657</c:v>
                </c:pt>
                <c:pt idx="202">
                  <c:v>41658</c:v>
                </c:pt>
                <c:pt idx="203">
                  <c:v>41659</c:v>
                </c:pt>
                <c:pt idx="204">
                  <c:v>41660</c:v>
                </c:pt>
                <c:pt idx="205">
                  <c:v>41661</c:v>
                </c:pt>
                <c:pt idx="206">
                  <c:v>41662</c:v>
                </c:pt>
                <c:pt idx="207">
                  <c:v>41663</c:v>
                </c:pt>
                <c:pt idx="208">
                  <c:v>41664</c:v>
                </c:pt>
                <c:pt idx="209">
                  <c:v>41665</c:v>
                </c:pt>
                <c:pt idx="210">
                  <c:v>41666</c:v>
                </c:pt>
                <c:pt idx="211">
                  <c:v>41667</c:v>
                </c:pt>
                <c:pt idx="212">
                  <c:v>41668</c:v>
                </c:pt>
                <c:pt idx="213">
                  <c:v>41669</c:v>
                </c:pt>
                <c:pt idx="214">
                  <c:v>41670</c:v>
                </c:pt>
                <c:pt idx="215">
                  <c:v>41671</c:v>
                </c:pt>
                <c:pt idx="216">
                  <c:v>41672</c:v>
                </c:pt>
                <c:pt idx="217">
                  <c:v>41673</c:v>
                </c:pt>
                <c:pt idx="218">
                  <c:v>41674</c:v>
                </c:pt>
                <c:pt idx="219">
                  <c:v>41675</c:v>
                </c:pt>
                <c:pt idx="220">
                  <c:v>41676</c:v>
                </c:pt>
                <c:pt idx="221">
                  <c:v>41677</c:v>
                </c:pt>
                <c:pt idx="222">
                  <c:v>41678</c:v>
                </c:pt>
                <c:pt idx="223">
                  <c:v>41679</c:v>
                </c:pt>
                <c:pt idx="224">
                  <c:v>41680</c:v>
                </c:pt>
                <c:pt idx="225">
                  <c:v>41681</c:v>
                </c:pt>
                <c:pt idx="226">
                  <c:v>41682</c:v>
                </c:pt>
                <c:pt idx="227">
                  <c:v>41683</c:v>
                </c:pt>
                <c:pt idx="228">
                  <c:v>41684</c:v>
                </c:pt>
                <c:pt idx="229">
                  <c:v>41685</c:v>
                </c:pt>
                <c:pt idx="230">
                  <c:v>41686</c:v>
                </c:pt>
                <c:pt idx="231">
                  <c:v>41687</c:v>
                </c:pt>
                <c:pt idx="232">
                  <c:v>41688</c:v>
                </c:pt>
                <c:pt idx="233">
                  <c:v>41689</c:v>
                </c:pt>
                <c:pt idx="234">
                  <c:v>41690</c:v>
                </c:pt>
                <c:pt idx="235">
                  <c:v>41691</c:v>
                </c:pt>
                <c:pt idx="236">
                  <c:v>41692</c:v>
                </c:pt>
                <c:pt idx="237">
                  <c:v>41693</c:v>
                </c:pt>
                <c:pt idx="238">
                  <c:v>41694</c:v>
                </c:pt>
                <c:pt idx="239">
                  <c:v>41695</c:v>
                </c:pt>
                <c:pt idx="240">
                  <c:v>41696</c:v>
                </c:pt>
                <c:pt idx="241">
                  <c:v>41697</c:v>
                </c:pt>
                <c:pt idx="242">
                  <c:v>41698</c:v>
                </c:pt>
                <c:pt idx="243">
                  <c:v>41699</c:v>
                </c:pt>
                <c:pt idx="244">
                  <c:v>41700</c:v>
                </c:pt>
                <c:pt idx="245">
                  <c:v>41701</c:v>
                </c:pt>
                <c:pt idx="246">
                  <c:v>41702</c:v>
                </c:pt>
                <c:pt idx="247">
                  <c:v>41703</c:v>
                </c:pt>
                <c:pt idx="248">
                  <c:v>41704</c:v>
                </c:pt>
                <c:pt idx="249">
                  <c:v>41705</c:v>
                </c:pt>
                <c:pt idx="250">
                  <c:v>41706</c:v>
                </c:pt>
                <c:pt idx="251">
                  <c:v>41707</c:v>
                </c:pt>
                <c:pt idx="252">
                  <c:v>41708</c:v>
                </c:pt>
                <c:pt idx="253">
                  <c:v>41709</c:v>
                </c:pt>
                <c:pt idx="254">
                  <c:v>41710</c:v>
                </c:pt>
                <c:pt idx="255">
                  <c:v>41711</c:v>
                </c:pt>
                <c:pt idx="256">
                  <c:v>41712</c:v>
                </c:pt>
                <c:pt idx="257">
                  <c:v>41713</c:v>
                </c:pt>
                <c:pt idx="258">
                  <c:v>41714</c:v>
                </c:pt>
                <c:pt idx="259">
                  <c:v>41715</c:v>
                </c:pt>
                <c:pt idx="260">
                  <c:v>41716</c:v>
                </c:pt>
                <c:pt idx="261">
                  <c:v>41717</c:v>
                </c:pt>
                <c:pt idx="262">
                  <c:v>41718</c:v>
                </c:pt>
                <c:pt idx="263">
                  <c:v>41719</c:v>
                </c:pt>
                <c:pt idx="264">
                  <c:v>41720</c:v>
                </c:pt>
                <c:pt idx="265">
                  <c:v>41721</c:v>
                </c:pt>
                <c:pt idx="266">
                  <c:v>41722</c:v>
                </c:pt>
                <c:pt idx="267">
                  <c:v>41723</c:v>
                </c:pt>
                <c:pt idx="268">
                  <c:v>41724</c:v>
                </c:pt>
                <c:pt idx="269">
                  <c:v>41725</c:v>
                </c:pt>
                <c:pt idx="270">
                  <c:v>41726</c:v>
                </c:pt>
                <c:pt idx="271">
                  <c:v>41727</c:v>
                </c:pt>
                <c:pt idx="272">
                  <c:v>41728</c:v>
                </c:pt>
                <c:pt idx="273">
                  <c:v>41729</c:v>
                </c:pt>
                <c:pt idx="274">
                  <c:v>41730</c:v>
                </c:pt>
                <c:pt idx="275">
                  <c:v>41731</c:v>
                </c:pt>
                <c:pt idx="276">
                  <c:v>41732</c:v>
                </c:pt>
                <c:pt idx="277">
                  <c:v>41733</c:v>
                </c:pt>
                <c:pt idx="278">
                  <c:v>41734</c:v>
                </c:pt>
                <c:pt idx="279">
                  <c:v>41735</c:v>
                </c:pt>
                <c:pt idx="280">
                  <c:v>41736</c:v>
                </c:pt>
                <c:pt idx="281">
                  <c:v>41737</c:v>
                </c:pt>
                <c:pt idx="282">
                  <c:v>41738</c:v>
                </c:pt>
                <c:pt idx="283">
                  <c:v>41739</c:v>
                </c:pt>
                <c:pt idx="284">
                  <c:v>41740</c:v>
                </c:pt>
                <c:pt idx="285">
                  <c:v>41741</c:v>
                </c:pt>
                <c:pt idx="286">
                  <c:v>41742</c:v>
                </c:pt>
                <c:pt idx="287">
                  <c:v>41743</c:v>
                </c:pt>
                <c:pt idx="288">
                  <c:v>41744</c:v>
                </c:pt>
                <c:pt idx="289">
                  <c:v>41745</c:v>
                </c:pt>
                <c:pt idx="290">
                  <c:v>41746</c:v>
                </c:pt>
                <c:pt idx="291">
                  <c:v>41747</c:v>
                </c:pt>
                <c:pt idx="292">
                  <c:v>41748</c:v>
                </c:pt>
                <c:pt idx="293">
                  <c:v>41749</c:v>
                </c:pt>
                <c:pt idx="294">
                  <c:v>41750</c:v>
                </c:pt>
                <c:pt idx="295">
                  <c:v>41751</c:v>
                </c:pt>
                <c:pt idx="296">
                  <c:v>41752</c:v>
                </c:pt>
                <c:pt idx="297">
                  <c:v>41753</c:v>
                </c:pt>
                <c:pt idx="298">
                  <c:v>41754</c:v>
                </c:pt>
                <c:pt idx="299">
                  <c:v>41755</c:v>
                </c:pt>
                <c:pt idx="300">
                  <c:v>41756</c:v>
                </c:pt>
                <c:pt idx="301">
                  <c:v>41757</c:v>
                </c:pt>
                <c:pt idx="302">
                  <c:v>41758</c:v>
                </c:pt>
                <c:pt idx="303">
                  <c:v>41759</c:v>
                </c:pt>
                <c:pt idx="304">
                  <c:v>41760</c:v>
                </c:pt>
                <c:pt idx="305">
                  <c:v>41761</c:v>
                </c:pt>
                <c:pt idx="306">
                  <c:v>41762</c:v>
                </c:pt>
                <c:pt idx="307">
                  <c:v>41763</c:v>
                </c:pt>
                <c:pt idx="308">
                  <c:v>41764</c:v>
                </c:pt>
                <c:pt idx="309">
                  <c:v>41765</c:v>
                </c:pt>
                <c:pt idx="310">
                  <c:v>41766</c:v>
                </c:pt>
                <c:pt idx="311">
                  <c:v>41767</c:v>
                </c:pt>
                <c:pt idx="312">
                  <c:v>41768</c:v>
                </c:pt>
                <c:pt idx="313">
                  <c:v>41769</c:v>
                </c:pt>
                <c:pt idx="314">
                  <c:v>41770</c:v>
                </c:pt>
                <c:pt idx="315">
                  <c:v>41771</c:v>
                </c:pt>
                <c:pt idx="316">
                  <c:v>41772</c:v>
                </c:pt>
                <c:pt idx="317">
                  <c:v>41773</c:v>
                </c:pt>
                <c:pt idx="318">
                  <c:v>41774</c:v>
                </c:pt>
                <c:pt idx="319">
                  <c:v>41775</c:v>
                </c:pt>
                <c:pt idx="320">
                  <c:v>41776</c:v>
                </c:pt>
                <c:pt idx="321">
                  <c:v>41777</c:v>
                </c:pt>
                <c:pt idx="322">
                  <c:v>41778</c:v>
                </c:pt>
                <c:pt idx="323">
                  <c:v>41779</c:v>
                </c:pt>
                <c:pt idx="324">
                  <c:v>41780</c:v>
                </c:pt>
                <c:pt idx="325">
                  <c:v>41781</c:v>
                </c:pt>
                <c:pt idx="326">
                  <c:v>41782</c:v>
                </c:pt>
                <c:pt idx="327">
                  <c:v>41783</c:v>
                </c:pt>
                <c:pt idx="328">
                  <c:v>41784</c:v>
                </c:pt>
                <c:pt idx="329">
                  <c:v>41785</c:v>
                </c:pt>
                <c:pt idx="330">
                  <c:v>41786</c:v>
                </c:pt>
                <c:pt idx="331">
                  <c:v>41787</c:v>
                </c:pt>
                <c:pt idx="332">
                  <c:v>41788</c:v>
                </c:pt>
                <c:pt idx="333">
                  <c:v>41789</c:v>
                </c:pt>
                <c:pt idx="334">
                  <c:v>41790</c:v>
                </c:pt>
                <c:pt idx="335">
                  <c:v>41791</c:v>
                </c:pt>
                <c:pt idx="336">
                  <c:v>41792</c:v>
                </c:pt>
                <c:pt idx="337">
                  <c:v>41793</c:v>
                </c:pt>
                <c:pt idx="338">
                  <c:v>41794</c:v>
                </c:pt>
                <c:pt idx="339">
                  <c:v>41795</c:v>
                </c:pt>
                <c:pt idx="340">
                  <c:v>41796</c:v>
                </c:pt>
                <c:pt idx="341">
                  <c:v>41797</c:v>
                </c:pt>
                <c:pt idx="342">
                  <c:v>41798</c:v>
                </c:pt>
                <c:pt idx="343">
                  <c:v>41799</c:v>
                </c:pt>
                <c:pt idx="344">
                  <c:v>41800</c:v>
                </c:pt>
                <c:pt idx="345">
                  <c:v>41801</c:v>
                </c:pt>
                <c:pt idx="346">
                  <c:v>41802</c:v>
                </c:pt>
                <c:pt idx="347">
                  <c:v>41803</c:v>
                </c:pt>
                <c:pt idx="348">
                  <c:v>41804</c:v>
                </c:pt>
                <c:pt idx="349">
                  <c:v>41805</c:v>
                </c:pt>
                <c:pt idx="350">
                  <c:v>41806</c:v>
                </c:pt>
                <c:pt idx="351">
                  <c:v>41807</c:v>
                </c:pt>
                <c:pt idx="352">
                  <c:v>41808</c:v>
                </c:pt>
                <c:pt idx="353">
                  <c:v>41809</c:v>
                </c:pt>
                <c:pt idx="354">
                  <c:v>41810</c:v>
                </c:pt>
                <c:pt idx="355">
                  <c:v>41811</c:v>
                </c:pt>
                <c:pt idx="356">
                  <c:v>41812</c:v>
                </c:pt>
                <c:pt idx="357">
                  <c:v>41813</c:v>
                </c:pt>
                <c:pt idx="358">
                  <c:v>41814</c:v>
                </c:pt>
                <c:pt idx="359">
                  <c:v>41815</c:v>
                </c:pt>
                <c:pt idx="360">
                  <c:v>41816</c:v>
                </c:pt>
                <c:pt idx="361">
                  <c:v>41817</c:v>
                </c:pt>
                <c:pt idx="362">
                  <c:v>41818</c:v>
                </c:pt>
                <c:pt idx="363">
                  <c:v>41819</c:v>
                </c:pt>
                <c:pt idx="364">
                  <c:v>41820</c:v>
                </c:pt>
                <c:pt idx="365">
                  <c:v>41821</c:v>
                </c:pt>
                <c:pt idx="366">
                  <c:v>41822</c:v>
                </c:pt>
                <c:pt idx="367">
                  <c:v>41823</c:v>
                </c:pt>
                <c:pt idx="368">
                  <c:v>41824</c:v>
                </c:pt>
                <c:pt idx="369">
                  <c:v>41825</c:v>
                </c:pt>
                <c:pt idx="370">
                  <c:v>41826</c:v>
                </c:pt>
                <c:pt idx="371">
                  <c:v>41827</c:v>
                </c:pt>
                <c:pt idx="372">
                  <c:v>41828</c:v>
                </c:pt>
                <c:pt idx="373">
                  <c:v>41829</c:v>
                </c:pt>
                <c:pt idx="374">
                  <c:v>41830</c:v>
                </c:pt>
                <c:pt idx="375">
                  <c:v>41831</c:v>
                </c:pt>
                <c:pt idx="376">
                  <c:v>41832</c:v>
                </c:pt>
                <c:pt idx="377">
                  <c:v>41833</c:v>
                </c:pt>
                <c:pt idx="378">
                  <c:v>41834</c:v>
                </c:pt>
                <c:pt idx="379">
                  <c:v>41835</c:v>
                </c:pt>
                <c:pt idx="380">
                  <c:v>41836</c:v>
                </c:pt>
                <c:pt idx="381">
                  <c:v>41837</c:v>
                </c:pt>
                <c:pt idx="382">
                  <c:v>41838</c:v>
                </c:pt>
                <c:pt idx="383">
                  <c:v>41839</c:v>
                </c:pt>
                <c:pt idx="384">
                  <c:v>41840</c:v>
                </c:pt>
                <c:pt idx="385">
                  <c:v>41841</c:v>
                </c:pt>
                <c:pt idx="386">
                  <c:v>41842</c:v>
                </c:pt>
                <c:pt idx="387">
                  <c:v>41843</c:v>
                </c:pt>
                <c:pt idx="388">
                  <c:v>41844</c:v>
                </c:pt>
                <c:pt idx="389">
                  <c:v>41845</c:v>
                </c:pt>
                <c:pt idx="390">
                  <c:v>41846</c:v>
                </c:pt>
                <c:pt idx="391">
                  <c:v>41847</c:v>
                </c:pt>
                <c:pt idx="392">
                  <c:v>41848</c:v>
                </c:pt>
                <c:pt idx="393">
                  <c:v>41849</c:v>
                </c:pt>
                <c:pt idx="394">
                  <c:v>41850</c:v>
                </c:pt>
                <c:pt idx="395">
                  <c:v>41851</c:v>
                </c:pt>
                <c:pt idx="396">
                  <c:v>41852</c:v>
                </c:pt>
                <c:pt idx="397">
                  <c:v>41853</c:v>
                </c:pt>
                <c:pt idx="398">
                  <c:v>41854</c:v>
                </c:pt>
                <c:pt idx="399">
                  <c:v>41855</c:v>
                </c:pt>
                <c:pt idx="400">
                  <c:v>41856</c:v>
                </c:pt>
                <c:pt idx="401">
                  <c:v>41857</c:v>
                </c:pt>
                <c:pt idx="402">
                  <c:v>41858</c:v>
                </c:pt>
                <c:pt idx="403">
                  <c:v>41859</c:v>
                </c:pt>
                <c:pt idx="404">
                  <c:v>41860</c:v>
                </c:pt>
                <c:pt idx="405">
                  <c:v>41861</c:v>
                </c:pt>
                <c:pt idx="406">
                  <c:v>41862</c:v>
                </c:pt>
                <c:pt idx="407">
                  <c:v>41863</c:v>
                </c:pt>
                <c:pt idx="408">
                  <c:v>41864</c:v>
                </c:pt>
                <c:pt idx="409">
                  <c:v>41865</c:v>
                </c:pt>
                <c:pt idx="410">
                  <c:v>41866</c:v>
                </c:pt>
                <c:pt idx="411">
                  <c:v>41867</c:v>
                </c:pt>
                <c:pt idx="412">
                  <c:v>41868</c:v>
                </c:pt>
                <c:pt idx="413">
                  <c:v>41869</c:v>
                </c:pt>
                <c:pt idx="414">
                  <c:v>41870</c:v>
                </c:pt>
                <c:pt idx="415">
                  <c:v>41871</c:v>
                </c:pt>
                <c:pt idx="416">
                  <c:v>41872</c:v>
                </c:pt>
                <c:pt idx="417">
                  <c:v>41873</c:v>
                </c:pt>
                <c:pt idx="418">
                  <c:v>41874</c:v>
                </c:pt>
                <c:pt idx="419">
                  <c:v>41875</c:v>
                </c:pt>
                <c:pt idx="420">
                  <c:v>41876</c:v>
                </c:pt>
                <c:pt idx="421">
                  <c:v>41877</c:v>
                </c:pt>
                <c:pt idx="422">
                  <c:v>41878</c:v>
                </c:pt>
                <c:pt idx="423">
                  <c:v>41879</c:v>
                </c:pt>
                <c:pt idx="424">
                  <c:v>41880</c:v>
                </c:pt>
                <c:pt idx="425">
                  <c:v>41881</c:v>
                </c:pt>
                <c:pt idx="426">
                  <c:v>41882</c:v>
                </c:pt>
                <c:pt idx="427">
                  <c:v>41883</c:v>
                </c:pt>
                <c:pt idx="428">
                  <c:v>41884</c:v>
                </c:pt>
                <c:pt idx="429">
                  <c:v>41885</c:v>
                </c:pt>
                <c:pt idx="430">
                  <c:v>41886</c:v>
                </c:pt>
                <c:pt idx="431">
                  <c:v>41887</c:v>
                </c:pt>
                <c:pt idx="432">
                  <c:v>41888</c:v>
                </c:pt>
                <c:pt idx="433">
                  <c:v>41889</c:v>
                </c:pt>
                <c:pt idx="434">
                  <c:v>41890</c:v>
                </c:pt>
                <c:pt idx="435">
                  <c:v>41891</c:v>
                </c:pt>
                <c:pt idx="436">
                  <c:v>41892</c:v>
                </c:pt>
                <c:pt idx="437">
                  <c:v>41893</c:v>
                </c:pt>
                <c:pt idx="438">
                  <c:v>41894</c:v>
                </c:pt>
                <c:pt idx="439">
                  <c:v>41895</c:v>
                </c:pt>
                <c:pt idx="440">
                  <c:v>41896</c:v>
                </c:pt>
                <c:pt idx="441">
                  <c:v>41897</c:v>
                </c:pt>
                <c:pt idx="442">
                  <c:v>41898</c:v>
                </c:pt>
                <c:pt idx="443">
                  <c:v>41899</c:v>
                </c:pt>
                <c:pt idx="444">
                  <c:v>41900</c:v>
                </c:pt>
                <c:pt idx="445">
                  <c:v>41901</c:v>
                </c:pt>
                <c:pt idx="446">
                  <c:v>41902</c:v>
                </c:pt>
                <c:pt idx="447">
                  <c:v>41903</c:v>
                </c:pt>
                <c:pt idx="448">
                  <c:v>41904</c:v>
                </c:pt>
                <c:pt idx="449">
                  <c:v>41905</c:v>
                </c:pt>
                <c:pt idx="450">
                  <c:v>41906</c:v>
                </c:pt>
                <c:pt idx="451">
                  <c:v>41907</c:v>
                </c:pt>
                <c:pt idx="452">
                  <c:v>41908</c:v>
                </c:pt>
                <c:pt idx="453">
                  <c:v>41909</c:v>
                </c:pt>
                <c:pt idx="454">
                  <c:v>41910</c:v>
                </c:pt>
                <c:pt idx="455">
                  <c:v>41911</c:v>
                </c:pt>
                <c:pt idx="456">
                  <c:v>41912</c:v>
                </c:pt>
                <c:pt idx="457">
                  <c:v>41913</c:v>
                </c:pt>
                <c:pt idx="458">
                  <c:v>41914</c:v>
                </c:pt>
                <c:pt idx="459">
                  <c:v>41915</c:v>
                </c:pt>
                <c:pt idx="460">
                  <c:v>41916</c:v>
                </c:pt>
                <c:pt idx="461">
                  <c:v>41917</c:v>
                </c:pt>
                <c:pt idx="462">
                  <c:v>41918</c:v>
                </c:pt>
                <c:pt idx="463">
                  <c:v>41919</c:v>
                </c:pt>
                <c:pt idx="464">
                  <c:v>41920</c:v>
                </c:pt>
                <c:pt idx="465">
                  <c:v>41921</c:v>
                </c:pt>
                <c:pt idx="466">
                  <c:v>41922</c:v>
                </c:pt>
                <c:pt idx="467">
                  <c:v>41923</c:v>
                </c:pt>
                <c:pt idx="468">
                  <c:v>41924</c:v>
                </c:pt>
                <c:pt idx="469">
                  <c:v>41925</c:v>
                </c:pt>
                <c:pt idx="470">
                  <c:v>41926</c:v>
                </c:pt>
                <c:pt idx="471">
                  <c:v>41927</c:v>
                </c:pt>
                <c:pt idx="472">
                  <c:v>41928</c:v>
                </c:pt>
                <c:pt idx="473">
                  <c:v>41929</c:v>
                </c:pt>
                <c:pt idx="474">
                  <c:v>41930</c:v>
                </c:pt>
                <c:pt idx="475">
                  <c:v>41931</c:v>
                </c:pt>
                <c:pt idx="476">
                  <c:v>41932</c:v>
                </c:pt>
                <c:pt idx="477">
                  <c:v>41933</c:v>
                </c:pt>
                <c:pt idx="478">
                  <c:v>41934</c:v>
                </c:pt>
                <c:pt idx="479">
                  <c:v>41935</c:v>
                </c:pt>
                <c:pt idx="480">
                  <c:v>41936</c:v>
                </c:pt>
                <c:pt idx="481">
                  <c:v>41937</c:v>
                </c:pt>
                <c:pt idx="482">
                  <c:v>41938</c:v>
                </c:pt>
                <c:pt idx="483">
                  <c:v>41939</c:v>
                </c:pt>
                <c:pt idx="484">
                  <c:v>41940</c:v>
                </c:pt>
                <c:pt idx="485">
                  <c:v>41941</c:v>
                </c:pt>
                <c:pt idx="486">
                  <c:v>41942</c:v>
                </c:pt>
                <c:pt idx="487">
                  <c:v>41943</c:v>
                </c:pt>
                <c:pt idx="488">
                  <c:v>41944</c:v>
                </c:pt>
                <c:pt idx="489">
                  <c:v>41945</c:v>
                </c:pt>
                <c:pt idx="490">
                  <c:v>41946</c:v>
                </c:pt>
                <c:pt idx="491">
                  <c:v>41947</c:v>
                </c:pt>
                <c:pt idx="492">
                  <c:v>41948</c:v>
                </c:pt>
                <c:pt idx="493">
                  <c:v>41949</c:v>
                </c:pt>
                <c:pt idx="494">
                  <c:v>41950</c:v>
                </c:pt>
                <c:pt idx="495">
                  <c:v>41951</c:v>
                </c:pt>
                <c:pt idx="496">
                  <c:v>41952</c:v>
                </c:pt>
                <c:pt idx="497">
                  <c:v>41953</c:v>
                </c:pt>
                <c:pt idx="498">
                  <c:v>41954</c:v>
                </c:pt>
                <c:pt idx="499">
                  <c:v>41955</c:v>
                </c:pt>
                <c:pt idx="500">
                  <c:v>41956</c:v>
                </c:pt>
                <c:pt idx="501">
                  <c:v>41957</c:v>
                </c:pt>
                <c:pt idx="502">
                  <c:v>41958</c:v>
                </c:pt>
                <c:pt idx="503">
                  <c:v>41959</c:v>
                </c:pt>
                <c:pt idx="504">
                  <c:v>41960</c:v>
                </c:pt>
                <c:pt idx="505">
                  <c:v>41961</c:v>
                </c:pt>
                <c:pt idx="506">
                  <c:v>41962</c:v>
                </c:pt>
                <c:pt idx="507">
                  <c:v>41963</c:v>
                </c:pt>
                <c:pt idx="508">
                  <c:v>41964</c:v>
                </c:pt>
                <c:pt idx="509">
                  <c:v>41965</c:v>
                </c:pt>
                <c:pt idx="510">
                  <c:v>41966</c:v>
                </c:pt>
                <c:pt idx="511">
                  <c:v>41967</c:v>
                </c:pt>
                <c:pt idx="512">
                  <c:v>41968</c:v>
                </c:pt>
                <c:pt idx="513">
                  <c:v>41969</c:v>
                </c:pt>
                <c:pt idx="514">
                  <c:v>41970</c:v>
                </c:pt>
                <c:pt idx="515">
                  <c:v>41971</c:v>
                </c:pt>
                <c:pt idx="516">
                  <c:v>41972</c:v>
                </c:pt>
                <c:pt idx="517">
                  <c:v>41973</c:v>
                </c:pt>
                <c:pt idx="518">
                  <c:v>41974</c:v>
                </c:pt>
                <c:pt idx="519">
                  <c:v>41975</c:v>
                </c:pt>
                <c:pt idx="520">
                  <c:v>41976</c:v>
                </c:pt>
                <c:pt idx="521">
                  <c:v>41977</c:v>
                </c:pt>
                <c:pt idx="522">
                  <c:v>41978</c:v>
                </c:pt>
                <c:pt idx="523">
                  <c:v>41979</c:v>
                </c:pt>
                <c:pt idx="524">
                  <c:v>41980</c:v>
                </c:pt>
                <c:pt idx="525">
                  <c:v>41981</c:v>
                </c:pt>
                <c:pt idx="526">
                  <c:v>41982</c:v>
                </c:pt>
                <c:pt idx="527">
                  <c:v>41983</c:v>
                </c:pt>
                <c:pt idx="528">
                  <c:v>41984</c:v>
                </c:pt>
                <c:pt idx="529">
                  <c:v>41985</c:v>
                </c:pt>
                <c:pt idx="530">
                  <c:v>41986</c:v>
                </c:pt>
                <c:pt idx="531">
                  <c:v>41987</c:v>
                </c:pt>
                <c:pt idx="532">
                  <c:v>41988</c:v>
                </c:pt>
                <c:pt idx="533">
                  <c:v>41989</c:v>
                </c:pt>
                <c:pt idx="534">
                  <c:v>41990</c:v>
                </c:pt>
                <c:pt idx="535">
                  <c:v>41991</c:v>
                </c:pt>
                <c:pt idx="536">
                  <c:v>41992</c:v>
                </c:pt>
                <c:pt idx="537">
                  <c:v>41993</c:v>
                </c:pt>
                <c:pt idx="538">
                  <c:v>41994</c:v>
                </c:pt>
                <c:pt idx="539">
                  <c:v>41995</c:v>
                </c:pt>
                <c:pt idx="540">
                  <c:v>41996</c:v>
                </c:pt>
                <c:pt idx="541">
                  <c:v>41997</c:v>
                </c:pt>
                <c:pt idx="542">
                  <c:v>41998</c:v>
                </c:pt>
                <c:pt idx="543">
                  <c:v>41999</c:v>
                </c:pt>
                <c:pt idx="544">
                  <c:v>42000</c:v>
                </c:pt>
                <c:pt idx="545">
                  <c:v>42001</c:v>
                </c:pt>
                <c:pt idx="546">
                  <c:v>42002</c:v>
                </c:pt>
                <c:pt idx="547">
                  <c:v>42003</c:v>
                </c:pt>
                <c:pt idx="548">
                  <c:v>42004</c:v>
                </c:pt>
                <c:pt idx="549">
                  <c:v>42005</c:v>
                </c:pt>
                <c:pt idx="550">
                  <c:v>42006</c:v>
                </c:pt>
                <c:pt idx="551">
                  <c:v>42007</c:v>
                </c:pt>
                <c:pt idx="552">
                  <c:v>42008</c:v>
                </c:pt>
                <c:pt idx="553">
                  <c:v>42009</c:v>
                </c:pt>
                <c:pt idx="554">
                  <c:v>42010</c:v>
                </c:pt>
                <c:pt idx="555">
                  <c:v>42011</c:v>
                </c:pt>
                <c:pt idx="556">
                  <c:v>42012</c:v>
                </c:pt>
                <c:pt idx="557">
                  <c:v>42013</c:v>
                </c:pt>
                <c:pt idx="558">
                  <c:v>42014</c:v>
                </c:pt>
                <c:pt idx="559">
                  <c:v>42015</c:v>
                </c:pt>
                <c:pt idx="560">
                  <c:v>42016</c:v>
                </c:pt>
                <c:pt idx="561">
                  <c:v>42017</c:v>
                </c:pt>
                <c:pt idx="562">
                  <c:v>42018</c:v>
                </c:pt>
                <c:pt idx="563">
                  <c:v>42019</c:v>
                </c:pt>
                <c:pt idx="564">
                  <c:v>42020</c:v>
                </c:pt>
                <c:pt idx="565">
                  <c:v>42021</c:v>
                </c:pt>
                <c:pt idx="566">
                  <c:v>42022</c:v>
                </c:pt>
                <c:pt idx="567">
                  <c:v>42023</c:v>
                </c:pt>
                <c:pt idx="568">
                  <c:v>42024</c:v>
                </c:pt>
                <c:pt idx="569">
                  <c:v>42025</c:v>
                </c:pt>
                <c:pt idx="570">
                  <c:v>42026</c:v>
                </c:pt>
                <c:pt idx="571">
                  <c:v>42027</c:v>
                </c:pt>
                <c:pt idx="572">
                  <c:v>42028</c:v>
                </c:pt>
                <c:pt idx="573">
                  <c:v>42029</c:v>
                </c:pt>
                <c:pt idx="574">
                  <c:v>42030</c:v>
                </c:pt>
                <c:pt idx="575">
                  <c:v>42031</c:v>
                </c:pt>
                <c:pt idx="576">
                  <c:v>42032</c:v>
                </c:pt>
                <c:pt idx="577">
                  <c:v>42033</c:v>
                </c:pt>
                <c:pt idx="578">
                  <c:v>42034</c:v>
                </c:pt>
                <c:pt idx="579">
                  <c:v>42035</c:v>
                </c:pt>
                <c:pt idx="580">
                  <c:v>42036</c:v>
                </c:pt>
                <c:pt idx="581">
                  <c:v>42037</c:v>
                </c:pt>
                <c:pt idx="582">
                  <c:v>42038</c:v>
                </c:pt>
                <c:pt idx="583">
                  <c:v>42039</c:v>
                </c:pt>
                <c:pt idx="584">
                  <c:v>42040</c:v>
                </c:pt>
                <c:pt idx="585">
                  <c:v>42041</c:v>
                </c:pt>
                <c:pt idx="586">
                  <c:v>42042</c:v>
                </c:pt>
                <c:pt idx="587">
                  <c:v>42043</c:v>
                </c:pt>
                <c:pt idx="588">
                  <c:v>42044</c:v>
                </c:pt>
                <c:pt idx="589">
                  <c:v>42045</c:v>
                </c:pt>
                <c:pt idx="590">
                  <c:v>42046</c:v>
                </c:pt>
                <c:pt idx="591">
                  <c:v>42047</c:v>
                </c:pt>
                <c:pt idx="592">
                  <c:v>42048</c:v>
                </c:pt>
                <c:pt idx="593">
                  <c:v>42049</c:v>
                </c:pt>
                <c:pt idx="594">
                  <c:v>42050</c:v>
                </c:pt>
                <c:pt idx="595">
                  <c:v>42051</c:v>
                </c:pt>
                <c:pt idx="596">
                  <c:v>42052</c:v>
                </c:pt>
                <c:pt idx="597">
                  <c:v>42053</c:v>
                </c:pt>
                <c:pt idx="598">
                  <c:v>42054</c:v>
                </c:pt>
                <c:pt idx="599">
                  <c:v>42055</c:v>
                </c:pt>
                <c:pt idx="600">
                  <c:v>42056</c:v>
                </c:pt>
                <c:pt idx="601">
                  <c:v>42057</c:v>
                </c:pt>
                <c:pt idx="602">
                  <c:v>42058</c:v>
                </c:pt>
                <c:pt idx="603">
                  <c:v>42059</c:v>
                </c:pt>
                <c:pt idx="604">
                  <c:v>42060</c:v>
                </c:pt>
                <c:pt idx="605">
                  <c:v>42061</c:v>
                </c:pt>
                <c:pt idx="606">
                  <c:v>42062</c:v>
                </c:pt>
                <c:pt idx="607">
                  <c:v>42063</c:v>
                </c:pt>
                <c:pt idx="608">
                  <c:v>42064</c:v>
                </c:pt>
                <c:pt idx="609">
                  <c:v>42065</c:v>
                </c:pt>
                <c:pt idx="610">
                  <c:v>42066</c:v>
                </c:pt>
                <c:pt idx="611">
                  <c:v>42067</c:v>
                </c:pt>
                <c:pt idx="612">
                  <c:v>42068</c:v>
                </c:pt>
                <c:pt idx="613">
                  <c:v>42069</c:v>
                </c:pt>
                <c:pt idx="614">
                  <c:v>42070</c:v>
                </c:pt>
                <c:pt idx="615">
                  <c:v>42071</c:v>
                </c:pt>
                <c:pt idx="616">
                  <c:v>42072</c:v>
                </c:pt>
                <c:pt idx="617">
                  <c:v>42073</c:v>
                </c:pt>
                <c:pt idx="618">
                  <c:v>42074</c:v>
                </c:pt>
                <c:pt idx="619">
                  <c:v>42075</c:v>
                </c:pt>
                <c:pt idx="620">
                  <c:v>42076</c:v>
                </c:pt>
                <c:pt idx="621">
                  <c:v>42077</c:v>
                </c:pt>
                <c:pt idx="622">
                  <c:v>42078</c:v>
                </c:pt>
                <c:pt idx="623">
                  <c:v>42079</c:v>
                </c:pt>
                <c:pt idx="624">
                  <c:v>42080</c:v>
                </c:pt>
                <c:pt idx="625">
                  <c:v>42081</c:v>
                </c:pt>
                <c:pt idx="626">
                  <c:v>42082</c:v>
                </c:pt>
                <c:pt idx="627">
                  <c:v>42083</c:v>
                </c:pt>
                <c:pt idx="628">
                  <c:v>42084</c:v>
                </c:pt>
                <c:pt idx="629">
                  <c:v>42085</c:v>
                </c:pt>
                <c:pt idx="630">
                  <c:v>42086</c:v>
                </c:pt>
                <c:pt idx="631">
                  <c:v>42087</c:v>
                </c:pt>
                <c:pt idx="632">
                  <c:v>42088</c:v>
                </c:pt>
                <c:pt idx="633">
                  <c:v>42089</c:v>
                </c:pt>
                <c:pt idx="634">
                  <c:v>42090</c:v>
                </c:pt>
                <c:pt idx="635">
                  <c:v>42091</c:v>
                </c:pt>
                <c:pt idx="636">
                  <c:v>42092</c:v>
                </c:pt>
                <c:pt idx="637">
                  <c:v>42093</c:v>
                </c:pt>
                <c:pt idx="638">
                  <c:v>42094</c:v>
                </c:pt>
                <c:pt idx="639">
                  <c:v>42095</c:v>
                </c:pt>
                <c:pt idx="640">
                  <c:v>42096</c:v>
                </c:pt>
                <c:pt idx="641">
                  <c:v>42097</c:v>
                </c:pt>
                <c:pt idx="642">
                  <c:v>42098</c:v>
                </c:pt>
                <c:pt idx="643">
                  <c:v>42099</c:v>
                </c:pt>
                <c:pt idx="644">
                  <c:v>42100</c:v>
                </c:pt>
                <c:pt idx="645">
                  <c:v>42101</c:v>
                </c:pt>
                <c:pt idx="646">
                  <c:v>42102</c:v>
                </c:pt>
                <c:pt idx="647">
                  <c:v>42103</c:v>
                </c:pt>
                <c:pt idx="648">
                  <c:v>42104</c:v>
                </c:pt>
                <c:pt idx="649">
                  <c:v>42105</c:v>
                </c:pt>
                <c:pt idx="650">
                  <c:v>42106</c:v>
                </c:pt>
                <c:pt idx="651">
                  <c:v>42107</c:v>
                </c:pt>
                <c:pt idx="652">
                  <c:v>42108</c:v>
                </c:pt>
                <c:pt idx="653">
                  <c:v>42109</c:v>
                </c:pt>
                <c:pt idx="654">
                  <c:v>42110</c:v>
                </c:pt>
                <c:pt idx="655">
                  <c:v>42111</c:v>
                </c:pt>
                <c:pt idx="656">
                  <c:v>42112</c:v>
                </c:pt>
                <c:pt idx="657">
                  <c:v>42113</c:v>
                </c:pt>
                <c:pt idx="658">
                  <c:v>42114</c:v>
                </c:pt>
                <c:pt idx="659">
                  <c:v>42115</c:v>
                </c:pt>
                <c:pt idx="660">
                  <c:v>42116</c:v>
                </c:pt>
                <c:pt idx="661">
                  <c:v>42117</c:v>
                </c:pt>
                <c:pt idx="662">
                  <c:v>42118</c:v>
                </c:pt>
                <c:pt idx="663">
                  <c:v>42119</c:v>
                </c:pt>
                <c:pt idx="664">
                  <c:v>42120</c:v>
                </c:pt>
                <c:pt idx="665">
                  <c:v>42121</c:v>
                </c:pt>
                <c:pt idx="666">
                  <c:v>42122</c:v>
                </c:pt>
                <c:pt idx="667">
                  <c:v>42123</c:v>
                </c:pt>
                <c:pt idx="668">
                  <c:v>42124</c:v>
                </c:pt>
                <c:pt idx="669">
                  <c:v>42125</c:v>
                </c:pt>
                <c:pt idx="670">
                  <c:v>42126</c:v>
                </c:pt>
                <c:pt idx="671">
                  <c:v>42127</c:v>
                </c:pt>
                <c:pt idx="672">
                  <c:v>42128</c:v>
                </c:pt>
                <c:pt idx="673">
                  <c:v>42129</c:v>
                </c:pt>
                <c:pt idx="674">
                  <c:v>42130</c:v>
                </c:pt>
                <c:pt idx="675">
                  <c:v>42131</c:v>
                </c:pt>
                <c:pt idx="676">
                  <c:v>42132</c:v>
                </c:pt>
                <c:pt idx="677">
                  <c:v>42133</c:v>
                </c:pt>
                <c:pt idx="678">
                  <c:v>42134</c:v>
                </c:pt>
                <c:pt idx="679">
                  <c:v>42135</c:v>
                </c:pt>
                <c:pt idx="680">
                  <c:v>42136</c:v>
                </c:pt>
                <c:pt idx="681">
                  <c:v>42137</c:v>
                </c:pt>
                <c:pt idx="682">
                  <c:v>42138</c:v>
                </c:pt>
                <c:pt idx="683">
                  <c:v>42139</c:v>
                </c:pt>
                <c:pt idx="684">
                  <c:v>42140</c:v>
                </c:pt>
                <c:pt idx="685">
                  <c:v>42141</c:v>
                </c:pt>
                <c:pt idx="686">
                  <c:v>42142</c:v>
                </c:pt>
                <c:pt idx="687">
                  <c:v>42143</c:v>
                </c:pt>
                <c:pt idx="688">
                  <c:v>42144</c:v>
                </c:pt>
                <c:pt idx="689">
                  <c:v>42145</c:v>
                </c:pt>
                <c:pt idx="690">
                  <c:v>42146</c:v>
                </c:pt>
                <c:pt idx="691">
                  <c:v>42147</c:v>
                </c:pt>
                <c:pt idx="692">
                  <c:v>42148</c:v>
                </c:pt>
                <c:pt idx="693">
                  <c:v>42149</c:v>
                </c:pt>
                <c:pt idx="694">
                  <c:v>42150</c:v>
                </c:pt>
                <c:pt idx="695">
                  <c:v>42151</c:v>
                </c:pt>
                <c:pt idx="696">
                  <c:v>42152</c:v>
                </c:pt>
                <c:pt idx="697">
                  <c:v>42153</c:v>
                </c:pt>
                <c:pt idx="698">
                  <c:v>42154</c:v>
                </c:pt>
                <c:pt idx="699">
                  <c:v>42155</c:v>
                </c:pt>
                <c:pt idx="700">
                  <c:v>42156</c:v>
                </c:pt>
                <c:pt idx="701">
                  <c:v>42157</c:v>
                </c:pt>
                <c:pt idx="702">
                  <c:v>42158</c:v>
                </c:pt>
                <c:pt idx="703">
                  <c:v>42159</c:v>
                </c:pt>
                <c:pt idx="704">
                  <c:v>42160</c:v>
                </c:pt>
                <c:pt idx="705">
                  <c:v>42161</c:v>
                </c:pt>
                <c:pt idx="706">
                  <c:v>42162</c:v>
                </c:pt>
                <c:pt idx="707">
                  <c:v>42163</c:v>
                </c:pt>
                <c:pt idx="708">
                  <c:v>42164</c:v>
                </c:pt>
                <c:pt idx="709">
                  <c:v>42165</c:v>
                </c:pt>
                <c:pt idx="710">
                  <c:v>42166</c:v>
                </c:pt>
                <c:pt idx="711">
                  <c:v>42167</c:v>
                </c:pt>
                <c:pt idx="712">
                  <c:v>42168</c:v>
                </c:pt>
                <c:pt idx="713">
                  <c:v>42169</c:v>
                </c:pt>
                <c:pt idx="714">
                  <c:v>42170</c:v>
                </c:pt>
                <c:pt idx="715">
                  <c:v>42171</c:v>
                </c:pt>
                <c:pt idx="716">
                  <c:v>42172</c:v>
                </c:pt>
                <c:pt idx="717">
                  <c:v>42173</c:v>
                </c:pt>
                <c:pt idx="718">
                  <c:v>42174</c:v>
                </c:pt>
                <c:pt idx="719">
                  <c:v>42175</c:v>
                </c:pt>
                <c:pt idx="720">
                  <c:v>42176</c:v>
                </c:pt>
                <c:pt idx="721">
                  <c:v>42177</c:v>
                </c:pt>
                <c:pt idx="722">
                  <c:v>42178</c:v>
                </c:pt>
                <c:pt idx="723">
                  <c:v>42179</c:v>
                </c:pt>
                <c:pt idx="724">
                  <c:v>42180</c:v>
                </c:pt>
                <c:pt idx="725">
                  <c:v>42181</c:v>
                </c:pt>
                <c:pt idx="726">
                  <c:v>42182</c:v>
                </c:pt>
                <c:pt idx="727">
                  <c:v>42183</c:v>
                </c:pt>
                <c:pt idx="728">
                  <c:v>42184</c:v>
                </c:pt>
                <c:pt idx="729">
                  <c:v>42185</c:v>
                </c:pt>
                <c:pt idx="730">
                  <c:v>42186</c:v>
                </c:pt>
                <c:pt idx="731">
                  <c:v>42187</c:v>
                </c:pt>
                <c:pt idx="732">
                  <c:v>42188</c:v>
                </c:pt>
                <c:pt idx="733">
                  <c:v>42189</c:v>
                </c:pt>
                <c:pt idx="734">
                  <c:v>42190</c:v>
                </c:pt>
                <c:pt idx="735">
                  <c:v>42191</c:v>
                </c:pt>
                <c:pt idx="736">
                  <c:v>42192</c:v>
                </c:pt>
                <c:pt idx="737">
                  <c:v>42193</c:v>
                </c:pt>
                <c:pt idx="738">
                  <c:v>42194</c:v>
                </c:pt>
                <c:pt idx="739">
                  <c:v>42195</c:v>
                </c:pt>
                <c:pt idx="740">
                  <c:v>42196</c:v>
                </c:pt>
                <c:pt idx="741">
                  <c:v>42197</c:v>
                </c:pt>
                <c:pt idx="742">
                  <c:v>42198</c:v>
                </c:pt>
                <c:pt idx="743">
                  <c:v>42199</c:v>
                </c:pt>
                <c:pt idx="744">
                  <c:v>42200</c:v>
                </c:pt>
                <c:pt idx="745">
                  <c:v>42201</c:v>
                </c:pt>
                <c:pt idx="746">
                  <c:v>42202</c:v>
                </c:pt>
                <c:pt idx="747">
                  <c:v>42203</c:v>
                </c:pt>
                <c:pt idx="748">
                  <c:v>42204</c:v>
                </c:pt>
                <c:pt idx="749">
                  <c:v>42205</c:v>
                </c:pt>
                <c:pt idx="750">
                  <c:v>42206</c:v>
                </c:pt>
                <c:pt idx="751">
                  <c:v>42207</c:v>
                </c:pt>
                <c:pt idx="752">
                  <c:v>42208</c:v>
                </c:pt>
                <c:pt idx="753">
                  <c:v>42209</c:v>
                </c:pt>
                <c:pt idx="754">
                  <c:v>42210</c:v>
                </c:pt>
                <c:pt idx="755">
                  <c:v>42211</c:v>
                </c:pt>
                <c:pt idx="756">
                  <c:v>42212</c:v>
                </c:pt>
                <c:pt idx="757">
                  <c:v>42213</c:v>
                </c:pt>
                <c:pt idx="758">
                  <c:v>42214</c:v>
                </c:pt>
                <c:pt idx="759">
                  <c:v>42215</c:v>
                </c:pt>
                <c:pt idx="760">
                  <c:v>42216</c:v>
                </c:pt>
                <c:pt idx="761">
                  <c:v>42217</c:v>
                </c:pt>
                <c:pt idx="762">
                  <c:v>42218</c:v>
                </c:pt>
                <c:pt idx="763">
                  <c:v>42219</c:v>
                </c:pt>
                <c:pt idx="764">
                  <c:v>42220</c:v>
                </c:pt>
                <c:pt idx="765">
                  <c:v>42221</c:v>
                </c:pt>
                <c:pt idx="766">
                  <c:v>42222</c:v>
                </c:pt>
                <c:pt idx="767">
                  <c:v>42223</c:v>
                </c:pt>
                <c:pt idx="768">
                  <c:v>42224</c:v>
                </c:pt>
                <c:pt idx="769">
                  <c:v>42225</c:v>
                </c:pt>
                <c:pt idx="770">
                  <c:v>42226</c:v>
                </c:pt>
                <c:pt idx="771">
                  <c:v>42227</c:v>
                </c:pt>
                <c:pt idx="772">
                  <c:v>42228</c:v>
                </c:pt>
                <c:pt idx="773">
                  <c:v>42229</c:v>
                </c:pt>
                <c:pt idx="774">
                  <c:v>42230</c:v>
                </c:pt>
                <c:pt idx="775">
                  <c:v>42231</c:v>
                </c:pt>
                <c:pt idx="776">
                  <c:v>42232</c:v>
                </c:pt>
                <c:pt idx="777">
                  <c:v>42233</c:v>
                </c:pt>
                <c:pt idx="778">
                  <c:v>42234</c:v>
                </c:pt>
                <c:pt idx="779">
                  <c:v>42235</c:v>
                </c:pt>
                <c:pt idx="780">
                  <c:v>42236</c:v>
                </c:pt>
                <c:pt idx="781">
                  <c:v>42237</c:v>
                </c:pt>
                <c:pt idx="782">
                  <c:v>42238</c:v>
                </c:pt>
                <c:pt idx="783">
                  <c:v>42239</c:v>
                </c:pt>
                <c:pt idx="784">
                  <c:v>42240</c:v>
                </c:pt>
                <c:pt idx="785">
                  <c:v>42241</c:v>
                </c:pt>
                <c:pt idx="786">
                  <c:v>42242</c:v>
                </c:pt>
                <c:pt idx="787">
                  <c:v>42243</c:v>
                </c:pt>
                <c:pt idx="788">
                  <c:v>42244</c:v>
                </c:pt>
                <c:pt idx="789">
                  <c:v>42245</c:v>
                </c:pt>
                <c:pt idx="790">
                  <c:v>42246</c:v>
                </c:pt>
                <c:pt idx="791">
                  <c:v>42247</c:v>
                </c:pt>
                <c:pt idx="792">
                  <c:v>42248</c:v>
                </c:pt>
                <c:pt idx="793">
                  <c:v>42249</c:v>
                </c:pt>
                <c:pt idx="794">
                  <c:v>42250</c:v>
                </c:pt>
                <c:pt idx="795">
                  <c:v>42251</c:v>
                </c:pt>
                <c:pt idx="796">
                  <c:v>42252</c:v>
                </c:pt>
                <c:pt idx="797">
                  <c:v>42253</c:v>
                </c:pt>
                <c:pt idx="798">
                  <c:v>42254</c:v>
                </c:pt>
                <c:pt idx="799">
                  <c:v>42255</c:v>
                </c:pt>
                <c:pt idx="800">
                  <c:v>42256</c:v>
                </c:pt>
                <c:pt idx="801">
                  <c:v>42257</c:v>
                </c:pt>
                <c:pt idx="802">
                  <c:v>42258</c:v>
                </c:pt>
                <c:pt idx="803">
                  <c:v>42259</c:v>
                </c:pt>
                <c:pt idx="804">
                  <c:v>42260</c:v>
                </c:pt>
                <c:pt idx="805">
                  <c:v>42261</c:v>
                </c:pt>
                <c:pt idx="806">
                  <c:v>42262</c:v>
                </c:pt>
                <c:pt idx="807">
                  <c:v>42263</c:v>
                </c:pt>
                <c:pt idx="808">
                  <c:v>42264</c:v>
                </c:pt>
                <c:pt idx="809">
                  <c:v>42265</c:v>
                </c:pt>
                <c:pt idx="810">
                  <c:v>42266</c:v>
                </c:pt>
                <c:pt idx="811">
                  <c:v>42267</c:v>
                </c:pt>
                <c:pt idx="812">
                  <c:v>42268</c:v>
                </c:pt>
                <c:pt idx="813">
                  <c:v>42269</c:v>
                </c:pt>
                <c:pt idx="814">
                  <c:v>42270</c:v>
                </c:pt>
                <c:pt idx="815">
                  <c:v>42271</c:v>
                </c:pt>
                <c:pt idx="816">
                  <c:v>42272</c:v>
                </c:pt>
                <c:pt idx="817">
                  <c:v>42273</c:v>
                </c:pt>
                <c:pt idx="818">
                  <c:v>42274</c:v>
                </c:pt>
                <c:pt idx="819">
                  <c:v>42275</c:v>
                </c:pt>
                <c:pt idx="820">
                  <c:v>42276</c:v>
                </c:pt>
                <c:pt idx="821">
                  <c:v>42277</c:v>
                </c:pt>
                <c:pt idx="822">
                  <c:v>42278</c:v>
                </c:pt>
                <c:pt idx="823">
                  <c:v>42279</c:v>
                </c:pt>
                <c:pt idx="824">
                  <c:v>42280</c:v>
                </c:pt>
                <c:pt idx="825">
                  <c:v>42281</c:v>
                </c:pt>
                <c:pt idx="826">
                  <c:v>42282</c:v>
                </c:pt>
                <c:pt idx="827">
                  <c:v>42283</c:v>
                </c:pt>
                <c:pt idx="828">
                  <c:v>42284</c:v>
                </c:pt>
                <c:pt idx="829">
                  <c:v>42285</c:v>
                </c:pt>
                <c:pt idx="830">
                  <c:v>42286</c:v>
                </c:pt>
                <c:pt idx="831">
                  <c:v>42287</c:v>
                </c:pt>
                <c:pt idx="832">
                  <c:v>42288</c:v>
                </c:pt>
                <c:pt idx="833">
                  <c:v>42289</c:v>
                </c:pt>
                <c:pt idx="834">
                  <c:v>42290</c:v>
                </c:pt>
                <c:pt idx="835">
                  <c:v>42291</c:v>
                </c:pt>
                <c:pt idx="836">
                  <c:v>42292</c:v>
                </c:pt>
                <c:pt idx="837">
                  <c:v>42293</c:v>
                </c:pt>
                <c:pt idx="838">
                  <c:v>42294</c:v>
                </c:pt>
                <c:pt idx="839">
                  <c:v>42295</c:v>
                </c:pt>
                <c:pt idx="840">
                  <c:v>42296</c:v>
                </c:pt>
                <c:pt idx="841">
                  <c:v>42297</c:v>
                </c:pt>
                <c:pt idx="842">
                  <c:v>42298</c:v>
                </c:pt>
                <c:pt idx="843">
                  <c:v>42299</c:v>
                </c:pt>
                <c:pt idx="844">
                  <c:v>42300</c:v>
                </c:pt>
                <c:pt idx="845">
                  <c:v>42301</c:v>
                </c:pt>
                <c:pt idx="846">
                  <c:v>42302</c:v>
                </c:pt>
                <c:pt idx="847">
                  <c:v>42303</c:v>
                </c:pt>
                <c:pt idx="848">
                  <c:v>42304</c:v>
                </c:pt>
                <c:pt idx="849">
                  <c:v>42305</c:v>
                </c:pt>
                <c:pt idx="850">
                  <c:v>42306</c:v>
                </c:pt>
                <c:pt idx="851">
                  <c:v>42307</c:v>
                </c:pt>
                <c:pt idx="852">
                  <c:v>42308</c:v>
                </c:pt>
                <c:pt idx="853">
                  <c:v>42309</c:v>
                </c:pt>
                <c:pt idx="854">
                  <c:v>42310</c:v>
                </c:pt>
                <c:pt idx="855">
                  <c:v>42311</c:v>
                </c:pt>
                <c:pt idx="856">
                  <c:v>42312</c:v>
                </c:pt>
                <c:pt idx="857">
                  <c:v>42313</c:v>
                </c:pt>
                <c:pt idx="858">
                  <c:v>42314</c:v>
                </c:pt>
                <c:pt idx="859">
                  <c:v>42315</c:v>
                </c:pt>
                <c:pt idx="860">
                  <c:v>42316</c:v>
                </c:pt>
                <c:pt idx="861">
                  <c:v>42317</c:v>
                </c:pt>
                <c:pt idx="862">
                  <c:v>42318</c:v>
                </c:pt>
                <c:pt idx="863">
                  <c:v>42319</c:v>
                </c:pt>
                <c:pt idx="864">
                  <c:v>42320</c:v>
                </c:pt>
                <c:pt idx="865">
                  <c:v>42321</c:v>
                </c:pt>
                <c:pt idx="866">
                  <c:v>42322</c:v>
                </c:pt>
                <c:pt idx="867">
                  <c:v>42323</c:v>
                </c:pt>
                <c:pt idx="868">
                  <c:v>42324</c:v>
                </c:pt>
                <c:pt idx="869">
                  <c:v>42325</c:v>
                </c:pt>
                <c:pt idx="870">
                  <c:v>42326</c:v>
                </c:pt>
                <c:pt idx="871">
                  <c:v>42327</c:v>
                </c:pt>
                <c:pt idx="872">
                  <c:v>42328</c:v>
                </c:pt>
                <c:pt idx="873">
                  <c:v>42329</c:v>
                </c:pt>
                <c:pt idx="874">
                  <c:v>42330</c:v>
                </c:pt>
                <c:pt idx="875">
                  <c:v>42331</c:v>
                </c:pt>
                <c:pt idx="876">
                  <c:v>42332</c:v>
                </c:pt>
                <c:pt idx="877">
                  <c:v>42333</c:v>
                </c:pt>
                <c:pt idx="878">
                  <c:v>42334</c:v>
                </c:pt>
                <c:pt idx="879">
                  <c:v>42335</c:v>
                </c:pt>
                <c:pt idx="880">
                  <c:v>42336</c:v>
                </c:pt>
                <c:pt idx="881">
                  <c:v>42337</c:v>
                </c:pt>
                <c:pt idx="882">
                  <c:v>42338</c:v>
                </c:pt>
                <c:pt idx="883">
                  <c:v>42339</c:v>
                </c:pt>
                <c:pt idx="884">
                  <c:v>42340</c:v>
                </c:pt>
                <c:pt idx="885">
                  <c:v>42341</c:v>
                </c:pt>
                <c:pt idx="886">
                  <c:v>42342</c:v>
                </c:pt>
                <c:pt idx="887">
                  <c:v>42343</c:v>
                </c:pt>
                <c:pt idx="888">
                  <c:v>42344</c:v>
                </c:pt>
                <c:pt idx="889">
                  <c:v>42345</c:v>
                </c:pt>
                <c:pt idx="890">
                  <c:v>42346</c:v>
                </c:pt>
                <c:pt idx="891">
                  <c:v>42347</c:v>
                </c:pt>
                <c:pt idx="892">
                  <c:v>42348</c:v>
                </c:pt>
                <c:pt idx="893">
                  <c:v>42349</c:v>
                </c:pt>
                <c:pt idx="894">
                  <c:v>42350</c:v>
                </c:pt>
                <c:pt idx="895">
                  <c:v>42351</c:v>
                </c:pt>
                <c:pt idx="896">
                  <c:v>42352</c:v>
                </c:pt>
                <c:pt idx="897">
                  <c:v>42353</c:v>
                </c:pt>
                <c:pt idx="898">
                  <c:v>42354</c:v>
                </c:pt>
                <c:pt idx="899">
                  <c:v>42355</c:v>
                </c:pt>
                <c:pt idx="900">
                  <c:v>42356</c:v>
                </c:pt>
                <c:pt idx="901">
                  <c:v>42357</c:v>
                </c:pt>
                <c:pt idx="902">
                  <c:v>42358</c:v>
                </c:pt>
                <c:pt idx="903">
                  <c:v>42359</c:v>
                </c:pt>
                <c:pt idx="904">
                  <c:v>42360</c:v>
                </c:pt>
                <c:pt idx="905">
                  <c:v>42361</c:v>
                </c:pt>
                <c:pt idx="906">
                  <c:v>42362</c:v>
                </c:pt>
                <c:pt idx="907">
                  <c:v>42363</c:v>
                </c:pt>
                <c:pt idx="908">
                  <c:v>42364</c:v>
                </c:pt>
                <c:pt idx="909">
                  <c:v>42365</c:v>
                </c:pt>
                <c:pt idx="910">
                  <c:v>42366</c:v>
                </c:pt>
                <c:pt idx="911">
                  <c:v>42367</c:v>
                </c:pt>
                <c:pt idx="912">
                  <c:v>42368</c:v>
                </c:pt>
                <c:pt idx="913">
                  <c:v>42369</c:v>
                </c:pt>
                <c:pt idx="914">
                  <c:v>42370</c:v>
                </c:pt>
                <c:pt idx="915">
                  <c:v>42371</c:v>
                </c:pt>
                <c:pt idx="916">
                  <c:v>42372</c:v>
                </c:pt>
                <c:pt idx="917">
                  <c:v>42373</c:v>
                </c:pt>
                <c:pt idx="918">
                  <c:v>42374</c:v>
                </c:pt>
                <c:pt idx="919">
                  <c:v>42375</c:v>
                </c:pt>
                <c:pt idx="920">
                  <c:v>42376</c:v>
                </c:pt>
                <c:pt idx="921">
                  <c:v>42377</c:v>
                </c:pt>
                <c:pt idx="922">
                  <c:v>42378</c:v>
                </c:pt>
                <c:pt idx="923">
                  <c:v>42379</c:v>
                </c:pt>
                <c:pt idx="924">
                  <c:v>42380</c:v>
                </c:pt>
                <c:pt idx="925">
                  <c:v>42381</c:v>
                </c:pt>
                <c:pt idx="926">
                  <c:v>42382</c:v>
                </c:pt>
                <c:pt idx="927">
                  <c:v>42383</c:v>
                </c:pt>
                <c:pt idx="928">
                  <c:v>42384</c:v>
                </c:pt>
                <c:pt idx="929">
                  <c:v>42385</c:v>
                </c:pt>
                <c:pt idx="930">
                  <c:v>42386</c:v>
                </c:pt>
                <c:pt idx="931">
                  <c:v>42387</c:v>
                </c:pt>
                <c:pt idx="932">
                  <c:v>42388</c:v>
                </c:pt>
                <c:pt idx="933">
                  <c:v>42389</c:v>
                </c:pt>
                <c:pt idx="934">
                  <c:v>42390</c:v>
                </c:pt>
                <c:pt idx="935">
                  <c:v>42391</c:v>
                </c:pt>
                <c:pt idx="936">
                  <c:v>42392</c:v>
                </c:pt>
                <c:pt idx="937">
                  <c:v>42393</c:v>
                </c:pt>
                <c:pt idx="938">
                  <c:v>42394</c:v>
                </c:pt>
                <c:pt idx="939">
                  <c:v>42395</c:v>
                </c:pt>
                <c:pt idx="940">
                  <c:v>42396</c:v>
                </c:pt>
                <c:pt idx="941">
                  <c:v>42397</c:v>
                </c:pt>
                <c:pt idx="942">
                  <c:v>42398</c:v>
                </c:pt>
                <c:pt idx="943">
                  <c:v>42399</c:v>
                </c:pt>
                <c:pt idx="944">
                  <c:v>42400</c:v>
                </c:pt>
                <c:pt idx="945">
                  <c:v>42401</c:v>
                </c:pt>
                <c:pt idx="946">
                  <c:v>42402</c:v>
                </c:pt>
                <c:pt idx="947">
                  <c:v>42403</c:v>
                </c:pt>
                <c:pt idx="948">
                  <c:v>42404</c:v>
                </c:pt>
                <c:pt idx="949">
                  <c:v>42405</c:v>
                </c:pt>
                <c:pt idx="950">
                  <c:v>42406</c:v>
                </c:pt>
                <c:pt idx="951">
                  <c:v>42407</c:v>
                </c:pt>
                <c:pt idx="952">
                  <c:v>42408</c:v>
                </c:pt>
                <c:pt idx="953">
                  <c:v>42409</c:v>
                </c:pt>
                <c:pt idx="954">
                  <c:v>42410</c:v>
                </c:pt>
                <c:pt idx="955">
                  <c:v>42411</c:v>
                </c:pt>
                <c:pt idx="956">
                  <c:v>42412</c:v>
                </c:pt>
                <c:pt idx="957">
                  <c:v>42413</c:v>
                </c:pt>
                <c:pt idx="958">
                  <c:v>42414</c:v>
                </c:pt>
                <c:pt idx="959">
                  <c:v>42415</c:v>
                </c:pt>
                <c:pt idx="960">
                  <c:v>42416</c:v>
                </c:pt>
                <c:pt idx="961">
                  <c:v>42417</c:v>
                </c:pt>
                <c:pt idx="962">
                  <c:v>42418</c:v>
                </c:pt>
                <c:pt idx="963">
                  <c:v>42419</c:v>
                </c:pt>
                <c:pt idx="964">
                  <c:v>42420</c:v>
                </c:pt>
                <c:pt idx="965">
                  <c:v>42421</c:v>
                </c:pt>
                <c:pt idx="966">
                  <c:v>42422</c:v>
                </c:pt>
                <c:pt idx="967">
                  <c:v>42423</c:v>
                </c:pt>
                <c:pt idx="968">
                  <c:v>42424</c:v>
                </c:pt>
                <c:pt idx="969">
                  <c:v>42425</c:v>
                </c:pt>
                <c:pt idx="970">
                  <c:v>42426</c:v>
                </c:pt>
                <c:pt idx="971">
                  <c:v>42427</c:v>
                </c:pt>
                <c:pt idx="972">
                  <c:v>42428</c:v>
                </c:pt>
                <c:pt idx="973">
                  <c:v>42429</c:v>
                </c:pt>
                <c:pt idx="974">
                  <c:v>42430</c:v>
                </c:pt>
                <c:pt idx="975">
                  <c:v>42431</c:v>
                </c:pt>
                <c:pt idx="976">
                  <c:v>42432</c:v>
                </c:pt>
                <c:pt idx="977">
                  <c:v>42433</c:v>
                </c:pt>
                <c:pt idx="978">
                  <c:v>42434</c:v>
                </c:pt>
                <c:pt idx="979">
                  <c:v>42435</c:v>
                </c:pt>
                <c:pt idx="980">
                  <c:v>42436</c:v>
                </c:pt>
                <c:pt idx="981">
                  <c:v>42437</c:v>
                </c:pt>
                <c:pt idx="982">
                  <c:v>42438</c:v>
                </c:pt>
                <c:pt idx="983">
                  <c:v>42439</c:v>
                </c:pt>
                <c:pt idx="984">
                  <c:v>42440</c:v>
                </c:pt>
                <c:pt idx="985">
                  <c:v>42441</c:v>
                </c:pt>
                <c:pt idx="986">
                  <c:v>42442</c:v>
                </c:pt>
                <c:pt idx="987">
                  <c:v>42443</c:v>
                </c:pt>
                <c:pt idx="988">
                  <c:v>42444</c:v>
                </c:pt>
                <c:pt idx="989">
                  <c:v>42445</c:v>
                </c:pt>
                <c:pt idx="990">
                  <c:v>42446</c:v>
                </c:pt>
                <c:pt idx="991">
                  <c:v>42447</c:v>
                </c:pt>
                <c:pt idx="992">
                  <c:v>42448</c:v>
                </c:pt>
                <c:pt idx="993">
                  <c:v>42449</c:v>
                </c:pt>
                <c:pt idx="994">
                  <c:v>42450</c:v>
                </c:pt>
                <c:pt idx="995">
                  <c:v>42451</c:v>
                </c:pt>
                <c:pt idx="996">
                  <c:v>42452</c:v>
                </c:pt>
                <c:pt idx="997">
                  <c:v>42453</c:v>
                </c:pt>
                <c:pt idx="998">
                  <c:v>42454</c:v>
                </c:pt>
                <c:pt idx="999">
                  <c:v>42455</c:v>
                </c:pt>
                <c:pt idx="1000">
                  <c:v>42456</c:v>
                </c:pt>
                <c:pt idx="1001">
                  <c:v>42457</c:v>
                </c:pt>
                <c:pt idx="1002">
                  <c:v>42458</c:v>
                </c:pt>
                <c:pt idx="1003">
                  <c:v>42459</c:v>
                </c:pt>
                <c:pt idx="1004">
                  <c:v>42460</c:v>
                </c:pt>
                <c:pt idx="1005">
                  <c:v>42461</c:v>
                </c:pt>
                <c:pt idx="1006">
                  <c:v>42462</c:v>
                </c:pt>
                <c:pt idx="1007">
                  <c:v>42463</c:v>
                </c:pt>
                <c:pt idx="1008">
                  <c:v>42464</c:v>
                </c:pt>
                <c:pt idx="1009">
                  <c:v>42465</c:v>
                </c:pt>
                <c:pt idx="1010">
                  <c:v>42466</c:v>
                </c:pt>
                <c:pt idx="1011">
                  <c:v>42467</c:v>
                </c:pt>
                <c:pt idx="1012">
                  <c:v>42468</c:v>
                </c:pt>
                <c:pt idx="1013">
                  <c:v>42469</c:v>
                </c:pt>
                <c:pt idx="1014">
                  <c:v>42470</c:v>
                </c:pt>
                <c:pt idx="1015">
                  <c:v>42471</c:v>
                </c:pt>
                <c:pt idx="1016">
                  <c:v>42472</c:v>
                </c:pt>
                <c:pt idx="1017">
                  <c:v>42473</c:v>
                </c:pt>
                <c:pt idx="1018">
                  <c:v>42474</c:v>
                </c:pt>
                <c:pt idx="1019">
                  <c:v>42475</c:v>
                </c:pt>
                <c:pt idx="1020">
                  <c:v>42476</c:v>
                </c:pt>
                <c:pt idx="1021">
                  <c:v>42477</c:v>
                </c:pt>
                <c:pt idx="1022">
                  <c:v>42478</c:v>
                </c:pt>
                <c:pt idx="1023">
                  <c:v>42479</c:v>
                </c:pt>
                <c:pt idx="1024">
                  <c:v>42480</c:v>
                </c:pt>
                <c:pt idx="1025">
                  <c:v>42481</c:v>
                </c:pt>
                <c:pt idx="1026">
                  <c:v>42482</c:v>
                </c:pt>
                <c:pt idx="1027">
                  <c:v>42483</c:v>
                </c:pt>
                <c:pt idx="1028">
                  <c:v>42484</c:v>
                </c:pt>
                <c:pt idx="1029">
                  <c:v>42485</c:v>
                </c:pt>
                <c:pt idx="1030">
                  <c:v>42486</c:v>
                </c:pt>
                <c:pt idx="1031">
                  <c:v>42487</c:v>
                </c:pt>
                <c:pt idx="1032">
                  <c:v>42488</c:v>
                </c:pt>
                <c:pt idx="1033">
                  <c:v>42489</c:v>
                </c:pt>
                <c:pt idx="1034">
                  <c:v>42490</c:v>
                </c:pt>
                <c:pt idx="1035">
                  <c:v>42491</c:v>
                </c:pt>
                <c:pt idx="1036">
                  <c:v>42492</c:v>
                </c:pt>
                <c:pt idx="1037">
                  <c:v>42493</c:v>
                </c:pt>
                <c:pt idx="1038">
                  <c:v>42494</c:v>
                </c:pt>
                <c:pt idx="1039">
                  <c:v>42495</c:v>
                </c:pt>
                <c:pt idx="1040">
                  <c:v>42496</c:v>
                </c:pt>
                <c:pt idx="1041">
                  <c:v>42497</c:v>
                </c:pt>
                <c:pt idx="1042">
                  <c:v>42498</c:v>
                </c:pt>
                <c:pt idx="1043">
                  <c:v>42499</c:v>
                </c:pt>
                <c:pt idx="1044">
                  <c:v>42500</c:v>
                </c:pt>
                <c:pt idx="1045">
                  <c:v>42501</c:v>
                </c:pt>
                <c:pt idx="1046">
                  <c:v>42502</c:v>
                </c:pt>
                <c:pt idx="1047">
                  <c:v>42503</c:v>
                </c:pt>
                <c:pt idx="1048">
                  <c:v>42504</c:v>
                </c:pt>
                <c:pt idx="1049">
                  <c:v>42505</c:v>
                </c:pt>
                <c:pt idx="1050">
                  <c:v>42506</c:v>
                </c:pt>
                <c:pt idx="1051">
                  <c:v>42507</c:v>
                </c:pt>
                <c:pt idx="1052">
                  <c:v>42508</c:v>
                </c:pt>
                <c:pt idx="1053">
                  <c:v>42509</c:v>
                </c:pt>
                <c:pt idx="1054">
                  <c:v>42510</c:v>
                </c:pt>
                <c:pt idx="1055">
                  <c:v>42511</c:v>
                </c:pt>
                <c:pt idx="1056">
                  <c:v>42512</c:v>
                </c:pt>
                <c:pt idx="1057">
                  <c:v>42513</c:v>
                </c:pt>
                <c:pt idx="1058">
                  <c:v>42514</c:v>
                </c:pt>
                <c:pt idx="1059">
                  <c:v>42515</c:v>
                </c:pt>
                <c:pt idx="1060">
                  <c:v>42516</c:v>
                </c:pt>
                <c:pt idx="1061">
                  <c:v>42517</c:v>
                </c:pt>
                <c:pt idx="1062">
                  <c:v>42518</c:v>
                </c:pt>
                <c:pt idx="1063">
                  <c:v>42519</c:v>
                </c:pt>
                <c:pt idx="1064">
                  <c:v>42520</c:v>
                </c:pt>
                <c:pt idx="1065">
                  <c:v>42521</c:v>
                </c:pt>
                <c:pt idx="1066">
                  <c:v>42522</c:v>
                </c:pt>
                <c:pt idx="1067">
                  <c:v>42523</c:v>
                </c:pt>
                <c:pt idx="1068">
                  <c:v>42524</c:v>
                </c:pt>
                <c:pt idx="1069">
                  <c:v>42525</c:v>
                </c:pt>
                <c:pt idx="1070">
                  <c:v>42526</c:v>
                </c:pt>
                <c:pt idx="1071">
                  <c:v>42527</c:v>
                </c:pt>
                <c:pt idx="1072">
                  <c:v>42528</c:v>
                </c:pt>
                <c:pt idx="1073">
                  <c:v>42529</c:v>
                </c:pt>
                <c:pt idx="1074">
                  <c:v>42530</c:v>
                </c:pt>
                <c:pt idx="1075">
                  <c:v>42531</c:v>
                </c:pt>
                <c:pt idx="1076">
                  <c:v>42532</c:v>
                </c:pt>
                <c:pt idx="1077">
                  <c:v>42533</c:v>
                </c:pt>
                <c:pt idx="1078">
                  <c:v>42534</c:v>
                </c:pt>
                <c:pt idx="1079">
                  <c:v>42535</c:v>
                </c:pt>
                <c:pt idx="1080">
                  <c:v>42536</c:v>
                </c:pt>
                <c:pt idx="1081">
                  <c:v>42537</c:v>
                </c:pt>
                <c:pt idx="1082">
                  <c:v>42538</c:v>
                </c:pt>
                <c:pt idx="1083">
                  <c:v>42539</c:v>
                </c:pt>
                <c:pt idx="1084">
                  <c:v>42540</c:v>
                </c:pt>
                <c:pt idx="1085">
                  <c:v>42541</c:v>
                </c:pt>
                <c:pt idx="1086">
                  <c:v>42542</c:v>
                </c:pt>
                <c:pt idx="1087">
                  <c:v>42543</c:v>
                </c:pt>
                <c:pt idx="1088">
                  <c:v>42544</c:v>
                </c:pt>
                <c:pt idx="1089">
                  <c:v>42545</c:v>
                </c:pt>
                <c:pt idx="1090">
                  <c:v>42546</c:v>
                </c:pt>
                <c:pt idx="1091">
                  <c:v>42547</c:v>
                </c:pt>
                <c:pt idx="1092">
                  <c:v>42548</c:v>
                </c:pt>
                <c:pt idx="1093">
                  <c:v>42549</c:v>
                </c:pt>
                <c:pt idx="1094">
                  <c:v>42550</c:v>
                </c:pt>
                <c:pt idx="1095">
                  <c:v>42551</c:v>
                </c:pt>
                <c:pt idx="1096">
                  <c:v>42552</c:v>
                </c:pt>
                <c:pt idx="1097">
                  <c:v>42553</c:v>
                </c:pt>
                <c:pt idx="1098">
                  <c:v>42554</c:v>
                </c:pt>
                <c:pt idx="1099">
                  <c:v>42555</c:v>
                </c:pt>
                <c:pt idx="1100">
                  <c:v>42556</c:v>
                </c:pt>
                <c:pt idx="1101">
                  <c:v>42557</c:v>
                </c:pt>
                <c:pt idx="1102">
                  <c:v>42558</c:v>
                </c:pt>
                <c:pt idx="1103">
                  <c:v>42559</c:v>
                </c:pt>
                <c:pt idx="1104">
                  <c:v>42560</c:v>
                </c:pt>
                <c:pt idx="1105">
                  <c:v>42561</c:v>
                </c:pt>
                <c:pt idx="1106">
                  <c:v>42562</c:v>
                </c:pt>
                <c:pt idx="1107">
                  <c:v>42563</c:v>
                </c:pt>
                <c:pt idx="1108">
                  <c:v>42564</c:v>
                </c:pt>
                <c:pt idx="1109">
                  <c:v>42565</c:v>
                </c:pt>
                <c:pt idx="1110">
                  <c:v>42566</c:v>
                </c:pt>
                <c:pt idx="1111">
                  <c:v>42567</c:v>
                </c:pt>
                <c:pt idx="1112">
                  <c:v>42568</c:v>
                </c:pt>
                <c:pt idx="1113">
                  <c:v>42569</c:v>
                </c:pt>
                <c:pt idx="1114">
                  <c:v>42570</c:v>
                </c:pt>
                <c:pt idx="1115">
                  <c:v>42571</c:v>
                </c:pt>
                <c:pt idx="1116">
                  <c:v>42572</c:v>
                </c:pt>
                <c:pt idx="1117">
                  <c:v>42573</c:v>
                </c:pt>
                <c:pt idx="1118">
                  <c:v>42574</c:v>
                </c:pt>
                <c:pt idx="1119">
                  <c:v>42575</c:v>
                </c:pt>
                <c:pt idx="1120">
                  <c:v>42576</c:v>
                </c:pt>
                <c:pt idx="1121">
                  <c:v>42577</c:v>
                </c:pt>
                <c:pt idx="1122">
                  <c:v>42578</c:v>
                </c:pt>
                <c:pt idx="1123">
                  <c:v>42579</c:v>
                </c:pt>
                <c:pt idx="1124">
                  <c:v>42580</c:v>
                </c:pt>
                <c:pt idx="1125">
                  <c:v>42581</c:v>
                </c:pt>
                <c:pt idx="1126">
                  <c:v>42582</c:v>
                </c:pt>
                <c:pt idx="1127">
                  <c:v>42583</c:v>
                </c:pt>
                <c:pt idx="1128">
                  <c:v>42584</c:v>
                </c:pt>
                <c:pt idx="1129">
                  <c:v>42585</c:v>
                </c:pt>
                <c:pt idx="1130">
                  <c:v>42586</c:v>
                </c:pt>
                <c:pt idx="1131">
                  <c:v>42587</c:v>
                </c:pt>
                <c:pt idx="1132">
                  <c:v>42588</c:v>
                </c:pt>
                <c:pt idx="1133">
                  <c:v>42589</c:v>
                </c:pt>
                <c:pt idx="1134">
                  <c:v>42590</c:v>
                </c:pt>
                <c:pt idx="1135">
                  <c:v>42591</c:v>
                </c:pt>
                <c:pt idx="1136">
                  <c:v>42592</c:v>
                </c:pt>
                <c:pt idx="1137">
                  <c:v>42593</c:v>
                </c:pt>
                <c:pt idx="1138">
                  <c:v>42594</c:v>
                </c:pt>
                <c:pt idx="1139">
                  <c:v>42595</c:v>
                </c:pt>
                <c:pt idx="1140">
                  <c:v>42596</c:v>
                </c:pt>
                <c:pt idx="1141">
                  <c:v>42597</c:v>
                </c:pt>
                <c:pt idx="1142">
                  <c:v>42598</c:v>
                </c:pt>
                <c:pt idx="1143">
                  <c:v>42599</c:v>
                </c:pt>
                <c:pt idx="1144">
                  <c:v>42600</c:v>
                </c:pt>
                <c:pt idx="1145">
                  <c:v>42601</c:v>
                </c:pt>
                <c:pt idx="1146">
                  <c:v>42602</c:v>
                </c:pt>
                <c:pt idx="1147">
                  <c:v>42603</c:v>
                </c:pt>
                <c:pt idx="1148">
                  <c:v>42604</c:v>
                </c:pt>
                <c:pt idx="1149">
                  <c:v>42605</c:v>
                </c:pt>
                <c:pt idx="1150">
                  <c:v>42606</c:v>
                </c:pt>
                <c:pt idx="1151">
                  <c:v>42607</c:v>
                </c:pt>
                <c:pt idx="1152">
                  <c:v>42608</c:v>
                </c:pt>
                <c:pt idx="1153">
                  <c:v>42609</c:v>
                </c:pt>
                <c:pt idx="1154">
                  <c:v>42610</c:v>
                </c:pt>
                <c:pt idx="1155">
                  <c:v>42611</c:v>
                </c:pt>
                <c:pt idx="1156">
                  <c:v>42612</c:v>
                </c:pt>
                <c:pt idx="1157">
                  <c:v>42613</c:v>
                </c:pt>
                <c:pt idx="1158">
                  <c:v>42614</c:v>
                </c:pt>
                <c:pt idx="1159">
                  <c:v>42615</c:v>
                </c:pt>
              </c:numCache>
            </c:numRef>
          </c:cat>
          <c:val>
            <c:numRef>
              <c:f>'LGC&amp;STC spot prices'!$C$2:$C$1161</c:f>
              <c:numCache>
                <c:formatCode>#,##0.00</c:formatCode>
                <c:ptCount val="1160"/>
                <c:pt idx="0">
                  <c:v>37.65</c:v>
                </c:pt>
                <c:pt idx="1">
                  <c:v>37.65</c:v>
                </c:pt>
                <c:pt idx="2">
                  <c:v>38</c:v>
                </c:pt>
                <c:pt idx="3">
                  <c:v>38.1</c:v>
                </c:pt>
                <c:pt idx="4">
                  <c:v>38.1</c:v>
                </c:pt>
                <c:pt idx="5">
                  <c:v>0</c:v>
                </c:pt>
                <c:pt idx="6">
                  <c:v>0</c:v>
                </c:pt>
                <c:pt idx="7">
                  <c:v>38.050000000000004</c:v>
                </c:pt>
                <c:pt idx="8">
                  <c:v>38.1</c:v>
                </c:pt>
                <c:pt idx="9">
                  <c:v>38.050000000000004</c:v>
                </c:pt>
                <c:pt idx="10">
                  <c:v>38.1</c:v>
                </c:pt>
                <c:pt idx="11">
                  <c:v>38.15</c:v>
                </c:pt>
                <c:pt idx="12">
                  <c:v>0</c:v>
                </c:pt>
                <c:pt idx="13">
                  <c:v>0</c:v>
                </c:pt>
                <c:pt idx="14">
                  <c:v>38.15</c:v>
                </c:pt>
                <c:pt idx="15">
                  <c:v>38.15</c:v>
                </c:pt>
                <c:pt idx="16">
                  <c:v>38.15</c:v>
                </c:pt>
                <c:pt idx="17">
                  <c:v>38.050000000000004</c:v>
                </c:pt>
                <c:pt idx="18">
                  <c:v>38.15</c:v>
                </c:pt>
                <c:pt idx="19">
                  <c:v>0</c:v>
                </c:pt>
                <c:pt idx="20">
                  <c:v>0</c:v>
                </c:pt>
                <c:pt idx="21">
                  <c:v>38.15</c:v>
                </c:pt>
                <c:pt idx="22">
                  <c:v>38.25</c:v>
                </c:pt>
                <c:pt idx="23">
                  <c:v>38.25</c:v>
                </c:pt>
                <c:pt idx="24">
                  <c:v>38.200000000000003</c:v>
                </c:pt>
                <c:pt idx="25">
                  <c:v>38.200000000000003</c:v>
                </c:pt>
                <c:pt idx="26">
                  <c:v>0</c:v>
                </c:pt>
                <c:pt idx="27">
                  <c:v>0</c:v>
                </c:pt>
                <c:pt idx="28">
                  <c:v>38.200000000000003</c:v>
                </c:pt>
                <c:pt idx="29">
                  <c:v>38.15</c:v>
                </c:pt>
                <c:pt idx="30">
                  <c:v>38.200000000000003</c:v>
                </c:pt>
                <c:pt idx="31">
                  <c:v>38.200000000000003</c:v>
                </c:pt>
                <c:pt idx="32">
                  <c:v>38.300000000000004</c:v>
                </c:pt>
                <c:pt idx="33">
                  <c:v>0</c:v>
                </c:pt>
                <c:pt idx="34">
                  <c:v>0</c:v>
                </c:pt>
                <c:pt idx="35">
                  <c:v>38.4</c:v>
                </c:pt>
                <c:pt idx="36">
                  <c:v>38.4</c:v>
                </c:pt>
                <c:pt idx="37">
                  <c:v>38.5</c:v>
                </c:pt>
                <c:pt idx="38">
                  <c:v>38.5</c:v>
                </c:pt>
                <c:pt idx="39">
                  <c:v>38.449999999999996</c:v>
                </c:pt>
                <c:pt idx="40">
                  <c:v>0</c:v>
                </c:pt>
                <c:pt idx="41">
                  <c:v>0</c:v>
                </c:pt>
                <c:pt idx="42">
                  <c:v>38.4</c:v>
                </c:pt>
                <c:pt idx="43">
                  <c:v>38.449999999999996</c:v>
                </c:pt>
                <c:pt idx="44">
                  <c:v>38.5</c:v>
                </c:pt>
                <c:pt idx="45">
                  <c:v>38.5</c:v>
                </c:pt>
                <c:pt idx="46">
                  <c:v>38.5</c:v>
                </c:pt>
                <c:pt idx="47">
                  <c:v>0</c:v>
                </c:pt>
                <c:pt idx="48">
                  <c:v>0</c:v>
                </c:pt>
                <c:pt idx="49">
                  <c:v>38.6</c:v>
                </c:pt>
                <c:pt idx="50">
                  <c:v>38.550000000000004</c:v>
                </c:pt>
                <c:pt idx="51">
                  <c:v>38.800000000000004</c:v>
                </c:pt>
                <c:pt idx="52">
                  <c:v>38.849999999999994</c:v>
                </c:pt>
                <c:pt idx="53">
                  <c:v>38.800000000000004</c:v>
                </c:pt>
                <c:pt idx="54">
                  <c:v>0</c:v>
                </c:pt>
                <c:pt idx="55">
                  <c:v>0</c:v>
                </c:pt>
                <c:pt idx="56">
                  <c:v>38.800000000000004</c:v>
                </c:pt>
                <c:pt idx="57">
                  <c:v>38.9</c:v>
                </c:pt>
                <c:pt idx="58">
                  <c:v>38.9</c:v>
                </c:pt>
                <c:pt idx="59">
                  <c:v>39.050000000000004</c:v>
                </c:pt>
                <c:pt idx="60">
                  <c:v>39.200000000000003</c:v>
                </c:pt>
                <c:pt idx="61">
                  <c:v>0</c:v>
                </c:pt>
                <c:pt idx="62">
                  <c:v>0</c:v>
                </c:pt>
                <c:pt idx="63">
                  <c:v>39.200000000000003</c:v>
                </c:pt>
                <c:pt idx="64">
                  <c:v>39.300000000000004</c:v>
                </c:pt>
                <c:pt idx="65">
                  <c:v>39.349999999999994</c:v>
                </c:pt>
                <c:pt idx="66">
                  <c:v>39.1</c:v>
                </c:pt>
                <c:pt idx="67">
                  <c:v>39.200000000000003</c:v>
                </c:pt>
                <c:pt idx="68">
                  <c:v>0</c:v>
                </c:pt>
                <c:pt idx="69">
                  <c:v>0</c:v>
                </c:pt>
                <c:pt idx="70">
                  <c:v>39.15</c:v>
                </c:pt>
                <c:pt idx="71">
                  <c:v>39.1</c:v>
                </c:pt>
                <c:pt idx="72">
                  <c:v>39.050000000000004</c:v>
                </c:pt>
                <c:pt idx="73">
                  <c:v>39.1</c:v>
                </c:pt>
                <c:pt idx="74">
                  <c:v>39.1</c:v>
                </c:pt>
                <c:pt idx="75">
                  <c:v>0</c:v>
                </c:pt>
                <c:pt idx="76">
                  <c:v>0</c:v>
                </c:pt>
                <c:pt idx="77">
                  <c:v>39.050000000000004</c:v>
                </c:pt>
                <c:pt idx="78">
                  <c:v>38.75</c:v>
                </c:pt>
                <c:pt idx="79">
                  <c:v>38.75</c:v>
                </c:pt>
                <c:pt idx="80">
                  <c:v>38.700000000000003</c:v>
                </c:pt>
                <c:pt idx="81">
                  <c:v>38.700000000000003</c:v>
                </c:pt>
                <c:pt idx="82">
                  <c:v>0</c:v>
                </c:pt>
                <c:pt idx="83">
                  <c:v>0</c:v>
                </c:pt>
                <c:pt idx="84">
                  <c:v>38.700000000000003</c:v>
                </c:pt>
                <c:pt idx="85">
                  <c:v>39</c:v>
                </c:pt>
                <c:pt idx="86">
                  <c:v>39</c:v>
                </c:pt>
                <c:pt idx="87">
                  <c:v>39</c:v>
                </c:pt>
                <c:pt idx="88">
                  <c:v>39.050000000000004</c:v>
                </c:pt>
                <c:pt idx="89">
                  <c:v>0</c:v>
                </c:pt>
                <c:pt idx="90">
                  <c:v>0</c:v>
                </c:pt>
                <c:pt idx="91">
                  <c:v>39.050000000000004</c:v>
                </c:pt>
                <c:pt idx="92">
                  <c:v>39.050000000000004</c:v>
                </c:pt>
                <c:pt idx="93">
                  <c:v>39</c:v>
                </c:pt>
                <c:pt idx="94">
                  <c:v>39.1</c:v>
                </c:pt>
                <c:pt idx="95">
                  <c:v>39</c:v>
                </c:pt>
                <c:pt idx="96">
                  <c:v>0</c:v>
                </c:pt>
                <c:pt idx="97">
                  <c:v>0</c:v>
                </c:pt>
                <c:pt idx="98">
                  <c:v>39</c:v>
                </c:pt>
                <c:pt idx="99">
                  <c:v>38.949999999999996</c:v>
                </c:pt>
                <c:pt idx="100">
                  <c:v>38.949999999999996</c:v>
                </c:pt>
                <c:pt idx="101">
                  <c:v>39</c:v>
                </c:pt>
                <c:pt idx="102">
                  <c:v>39.050000000000004</c:v>
                </c:pt>
                <c:pt idx="103">
                  <c:v>0</c:v>
                </c:pt>
                <c:pt idx="104">
                  <c:v>0</c:v>
                </c:pt>
                <c:pt idx="105">
                  <c:v>39.050000000000004</c:v>
                </c:pt>
                <c:pt idx="106">
                  <c:v>39</c:v>
                </c:pt>
                <c:pt idx="107">
                  <c:v>39</c:v>
                </c:pt>
                <c:pt idx="108">
                  <c:v>38.949999999999996</c:v>
                </c:pt>
                <c:pt idx="109">
                  <c:v>38.550000000000004</c:v>
                </c:pt>
                <c:pt idx="110">
                  <c:v>0</c:v>
                </c:pt>
                <c:pt idx="111">
                  <c:v>0</c:v>
                </c:pt>
                <c:pt idx="112">
                  <c:v>38.6</c:v>
                </c:pt>
                <c:pt idx="113">
                  <c:v>38.65</c:v>
                </c:pt>
                <c:pt idx="114">
                  <c:v>38.65</c:v>
                </c:pt>
                <c:pt idx="115">
                  <c:v>38.25</c:v>
                </c:pt>
                <c:pt idx="116">
                  <c:v>38.25</c:v>
                </c:pt>
                <c:pt idx="117">
                  <c:v>0</c:v>
                </c:pt>
                <c:pt idx="118">
                  <c:v>0</c:v>
                </c:pt>
                <c:pt idx="119">
                  <c:v>38.1</c:v>
                </c:pt>
                <c:pt idx="120">
                  <c:v>37.9</c:v>
                </c:pt>
                <c:pt idx="121">
                  <c:v>38.200000000000003</c:v>
                </c:pt>
                <c:pt idx="122">
                  <c:v>38.200000000000003</c:v>
                </c:pt>
                <c:pt idx="123">
                  <c:v>38.050000000000004</c:v>
                </c:pt>
                <c:pt idx="124">
                  <c:v>0</c:v>
                </c:pt>
                <c:pt idx="125">
                  <c:v>0</c:v>
                </c:pt>
                <c:pt idx="126">
                  <c:v>38</c:v>
                </c:pt>
                <c:pt idx="127">
                  <c:v>37.949999999999996</c:v>
                </c:pt>
                <c:pt idx="128">
                  <c:v>37.65</c:v>
                </c:pt>
                <c:pt idx="129">
                  <c:v>37.6</c:v>
                </c:pt>
                <c:pt idx="130">
                  <c:v>37.15</c:v>
                </c:pt>
                <c:pt idx="131">
                  <c:v>0</c:v>
                </c:pt>
                <c:pt idx="132">
                  <c:v>0</c:v>
                </c:pt>
                <c:pt idx="133">
                  <c:v>37.200000000000003</c:v>
                </c:pt>
                <c:pt idx="134">
                  <c:v>37.300000000000004</c:v>
                </c:pt>
                <c:pt idx="135">
                  <c:v>37.300000000000004</c:v>
                </c:pt>
                <c:pt idx="136">
                  <c:v>37.5</c:v>
                </c:pt>
                <c:pt idx="137">
                  <c:v>37.6</c:v>
                </c:pt>
                <c:pt idx="138">
                  <c:v>0</c:v>
                </c:pt>
                <c:pt idx="139">
                  <c:v>0</c:v>
                </c:pt>
                <c:pt idx="140">
                  <c:v>38</c:v>
                </c:pt>
                <c:pt idx="141">
                  <c:v>38</c:v>
                </c:pt>
                <c:pt idx="142">
                  <c:v>38.050000000000004</c:v>
                </c:pt>
                <c:pt idx="143">
                  <c:v>38.050000000000004</c:v>
                </c:pt>
                <c:pt idx="144">
                  <c:v>38.050000000000004</c:v>
                </c:pt>
                <c:pt idx="145">
                  <c:v>0</c:v>
                </c:pt>
                <c:pt idx="146">
                  <c:v>0</c:v>
                </c:pt>
                <c:pt idx="147">
                  <c:v>38.1</c:v>
                </c:pt>
                <c:pt idx="148">
                  <c:v>38.1</c:v>
                </c:pt>
                <c:pt idx="149">
                  <c:v>38.15</c:v>
                </c:pt>
                <c:pt idx="150">
                  <c:v>38.25</c:v>
                </c:pt>
                <c:pt idx="151">
                  <c:v>38.25</c:v>
                </c:pt>
                <c:pt idx="152">
                  <c:v>0</c:v>
                </c:pt>
                <c:pt idx="153">
                  <c:v>0</c:v>
                </c:pt>
                <c:pt idx="154">
                  <c:v>0</c:v>
                </c:pt>
                <c:pt idx="155">
                  <c:v>38.300000000000004</c:v>
                </c:pt>
                <c:pt idx="156">
                  <c:v>38.300000000000004</c:v>
                </c:pt>
                <c:pt idx="157">
                  <c:v>38.300000000000004</c:v>
                </c:pt>
                <c:pt idx="158">
                  <c:v>38.300000000000004</c:v>
                </c:pt>
                <c:pt idx="159">
                  <c:v>0</c:v>
                </c:pt>
                <c:pt idx="160">
                  <c:v>0</c:v>
                </c:pt>
                <c:pt idx="161">
                  <c:v>38.300000000000004</c:v>
                </c:pt>
                <c:pt idx="162">
                  <c:v>38.4</c:v>
                </c:pt>
                <c:pt idx="163">
                  <c:v>38.4</c:v>
                </c:pt>
                <c:pt idx="164">
                  <c:v>38.300000000000004</c:v>
                </c:pt>
                <c:pt idx="165">
                  <c:v>38.4</c:v>
                </c:pt>
                <c:pt idx="166">
                  <c:v>0</c:v>
                </c:pt>
                <c:pt idx="167">
                  <c:v>0</c:v>
                </c:pt>
                <c:pt idx="168">
                  <c:v>38.449999999999996</c:v>
                </c:pt>
                <c:pt idx="169">
                  <c:v>38.4</c:v>
                </c:pt>
                <c:pt idx="170">
                  <c:v>38.4</c:v>
                </c:pt>
                <c:pt idx="171">
                  <c:v>38.449999999999996</c:v>
                </c:pt>
                <c:pt idx="172">
                  <c:v>38.4</c:v>
                </c:pt>
                <c:pt idx="173">
                  <c:v>0</c:v>
                </c:pt>
                <c:pt idx="174">
                  <c:v>0</c:v>
                </c:pt>
                <c:pt idx="175">
                  <c:v>38.4</c:v>
                </c:pt>
                <c:pt idx="176">
                  <c:v>38.4</c:v>
                </c:pt>
                <c:pt idx="177">
                  <c:v>0</c:v>
                </c:pt>
                <c:pt idx="178">
                  <c:v>0</c:v>
                </c:pt>
                <c:pt idx="179">
                  <c:v>38.4</c:v>
                </c:pt>
                <c:pt idx="180">
                  <c:v>0</c:v>
                </c:pt>
                <c:pt idx="181">
                  <c:v>0</c:v>
                </c:pt>
                <c:pt idx="182">
                  <c:v>38.4</c:v>
                </c:pt>
                <c:pt idx="183">
                  <c:v>38.4</c:v>
                </c:pt>
                <c:pt idx="184">
                  <c:v>0</c:v>
                </c:pt>
                <c:pt idx="185">
                  <c:v>38.4</c:v>
                </c:pt>
                <c:pt idx="186">
                  <c:v>38.4</c:v>
                </c:pt>
                <c:pt idx="187">
                  <c:v>0</c:v>
                </c:pt>
                <c:pt idx="188">
                  <c:v>0</c:v>
                </c:pt>
                <c:pt idx="189">
                  <c:v>38.349999999999994</c:v>
                </c:pt>
                <c:pt idx="190">
                  <c:v>38.25</c:v>
                </c:pt>
                <c:pt idx="191">
                  <c:v>38.25</c:v>
                </c:pt>
                <c:pt idx="192">
                  <c:v>38.300000000000004</c:v>
                </c:pt>
                <c:pt idx="193">
                  <c:v>38.300000000000004</c:v>
                </c:pt>
                <c:pt idx="194">
                  <c:v>0</c:v>
                </c:pt>
                <c:pt idx="195">
                  <c:v>0</c:v>
                </c:pt>
                <c:pt idx="196">
                  <c:v>38.4</c:v>
                </c:pt>
                <c:pt idx="197">
                  <c:v>38.300000000000004</c:v>
                </c:pt>
                <c:pt idx="198">
                  <c:v>38.349999999999994</c:v>
                </c:pt>
                <c:pt idx="199">
                  <c:v>38.4</c:v>
                </c:pt>
                <c:pt idx="200">
                  <c:v>38.4</c:v>
                </c:pt>
                <c:pt idx="201">
                  <c:v>0</c:v>
                </c:pt>
                <c:pt idx="202">
                  <c:v>0</c:v>
                </c:pt>
                <c:pt idx="203">
                  <c:v>38.449999999999996</c:v>
                </c:pt>
                <c:pt idx="204">
                  <c:v>38.6</c:v>
                </c:pt>
                <c:pt idx="205">
                  <c:v>38.800000000000004</c:v>
                </c:pt>
                <c:pt idx="206">
                  <c:v>38.800000000000004</c:v>
                </c:pt>
                <c:pt idx="207">
                  <c:v>38.849999999999994</c:v>
                </c:pt>
                <c:pt idx="208">
                  <c:v>0</c:v>
                </c:pt>
                <c:pt idx="209">
                  <c:v>0</c:v>
                </c:pt>
                <c:pt idx="210">
                  <c:v>0</c:v>
                </c:pt>
                <c:pt idx="211">
                  <c:v>38.849999999999994</c:v>
                </c:pt>
                <c:pt idx="212">
                  <c:v>38.9</c:v>
                </c:pt>
                <c:pt idx="213">
                  <c:v>38.9</c:v>
                </c:pt>
                <c:pt idx="214">
                  <c:v>38.849999999999994</c:v>
                </c:pt>
                <c:pt idx="215">
                  <c:v>0</c:v>
                </c:pt>
                <c:pt idx="216">
                  <c:v>0</c:v>
                </c:pt>
                <c:pt idx="217">
                  <c:v>38.849999999999994</c:v>
                </c:pt>
                <c:pt idx="218">
                  <c:v>38.849999999999994</c:v>
                </c:pt>
                <c:pt idx="219">
                  <c:v>38.849999999999994</c:v>
                </c:pt>
                <c:pt idx="220">
                  <c:v>38.800000000000004</c:v>
                </c:pt>
                <c:pt idx="221">
                  <c:v>38.5</c:v>
                </c:pt>
                <c:pt idx="222">
                  <c:v>0</c:v>
                </c:pt>
                <c:pt idx="223">
                  <c:v>0</c:v>
                </c:pt>
                <c:pt idx="224">
                  <c:v>38.5</c:v>
                </c:pt>
                <c:pt idx="225">
                  <c:v>38.4</c:v>
                </c:pt>
                <c:pt idx="226">
                  <c:v>38.4</c:v>
                </c:pt>
                <c:pt idx="227">
                  <c:v>38.4</c:v>
                </c:pt>
                <c:pt idx="228">
                  <c:v>38.4</c:v>
                </c:pt>
                <c:pt idx="229">
                  <c:v>0</c:v>
                </c:pt>
                <c:pt idx="230">
                  <c:v>0</c:v>
                </c:pt>
                <c:pt idx="231">
                  <c:v>38.4</c:v>
                </c:pt>
                <c:pt idx="232">
                  <c:v>38.4</c:v>
                </c:pt>
                <c:pt idx="233">
                  <c:v>38.4</c:v>
                </c:pt>
                <c:pt idx="234">
                  <c:v>38.4</c:v>
                </c:pt>
                <c:pt idx="235">
                  <c:v>38.65</c:v>
                </c:pt>
                <c:pt idx="236">
                  <c:v>0</c:v>
                </c:pt>
                <c:pt idx="237">
                  <c:v>0</c:v>
                </c:pt>
                <c:pt idx="238">
                  <c:v>38.5</c:v>
                </c:pt>
                <c:pt idx="239">
                  <c:v>38.550000000000004</c:v>
                </c:pt>
                <c:pt idx="240">
                  <c:v>38.75</c:v>
                </c:pt>
                <c:pt idx="241">
                  <c:v>38.75</c:v>
                </c:pt>
                <c:pt idx="242">
                  <c:v>38.75</c:v>
                </c:pt>
                <c:pt idx="243">
                  <c:v>0</c:v>
                </c:pt>
                <c:pt idx="244">
                  <c:v>0</c:v>
                </c:pt>
                <c:pt idx="245">
                  <c:v>38.800000000000004</c:v>
                </c:pt>
                <c:pt idx="246">
                  <c:v>38.75</c:v>
                </c:pt>
                <c:pt idx="247">
                  <c:v>38.75</c:v>
                </c:pt>
                <c:pt idx="248">
                  <c:v>38.9</c:v>
                </c:pt>
                <c:pt idx="249">
                  <c:v>38.9</c:v>
                </c:pt>
                <c:pt idx="250">
                  <c:v>0</c:v>
                </c:pt>
                <c:pt idx="251">
                  <c:v>0</c:v>
                </c:pt>
                <c:pt idx="252">
                  <c:v>38.9</c:v>
                </c:pt>
                <c:pt idx="253">
                  <c:v>38.949999999999996</c:v>
                </c:pt>
                <c:pt idx="254">
                  <c:v>39</c:v>
                </c:pt>
                <c:pt idx="255">
                  <c:v>38.949999999999996</c:v>
                </c:pt>
                <c:pt idx="256">
                  <c:v>38.5</c:v>
                </c:pt>
                <c:pt idx="257">
                  <c:v>0</c:v>
                </c:pt>
                <c:pt idx="258">
                  <c:v>0</c:v>
                </c:pt>
                <c:pt idx="259">
                  <c:v>38.5</c:v>
                </c:pt>
                <c:pt idx="260">
                  <c:v>38.800000000000004</c:v>
                </c:pt>
                <c:pt idx="261">
                  <c:v>38.75</c:v>
                </c:pt>
                <c:pt idx="262">
                  <c:v>38.800000000000004</c:v>
                </c:pt>
                <c:pt idx="263">
                  <c:v>38.800000000000004</c:v>
                </c:pt>
                <c:pt idx="264">
                  <c:v>0</c:v>
                </c:pt>
                <c:pt idx="265">
                  <c:v>0</c:v>
                </c:pt>
                <c:pt idx="266">
                  <c:v>38.949999999999996</c:v>
                </c:pt>
                <c:pt idx="267">
                  <c:v>39.1</c:v>
                </c:pt>
                <c:pt idx="268">
                  <c:v>39.200000000000003</c:v>
                </c:pt>
                <c:pt idx="269">
                  <c:v>39.200000000000003</c:v>
                </c:pt>
                <c:pt idx="270">
                  <c:v>39.200000000000003</c:v>
                </c:pt>
                <c:pt idx="271">
                  <c:v>0</c:v>
                </c:pt>
                <c:pt idx="272">
                  <c:v>0</c:v>
                </c:pt>
                <c:pt idx="273">
                  <c:v>39.200000000000003</c:v>
                </c:pt>
                <c:pt idx="274">
                  <c:v>39.200000000000003</c:v>
                </c:pt>
                <c:pt idx="275">
                  <c:v>39.200000000000003</c:v>
                </c:pt>
                <c:pt idx="276">
                  <c:v>39.300000000000004</c:v>
                </c:pt>
                <c:pt idx="277">
                  <c:v>39.300000000000004</c:v>
                </c:pt>
                <c:pt idx="278">
                  <c:v>0</c:v>
                </c:pt>
                <c:pt idx="279">
                  <c:v>0</c:v>
                </c:pt>
                <c:pt idx="280">
                  <c:v>39.300000000000004</c:v>
                </c:pt>
                <c:pt idx="281">
                  <c:v>39.300000000000004</c:v>
                </c:pt>
                <c:pt idx="282">
                  <c:v>39.349999999999994</c:v>
                </c:pt>
                <c:pt idx="283">
                  <c:v>39.200000000000003</c:v>
                </c:pt>
                <c:pt idx="284">
                  <c:v>39.300000000000004</c:v>
                </c:pt>
                <c:pt idx="285">
                  <c:v>0</c:v>
                </c:pt>
                <c:pt idx="286">
                  <c:v>0</c:v>
                </c:pt>
                <c:pt idx="287">
                  <c:v>39.300000000000004</c:v>
                </c:pt>
                <c:pt idx="288">
                  <c:v>39.200000000000003</c:v>
                </c:pt>
                <c:pt idx="289">
                  <c:v>38.9</c:v>
                </c:pt>
                <c:pt idx="290">
                  <c:v>38.9</c:v>
                </c:pt>
                <c:pt idx="291">
                  <c:v>0</c:v>
                </c:pt>
                <c:pt idx="292">
                  <c:v>0</c:v>
                </c:pt>
                <c:pt idx="293">
                  <c:v>0</c:v>
                </c:pt>
                <c:pt idx="294">
                  <c:v>0</c:v>
                </c:pt>
                <c:pt idx="295">
                  <c:v>38.9</c:v>
                </c:pt>
                <c:pt idx="296">
                  <c:v>38.9</c:v>
                </c:pt>
                <c:pt idx="297">
                  <c:v>38.5</c:v>
                </c:pt>
                <c:pt idx="298">
                  <c:v>0</c:v>
                </c:pt>
                <c:pt idx="299">
                  <c:v>0</c:v>
                </c:pt>
                <c:pt idx="300">
                  <c:v>0</c:v>
                </c:pt>
                <c:pt idx="301">
                  <c:v>38.300000000000004</c:v>
                </c:pt>
                <c:pt idx="302">
                  <c:v>38.449999999999996</c:v>
                </c:pt>
                <c:pt idx="303">
                  <c:v>38.449999999999996</c:v>
                </c:pt>
                <c:pt idx="304">
                  <c:v>38.550000000000004</c:v>
                </c:pt>
                <c:pt idx="305">
                  <c:v>38.550000000000004</c:v>
                </c:pt>
                <c:pt idx="306">
                  <c:v>0</c:v>
                </c:pt>
                <c:pt idx="307">
                  <c:v>0</c:v>
                </c:pt>
                <c:pt idx="308">
                  <c:v>38.6</c:v>
                </c:pt>
                <c:pt idx="309">
                  <c:v>38.65</c:v>
                </c:pt>
                <c:pt idx="310">
                  <c:v>38.700000000000003</c:v>
                </c:pt>
                <c:pt idx="311">
                  <c:v>38.849999999999994</c:v>
                </c:pt>
                <c:pt idx="312">
                  <c:v>38.849999999999994</c:v>
                </c:pt>
                <c:pt idx="313">
                  <c:v>0</c:v>
                </c:pt>
                <c:pt idx="314">
                  <c:v>0</c:v>
                </c:pt>
                <c:pt idx="315">
                  <c:v>39.050000000000004</c:v>
                </c:pt>
                <c:pt idx="316">
                  <c:v>38.949999999999996</c:v>
                </c:pt>
                <c:pt idx="317">
                  <c:v>39</c:v>
                </c:pt>
                <c:pt idx="318">
                  <c:v>39</c:v>
                </c:pt>
                <c:pt idx="319">
                  <c:v>39</c:v>
                </c:pt>
                <c:pt idx="320">
                  <c:v>0</c:v>
                </c:pt>
                <c:pt idx="321">
                  <c:v>0</c:v>
                </c:pt>
                <c:pt idx="322">
                  <c:v>39</c:v>
                </c:pt>
                <c:pt idx="323">
                  <c:v>39.050000000000004</c:v>
                </c:pt>
                <c:pt idx="324">
                  <c:v>39.050000000000004</c:v>
                </c:pt>
                <c:pt idx="325">
                  <c:v>39.200000000000003</c:v>
                </c:pt>
                <c:pt idx="326">
                  <c:v>39.200000000000003</c:v>
                </c:pt>
                <c:pt idx="327">
                  <c:v>0</c:v>
                </c:pt>
                <c:pt idx="328">
                  <c:v>0</c:v>
                </c:pt>
                <c:pt idx="329">
                  <c:v>39.300000000000004</c:v>
                </c:pt>
                <c:pt idx="330">
                  <c:v>39.300000000000004</c:v>
                </c:pt>
                <c:pt idx="331">
                  <c:v>39.4</c:v>
                </c:pt>
                <c:pt idx="332">
                  <c:v>39.4</c:v>
                </c:pt>
                <c:pt idx="333">
                  <c:v>39.349999999999994</c:v>
                </c:pt>
                <c:pt idx="334">
                  <c:v>0</c:v>
                </c:pt>
                <c:pt idx="335">
                  <c:v>0</c:v>
                </c:pt>
                <c:pt idx="336">
                  <c:v>39.349999999999994</c:v>
                </c:pt>
                <c:pt idx="337">
                  <c:v>39.349999999999994</c:v>
                </c:pt>
                <c:pt idx="338">
                  <c:v>39.25</c:v>
                </c:pt>
                <c:pt idx="339">
                  <c:v>39.15</c:v>
                </c:pt>
                <c:pt idx="340">
                  <c:v>39.1</c:v>
                </c:pt>
                <c:pt idx="341">
                  <c:v>0</c:v>
                </c:pt>
                <c:pt idx="342">
                  <c:v>0</c:v>
                </c:pt>
                <c:pt idx="343">
                  <c:v>0</c:v>
                </c:pt>
                <c:pt idx="344">
                  <c:v>39.1</c:v>
                </c:pt>
                <c:pt idx="345">
                  <c:v>39.1</c:v>
                </c:pt>
                <c:pt idx="346">
                  <c:v>39.1</c:v>
                </c:pt>
                <c:pt idx="347">
                  <c:v>39.1</c:v>
                </c:pt>
                <c:pt idx="348">
                  <c:v>0</c:v>
                </c:pt>
                <c:pt idx="349">
                  <c:v>0</c:v>
                </c:pt>
                <c:pt idx="350">
                  <c:v>39.1</c:v>
                </c:pt>
                <c:pt idx="351">
                  <c:v>39.15</c:v>
                </c:pt>
                <c:pt idx="352">
                  <c:v>39.15</c:v>
                </c:pt>
                <c:pt idx="353">
                  <c:v>39.200000000000003</c:v>
                </c:pt>
                <c:pt idx="354">
                  <c:v>39.200000000000003</c:v>
                </c:pt>
                <c:pt idx="355">
                  <c:v>0</c:v>
                </c:pt>
                <c:pt idx="356">
                  <c:v>0</c:v>
                </c:pt>
                <c:pt idx="357">
                  <c:v>39.200000000000003</c:v>
                </c:pt>
                <c:pt idx="358">
                  <c:v>39.200000000000003</c:v>
                </c:pt>
                <c:pt idx="359">
                  <c:v>38.75</c:v>
                </c:pt>
                <c:pt idx="360">
                  <c:v>38.800000000000004</c:v>
                </c:pt>
                <c:pt idx="361">
                  <c:v>38.9</c:v>
                </c:pt>
                <c:pt idx="362">
                  <c:v>0</c:v>
                </c:pt>
                <c:pt idx="363">
                  <c:v>0</c:v>
                </c:pt>
                <c:pt idx="364">
                  <c:v>38.9</c:v>
                </c:pt>
                <c:pt idx="365">
                  <c:v>38.9</c:v>
                </c:pt>
                <c:pt idx="366">
                  <c:v>38.800000000000004</c:v>
                </c:pt>
                <c:pt idx="367">
                  <c:v>38.800000000000004</c:v>
                </c:pt>
                <c:pt idx="368">
                  <c:v>38.800000000000004</c:v>
                </c:pt>
                <c:pt idx="369">
                  <c:v>0</c:v>
                </c:pt>
                <c:pt idx="370">
                  <c:v>0</c:v>
                </c:pt>
                <c:pt idx="371">
                  <c:v>38.849999999999994</c:v>
                </c:pt>
                <c:pt idx="372">
                  <c:v>39</c:v>
                </c:pt>
                <c:pt idx="373">
                  <c:v>39</c:v>
                </c:pt>
                <c:pt idx="374">
                  <c:v>39</c:v>
                </c:pt>
                <c:pt idx="375">
                  <c:v>39</c:v>
                </c:pt>
                <c:pt idx="376">
                  <c:v>0</c:v>
                </c:pt>
                <c:pt idx="377">
                  <c:v>0</c:v>
                </c:pt>
                <c:pt idx="378">
                  <c:v>39.050000000000004</c:v>
                </c:pt>
                <c:pt idx="379">
                  <c:v>39.15</c:v>
                </c:pt>
                <c:pt idx="380">
                  <c:v>39.25</c:v>
                </c:pt>
                <c:pt idx="381">
                  <c:v>39.25</c:v>
                </c:pt>
                <c:pt idx="382">
                  <c:v>39.300000000000004</c:v>
                </c:pt>
                <c:pt idx="383">
                  <c:v>0</c:v>
                </c:pt>
                <c:pt idx="384">
                  <c:v>0</c:v>
                </c:pt>
                <c:pt idx="385">
                  <c:v>39.300000000000004</c:v>
                </c:pt>
                <c:pt idx="386">
                  <c:v>39</c:v>
                </c:pt>
                <c:pt idx="387">
                  <c:v>38.9</c:v>
                </c:pt>
                <c:pt idx="388">
                  <c:v>38.949999999999996</c:v>
                </c:pt>
                <c:pt idx="389">
                  <c:v>38.949999999999996</c:v>
                </c:pt>
                <c:pt idx="390">
                  <c:v>0</c:v>
                </c:pt>
                <c:pt idx="391">
                  <c:v>0</c:v>
                </c:pt>
                <c:pt idx="392">
                  <c:v>38.75</c:v>
                </c:pt>
                <c:pt idx="393">
                  <c:v>38.700000000000003</c:v>
                </c:pt>
                <c:pt idx="394">
                  <c:v>38.700000000000003</c:v>
                </c:pt>
                <c:pt idx="395">
                  <c:v>38.700000000000003</c:v>
                </c:pt>
                <c:pt idx="396">
                  <c:v>38.849999999999994</c:v>
                </c:pt>
                <c:pt idx="397">
                  <c:v>0</c:v>
                </c:pt>
                <c:pt idx="398">
                  <c:v>0</c:v>
                </c:pt>
                <c:pt idx="399">
                  <c:v>38.9</c:v>
                </c:pt>
                <c:pt idx="400">
                  <c:v>38.700000000000003</c:v>
                </c:pt>
                <c:pt idx="401">
                  <c:v>38.700000000000003</c:v>
                </c:pt>
                <c:pt idx="402">
                  <c:v>38.65</c:v>
                </c:pt>
                <c:pt idx="403">
                  <c:v>38.6</c:v>
                </c:pt>
                <c:pt idx="404">
                  <c:v>0</c:v>
                </c:pt>
                <c:pt idx="405">
                  <c:v>0</c:v>
                </c:pt>
                <c:pt idx="406">
                  <c:v>38.65</c:v>
                </c:pt>
                <c:pt idx="407">
                  <c:v>38.700000000000003</c:v>
                </c:pt>
                <c:pt idx="408">
                  <c:v>38.800000000000004</c:v>
                </c:pt>
                <c:pt idx="409">
                  <c:v>38.800000000000004</c:v>
                </c:pt>
                <c:pt idx="410">
                  <c:v>38.849999999999994</c:v>
                </c:pt>
                <c:pt idx="411">
                  <c:v>0</c:v>
                </c:pt>
                <c:pt idx="412">
                  <c:v>0</c:v>
                </c:pt>
                <c:pt idx="413">
                  <c:v>38.800000000000004</c:v>
                </c:pt>
                <c:pt idx="414">
                  <c:v>38.800000000000004</c:v>
                </c:pt>
                <c:pt idx="415">
                  <c:v>38.800000000000004</c:v>
                </c:pt>
                <c:pt idx="416">
                  <c:v>38.800000000000004</c:v>
                </c:pt>
                <c:pt idx="417">
                  <c:v>38.849999999999994</c:v>
                </c:pt>
                <c:pt idx="418">
                  <c:v>0</c:v>
                </c:pt>
                <c:pt idx="419">
                  <c:v>0</c:v>
                </c:pt>
                <c:pt idx="420">
                  <c:v>38.849999999999994</c:v>
                </c:pt>
                <c:pt idx="421">
                  <c:v>38.849999999999994</c:v>
                </c:pt>
                <c:pt idx="422">
                  <c:v>38.849999999999994</c:v>
                </c:pt>
                <c:pt idx="423">
                  <c:v>38.849999999999994</c:v>
                </c:pt>
                <c:pt idx="424">
                  <c:v>38.5</c:v>
                </c:pt>
                <c:pt idx="425">
                  <c:v>0</c:v>
                </c:pt>
                <c:pt idx="426">
                  <c:v>0</c:v>
                </c:pt>
                <c:pt idx="427">
                  <c:v>38.5</c:v>
                </c:pt>
                <c:pt idx="428">
                  <c:v>38.65</c:v>
                </c:pt>
                <c:pt idx="429">
                  <c:v>38.700000000000003</c:v>
                </c:pt>
                <c:pt idx="430">
                  <c:v>38.700000000000003</c:v>
                </c:pt>
                <c:pt idx="431">
                  <c:v>38.65</c:v>
                </c:pt>
                <c:pt idx="432">
                  <c:v>0</c:v>
                </c:pt>
                <c:pt idx="433">
                  <c:v>0</c:v>
                </c:pt>
                <c:pt idx="434">
                  <c:v>38.65</c:v>
                </c:pt>
                <c:pt idx="435">
                  <c:v>38.65</c:v>
                </c:pt>
                <c:pt idx="436">
                  <c:v>38.65</c:v>
                </c:pt>
                <c:pt idx="437">
                  <c:v>38.700000000000003</c:v>
                </c:pt>
                <c:pt idx="438">
                  <c:v>38.700000000000003</c:v>
                </c:pt>
                <c:pt idx="439">
                  <c:v>0</c:v>
                </c:pt>
                <c:pt idx="440">
                  <c:v>0</c:v>
                </c:pt>
                <c:pt idx="441">
                  <c:v>38.65</c:v>
                </c:pt>
                <c:pt idx="442">
                  <c:v>38.700000000000003</c:v>
                </c:pt>
                <c:pt idx="443">
                  <c:v>38.700000000000003</c:v>
                </c:pt>
                <c:pt idx="444">
                  <c:v>38.75</c:v>
                </c:pt>
                <c:pt idx="445">
                  <c:v>38.75</c:v>
                </c:pt>
                <c:pt idx="446">
                  <c:v>0</c:v>
                </c:pt>
                <c:pt idx="447">
                  <c:v>0</c:v>
                </c:pt>
                <c:pt idx="448">
                  <c:v>38.700000000000003</c:v>
                </c:pt>
                <c:pt idx="449">
                  <c:v>38.65</c:v>
                </c:pt>
                <c:pt idx="450">
                  <c:v>38.65</c:v>
                </c:pt>
                <c:pt idx="451">
                  <c:v>38.65</c:v>
                </c:pt>
                <c:pt idx="452">
                  <c:v>38.65</c:v>
                </c:pt>
                <c:pt idx="453">
                  <c:v>0</c:v>
                </c:pt>
                <c:pt idx="454">
                  <c:v>0</c:v>
                </c:pt>
                <c:pt idx="455">
                  <c:v>38.65</c:v>
                </c:pt>
                <c:pt idx="456">
                  <c:v>38.75</c:v>
                </c:pt>
                <c:pt idx="457">
                  <c:v>38.65</c:v>
                </c:pt>
                <c:pt idx="458">
                  <c:v>38.550000000000004</c:v>
                </c:pt>
                <c:pt idx="459">
                  <c:v>38.550000000000004</c:v>
                </c:pt>
                <c:pt idx="460">
                  <c:v>0</c:v>
                </c:pt>
                <c:pt idx="461">
                  <c:v>0</c:v>
                </c:pt>
                <c:pt idx="462">
                  <c:v>38.550000000000004</c:v>
                </c:pt>
                <c:pt idx="463">
                  <c:v>38.550000000000004</c:v>
                </c:pt>
                <c:pt idx="464">
                  <c:v>38.550000000000004</c:v>
                </c:pt>
                <c:pt idx="465">
                  <c:v>38.5</c:v>
                </c:pt>
                <c:pt idx="466">
                  <c:v>38.4</c:v>
                </c:pt>
                <c:pt idx="467">
                  <c:v>0</c:v>
                </c:pt>
                <c:pt idx="468">
                  <c:v>0</c:v>
                </c:pt>
                <c:pt idx="469">
                  <c:v>38.4</c:v>
                </c:pt>
                <c:pt idx="470">
                  <c:v>38.200000000000003</c:v>
                </c:pt>
                <c:pt idx="471">
                  <c:v>37.9</c:v>
                </c:pt>
                <c:pt idx="472">
                  <c:v>37.9</c:v>
                </c:pt>
                <c:pt idx="473">
                  <c:v>38.050000000000004</c:v>
                </c:pt>
                <c:pt idx="474">
                  <c:v>0</c:v>
                </c:pt>
                <c:pt idx="475">
                  <c:v>0</c:v>
                </c:pt>
                <c:pt idx="476">
                  <c:v>38</c:v>
                </c:pt>
                <c:pt idx="477">
                  <c:v>37.800000000000004</c:v>
                </c:pt>
                <c:pt idx="478">
                  <c:v>37.5</c:v>
                </c:pt>
                <c:pt idx="479">
                  <c:v>37.5</c:v>
                </c:pt>
                <c:pt idx="480">
                  <c:v>37.449999999999996</c:v>
                </c:pt>
                <c:pt idx="481">
                  <c:v>0</c:v>
                </c:pt>
                <c:pt idx="482">
                  <c:v>0</c:v>
                </c:pt>
                <c:pt idx="483">
                  <c:v>37.449999999999996</c:v>
                </c:pt>
                <c:pt idx="484">
                  <c:v>37.449999999999996</c:v>
                </c:pt>
                <c:pt idx="485">
                  <c:v>37.4</c:v>
                </c:pt>
                <c:pt idx="486">
                  <c:v>37.4</c:v>
                </c:pt>
                <c:pt idx="487">
                  <c:v>37.4</c:v>
                </c:pt>
                <c:pt idx="488">
                  <c:v>0</c:v>
                </c:pt>
                <c:pt idx="489">
                  <c:v>0</c:v>
                </c:pt>
                <c:pt idx="490">
                  <c:v>37.4</c:v>
                </c:pt>
                <c:pt idx="491">
                  <c:v>37.300000000000004</c:v>
                </c:pt>
                <c:pt idx="492">
                  <c:v>37.25</c:v>
                </c:pt>
                <c:pt idx="493">
                  <c:v>37.25</c:v>
                </c:pt>
                <c:pt idx="494">
                  <c:v>37.200000000000003</c:v>
                </c:pt>
                <c:pt idx="495">
                  <c:v>0</c:v>
                </c:pt>
                <c:pt idx="496">
                  <c:v>0</c:v>
                </c:pt>
                <c:pt idx="497">
                  <c:v>37.1</c:v>
                </c:pt>
                <c:pt idx="498">
                  <c:v>36.9</c:v>
                </c:pt>
                <c:pt idx="499">
                  <c:v>36.800000000000004</c:v>
                </c:pt>
                <c:pt idx="500">
                  <c:v>36.75</c:v>
                </c:pt>
                <c:pt idx="501">
                  <c:v>36.75</c:v>
                </c:pt>
                <c:pt idx="502">
                  <c:v>0</c:v>
                </c:pt>
                <c:pt idx="503">
                  <c:v>0</c:v>
                </c:pt>
                <c:pt idx="504">
                  <c:v>36.6</c:v>
                </c:pt>
                <c:pt idx="505">
                  <c:v>36.449999999999996</c:v>
                </c:pt>
                <c:pt idx="506">
                  <c:v>36.4</c:v>
                </c:pt>
                <c:pt idx="507">
                  <c:v>36.4</c:v>
                </c:pt>
                <c:pt idx="508">
                  <c:v>36.4</c:v>
                </c:pt>
                <c:pt idx="509">
                  <c:v>0</c:v>
                </c:pt>
                <c:pt idx="510">
                  <c:v>0</c:v>
                </c:pt>
                <c:pt idx="511">
                  <c:v>36.449999999999996</c:v>
                </c:pt>
                <c:pt idx="512">
                  <c:v>36.800000000000004</c:v>
                </c:pt>
                <c:pt idx="513">
                  <c:v>36.849999999999994</c:v>
                </c:pt>
                <c:pt idx="514">
                  <c:v>37.300000000000004</c:v>
                </c:pt>
                <c:pt idx="515">
                  <c:v>37.5</c:v>
                </c:pt>
                <c:pt idx="516">
                  <c:v>0</c:v>
                </c:pt>
                <c:pt idx="517">
                  <c:v>0</c:v>
                </c:pt>
                <c:pt idx="518">
                  <c:v>37.550000000000004</c:v>
                </c:pt>
                <c:pt idx="519">
                  <c:v>37.6</c:v>
                </c:pt>
                <c:pt idx="520">
                  <c:v>37.700000000000003</c:v>
                </c:pt>
                <c:pt idx="521">
                  <c:v>37.700000000000003</c:v>
                </c:pt>
                <c:pt idx="522">
                  <c:v>37.700000000000003</c:v>
                </c:pt>
                <c:pt idx="523">
                  <c:v>0</c:v>
                </c:pt>
                <c:pt idx="524">
                  <c:v>0</c:v>
                </c:pt>
                <c:pt idx="525">
                  <c:v>38</c:v>
                </c:pt>
                <c:pt idx="526">
                  <c:v>38.25</c:v>
                </c:pt>
                <c:pt idx="527">
                  <c:v>38.25</c:v>
                </c:pt>
                <c:pt idx="528">
                  <c:v>38.25</c:v>
                </c:pt>
                <c:pt idx="529">
                  <c:v>38.25</c:v>
                </c:pt>
                <c:pt idx="530">
                  <c:v>0</c:v>
                </c:pt>
                <c:pt idx="531">
                  <c:v>0</c:v>
                </c:pt>
                <c:pt idx="532">
                  <c:v>38.25</c:v>
                </c:pt>
                <c:pt idx="533">
                  <c:v>38.300000000000004</c:v>
                </c:pt>
                <c:pt idx="534">
                  <c:v>38.349999999999994</c:v>
                </c:pt>
                <c:pt idx="535">
                  <c:v>38.349999999999994</c:v>
                </c:pt>
                <c:pt idx="536">
                  <c:v>38.300000000000004</c:v>
                </c:pt>
                <c:pt idx="537">
                  <c:v>0</c:v>
                </c:pt>
                <c:pt idx="538">
                  <c:v>0</c:v>
                </c:pt>
                <c:pt idx="539">
                  <c:v>38.349999999999994</c:v>
                </c:pt>
                <c:pt idx="540">
                  <c:v>38.4</c:v>
                </c:pt>
                <c:pt idx="541">
                  <c:v>38.4</c:v>
                </c:pt>
                <c:pt idx="542">
                  <c:v>0</c:v>
                </c:pt>
                <c:pt idx="543">
                  <c:v>0</c:v>
                </c:pt>
                <c:pt idx="544">
                  <c:v>0</c:v>
                </c:pt>
                <c:pt idx="545">
                  <c:v>0</c:v>
                </c:pt>
                <c:pt idx="546">
                  <c:v>38.4</c:v>
                </c:pt>
                <c:pt idx="547">
                  <c:v>38.4</c:v>
                </c:pt>
                <c:pt idx="548">
                  <c:v>38.5</c:v>
                </c:pt>
                <c:pt idx="549">
                  <c:v>0</c:v>
                </c:pt>
                <c:pt idx="550">
                  <c:v>38.5</c:v>
                </c:pt>
                <c:pt idx="551">
                  <c:v>0</c:v>
                </c:pt>
                <c:pt idx="552">
                  <c:v>0</c:v>
                </c:pt>
                <c:pt idx="553">
                  <c:v>38.5</c:v>
                </c:pt>
                <c:pt idx="554">
                  <c:v>38.5</c:v>
                </c:pt>
                <c:pt idx="555">
                  <c:v>38.5</c:v>
                </c:pt>
                <c:pt idx="556">
                  <c:v>38.5</c:v>
                </c:pt>
                <c:pt idx="557">
                  <c:v>38.5</c:v>
                </c:pt>
                <c:pt idx="558">
                  <c:v>0</c:v>
                </c:pt>
                <c:pt idx="559">
                  <c:v>0</c:v>
                </c:pt>
                <c:pt idx="560">
                  <c:v>38.550000000000004</c:v>
                </c:pt>
                <c:pt idx="561">
                  <c:v>38.6</c:v>
                </c:pt>
                <c:pt idx="562">
                  <c:v>38.550000000000004</c:v>
                </c:pt>
                <c:pt idx="563">
                  <c:v>38.65</c:v>
                </c:pt>
                <c:pt idx="564">
                  <c:v>38.700000000000003</c:v>
                </c:pt>
                <c:pt idx="565">
                  <c:v>0</c:v>
                </c:pt>
                <c:pt idx="566">
                  <c:v>0</c:v>
                </c:pt>
                <c:pt idx="567">
                  <c:v>38.700000000000003</c:v>
                </c:pt>
                <c:pt idx="568">
                  <c:v>38.700000000000003</c:v>
                </c:pt>
                <c:pt idx="569">
                  <c:v>38.700000000000003</c:v>
                </c:pt>
                <c:pt idx="570">
                  <c:v>38.9</c:v>
                </c:pt>
                <c:pt idx="571">
                  <c:v>39</c:v>
                </c:pt>
                <c:pt idx="572">
                  <c:v>0</c:v>
                </c:pt>
                <c:pt idx="573">
                  <c:v>0</c:v>
                </c:pt>
                <c:pt idx="574">
                  <c:v>0</c:v>
                </c:pt>
                <c:pt idx="575">
                  <c:v>38.9</c:v>
                </c:pt>
                <c:pt idx="576">
                  <c:v>38.800000000000004</c:v>
                </c:pt>
                <c:pt idx="577">
                  <c:v>38.5</c:v>
                </c:pt>
                <c:pt idx="578">
                  <c:v>38.5</c:v>
                </c:pt>
                <c:pt idx="579">
                  <c:v>0</c:v>
                </c:pt>
                <c:pt idx="580">
                  <c:v>0</c:v>
                </c:pt>
                <c:pt idx="581">
                  <c:v>38.5</c:v>
                </c:pt>
                <c:pt idx="582">
                  <c:v>38.5</c:v>
                </c:pt>
                <c:pt idx="583">
                  <c:v>38.550000000000004</c:v>
                </c:pt>
                <c:pt idx="584">
                  <c:v>38.65</c:v>
                </c:pt>
                <c:pt idx="585">
                  <c:v>38.65</c:v>
                </c:pt>
                <c:pt idx="586">
                  <c:v>0</c:v>
                </c:pt>
                <c:pt idx="587">
                  <c:v>0</c:v>
                </c:pt>
                <c:pt idx="588">
                  <c:v>38.65</c:v>
                </c:pt>
                <c:pt idx="589">
                  <c:v>38.65</c:v>
                </c:pt>
                <c:pt idx="590">
                  <c:v>38.65</c:v>
                </c:pt>
                <c:pt idx="591">
                  <c:v>38.800000000000004</c:v>
                </c:pt>
                <c:pt idx="592">
                  <c:v>38.800000000000004</c:v>
                </c:pt>
                <c:pt idx="593">
                  <c:v>0</c:v>
                </c:pt>
                <c:pt idx="594">
                  <c:v>0</c:v>
                </c:pt>
                <c:pt idx="595">
                  <c:v>38.800000000000004</c:v>
                </c:pt>
                <c:pt idx="596">
                  <c:v>38.9</c:v>
                </c:pt>
                <c:pt idx="597">
                  <c:v>38.949999999999996</c:v>
                </c:pt>
                <c:pt idx="598">
                  <c:v>38.849999999999994</c:v>
                </c:pt>
                <c:pt idx="599">
                  <c:v>38.849999999999994</c:v>
                </c:pt>
                <c:pt idx="600">
                  <c:v>0</c:v>
                </c:pt>
                <c:pt idx="601">
                  <c:v>0</c:v>
                </c:pt>
                <c:pt idx="602">
                  <c:v>38.9</c:v>
                </c:pt>
                <c:pt idx="603">
                  <c:v>38.949999999999996</c:v>
                </c:pt>
                <c:pt idx="604">
                  <c:v>38.949999999999996</c:v>
                </c:pt>
                <c:pt idx="605">
                  <c:v>39</c:v>
                </c:pt>
                <c:pt idx="606">
                  <c:v>39.1</c:v>
                </c:pt>
                <c:pt idx="607">
                  <c:v>0</c:v>
                </c:pt>
                <c:pt idx="608">
                  <c:v>0</c:v>
                </c:pt>
                <c:pt idx="609">
                  <c:v>39.200000000000003</c:v>
                </c:pt>
                <c:pt idx="610">
                  <c:v>39.200000000000003</c:v>
                </c:pt>
                <c:pt idx="611">
                  <c:v>39.200000000000003</c:v>
                </c:pt>
                <c:pt idx="612">
                  <c:v>39.200000000000003</c:v>
                </c:pt>
                <c:pt idx="613">
                  <c:v>39.300000000000004</c:v>
                </c:pt>
                <c:pt idx="614">
                  <c:v>0</c:v>
                </c:pt>
                <c:pt idx="615">
                  <c:v>0</c:v>
                </c:pt>
                <c:pt idx="616">
                  <c:v>39.300000000000004</c:v>
                </c:pt>
                <c:pt idx="617">
                  <c:v>39.5</c:v>
                </c:pt>
                <c:pt idx="618">
                  <c:v>39.550000000000004</c:v>
                </c:pt>
                <c:pt idx="619">
                  <c:v>39.700000000000003</c:v>
                </c:pt>
                <c:pt idx="620">
                  <c:v>39.700000000000003</c:v>
                </c:pt>
                <c:pt idx="621">
                  <c:v>0</c:v>
                </c:pt>
                <c:pt idx="622">
                  <c:v>0</c:v>
                </c:pt>
                <c:pt idx="623">
                  <c:v>39.75</c:v>
                </c:pt>
                <c:pt idx="624">
                  <c:v>39.700000000000003</c:v>
                </c:pt>
                <c:pt idx="625">
                  <c:v>39.75</c:v>
                </c:pt>
                <c:pt idx="626">
                  <c:v>39.75</c:v>
                </c:pt>
                <c:pt idx="627">
                  <c:v>39.75</c:v>
                </c:pt>
                <c:pt idx="628">
                  <c:v>0</c:v>
                </c:pt>
                <c:pt idx="629">
                  <c:v>0</c:v>
                </c:pt>
                <c:pt idx="630">
                  <c:v>39.75</c:v>
                </c:pt>
                <c:pt idx="631">
                  <c:v>39.849999999999994</c:v>
                </c:pt>
                <c:pt idx="632">
                  <c:v>39.9</c:v>
                </c:pt>
                <c:pt idx="633">
                  <c:v>39.9</c:v>
                </c:pt>
                <c:pt idx="634">
                  <c:v>39.849999999999994</c:v>
                </c:pt>
                <c:pt idx="635">
                  <c:v>0</c:v>
                </c:pt>
                <c:pt idx="636">
                  <c:v>0</c:v>
                </c:pt>
                <c:pt idx="637">
                  <c:v>39.849999999999994</c:v>
                </c:pt>
                <c:pt idx="638">
                  <c:v>39.9</c:v>
                </c:pt>
                <c:pt idx="639">
                  <c:v>39.9</c:v>
                </c:pt>
                <c:pt idx="640">
                  <c:v>39.9</c:v>
                </c:pt>
                <c:pt idx="641">
                  <c:v>0</c:v>
                </c:pt>
                <c:pt idx="642">
                  <c:v>0</c:v>
                </c:pt>
                <c:pt idx="643">
                  <c:v>0</c:v>
                </c:pt>
                <c:pt idx="644">
                  <c:v>0</c:v>
                </c:pt>
                <c:pt idx="645">
                  <c:v>39.9</c:v>
                </c:pt>
                <c:pt idx="646">
                  <c:v>39.9</c:v>
                </c:pt>
                <c:pt idx="647">
                  <c:v>39.9</c:v>
                </c:pt>
                <c:pt idx="648">
                  <c:v>39.9</c:v>
                </c:pt>
                <c:pt idx="649">
                  <c:v>0</c:v>
                </c:pt>
                <c:pt idx="650">
                  <c:v>0</c:v>
                </c:pt>
                <c:pt idx="651">
                  <c:v>39.9</c:v>
                </c:pt>
                <c:pt idx="652">
                  <c:v>39.949999999999996</c:v>
                </c:pt>
                <c:pt idx="653">
                  <c:v>39.9</c:v>
                </c:pt>
                <c:pt idx="654">
                  <c:v>39.900000000000006</c:v>
                </c:pt>
                <c:pt idx="655">
                  <c:v>39.900000000000006</c:v>
                </c:pt>
                <c:pt idx="656">
                  <c:v>0</c:v>
                </c:pt>
                <c:pt idx="657">
                  <c:v>0</c:v>
                </c:pt>
                <c:pt idx="658">
                  <c:v>40</c:v>
                </c:pt>
                <c:pt idx="659">
                  <c:v>40</c:v>
                </c:pt>
                <c:pt idx="660">
                  <c:v>39.900000000000006</c:v>
                </c:pt>
                <c:pt idx="661">
                  <c:v>39.900000000000006</c:v>
                </c:pt>
                <c:pt idx="662">
                  <c:v>39.900000000000006</c:v>
                </c:pt>
                <c:pt idx="663">
                  <c:v>0</c:v>
                </c:pt>
                <c:pt idx="664">
                  <c:v>0</c:v>
                </c:pt>
                <c:pt idx="665">
                  <c:v>39.900000000000006</c:v>
                </c:pt>
                <c:pt idx="666">
                  <c:v>40</c:v>
                </c:pt>
                <c:pt idx="667">
                  <c:v>40</c:v>
                </c:pt>
                <c:pt idx="668">
                  <c:v>40</c:v>
                </c:pt>
                <c:pt idx="669">
                  <c:v>40</c:v>
                </c:pt>
                <c:pt idx="670">
                  <c:v>0</c:v>
                </c:pt>
                <c:pt idx="671">
                  <c:v>0</c:v>
                </c:pt>
                <c:pt idx="672">
                  <c:v>40</c:v>
                </c:pt>
                <c:pt idx="673">
                  <c:v>40</c:v>
                </c:pt>
                <c:pt idx="674">
                  <c:v>40</c:v>
                </c:pt>
                <c:pt idx="675">
                  <c:v>40</c:v>
                </c:pt>
                <c:pt idx="676">
                  <c:v>40</c:v>
                </c:pt>
                <c:pt idx="677">
                  <c:v>0</c:v>
                </c:pt>
                <c:pt idx="678">
                  <c:v>0</c:v>
                </c:pt>
                <c:pt idx="679">
                  <c:v>40</c:v>
                </c:pt>
                <c:pt idx="680">
                  <c:v>40</c:v>
                </c:pt>
                <c:pt idx="681">
                  <c:v>40</c:v>
                </c:pt>
                <c:pt idx="682">
                  <c:v>40</c:v>
                </c:pt>
                <c:pt idx="683">
                  <c:v>40</c:v>
                </c:pt>
                <c:pt idx="684">
                  <c:v>0</c:v>
                </c:pt>
                <c:pt idx="685">
                  <c:v>0</c:v>
                </c:pt>
                <c:pt idx="686">
                  <c:v>39.75</c:v>
                </c:pt>
                <c:pt idx="687">
                  <c:v>39.800000000000004</c:v>
                </c:pt>
                <c:pt idx="688">
                  <c:v>39.800000000000004</c:v>
                </c:pt>
                <c:pt idx="689">
                  <c:v>39.800000000000004</c:v>
                </c:pt>
                <c:pt idx="690">
                  <c:v>39.800000000000004</c:v>
                </c:pt>
                <c:pt idx="691">
                  <c:v>0</c:v>
                </c:pt>
                <c:pt idx="692">
                  <c:v>0</c:v>
                </c:pt>
                <c:pt idx="693">
                  <c:v>39.800000000000004</c:v>
                </c:pt>
                <c:pt idx="694">
                  <c:v>39.800000000000004</c:v>
                </c:pt>
                <c:pt idx="695">
                  <c:v>39.800000000000004</c:v>
                </c:pt>
                <c:pt idx="696">
                  <c:v>39.800000000000004</c:v>
                </c:pt>
                <c:pt idx="697">
                  <c:v>39.800000000000004</c:v>
                </c:pt>
                <c:pt idx="698">
                  <c:v>0</c:v>
                </c:pt>
                <c:pt idx="699">
                  <c:v>0</c:v>
                </c:pt>
                <c:pt idx="700">
                  <c:v>39.800000000000004</c:v>
                </c:pt>
                <c:pt idx="701">
                  <c:v>39.800000000000004</c:v>
                </c:pt>
                <c:pt idx="702">
                  <c:v>39.800000000000004</c:v>
                </c:pt>
                <c:pt idx="703">
                  <c:v>39.800000000000004</c:v>
                </c:pt>
                <c:pt idx="704">
                  <c:v>39.800000000000004</c:v>
                </c:pt>
                <c:pt idx="705">
                  <c:v>0</c:v>
                </c:pt>
                <c:pt idx="706">
                  <c:v>0</c:v>
                </c:pt>
                <c:pt idx="707">
                  <c:v>0</c:v>
                </c:pt>
                <c:pt idx="708">
                  <c:v>39.800000000000004</c:v>
                </c:pt>
                <c:pt idx="709">
                  <c:v>39.800000000000004</c:v>
                </c:pt>
                <c:pt idx="710">
                  <c:v>39.849999999999994</c:v>
                </c:pt>
                <c:pt idx="711">
                  <c:v>39.849999999999994</c:v>
                </c:pt>
                <c:pt idx="712">
                  <c:v>0</c:v>
                </c:pt>
                <c:pt idx="713">
                  <c:v>0</c:v>
                </c:pt>
                <c:pt idx="714">
                  <c:v>39.849999999999994</c:v>
                </c:pt>
                <c:pt idx="715">
                  <c:v>39.849999999999994</c:v>
                </c:pt>
                <c:pt idx="716">
                  <c:v>39.849999999999994</c:v>
                </c:pt>
                <c:pt idx="717">
                  <c:v>39.849999999999994</c:v>
                </c:pt>
                <c:pt idx="718">
                  <c:v>39.849999999999994</c:v>
                </c:pt>
                <c:pt idx="719">
                  <c:v>0</c:v>
                </c:pt>
                <c:pt idx="720">
                  <c:v>0</c:v>
                </c:pt>
                <c:pt idx="721">
                  <c:v>39.849999999999994</c:v>
                </c:pt>
                <c:pt idx="722">
                  <c:v>39.800000000000004</c:v>
                </c:pt>
                <c:pt idx="723">
                  <c:v>39.800000000000004</c:v>
                </c:pt>
                <c:pt idx="724">
                  <c:v>39.800000000000004</c:v>
                </c:pt>
                <c:pt idx="725">
                  <c:v>39.900000000000006</c:v>
                </c:pt>
                <c:pt idx="726">
                  <c:v>0</c:v>
                </c:pt>
                <c:pt idx="727">
                  <c:v>0</c:v>
                </c:pt>
                <c:pt idx="728">
                  <c:v>39.849999999999994</c:v>
                </c:pt>
                <c:pt idx="729">
                  <c:v>39.800000000000004</c:v>
                </c:pt>
                <c:pt idx="730">
                  <c:v>39.800000000000004</c:v>
                </c:pt>
                <c:pt idx="731">
                  <c:v>39.800000000000004</c:v>
                </c:pt>
                <c:pt idx="732">
                  <c:v>39.800000000000004</c:v>
                </c:pt>
                <c:pt idx="733">
                  <c:v>0</c:v>
                </c:pt>
                <c:pt idx="734">
                  <c:v>0</c:v>
                </c:pt>
                <c:pt idx="735">
                  <c:v>39.800000000000004</c:v>
                </c:pt>
                <c:pt idx="736">
                  <c:v>39.949999999999996</c:v>
                </c:pt>
                <c:pt idx="737">
                  <c:v>39.949999999999996</c:v>
                </c:pt>
                <c:pt idx="738">
                  <c:v>39.949999999999996</c:v>
                </c:pt>
                <c:pt idx="739">
                  <c:v>39.949999999999996</c:v>
                </c:pt>
                <c:pt idx="740">
                  <c:v>0</c:v>
                </c:pt>
                <c:pt idx="741">
                  <c:v>0</c:v>
                </c:pt>
                <c:pt idx="742">
                  <c:v>39.949999999999996</c:v>
                </c:pt>
                <c:pt idx="743">
                  <c:v>39.900000000000006</c:v>
                </c:pt>
                <c:pt idx="744">
                  <c:v>39.900000000000006</c:v>
                </c:pt>
                <c:pt idx="745">
                  <c:v>39.900000000000006</c:v>
                </c:pt>
                <c:pt idx="746">
                  <c:v>39.900000000000006</c:v>
                </c:pt>
                <c:pt idx="747">
                  <c:v>0</c:v>
                </c:pt>
                <c:pt idx="748">
                  <c:v>0</c:v>
                </c:pt>
                <c:pt idx="749">
                  <c:v>39.900000000000006</c:v>
                </c:pt>
                <c:pt idx="750">
                  <c:v>39.900000000000006</c:v>
                </c:pt>
                <c:pt idx="751">
                  <c:v>39.900000000000006</c:v>
                </c:pt>
                <c:pt idx="752">
                  <c:v>39.900000000000006</c:v>
                </c:pt>
                <c:pt idx="753">
                  <c:v>39.900000000000006</c:v>
                </c:pt>
                <c:pt idx="754">
                  <c:v>0</c:v>
                </c:pt>
                <c:pt idx="755">
                  <c:v>0</c:v>
                </c:pt>
                <c:pt idx="756">
                  <c:v>39.900000000000006</c:v>
                </c:pt>
                <c:pt idx="757">
                  <c:v>39.849999999999994</c:v>
                </c:pt>
                <c:pt idx="758">
                  <c:v>39.900000000000006</c:v>
                </c:pt>
                <c:pt idx="759">
                  <c:v>39.900000000000006</c:v>
                </c:pt>
                <c:pt idx="760">
                  <c:v>39.900000000000006</c:v>
                </c:pt>
                <c:pt idx="761">
                  <c:v>0</c:v>
                </c:pt>
                <c:pt idx="762">
                  <c:v>0</c:v>
                </c:pt>
                <c:pt idx="763">
                  <c:v>39.900000000000006</c:v>
                </c:pt>
                <c:pt idx="764">
                  <c:v>39.900000000000006</c:v>
                </c:pt>
                <c:pt idx="765">
                  <c:v>39.900000000000006</c:v>
                </c:pt>
                <c:pt idx="766">
                  <c:v>39.900000000000006</c:v>
                </c:pt>
                <c:pt idx="767">
                  <c:v>39.900000000000006</c:v>
                </c:pt>
                <c:pt idx="768">
                  <c:v>0</c:v>
                </c:pt>
                <c:pt idx="769">
                  <c:v>0</c:v>
                </c:pt>
                <c:pt idx="770">
                  <c:v>39.900000000000006</c:v>
                </c:pt>
                <c:pt idx="771">
                  <c:v>39.900000000000006</c:v>
                </c:pt>
                <c:pt idx="772">
                  <c:v>39.849999999999994</c:v>
                </c:pt>
                <c:pt idx="773">
                  <c:v>39.849999999999994</c:v>
                </c:pt>
                <c:pt idx="774">
                  <c:v>39.849999999999994</c:v>
                </c:pt>
                <c:pt idx="775">
                  <c:v>0</c:v>
                </c:pt>
                <c:pt idx="776">
                  <c:v>0</c:v>
                </c:pt>
                <c:pt idx="777">
                  <c:v>39.849999999999994</c:v>
                </c:pt>
                <c:pt idx="778">
                  <c:v>39.849999999999994</c:v>
                </c:pt>
                <c:pt idx="779">
                  <c:v>39.849999999999994</c:v>
                </c:pt>
                <c:pt idx="780">
                  <c:v>39.849999999999994</c:v>
                </c:pt>
                <c:pt idx="781">
                  <c:v>39.849999999999994</c:v>
                </c:pt>
                <c:pt idx="782">
                  <c:v>0</c:v>
                </c:pt>
                <c:pt idx="783">
                  <c:v>0</c:v>
                </c:pt>
                <c:pt idx="784">
                  <c:v>39.849999999999994</c:v>
                </c:pt>
                <c:pt idx="785">
                  <c:v>39.849999999999994</c:v>
                </c:pt>
                <c:pt idx="786">
                  <c:v>39.849999999999994</c:v>
                </c:pt>
                <c:pt idx="787">
                  <c:v>39.849999999999994</c:v>
                </c:pt>
                <c:pt idx="788">
                  <c:v>39.849999999999994</c:v>
                </c:pt>
                <c:pt idx="789">
                  <c:v>0</c:v>
                </c:pt>
                <c:pt idx="790">
                  <c:v>0</c:v>
                </c:pt>
                <c:pt idx="791">
                  <c:v>39.849999999999994</c:v>
                </c:pt>
                <c:pt idx="792">
                  <c:v>39.849999999999994</c:v>
                </c:pt>
                <c:pt idx="793">
                  <c:v>39.849999999999994</c:v>
                </c:pt>
                <c:pt idx="794">
                  <c:v>39.849999999999994</c:v>
                </c:pt>
                <c:pt idx="795">
                  <c:v>39.849999999999994</c:v>
                </c:pt>
                <c:pt idx="796">
                  <c:v>0</c:v>
                </c:pt>
                <c:pt idx="797">
                  <c:v>0</c:v>
                </c:pt>
                <c:pt idx="798">
                  <c:v>39.849999999999994</c:v>
                </c:pt>
                <c:pt idx="799">
                  <c:v>39.849999999999994</c:v>
                </c:pt>
                <c:pt idx="800">
                  <c:v>39.849999999999994</c:v>
                </c:pt>
                <c:pt idx="801">
                  <c:v>39.849999999999994</c:v>
                </c:pt>
                <c:pt idx="802">
                  <c:v>39.849999999999994</c:v>
                </c:pt>
                <c:pt idx="803">
                  <c:v>0</c:v>
                </c:pt>
                <c:pt idx="804">
                  <c:v>0</c:v>
                </c:pt>
                <c:pt idx="805">
                  <c:v>39.849999999999994</c:v>
                </c:pt>
                <c:pt idx="806">
                  <c:v>39.849999999999994</c:v>
                </c:pt>
                <c:pt idx="807">
                  <c:v>39.849999999999994</c:v>
                </c:pt>
                <c:pt idx="808">
                  <c:v>39.849999999999994</c:v>
                </c:pt>
                <c:pt idx="809">
                  <c:v>39.849999999999994</c:v>
                </c:pt>
                <c:pt idx="810">
                  <c:v>0</c:v>
                </c:pt>
                <c:pt idx="811">
                  <c:v>0</c:v>
                </c:pt>
                <c:pt idx="812">
                  <c:v>39.849999999999994</c:v>
                </c:pt>
                <c:pt idx="813">
                  <c:v>39.849999999999994</c:v>
                </c:pt>
                <c:pt idx="814">
                  <c:v>39.849999999999994</c:v>
                </c:pt>
                <c:pt idx="815">
                  <c:v>39.949999999999996</c:v>
                </c:pt>
                <c:pt idx="816">
                  <c:v>39.949999999999996</c:v>
                </c:pt>
                <c:pt idx="817">
                  <c:v>0</c:v>
                </c:pt>
                <c:pt idx="818">
                  <c:v>0</c:v>
                </c:pt>
                <c:pt idx="819">
                  <c:v>39.949999999999996</c:v>
                </c:pt>
                <c:pt idx="820">
                  <c:v>39.949999999999996</c:v>
                </c:pt>
                <c:pt idx="821">
                  <c:v>39.949999999999996</c:v>
                </c:pt>
                <c:pt idx="822">
                  <c:v>39.949999999999996</c:v>
                </c:pt>
                <c:pt idx="823">
                  <c:v>39.949999999999996</c:v>
                </c:pt>
                <c:pt idx="824">
                  <c:v>0</c:v>
                </c:pt>
                <c:pt idx="825">
                  <c:v>0</c:v>
                </c:pt>
                <c:pt idx="826">
                  <c:v>39.949999999999996</c:v>
                </c:pt>
                <c:pt idx="827">
                  <c:v>39.949999999999996</c:v>
                </c:pt>
                <c:pt idx="828">
                  <c:v>39.949999999999996</c:v>
                </c:pt>
                <c:pt idx="829">
                  <c:v>39.949999999999996</c:v>
                </c:pt>
                <c:pt idx="830">
                  <c:v>39.949999999999996</c:v>
                </c:pt>
                <c:pt idx="831">
                  <c:v>0</c:v>
                </c:pt>
                <c:pt idx="832">
                  <c:v>0</c:v>
                </c:pt>
                <c:pt idx="833">
                  <c:v>39.949999999999996</c:v>
                </c:pt>
                <c:pt idx="834">
                  <c:v>39.949999999999996</c:v>
                </c:pt>
                <c:pt idx="835">
                  <c:v>39.949999999999996</c:v>
                </c:pt>
                <c:pt idx="836">
                  <c:v>39.949999999999996</c:v>
                </c:pt>
                <c:pt idx="837">
                  <c:v>39.949999999999996</c:v>
                </c:pt>
                <c:pt idx="838">
                  <c:v>0</c:v>
                </c:pt>
                <c:pt idx="839">
                  <c:v>0</c:v>
                </c:pt>
                <c:pt idx="840">
                  <c:v>39.949999999999996</c:v>
                </c:pt>
                <c:pt idx="841">
                  <c:v>39.949999999999996</c:v>
                </c:pt>
                <c:pt idx="842">
                  <c:v>39.949999999999996</c:v>
                </c:pt>
                <c:pt idx="843">
                  <c:v>39.949999999999996</c:v>
                </c:pt>
                <c:pt idx="844">
                  <c:v>39.949999999999996</c:v>
                </c:pt>
                <c:pt idx="845">
                  <c:v>0</c:v>
                </c:pt>
                <c:pt idx="846">
                  <c:v>0</c:v>
                </c:pt>
                <c:pt idx="847">
                  <c:v>39.949999999999996</c:v>
                </c:pt>
                <c:pt idx="848">
                  <c:v>39.949999999999996</c:v>
                </c:pt>
                <c:pt idx="849">
                  <c:v>39.949999999999996</c:v>
                </c:pt>
                <c:pt idx="850">
                  <c:v>39.949999999999996</c:v>
                </c:pt>
                <c:pt idx="851">
                  <c:v>39.949999999999996</c:v>
                </c:pt>
                <c:pt idx="852">
                  <c:v>0</c:v>
                </c:pt>
                <c:pt idx="853">
                  <c:v>0</c:v>
                </c:pt>
                <c:pt idx="854">
                  <c:v>39.949999999999996</c:v>
                </c:pt>
                <c:pt idx="855">
                  <c:v>39.949999999999996</c:v>
                </c:pt>
                <c:pt idx="856">
                  <c:v>39.949999999999996</c:v>
                </c:pt>
                <c:pt idx="857">
                  <c:v>39.949999999999996</c:v>
                </c:pt>
                <c:pt idx="858">
                  <c:v>39.949999999999996</c:v>
                </c:pt>
                <c:pt idx="859">
                  <c:v>0</c:v>
                </c:pt>
                <c:pt idx="860">
                  <c:v>0</c:v>
                </c:pt>
                <c:pt idx="861">
                  <c:v>39.949999999999996</c:v>
                </c:pt>
                <c:pt idx="862">
                  <c:v>39.949999999999996</c:v>
                </c:pt>
                <c:pt idx="863">
                  <c:v>39.949999999999996</c:v>
                </c:pt>
                <c:pt idx="864">
                  <c:v>39.949999999999996</c:v>
                </c:pt>
                <c:pt idx="865">
                  <c:v>39.949999999999996</c:v>
                </c:pt>
                <c:pt idx="866">
                  <c:v>0</c:v>
                </c:pt>
                <c:pt idx="867">
                  <c:v>0</c:v>
                </c:pt>
                <c:pt idx="868">
                  <c:v>39.949999999999996</c:v>
                </c:pt>
                <c:pt idx="869">
                  <c:v>39.949999999999996</c:v>
                </c:pt>
                <c:pt idx="870">
                  <c:v>39.949999999999996</c:v>
                </c:pt>
                <c:pt idx="871">
                  <c:v>39.949999999999996</c:v>
                </c:pt>
                <c:pt idx="872">
                  <c:v>39.949999999999996</c:v>
                </c:pt>
                <c:pt idx="873">
                  <c:v>0</c:v>
                </c:pt>
                <c:pt idx="874">
                  <c:v>0</c:v>
                </c:pt>
                <c:pt idx="875">
                  <c:v>39.949999999999996</c:v>
                </c:pt>
                <c:pt idx="876">
                  <c:v>39.949999999999996</c:v>
                </c:pt>
                <c:pt idx="877">
                  <c:v>39.949999999999996</c:v>
                </c:pt>
                <c:pt idx="878">
                  <c:v>39.949999999999996</c:v>
                </c:pt>
                <c:pt idx="879">
                  <c:v>39.949999999999996</c:v>
                </c:pt>
                <c:pt idx="880">
                  <c:v>0</c:v>
                </c:pt>
                <c:pt idx="881">
                  <c:v>0</c:v>
                </c:pt>
                <c:pt idx="882">
                  <c:v>39.949999999999996</c:v>
                </c:pt>
                <c:pt idx="883">
                  <c:v>39.949999999999996</c:v>
                </c:pt>
                <c:pt idx="884">
                  <c:v>39.949999999999996</c:v>
                </c:pt>
                <c:pt idx="885">
                  <c:v>39.949999999999996</c:v>
                </c:pt>
                <c:pt idx="886">
                  <c:v>39.949999999999996</c:v>
                </c:pt>
                <c:pt idx="887">
                  <c:v>0</c:v>
                </c:pt>
                <c:pt idx="888">
                  <c:v>0</c:v>
                </c:pt>
                <c:pt idx="889">
                  <c:v>39.949999999999996</c:v>
                </c:pt>
                <c:pt idx="890">
                  <c:v>39.949999999999996</c:v>
                </c:pt>
                <c:pt idx="891">
                  <c:v>39.949999999999996</c:v>
                </c:pt>
                <c:pt idx="892">
                  <c:v>39.949999999999996</c:v>
                </c:pt>
                <c:pt idx="893">
                  <c:v>39.900000000000006</c:v>
                </c:pt>
                <c:pt idx="894">
                  <c:v>0</c:v>
                </c:pt>
                <c:pt idx="895">
                  <c:v>0</c:v>
                </c:pt>
                <c:pt idx="896">
                  <c:v>39.900000000000006</c:v>
                </c:pt>
                <c:pt idx="897">
                  <c:v>39.900000000000006</c:v>
                </c:pt>
                <c:pt idx="898">
                  <c:v>39.900000000000006</c:v>
                </c:pt>
                <c:pt idx="899">
                  <c:v>39.900000000000006</c:v>
                </c:pt>
                <c:pt idx="900">
                  <c:v>39.900000000000006</c:v>
                </c:pt>
                <c:pt idx="901">
                  <c:v>0</c:v>
                </c:pt>
                <c:pt idx="902">
                  <c:v>0</c:v>
                </c:pt>
                <c:pt idx="903">
                  <c:v>39.949999999999996</c:v>
                </c:pt>
                <c:pt idx="904">
                  <c:v>39.900000000000006</c:v>
                </c:pt>
                <c:pt idx="905">
                  <c:v>39.900000000000006</c:v>
                </c:pt>
                <c:pt idx="906">
                  <c:v>39.900000000000006</c:v>
                </c:pt>
                <c:pt idx="907">
                  <c:v>0</c:v>
                </c:pt>
                <c:pt idx="908">
                  <c:v>0</c:v>
                </c:pt>
                <c:pt idx="909">
                  <c:v>0</c:v>
                </c:pt>
                <c:pt idx="910">
                  <c:v>0</c:v>
                </c:pt>
                <c:pt idx="911">
                  <c:v>39.900000000000006</c:v>
                </c:pt>
                <c:pt idx="912">
                  <c:v>39.900000000000006</c:v>
                </c:pt>
                <c:pt idx="913">
                  <c:v>39.900000000000006</c:v>
                </c:pt>
                <c:pt idx="914">
                  <c:v>0</c:v>
                </c:pt>
                <c:pt idx="915">
                  <c:v>0</c:v>
                </c:pt>
                <c:pt idx="916">
                  <c:v>0</c:v>
                </c:pt>
                <c:pt idx="917">
                  <c:v>39.900000000000006</c:v>
                </c:pt>
                <c:pt idx="918">
                  <c:v>39.900000000000006</c:v>
                </c:pt>
                <c:pt idx="919">
                  <c:v>39.900000000000006</c:v>
                </c:pt>
                <c:pt idx="920">
                  <c:v>39.900000000000006</c:v>
                </c:pt>
                <c:pt idx="921">
                  <c:v>39.900000000000006</c:v>
                </c:pt>
                <c:pt idx="922">
                  <c:v>0</c:v>
                </c:pt>
                <c:pt idx="923">
                  <c:v>0</c:v>
                </c:pt>
                <c:pt idx="924">
                  <c:v>39.949999999999996</c:v>
                </c:pt>
                <c:pt idx="925">
                  <c:v>39.949999999999996</c:v>
                </c:pt>
                <c:pt idx="926">
                  <c:v>39.900000000000006</c:v>
                </c:pt>
                <c:pt idx="927">
                  <c:v>39.900000000000006</c:v>
                </c:pt>
                <c:pt idx="928">
                  <c:v>39.900000000000006</c:v>
                </c:pt>
                <c:pt idx="929">
                  <c:v>0</c:v>
                </c:pt>
                <c:pt idx="930">
                  <c:v>0</c:v>
                </c:pt>
                <c:pt idx="931">
                  <c:v>39.949999999999996</c:v>
                </c:pt>
                <c:pt idx="932">
                  <c:v>39.949999999999996</c:v>
                </c:pt>
                <c:pt idx="933">
                  <c:v>39.949999999999996</c:v>
                </c:pt>
                <c:pt idx="934">
                  <c:v>39.900000000000006</c:v>
                </c:pt>
                <c:pt idx="935">
                  <c:v>39.900000000000006</c:v>
                </c:pt>
                <c:pt idx="936">
                  <c:v>0</c:v>
                </c:pt>
                <c:pt idx="937">
                  <c:v>0</c:v>
                </c:pt>
                <c:pt idx="938">
                  <c:v>39.900000000000006</c:v>
                </c:pt>
                <c:pt idx="939">
                  <c:v>0</c:v>
                </c:pt>
                <c:pt idx="940">
                  <c:v>39.949999999999996</c:v>
                </c:pt>
                <c:pt idx="941">
                  <c:v>39.949999999999996</c:v>
                </c:pt>
                <c:pt idx="942">
                  <c:v>39.949999999999996</c:v>
                </c:pt>
                <c:pt idx="943">
                  <c:v>0</c:v>
                </c:pt>
                <c:pt idx="944">
                  <c:v>0</c:v>
                </c:pt>
                <c:pt idx="945">
                  <c:v>39.900000000000006</c:v>
                </c:pt>
                <c:pt idx="946">
                  <c:v>40</c:v>
                </c:pt>
                <c:pt idx="947">
                  <c:v>40</c:v>
                </c:pt>
                <c:pt idx="948">
                  <c:v>40</c:v>
                </c:pt>
                <c:pt idx="949">
                  <c:v>40</c:v>
                </c:pt>
                <c:pt idx="950">
                  <c:v>0</c:v>
                </c:pt>
                <c:pt idx="951">
                  <c:v>0</c:v>
                </c:pt>
                <c:pt idx="952">
                  <c:v>40</c:v>
                </c:pt>
                <c:pt idx="953">
                  <c:v>39.949999999999996</c:v>
                </c:pt>
                <c:pt idx="954">
                  <c:v>39.949999999999996</c:v>
                </c:pt>
                <c:pt idx="955">
                  <c:v>39.949999999999996</c:v>
                </c:pt>
                <c:pt idx="956">
                  <c:v>39.949999999999996</c:v>
                </c:pt>
                <c:pt idx="957">
                  <c:v>0</c:v>
                </c:pt>
                <c:pt idx="958">
                  <c:v>0</c:v>
                </c:pt>
                <c:pt idx="959">
                  <c:v>39.949999999999996</c:v>
                </c:pt>
                <c:pt idx="960">
                  <c:v>39.949999999999996</c:v>
                </c:pt>
                <c:pt idx="961">
                  <c:v>39.949999999999996</c:v>
                </c:pt>
                <c:pt idx="962">
                  <c:v>39.949999999999996</c:v>
                </c:pt>
                <c:pt idx="963">
                  <c:v>39.949999999999996</c:v>
                </c:pt>
                <c:pt idx="964">
                  <c:v>0</c:v>
                </c:pt>
                <c:pt idx="965">
                  <c:v>0</c:v>
                </c:pt>
                <c:pt idx="966">
                  <c:v>39.900000000000006</c:v>
                </c:pt>
                <c:pt idx="967">
                  <c:v>39.900000000000006</c:v>
                </c:pt>
                <c:pt idx="968">
                  <c:v>39.900000000000006</c:v>
                </c:pt>
                <c:pt idx="969">
                  <c:v>39.900000000000006</c:v>
                </c:pt>
                <c:pt idx="970">
                  <c:v>39.900000000000006</c:v>
                </c:pt>
                <c:pt idx="971">
                  <c:v>0</c:v>
                </c:pt>
                <c:pt idx="972">
                  <c:v>0</c:v>
                </c:pt>
                <c:pt idx="973">
                  <c:v>39.900000000000006</c:v>
                </c:pt>
                <c:pt idx="974">
                  <c:v>39.900000000000006</c:v>
                </c:pt>
                <c:pt idx="975">
                  <c:v>0</c:v>
                </c:pt>
                <c:pt idx="976">
                  <c:v>39.900000000000006</c:v>
                </c:pt>
                <c:pt idx="977">
                  <c:v>39.900000000000006</c:v>
                </c:pt>
                <c:pt idx="978">
                  <c:v>0</c:v>
                </c:pt>
                <c:pt idx="979">
                  <c:v>0</c:v>
                </c:pt>
                <c:pt idx="980">
                  <c:v>39.900000000000006</c:v>
                </c:pt>
                <c:pt idx="981">
                  <c:v>39.900000000000006</c:v>
                </c:pt>
                <c:pt idx="982">
                  <c:v>39.900000000000006</c:v>
                </c:pt>
                <c:pt idx="983">
                  <c:v>39.900000000000006</c:v>
                </c:pt>
                <c:pt idx="984">
                  <c:v>39.900000000000006</c:v>
                </c:pt>
                <c:pt idx="985">
                  <c:v>0</c:v>
                </c:pt>
                <c:pt idx="986">
                  <c:v>0</c:v>
                </c:pt>
                <c:pt idx="987">
                  <c:v>39.900000000000006</c:v>
                </c:pt>
                <c:pt idx="988">
                  <c:v>39.900000000000006</c:v>
                </c:pt>
                <c:pt idx="989">
                  <c:v>39.900000000000006</c:v>
                </c:pt>
                <c:pt idx="990">
                  <c:v>39.900000000000006</c:v>
                </c:pt>
                <c:pt idx="991">
                  <c:v>39.900000000000006</c:v>
                </c:pt>
                <c:pt idx="992">
                  <c:v>0</c:v>
                </c:pt>
                <c:pt idx="993">
                  <c:v>0</c:v>
                </c:pt>
                <c:pt idx="994">
                  <c:v>39.900000000000006</c:v>
                </c:pt>
                <c:pt idx="995">
                  <c:v>39.900000000000006</c:v>
                </c:pt>
                <c:pt idx="996">
                  <c:v>39.900000000000006</c:v>
                </c:pt>
                <c:pt idx="997">
                  <c:v>39.900000000000006</c:v>
                </c:pt>
                <c:pt idx="998">
                  <c:v>0</c:v>
                </c:pt>
                <c:pt idx="999">
                  <c:v>0</c:v>
                </c:pt>
                <c:pt idx="1000">
                  <c:v>0</c:v>
                </c:pt>
                <c:pt idx="1001">
                  <c:v>0</c:v>
                </c:pt>
                <c:pt idx="1002">
                  <c:v>39.900000000000006</c:v>
                </c:pt>
                <c:pt idx="1003">
                  <c:v>39.900000000000006</c:v>
                </c:pt>
                <c:pt idx="1004">
                  <c:v>39.900000000000006</c:v>
                </c:pt>
                <c:pt idx="1005">
                  <c:v>39.900000000000006</c:v>
                </c:pt>
                <c:pt idx="1006">
                  <c:v>0</c:v>
                </c:pt>
                <c:pt idx="1007">
                  <c:v>0</c:v>
                </c:pt>
                <c:pt idx="1008">
                  <c:v>39.900000000000006</c:v>
                </c:pt>
                <c:pt idx="1009">
                  <c:v>39.900000000000006</c:v>
                </c:pt>
                <c:pt idx="1010">
                  <c:v>39.900000000000006</c:v>
                </c:pt>
                <c:pt idx="1011">
                  <c:v>39.900000000000006</c:v>
                </c:pt>
                <c:pt idx="1012">
                  <c:v>39.900000000000006</c:v>
                </c:pt>
                <c:pt idx="1013">
                  <c:v>0</c:v>
                </c:pt>
                <c:pt idx="1014">
                  <c:v>0</c:v>
                </c:pt>
                <c:pt idx="1015">
                  <c:v>39.900000000000006</c:v>
                </c:pt>
                <c:pt idx="1016">
                  <c:v>39.900000000000006</c:v>
                </c:pt>
                <c:pt idx="1017">
                  <c:v>39.900000000000006</c:v>
                </c:pt>
                <c:pt idx="1018">
                  <c:v>39.900000000000006</c:v>
                </c:pt>
                <c:pt idx="1019">
                  <c:v>39.900000000000006</c:v>
                </c:pt>
                <c:pt idx="1020">
                  <c:v>0</c:v>
                </c:pt>
                <c:pt idx="1021">
                  <c:v>0</c:v>
                </c:pt>
                <c:pt idx="1022">
                  <c:v>39.900000000000006</c:v>
                </c:pt>
                <c:pt idx="1023">
                  <c:v>39.900000000000006</c:v>
                </c:pt>
                <c:pt idx="1024">
                  <c:v>39.900000000000006</c:v>
                </c:pt>
                <c:pt idx="1025">
                  <c:v>39.900000000000006</c:v>
                </c:pt>
                <c:pt idx="1026">
                  <c:v>39.900000000000006</c:v>
                </c:pt>
                <c:pt idx="1027">
                  <c:v>0</c:v>
                </c:pt>
                <c:pt idx="1028">
                  <c:v>0</c:v>
                </c:pt>
                <c:pt idx="1029">
                  <c:v>0</c:v>
                </c:pt>
                <c:pt idx="1030">
                  <c:v>39.900000000000006</c:v>
                </c:pt>
                <c:pt idx="1031">
                  <c:v>39.900000000000006</c:v>
                </c:pt>
                <c:pt idx="1032">
                  <c:v>39.900000000000006</c:v>
                </c:pt>
                <c:pt idx="1033">
                  <c:v>39.900000000000006</c:v>
                </c:pt>
                <c:pt idx="1034">
                  <c:v>0</c:v>
                </c:pt>
                <c:pt idx="1035">
                  <c:v>0</c:v>
                </c:pt>
                <c:pt idx="1036">
                  <c:v>39.900000000000006</c:v>
                </c:pt>
                <c:pt idx="1037">
                  <c:v>39.900000000000006</c:v>
                </c:pt>
                <c:pt idx="1038">
                  <c:v>39.900000000000006</c:v>
                </c:pt>
                <c:pt idx="1039">
                  <c:v>39.900000000000006</c:v>
                </c:pt>
                <c:pt idx="1040">
                  <c:v>39.900000000000006</c:v>
                </c:pt>
                <c:pt idx="1041">
                  <c:v>0</c:v>
                </c:pt>
                <c:pt idx="1042">
                  <c:v>0</c:v>
                </c:pt>
                <c:pt idx="1043">
                  <c:v>39.900000000000006</c:v>
                </c:pt>
                <c:pt idx="1044">
                  <c:v>39.900000000000006</c:v>
                </c:pt>
                <c:pt idx="1045">
                  <c:v>39.900000000000006</c:v>
                </c:pt>
                <c:pt idx="1046">
                  <c:v>39.900000000000006</c:v>
                </c:pt>
                <c:pt idx="1047">
                  <c:v>39.900000000000006</c:v>
                </c:pt>
                <c:pt idx="1048">
                  <c:v>0</c:v>
                </c:pt>
                <c:pt idx="1049">
                  <c:v>0</c:v>
                </c:pt>
                <c:pt idx="1050">
                  <c:v>39.900000000000006</c:v>
                </c:pt>
                <c:pt idx="1051">
                  <c:v>39.900000000000006</c:v>
                </c:pt>
                <c:pt idx="1052">
                  <c:v>39.900000000000006</c:v>
                </c:pt>
                <c:pt idx="1053">
                  <c:v>39.900000000000006</c:v>
                </c:pt>
                <c:pt idx="1054">
                  <c:v>39.900000000000006</c:v>
                </c:pt>
                <c:pt idx="1055">
                  <c:v>0</c:v>
                </c:pt>
                <c:pt idx="1056">
                  <c:v>0</c:v>
                </c:pt>
                <c:pt idx="1057">
                  <c:v>39.900000000000006</c:v>
                </c:pt>
                <c:pt idx="1058">
                  <c:v>39.900000000000006</c:v>
                </c:pt>
                <c:pt idx="1059">
                  <c:v>39.900000000000006</c:v>
                </c:pt>
                <c:pt idx="1060">
                  <c:v>39.900000000000006</c:v>
                </c:pt>
                <c:pt idx="1061">
                  <c:v>39.900000000000006</c:v>
                </c:pt>
                <c:pt idx="1062">
                  <c:v>0</c:v>
                </c:pt>
                <c:pt idx="1063">
                  <c:v>0</c:v>
                </c:pt>
                <c:pt idx="1064">
                  <c:v>39.900000000000006</c:v>
                </c:pt>
                <c:pt idx="1065">
                  <c:v>39.900000000000006</c:v>
                </c:pt>
                <c:pt idx="1066">
                  <c:v>39.900000000000006</c:v>
                </c:pt>
                <c:pt idx="1067">
                  <c:v>39.900000000000006</c:v>
                </c:pt>
                <c:pt idx="1068">
                  <c:v>39.900000000000006</c:v>
                </c:pt>
                <c:pt idx="1069">
                  <c:v>0</c:v>
                </c:pt>
                <c:pt idx="1070">
                  <c:v>0</c:v>
                </c:pt>
                <c:pt idx="1071">
                  <c:v>39.900000000000006</c:v>
                </c:pt>
                <c:pt idx="1072">
                  <c:v>39.900000000000006</c:v>
                </c:pt>
                <c:pt idx="1073">
                  <c:v>39.900000000000006</c:v>
                </c:pt>
                <c:pt idx="1074">
                  <c:v>39.900000000000006</c:v>
                </c:pt>
                <c:pt idx="1075">
                  <c:v>39.900000000000006</c:v>
                </c:pt>
                <c:pt idx="1076">
                  <c:v>0</c:v>
                </c:pt>
                <c:pt idx="1077">
                  <c:v>0</c:v>
                </c:pt>
                <c:pt idx="1078">
                  <c:v>0</c:v>
                </c:pt>
                <c:pt idx="1079">
                  <c:v>39.900000000000006</c:v>
                </c:pt>
                <c:pt idx="1080">
                  <c:v>39.900000000000006</c:v>
                </c:pt>
                <c:pt idx="1081">
                  <c:v>39.900000000000006</c:v>
                </c:pt>
                <c:pt idx="1082">
                  <c:v>39.900000000000006</c:v>
                </c:pt>
                <c:pt idx="1083">
                  <c:v>0</c:v>
                </c:pt>
                <c:pt idx="1084">
                  <c:v>0</c:v>
                </c:pt>
                <c:pt idx="1085">
                  <c:v>39.900000000000006</c:v>
                </c:pt>
                <c:pt idx="1086">
                  <c:v>39.900000000000006</c:v>
                </c:pt>
                <c:pt idx="1087">
                  <c:v>39.900000000000006</c:v>
                </c:pt>
                <c:pt idx="1088">
                  <c:v>39.900000000000006</c:v>
                </c:pt>
                <c:pt idx="1089">
                  <c:v>39.900000000000006</c:v>
                </c:pt>
                <c:pt idx="1090">
                  <c:v>0</c:v>
                </c:pt>
                <c:pt idx="1091">
                  <c:v>0</c:v>
                </c:pt>
                <c:pt idx="1092">
                  <c:v>39.900000000000006</c:v>
                </c:pt>
                <c:pt idx="1093">
                  <c:v>39.900000000000006</c:v>
                </c:pt>
                <c:pt idx="1094">
                  <c:v>39.900000000000006</c:v>
                </c:pt>
                <c:pt idx="1095">
                  <c:v>40</c:v>
                </c:pt>
                <c:pt idx="1096">
                  <c:v>39.949999999999996</c:v>
                </c:pt>
                <c:pt idx="1097">
                  <c:v>0</c:v>
                </c:pt>
                <c:pt idx="1098">
                  <c:v>0</c:v>
                </c:pt>
                <c:pt idx="1099">
                  <c:v>39.949999999999996</c:v>
                </c:pt>
                <c:pt idx="1100">
                  <c:v>39.949999999999996</c:v>
                </c:pt>
                <c:pt idx="1101">
                  <c:v>39.949999999999996</c:v>
                </c:pt>
                <c:pt idx="1102">
                  <c:v>39.949999999999996</c:v>
                </c:pt>
                <c:pt idx="1103">
                  <c:v>39.949999999999996</c:v>
                </c:pt>
                <c:pt idx="1104">
                  <c:v>0</c:v>
                </c:pt>
                <c:pt idx="1105">
                  <c:v>0</c:v>
                </c:pt>
                <c:pt idx="1106">
                  <c:v>39.900000000000006</c:v>
                </c:pt>
                <c:pt idx="1107">
                  <c:v>39.900000000000006</c:v>
                </c:pt>
                <c:pt idx="1108">
                  <c:v>39.900000000000006</c:v>
                </c:pt>
                <c:pt idx="1109">
                  <c:v>39.949999999999996</c:v>
                </c:pt>
                <c:pt idx="1110">
                  <c:v>39.949999999999996</c:v>
                </c:pt>
                <c:pt idx="1111">
                  <c:v>0</c:v>
                </c:pt>
                <c:pt idx="1112">
                  <c:v>0</c:v>
                </c:pt>
                <c:pt idx="1113">
                  <c:v>39.949999999999996</c:v>
                </c:pt>
                <c:pt idx="1114">
                  <c:v>39.949999999999996</c:v>
                </c:pt>
                <c:pt idx="1115">
                  <c:v>39.949999999999996</c:v>
                </c:pt>
                <c:pt idx="1116">
                  <c:v>39.949999999999996</c:v>
                </c:pt>
                <c:pt idx="1117">
                  <c:v>39.949999999999996</c:v>
                </c:pt>
                <c:pt idx="1118">
                  <c:v>0</c:v>
                </c:pt>
                <c:pt idx="1119">
                  <c:v>0</c:v>
                </c:pt>
                <c:pt idx="1120">
                  <c:v>39.949999999999996</c:v>
                </c:pt>
                <c:pt idx="1121">
                  <c:v>39.949999999999996</c:v>
                </c:pt>
                <c:pt idx="1122">
                  <c:v>39.949999999999996</c:v>
                </c:pt>
                <c:pt idx="1123">
                  <c:v>39.949999999999996</c:v>
                </c:pt>
                <c:pt idx="1124">
                  <c:v>39.949999999999996</c:v>
                </c:pt>
                <c:pt idx="1125">
                  <c:v>0</c:v>
                </c:pt>
                <c:pt idx="1126">
                  <c:v>0</c:v>
                </c:pt>
                <c:pt idx="1127">
                  <c:v>39.949999999999996</c:v>
                </c:pt>
                <c:pt idx="1128">
                  <c:v>39.949999999999996</c:v>
                </c:pt>
                <c:pt idx="1129">
                  <c:v>39.949999999999996</c:v>
                </c:pt>
                <c:pt idx="1130">
                  <c:v>39.949999999999996</c:v>
                </c:pt>
                <c:pt idx="1131">
                  <c:v>39.949999999999996</c:v>
                </c:pt>
                <c:pt idx="1132">
                  <c:v>0</c:v>
                </c:pt>
                <c:pt idx="1133">
                  <c:v>0</c:v>
                </c:pt>
                <c:pt idx="1134">
                  <c:v>39.949999999999996</c:v>
                </c:pt>
                <c:pt idx="1135">
                  <c:v>39.949999999999996</c:v>
                </c:pt>
                <c:pt idx="1136">
                  <c:v>39.949999999999996</c:v>
                </c:pt>
                <c:pt idx="1137">
                  <c:v>39.949999999999996</c:v>
                </c:pt>
                <c:pt idx="1138">
                  <c:v>39.949999999999996</c:v>
                </c:pt>
                <c:pt idx="1139">
                  <c:v>0</c:v>
                </c:pt>
                <c:pt idx="1140">
                  <c:v>0</c:v>
                </c:pt>
                <c:pt idx="1141">
                  <c:v>39.949999999999996</c:v>
                </c:pt>
                <c:pt idx="1142">
                  <c:v>39.949999999999996</c:v>
                </c:pt>
                <c:pt idx="1143">
                  <c:v>39.949999999999996</c:v>
                </c:pt>
                <c:pt idx="1144">
                  <c:v>39.949999999999996</c:v>
                </c:pt>
                <c:pt idx="1145">
                  <c:v>39.949999999999996</c:v>
                </c:pt>
                <c:pt idx="1146">
                  <c:v>0</c:v>
                </c:pt>
                <c:pt idx="1147">
                  <c:v>0</c:v>
                </c:pt>
                <c:pt idx="1148">
                  <c:v>39.949999999999996</c:v>
                </c:pt>
                <c:pt idx="1149">
                  <c:v>39.949999999999996</c:v>
                </c:pt>
                <c:pt idx="1150">
                  <c:v>39.949999999999996</c:v>
                </c:pt>
                <c:pt idx="1151">
                  <c:v>39.949999999999996</c:v>
                </c:pt>
                <c:pt idx="1152">
                  <c:v>39.949999999999996</c:v>
                </c:pt>
                <c:pt idx="1153">
                  <c:v>0</c:v>
                </c:pt>
                <c:pt idx="1154">
                  <c:v>0</c:v>
                </c:pt>
                <c:pt idx="1155">
                  <c:v>39.949999999999996</c:v>
                </c:pt>
                <c:pt idx="1156">
                  <c:v>39.949999999999996</c:v>
                </c:pt>
                <c:pt idx="1157">
                  <c:v>39.949999999999996</c:v>
                </c:pt>
                <c:pt idx="1158">
                  <c:v>39.949999999999996</c:v>
                </c:pt>
                <c:pt idx="1159">
                  <c:v>39.949999999999996</c:v>
                </c:pt>
              </c:numCache>
            </c:numRef>
          </c:val>
          <c:extLst xmlns:c16r2="http://schemas.microsoft.com/office/drawing/2015/06/chart">
            <c:ext xmlns:c16="http://schemas.microsoft.com/office/drawing/2014/chart" uri="{C3380CC4-5D6E-409C-BE32-E72D297353CC}">
              <c16:uniqueId val="{00000000-902D-45CE-ABFC-655C8411AC50}"/>
            </c:ext>
          </c:extLst>
        </c:ser>
        <c:dLbls/>
        <c:marker val="1"/>
        <c:axId val="234752256"/>
        <c:axId val="234758144"/>
      </c:lineChart>
      <c:dateAx>
        <c:axId val="234752256"/>
        <c:scaling>
          <c:orientation val="minMax"/>
        </c:scaling>
        <c:axPos val="b"/>
        <c:numFmt formatCode="[$-C09]dd\-mmm\-yy;@" sourceLinked="0"/>
        <c:majorTickMark val="none"/>
        <c:tickLblPos val="nextTo"/>
        <c:spPr>
          <a:noFill/>
          <a:ln w="9525" cap="flat" cmpd="sng" algn="ctr">
            <a:solidFill>
              <a:schemeClr val="bg1">
                <a:lumMod val="50000"/>
              </a:schemeClr>
            </a:solidFill>
            <a:round/>
          </a:ln>
          <a:effectLst/>
        </c:spPr>
        <c:txPr>
          <a:bodyPr rot="-252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4758144"/>
        <c:crosses val="autoZero"/>
        <c:auto val="1"/>
        <c:lblOffset val="100"/>
        <c:baseTimeUnit val="days"/>
        <c:majorUnit val="2"/>
        <c:majorTimeUnit val="months"/>
      </c:dateAx>
      <c:valAx>
        <c:axId val="234758144"/>
        <c:scaling>
          <c:orientation val="minMax"/>
          <c:min val="35"/>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STC spot price ($/certificate)</a:t>
                </a:r>
              </a:p>
            </c:rich>
          </c:tx>
          <c:layout>
            <c:manualLayout>
              <c:xMode val="edge"/>
              <c:yMode val="edge"/>
              <c:x val="2.2327658386826699E-2"/>
              <c:y val="0.15079975333085699"/>
            </c:manualLayout>
          </c:layout>
          <c:spPr>
            <a:noFill/>
            <a:ln>
              <a:noFill/>
            </a:ln>
            <a:effectLst/>
          </c:spPr>
        </c:title>
        <c:numFmt formatCode="#,##0" sourceLinked="0"/>
        <c:maj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52256"/>
        <c:crosses val="autoZero"/>
        <c:crossBetween val="between"/>
      </c:valAx>
      <c:spPr>
        <a:noFill/>
        <a:ln>
          <a:noFill/>
        </a:ln>
        <a:effectLst/>
      </c:spPr>
    </c:plotArea>
    <c:plotVisOnly val="1"/>
    <c:dispBlanksAs val="gap"/>
  </c:chart>
  <c:spPr>
    <a:solidFill>
      <a:schemeClr val="bg1"/>
    </a:solidFill>
    <a:ln w="9525" cap="flat" cmpd="sng" algn="ctr">
      <a:solidFill>
        <a:schemeClr val="bg1">
          <a:lumMod val="50000"/>
        </a:schemeClr>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20052939795436409"/>
          <c:y val="0.127299973294213"/>
          <c:w val="0.72472693151929735"/>
          <c:h val="0.60874159895353464"/>
        </c:manualLayout>
      </c:layout>
      <c:barChart>
        <c:barDir val="bar"/>
        <c:grouping val="stacked"/>
        <c:ser>
          <c:idx val="0"/>
          <c:order val="0"/>
          <c:tx>
            <c:strRef>
              <c:f>'Fig 2.2 Elect contrct'!$B$1</c:f>
              <c:strCache>
                <c:ptCount val="1"/>
                <c:pt idx="0">
                  <c:v>Standard retail contract </c:v>
                </c:pt>
              </c:strCache>
            </c:strRef>
          </c:tx>
          <c:spPr>
            <a:solidFill>
              <a:srgbClr val="0000FF"/>
            </a:solidFill>
            <a:ln>
              <a:solidFill>
                <a:srgbClr val="0000FF"/>
              </a:solidFill>
            </a:ln>
            <a:effectLst/>
          </c:spPr>
          <c:dPt>
            <c:idx val="4"/>
            <c:spPr>
              <a:solidFill>
                <a:srgbClr val="0000FF"/>
              </a:solidFill>
              <a:ln>
                <a:noFill/>
              </a:ln>
              <a:effectLst/>
            </c:spPr>
          </c:dPt>
          <c:dLbls>
            <c:dLbl>
              <c:idx val="0"/>
              <c:layout>
                <c:manualLayout>
                  <c:x val="7.4311216936872289E-3"/>
                  <c:y val="0"/>
                </c:manualLayout>
              </c:layout>
              <c:tx>
                <c:rich>
                  <a:bodyPr/>
                  <a:lstStyle/>
                  <a:p>
                    <a:r>
                      <a:rPr lang="en-US"/>
                      <a:t>76%</a:t>
                    </a:r>
                  </a:p>
                </c:rich>
              </c:tx>
              <c:showVal val="1"/>
              <c:extLst>
                <c:ext xmlns:c15="http://schemas.microsoft.com/office/drawing/2012/chart" uri="{CE6537A1-D6FC-4f65-9D91-7224C49458BB}"/>
              </c:extLst>
            </c:dLbl>
            <c:dLbl>
              <c:idx val="1"/>
              <c:tx>
                <c:rich>
                  <a:bodyPr/>
                  <a:lstStyle/>
                  <a:p>
                    <a:r>
                      <a:rPr lang="en-US"/>
                      <a:t>88%</a:t>
                    </a:r>
                  </a:p>
                </c:rich>
              </c:tx>
              <c:showVal val="1"/>
              <c:extLst>
                <c:ext xmlns:c15="http://schemas.microsoft.com/office/drawing/2012/chart" uri="{CE6537A1-D6FC-4f65-9D91-7224C49458BB}"/>
              </c:extLst>
            </c:dLbl>
            <c:dLbl>
              <c:idx val="2"/>
              <c:layout>
                <c:manualLayout>
                  <c:x val="5.0840739457797633E-3"/>
                  <c:y val="0"/>
                </c:manualLayout>
              </c:layout>
              <c:tx>
                <c:rich>
                  <a:bodyPr/>
                  <a:lstStyle/>
                  <a:p>
                    <a:r>
                      <a:rPr lang="en-US"/>
                      <a:t>15%</a:t>
                    </a:r>
                  </a:p>
                </c:rich>
              </c:tx>
              <c:showVal val="1"/>
              <c:extLst>
                <c:ext xmlns:c15="http://schemas.microsoft.com/office/drawing/2012/chart" uri="{CE6537A1-D6FC-4f65-9D91-7224C49458BB}"/>
              </c:extLst>
            </c:dLbl>
            <c:dLbl>
              <c:idx val="3"/>
              <c:tx>
                <c:rich>
                  <a:bodyPr/>
                  <a:lstStyle/>
                  <a:p>
                    <a:r>
                      <a:rPr lang="en-US"/>
                      <a:t>27%</a:t>
                    </a:r>
                  </a:p>
                </c:rich>
              </c:tx>
              <c:showVal val="1"/>
              <c:extLst>
                <c:ext xmlns:c15="http://schemas.microsoft.com/office/drawing/2012/chart" uri="{CE6537A1-D6FC-4f65-9D91-7224C49458BB}"/>
              </c:extLst>
            </c:dLbl>
            <c:dLbl>
              <c:idx val="4"/>
              <c:tx>
                <c:rich>
                  <a:bodyPr/>
                  <a:lstStyle/>
                  <a:p>
                    <a:r>
                      <a:rPr lang="en-US"/>
                      <a:t>51%</a:t>
                    </a:r>
                  </a:p>
                </c:rich>
              </c:tx>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2.2 Elect contrct'!$A$2:$A$7</c:f>
              <c:strCache>
                <c:ptCount val="5"/>
                <c:pt idx="0">
                  <c:v>ACT</c:v>
                </c:pt>
                <c:pt idx="1">
                  <c:v>Tasmania</c:v>
                </c:pt>
                <c:pt idx="2">
                  <c:v>South Australia</c:v>
                </c:pt>
                <c:pt idx="3">
                  <c:v>New South Wales</c:v>
                </c:pt>
                <c:pt idx="4">
                  <c:v>Queensland</c:v>
                </c:pt>
              </c:strCache>
              <c:extLst/>
            </c:strRef>
          </c:cat>
          <c:val>
            <c:numRef>
              <c:f>'Fig 2.2 Elect contrct'!$B$2:$B$7</c:f>
              <c:numCache>
                <c:formatCode>#,##0</c:formatCode>
                <c:ptCount val="5"/>
                <c:pt idx="0">
                  <c:v>132852</c:v>
                </c:pt>
                <c:pt idx="1">
                  <c:v>239446</c:v>
                </c:pt>
                <c:pt idx="2">
                  <c:v>125981</c:v>
                </c:pt>
                <c:pt idx="3">
                  <c:v>909913</c:v>
                </c:pt>
                <c:pt idx="4" formatCode="_(* #,##0_);_(* \(#,##0\);_(* &quot;-&quot;_);_(@_)">
                  <c:v>1074175</c:v>
                </c:pt>
              </c:numCache>
              <c:extLst/>
            </c:numRef>
          </c:val>
        </c:ser>
        <c:ser>
          <c:idx val="1"/>
          <c:order val="1"/>
          <c:tx>
            <c:strRef>
              <c:f>'Fig 2.2 Elect contrct'!$C$1</c:f>
              <c:strCache>
                <c:ptCount val="1"/>
                <c:pt idx="0">
                  <c:v>Standard retail contract (% Market share)</c:v>
                </c:pt>
              </c:strCache>
            </c:strRef>
          </c:tx>
          <c:spPr>
            <a:solidFill>
              <a:schemeClr val="accent2"/>
            </a:solidFill>
            <a:ln>
              <a:noFill/>
            </a:ln>
            <a:effectLst/>
          </c:spPr>
          <c:cat>
            <c:strRef>
              <c:f>'Fig 2.2 Elect contrct'!$A$2:$A$7</c:f>
              <c:strCache>
                <c:ptCount val="5"/>
                <c:pt idx="0">
                  <c:v>ACT</c:v>
                </c:pt>
                <c:pt idx="1">
                  <c:v>Tasmania</c:v>
                </c:pt>
                <c:pt idx="2">
                  <c:v>South Australia</c:v>
                </c:pt>
                <c:pt idx="3">
                  <c:v>New South Wales</c:v>
                </c:pt>
                <c:pt idx="4">
                  <c:v>Queensland</c:v>
                </c:pt>
              </c:strCache>
              <c:extLst/>
            </c:strRef>
          </c:cat>
          <c:val>
            <c:numRef>
              <c:f>'Fig 2.2 Elect contrct'!$C$2:$C$7</c:f>
              <c:numCache>
                <c:formatCode>0%</c:formatCode>
                <c:ptCount val="5"/>
                <c:pt idx="0">
                  <c:v>0.76000000000000034</c:v>
                </c:pt>
                <c:pt idx="1">
                  <c:v>0.88</c:v>
                </c:pt>
                <c:pt idx="2">
                  <c:v>0.15000000000000008</c:v>
                </c:pt>
                <c:pt idx="3">
                  <c:v>0.27</c:v>
                </c:pt>
                <c:pt idx="4">
                  <c:v>0.51</c:v>
                </c:pt>
              </c:numCache>
              <c:extLst/>
            </c:numRef>
          </c:val>
        </c:ser>
        <c:ser>
          <c:idx val="2"/>
          <c:order val="2"/>
          <c:tx>
            <c:strRef>
              <c:f>'Fig 2.2 Elect contrct'!$D$1</c:f>
              <c:strCache>
                <c:ptCount val="1"/>
                <c:pt idx="0">
                  <c:v>Market retail contract </c:v>
                </c:pt>
              </c:strCache>
            </c:strRef>
          </c:tx>
          <c:spPr>
            <a:solidFill>
              <a:srgbClr val="A6CBF8"/>
            </a:solidFill>
            <a:ln>
              <a:noFill/>
            </a:ln>
            <a:effectLst/>
          </c:spPr>
          <c:dLbls>
            <c:dLbl>
              <c:idx val="0"/>
              <c:layout>
                <c:manualLayout>
                  <c:x val="3.8787878787878823E-2"/>
                  <c:y val="-8.4875562720133801E-17"/>
                </c:manualLayout>
              </c:layout>
              <c:tx>
                <c:rich>
                  <a:bodyPr/>
                  <a:lstStyle/>
                  <a:p>
                    <a:r>
                      <a:rPr lang="en-US"/>
                      <a:t>24%</a:t>
                    </a:r>
                  </a:p>
                </c:rich>
              </c:tx>
              <c:showVal val="1"/>
              <c:extLst>
                <c:ext xmlns:c15="http://schemas.microsoft.com/office/drawing/2012/chart" uri="{CE6537A1-D6FC-4f65-9D91-7224C49458BB}"/>
              </c:extLst>
            </c:dLbl>
            <c:dLbl>
              <c:idx val="1"/>
              <c:layout>
                <c:manualLayout>
                  <c:x val="3.151515151515151E-2"/>
                  <c:y val="-8.4875562720133801E-17"/>
                </c:manualLayout>
              </c:layout>
              <c:tx>
                <c:rich>
                  <a:bodyPr/>
                  <a:lstStyle/>
                  <a:p>
                    <a:r>
                      <a:rPr lang="en-US"/>
                      <a:t>12%</a:t>
                    </a:r>
                  </a:p>
                </c:rich>
              </c:tx>
              <c:showVal val="1"/>
              <c:extLst>
                <c:ext xmlns:c15="http://schemas.microsoft.com/office/drawing/2012/chart" uri="{CE6537A1-D6FC-4f65-9D91-7224C49458BB}"/>
              </c:extLst>
            </c:dLbl>
            <c:dLbl>
              <c:idx val="2"/>
              <c:tx>
                <c:rich>
                  <a:bodyPr/>
                  <a:lstStyle/>
                  <a:p>
                    <a:r>
                      <a:rPr lang="en-US"/>
                      <a:t>85%</a:t>
                    </a:r>
                  </a:p>
                </c:rich>
              </c:tx>
              <c:showVal val="1"/>
              <c:extLst>
                <c:ext xmlns:c15="http://schemas.microsoft.com/office/drawing/2012/chart" uri="{CE6537A1-D6FC-4f65-9D91-7224C49458BB}"/>
              </c:extLst>
            </c:dLbl>
            <c:dLbl>
              <c:idx val="3"/>
              <c:tx>
                <c:rich>
                  <a:bodyPr/>
                  <a:lstStyle/>
                  <a:p>
                    <a:r>
                      <a:rPr lang="en-US"/>
                      <a:t>73%</a:t>
                    </a:r>
                  </a:p>
                </c:rich>
              </c:tx>
              <c:showVal val="1"/>
              <c:extLst>
                <c:ext xmlns:c15="http://schemas.microsoft.com/office/drawing/2012/chart" uri="{CE6537A1-D6FC-4f65-9D91-7224C49458BB}"/>
              </c:extLst>
            </c:dLbl>
            <c:dLbl>
              <c:idx val="4"/>
              <c:tx>
                <c:rich>
                  <a:bodyPr/>
                  <a:lstStyle/>
                  <a:p>
                    <a:r>
                      <a:rPr lang="en-US"/>
                      <a:t>49%</a:t>
                    </a:r>
                  </a:p>
                </c:rich>
              </c:tx>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0"/>
              </c:ext>
            </c:extLst>
          </c:dLbls>
          <c:cat>
            <c:strRef>
              <c:f>'Fig 2.2 Elect contrct'!$A$2:$A$7</c:f>
              <c:strCache>
                <c:ptCount val="5"/>
                <c:pt idx="0">
                  <c:v>ACT</c:v>
                </c:pt>
                <c:pt idx="1">
                  <c:v>Tasmania</c:v>
                </c:pt>
                <c:pt idx="2">
                  <c:v>South Australia</c:v>
                </c:pt>
                <c:pt idx="3">
                  <c:v>New South Wales</c:v>
                </c:pt>
                <c:pt idx="4">
                  <c:v>Queensland</c:v>
                </c:pt>
              </c:strCache>
              <c:extLst/>
            </c:strRef>
          </c:cat>
          <c:val>
            <c:numRef>
              <c:f>'Fig 2.2 Elect contrct'!$D$2:$D$7</c:f>
              <c:numCache>
                <c:formatCode>#,##0</c:formatCode>
                <c:ptCount val="5"/>
                <c:pt idx="0">
                  <c:v>43022</c:v>
                </c:pt>
                <c:pt idx="1">
                  <c:v>32626</c:v>
                </c:pt>
                <c:pt idx="2">
                  <c:v>719601</c:v>
                </c:pt>
                <c:pt idx="3">
                  <c:v>2440727</c:v>
                </c:pt>
                <c:pt idx="4" formatCode="_(* #,##0_);_(* \(#,##0\);_(* &quot;-&quot;_);_(@_)">
                  <c:v>1016518</c:v>
                </c:pt>
              </c:numCache>
              <c:extLst/>
            </c:numRef>
          </c:val>
        </c:ser>
        <c:dLbls/>
        <c:gapWidth val="50"/>
        <c:overlap val="100"/>
        <c:axId val="234814080"/>
        <c:axId val="234627456"/>
      </c:barChart>
      <c:catAx>
        <c:axId val="234814080"/>
        <c:scaling>
          <c:orientation val="minMax"/>
        </c:scaling>
        <c:axPos val="l"/>
        <c:numFmt formatCode="General" sourceLinked="1"/>
        <c:maj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627456"/>
        <c:crossesAt val="0"/>
        <c:auto val="1"/>
        <c:lblAlgn val="ctr"/>
        <c:lblOffset val="100"/>
      </c:catAx>
      <c:valAx>
        <c:axId val="234627456"/>
        <c:scaling>
          <c:orientation val="minMax"/>
          <c:max val="3500000"/>
          <c:min val="0"/>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Number</a:t>
                </a:r>
                <a:r>
                  <a:rPr lang="en-AU" sz="900" baseline="0"/>
                  <a:t> of customers and percentage contract type </a:t>
                </a:r>
                <a:endParaRPr lang="en-AU" sz="900"/>
              </a:p>
            </c:rich>
          </c:tx>
          <c:layout>
            <c:manualLayout>
              <c:xMode val="edge"/>
              <c:yMode val="edge"/>
              <c:x val="0.25442341896098197"/>
              <c:y val="0.87788223821705602"/>
            </c:manualLayout>
          </c:layout>
          <c:spPr>
            <a:noFill/>
            <a:ln>
              <a:noFill/>
            </a:ln>
            <a:effectLst/>
          </c:spPr>
        </c:title>
        <c:numFmt formatCode="#,##0" sourceLinked="1"/>
        <c:maj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814080"/>
        <c:crosses val="autoZero"/>
        <c:crossBetween val="between"/>
        <c:majorUnit val="1000000"/>
      </c:valAx>
      <c:spPr>
        <a:noFill/>
        <a:ln>
          <a:noFill/>
        </a:ln>
        <a:effectLst/>
      </c:spPr>
    </c:plotArea>
    <c:legend>
      <c:legendPos val="b"/>
      <c:legendEntry>
        <c:idx val="1"/>
        <c:delete val="1"/>
      </c:legendEntry>
      <c:layout>
        <c:manualLayout>
          <c:xMode val="edge"/>
          <c:yMode val="edge"/>
          <c:x val="0.20656230994341801"/>
          <c:y val="1.3992973442418908E-2"/>
          <c:w val="0.58687538011316498"/>
          <c:h val="7.6721503027491214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10611046226877099"/>
          <c:y val="0.131034971749418"/>
          <c:w val="0.78171583850931736"/>
          <c:h val="0.73788539031530931"/>
        </c:manualLayout>
      </c:layout>
      <c:barChart>
        <c:barDir val="col"/>
        <c:grouping val="stacked"/>
        <c:ser>
          <c:idx val="6"/>
          <c:order val="0"/>
          <c:tx>
            <c:strRef>
              <c:f>'Fig 2.1 NEM retail shr'!$N$3</c:f>
              <c:strCache>
                <c:ptCount val="1"/>
                <c:pt idx="0">
                  <c:v>Other retailers</c:v>
                </c:pt>
              </c:strCache>
            </c:strRef>
          </c:tx>
          <c:spPr>
            <a:solidFill>
              <a:schemeClr val="accent1">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 NEM retail shr'!$G$4:$G$8</c:f>
              <c:strCache>
                <c:ptCount val="5"/>
                <c:pt idx="0">
                  <c:v>ACT</c:v>
                </c:pt>
                <c:pt idx="1">
                  <c:v>New South Wales</c:v>
                </c:pt>
                <c:pt idx="2">
                  <c:v>Queensland</c:v>
                </c:pt>
                <c:pt idx="3">
                  <c:v>Tasmania</c:v>
                </c:pt>
                <c:pt idx="4">
                  <c:v>South Australia</c:v>
                </c:pt>
              </c:strCache>
            </c:strRef>
          </c:cat>
          <c:val>
            <c:numRef>
              <c:f>'Fig 2.1 NEM retail shr'!$N$4:$N$8</c:f>
              <c:numCache>
                <c:formatCode>0%</c:formatCode>
                <c:ptCount val="5"/>
                <c:pt idx="0">
                  <c:v>7.2347248598428393E-2</c:v>
                </c:pt>
                <c:pt idx="1">
                  <c:v>0.10745618747463206</c:v>
                </c:pt>
                <c:pt idx="2">
                  <c:v>0.13751229855363808</c:v>
                </c:pt>
                <c:pt idx="4">
                  <c:v>0.244321662476259</c:v>
                </c:pt>
              </c:numCache>
            </c:numRef>
          </c:val>
          <c:extLst xmlns:c16r2="http://schemas.microsoft.com/office/drawing/2015/06/chart">
            <c:ext xmlns:c16="http://schemas.microsoft.com/office/drawing/2014/chart" uri="{C3380CC4-5D6E-409C-BE32-E72D297353CC}">
              <c16:uniqueId val="{00000000-BD9E-4501-8FA4-7FF4367D6261}"/>
            </c:ext>
          </c:extLst>
        </c:ser>
        <c:ser>
          <c:idx val="0"/>
          <c:order val="1"/>
          <c:tx>
            <c:strRef>
              <c:f>'Fig 2.1 NEM retail shr'!$H$3</c:f>
              <c:strCache>
                <c:ptCount val="1"/>
                <c:pt idx="0">
                  <c:v>AGL</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 NEM retail shr'!$G$4:$G$8</c:f>
              <c:strCache>
                <c:ptCount val="5"/>
                <c:pt idx="0">
                  <c:v>ACT</c:v>
                </c:pt>
                <c:pt idx="1">
                  <c:v>New South Wales</c:v>
                </c:pt>
                <c:pt idx="2">
                  <c:v>Queensland</c:v>
                </c:pt>
                <c:pt idx="3">
                  <c:v>Tasmania</c:v>
                </c:pt>
                <c:pt idx="4">
                  <c:v>South Australia</c:v>
                </c:pt>
              </c:strCache>
            </c:strRef>
          </c:cat>
          <c:val>
            <c:numRef>
              <c:f>'Fig 2.1 NEM retail shr'!$H$4:$H$8</c:f>
              <c:numCache>
                <c:formatCode>0%</c:formatCode>
                <c:ptCount val="5"/>
                <c:pt idx="1">
                  <c:v>0.22972208294534799</c:v>
                </c:pt>
                <c:pt idx="2">
                  <c:v>0.17477123614036116</c:v>
                </c:pt>
                <c:pt idx="4">
                  <c:v>0.45663105411420785</c:v>
                </c:pt>
              </c:numCache>
            </c:numRef>
          </c:val>
          <c:extLst xmlns:c16r2="http://schemas.microsoft.com/office/drawing/2015/06/chart">
            <c:ext xmlns:c16="http://schemas.microsoft.com/office/drawing/2014/chart" uri="{C3380CC4-5D6E-409C-BE32-E72D297353CC}">
              <c16:uniqueId val="{00000001-BD9E-4501-8FA4-7FF4367D6261}"/>
            </c:ext>
          </c:extLst>
        </c:ser>
        <c:ser>
          <c:idx val="1"/>
          <c:order val="2"/>
          <c:tx>
            <c:strRef>
              <c:f>'Fig 2.1 NEM retail shr'!$I$3</c:f>
              <c:strCache>
                <c:ptCount val="1"/>
                <c:pt idx="0">
                  <c:v>EnergyAustralia</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 NEM retail shr'!$G$4:$G$8</c:f>
              <c:strCache>
                <c:ptCount val="5"/>
                <c:pt idx="0">
                  <c:v>ACT</c:v>
                </c:pt>
                <c:pt idx="1">
                  <c:v>New South Wales</c:v>
                </c:pt>
                <c:pt idx="2">
                  <c:v>Queensland</c:v>
                </c:pt>
                <c:pt idx="3">
                  <c:v>Tasmania</c:v>
                </c:pt>
                <c:pt idx="4">
                  <c:v>South Australia</c:v>
                </c:pt>
              </c:strCache>
            </c:strRef>
          </c:cat>
          <c:val>
            <c:numRef>
              <c:f>'Fig 2.1 NEM retail shr'!$I$4:$I$8</c:f>
              <c:numCache>
                <c:formatCode>0%</c:formatCode>
                <c:ptCount val="5"/>
                <c:pt idx="1">
                  <c:v>0.30311671800014317</c:v>
                </c:pt>
                <c:pt idx="4">
                  <c:v>0.100092007634978</c:v>
                </c:pt>
              </c:numCache>
            </c:numRef>
          </c:val>
          <c:extLst xmlns:c16r2="http://schemas.microsoft.com/office/drawing/2015/06/chart">
            <c:ext xmlns:c16="http://schemas.microsoft.com/office/drawing/2014/chart" uri="{C3380CC4-5D6E-409C-BE32-E72D297353CC}">
              <c16:uniqueId val="{00000002-BD9E-4501-8FA4-7FF4367D6261}"/>
            </c:ext>
          </c:extLst>
        </c:ser>
        <c:ser>
          <c:idx val="2"/>
          <c:order val="3"/>
          <c:tx>
            <c:strRef>
              <c:f>'Fig 2.1 NEM retail shr'!$J$3</c:f>
              <c:strCache>
                <c:ptCount val="1"/>
                <c:pt idx="0">
                  <c:v>Origin Energy</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 NEM retail shr'!$G$4:$G$8</c:f>
              <c:strCache>
                <c:ptCount val="5"/>
                <c:pt idx="0">
                  <c:v>ACT</c:v>
                </c:pt>
                <c:pt idx="1">
                  <c:v>New South Wales</c:v>
                </c:pt>
                <c:pt idx="2">
                  <c:v>Queensland</c:v>
                </c:pt>
                <c:pt idx="3">
                  <c:v>Tasmania</c:v>
                </c:pt>
                <c:pt idx="4">
                  <c:v>South Australia</c:v>
                </c:pt>
              </c:strCache>
            </c:strRef>
          </c:cat>
          <c:val>
            <c:numRef>
              <c:f>'Fig 2.1 NEM retail shr'!$J$4:$J$8</c:f>
              <c:numCache>
                <c:formatCode>0%</c:formatCode>
                <c:ptCount val="5"/>
                <c:pt idx="1">
                  <c:v>0.35970501157987717</c:v>
                </c:pt>
                <c:pt idx="2">
                  <c:v>0.35762400314154225</c:v>
                </c:pt>
                <c:pt idx="4">
                  <c:v>0.19895527577455491</c:v>
                </c:pt>
              </c:numCache>
            </c:numRef>
          </c:val>
          <c:extLst xmlns:c16r2="http://schemas.microsoft.com/office/drawing/2015/06/chart">
            <c:ext xmlns:c16="http://schemas.microsoft.com/office/drawing/2014/chart" uri="{C3380CC4-5D6E-409C-BE32-E72D297353CC}">
              <c16:uniqueId val="{00000003-BD9E-4501-8FA4-7FF4367D6261}"/>
            </c:ext>
          </c:extLst>
        </c:ser>
        <c:ser>
          <c:idx val="3"/>
          <c:order val="4"/>
          <c:tx>
            <c:strRef>
              <c:f>'Fig 2.1 NEM retail shr'!$K$3</c:f>
              <c:strCache>
                <c:ptCount val="1"/>
                <c:pt idx="0">
                  <c:v>Ergon Energy</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 NEM retail shr'!$G$4:$G$8</c:f>
              <c:strCache>
                <c:ptCount val="5"/>
                <c:pt idx="0">
                  <c:v>ACT</c:v>
                </c:pt>
                <c:pt idx="1">
                  <c:v>New South Wales</c:v>
                </c:pt>
                <c:pt idx="2">
                  <c:v>Queensland</c:v>
                </c:pt>
                <c:pt idx="3">
                  <c:v>Tasmania</c:v>
                </c:pt>
                <c:pt idx="4">
                  <c:v>South Australia</c:v>
                </c:pt>
              </c:strCache>
            </c:strRef>
          </c:cat>
          <c:val>
            <c:numRef>
              <c:f>'Fig 2.1 NEM retail shr'!$K$4:$K$8</c:f>
              <c:numCache>
                <c:formatCode>General</c:formatCode>
                <c:ptCount val="5"/>
                <c:pt idx="2" formatCode="0%">
                  <c:v>0.33009246216446042</c:v>
                </c:pt>
              </c:numCache>
            </c:numRef>
          </c:val>
          <c:extLst xmlns:c16r2="http://schemas.microsoft.com/office/drawing/2015/06/chart">
            <c:ext xmlns:c16="http://schemas.microsoft.com/office/drawing/2014/chart" uri="{C3380CC4-5D6E-409C-BE32-E72D297353CC}">
              <c16:uniqueId val="{00000004-BD9E-4501-8FA4-7FF4367D6261}"/>
            </c:ext>
          </c:extLst>
        </c:ser>
        <c:ser>
          <c:idx val="4"/>
          <c:order val="5"/>
          <c:tx>
            <c:strRef>
              <c:f>'Fig 2.1 NEM retail shr'!$L$3</c:f>
              <c:strCache>
                <c:ptCount val="1"/>
                <c:pt idx="0">
                  <c:v>Aurora Energy</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 NEM retail shr'!$G$4:$G$8</c:f>
              <c:strCache>
                <c:ptCount val="5"/>
                <c:pt idx="0">
                  <c:v>ACT</c:v>
                </c:pt>
                <c:pt idx="1">
                  <c:v>New South Wales</c:v>
                </c:pt>
                <c:pt idx="2">
                  <c:v>Queensland</c:v>
                </c:pt>
                <c:pt idx="3">
                  <c:v>Tasmania</c:v>
                </c:pt>
                <c:pt idx="4">
                  <c:v>South Australia</c:v>
                </c:pt>
              </c:strCache>
            </c:strRef>
          </c:cat>
          <c:val>
            <c:numRef>
              <c:f>'Fig 2.1 NEM retail shr'!$L$4:$L$8</c:f>
              <c:numCache>
                <c:formatCode>General</c:formatCode>
                <c:ptCount val="5"/>
                <c:pt idx="3" formatCode="0%">
                  <c:v>0.99958834426181264</c:v>
                </c:pt>
              </c:numCache>
            </c:numRef>
          </c:val>
          <c:extLst xmlns:c16r2="http://schemas.microsoft.com/office/drawing/2015/06/chart">
            <c:ext xmlns:c16="http://schemas.microsoft.com/office/drawing/2014/chart" uri="{C3380CC4-5D6E-409C-BE32-E72D297353CC}">
              <c16:uniqueId val="{00000007-BD9E-4501-8FA4-7FF4367D6261}"/>
            </c:ext>
          </c:extLst>
        </c:ser>
        <c:ser>
          <c:idx val="5"/>
          <c:order val="6"/>
          <c:tx>
            <c:strRef>
              <c:f>'Fig 2.1 NEM retail shr'!$M$3</c:f>
              <c:strCache>
                <c:ptCount val="1"/>
                <c:pt idx="0">
                  <c:v>ActewAGL</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2.1 NEM retail shr'!$G$4:$G$8</c:f>
              <c:strCache>
                <c:ptCount val="5"/>
                <c:pt idx="0">
                  <c:v>ACT</c:v>
                </c:pt>
                <c:pt idx="1">
                  <c:v>New South Wales</c:v>
                </c:pt>
                <c:pt idx="2">
                  <c:v>Queensland</c:v>
                </c:pt>
                <c:pt idx="3">
                  <c:v>Tasmania</c:v>
                </c:pt>
                <c:pt idx="4">
                  <c:v>South Australia</c:v>
                </c:pt>
              </c:strCache>
            </c:strRef>
          </c:cat>
          <c:val>
            <c:numRef>
              <c:f>'Fig 2.1 NEM retail shr'!$M$4:$M$8</c:f>
              <c:numCache>
                <c:formatCode>General</c:formatCode>
                <c:ptCount val="5"/>
                <c:pt idx="0" formatCode="0%">
                  <c:v>0.92759999999999998</c:v>
                </c:pt>
              </c:numCache>
            </c:numRef>
          </c:val>
          <c:extLst xmlns:c16r2="http://schemas.microsoft.com/office/drawing/2015/06/chart">
            <c:ext xmlns:c16="http://schemas.microsoft.com/office/drawing/2014/chart" uri="{C3380CC4-5D6E-409C-BE32-E72D297353CC}">
              <c16:uniqueId val="{00000008-BD9E-4501-8FA4-7FF4367D6261}"/>
            </c:ext>
          </c:extLst>
        </c:ser>
        <c:dLbls>
          <c:showVal val="1"/>
        </c:dLbls>
        <c:overlap val="100"/>
        <c:axId val="234916480"/>
        <c:axId val="234938752"/>
        <c:extLst xmlns:c16r2="http://schemas.microsoft.com/office/drawing/2015/06/chart">
          <c:ext xmlns:c15="http://schemas.microsoft.com/office/drawing/2012/chart" uri="{02D57815-91ED-43cb-92C2-25804820EDAC}">
            <c15:filteredBarSeries>
              <c15:ser>
                <c:idx val="7"/>
                <c:order val="7"/>
                <c:tx>
                  <c:strRef>
                    <c:extLst xmlns:c16r2="http://schemas.microsoft.com/office/drawing/2015/06/chart">
                      <c:ext uri="{02D57815-91ED-43cb-92C2-25804820EDAC}">
                        <c15:formulaRef>
                          <c15:sqref>'Fig 2.1 NEM retail shr'!$O$3</c15:sqref>
                        </c15:formulaRef>
                      </c:ext>
                    </c:extLst>
                    <c:strCache>
                      <c:ptCount val="1"/>
                      <c:pt idx="0">
                        <c:v>Total</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'Fig 2.1 NEM retail shr'!$G$4:$G$8</c15:sqref>
                        </c15:formulaRef>
                      </c:ext>
                    </c:extLst>
                    <c:strCache>
                      <c:ptCount val="5"/>
                      <c:pt idx="0">
                        <c:v>ACT</c:v>
                      </c:pt>
                      <c:pt idx="1">
                        <c:v>New South Wales</c:v>
                      </c:pt>
                      <c:pt idx="2">
                        <c:v>Queensland</c:v>
                      </c:pt>
                      <c:pt idx="3">
                        <c:v>Tasmania</c:v>
                      </c:pt>
                      <c:pt idx="4">
                        <c:v>South Australia</c:v>
                      </c:pt>
                    </c:strCache>
                  </c:strRef>
                </c:cat>
                <c:val>
                  <c:numRef>
                    <c:extLst xmlns:c16r2="http://schemas.microsoft.com/office/drawing/2015/06/chart">
                      <c:ext uri="{02D57815-91ED-43cb-92C2-25804820EDAC}">
                        <c15:formulaRef>
                          <c15:sqref>'Fig 2.1 NEM retail shr'!$O$4:$O$8</c15:sqref>
                        </c15:formulaRef>
                      </c:ext>
                    </c:extLst>
                    <c:numCache>
                      <c:formatCode>0%</c:formatCode>
                      <c:ptCount val="5"/>
                      <c:pt idx="0">
                        <c:v>0</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9-BD9E-4501-8FA4-7FF4367D6261}"/>
                  </c:ext>
                </c:extLst>
              </c15:ser>
            </c15:filteredBarSeries>
          </c:ext>
        </c:extLst>
      </c:barChart>
      <c:catAx>
        <c:axId val="234916480"/>
        <c:scaling>
          <c:orientation val="minMax"/>
        </c:scaling>
        <c:axPos val="b"/>
        <c:numFmt formatCode="General" sourceLinked="1"/>
        <c:maj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938752"/>
        <c:crossesAt val="0"/>
        <c:auto val="1"/>
        <c:lblAlgn val="ctr"/>
        <c:lblOffset val="100"/>
      </c:catAx>
      <c:valAx>
        <c:axId val="234938752"/>
        <c:scaling>
          <c:orientation val="minMax"/>
          <c:max val="1"/>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 market share</a:t>
                </a:r>
              </a:p>
            </c:rich>
          </c:tx>
          <c:spPr>
            <a:noFill/>
            <a:ln>
              <a:noFill/>
            </a:ln>
            <a:effectLst/>
          </c:spPr>
        </c:title>
        <c:numFmt formatCode="0%" sourceLinked="1"/>
        <c:maj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4916480"/>
        <c:crosses val="autoZero"/>
        <c:crossBetween val="between"/>
      </c:valAx>
      <c:spPr>
        <a:noFill/>
        <a:ln>
          <a:noFill/>
        </a:ln>
        <a:effectLst/>
      </c:spPr>
    </c:plotArea>
    <c:legend>
      <c:legendPos val="b"/>
      <c:layout>
        <c:manualLayout>
          <c:xMode val="edge"/>
          <c:yMode val="edge"/>
          <c:x val="5.6731308275221895E-2"/>
          <c:y val="2.7541989458978917E-2"/>
          <c:w val="0.89999995176939629"/>
          <c:h val="6.6941181504950556E-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bg1">
          <a:lumMod val="50000"/>
        </a:schemeClr>
      </a:solidFill>
      <a:round/>
    </a:ln>
    <a:effectLst/>
  </c:spPr>
  <c:txPr>
    <a:bodyPr/>
    <a:lstStyle/>
    <a:p>
      <a:pPr>
        <a:defRPr/>
      </a:pPr>
      <a:endParaRPr lang="en-US"/>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B7A16-1452-437D-BB84-6613D45E0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11419</Words>
  <Characters>65092</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Regulated water and sewerage services</vt:lpstr>
    </vt:vector>
  </TitlesOfParts>
  <Company>ACT Government</Company>
  <LinksUpToDate>false</LinksUpToDate>
  <CharactersWithSpaces>76359</CharactersWithSpaces>
  <SharedDoc>false</SharedDoc>
  <HLinks>
    <vt:vector size="138" baseType="variant">
      <vt:variant>
        <vt:i4>1507378</vt:i4>
      </vt:variant>
      <vt:variant>
        <vt:i4>131</vt:i4>
      </vt:variant>
      <vt:variant>
        <vt:i4>0</vt:i4>
      </vt:variant>
      <vt:variant>
        <vt:i4>5</vt:i4>
      </vt:variant>
      <vt:variant>
        <vt:lpwstr/>
      </vt:variant>
      <vt:variant>
        <vt:lpwstr>_Toc300311025</vt:lpwstr>
      </vt:variant>
      <vt:variant>
        <vt:i4>1507378</vt:i4>
      </vt:variant>
      <vt:variant>
        <vt:i4>125</vt:i4>
      </vt:variant>
      <vt:variant>
        <vt:i4>0</vt:i4>
      </vt:variant>
      <vt:variant>
        <vt:i4>5</vt:i4>
      </vt:variant>
      <vt:variant>
        <vt:lpwstr/>
      </vt:variant>
      <vt:variant>
        <vt:lpwstr>_Toc300311024</vt:lpwstr>
      </vt:variant>
      <vt:variant>
        <vt:i4>1507378</vt:i4>
      </vt:variant>
      <vt:variant>
        <vt:i4>119</vt:i4>
      </vt:variant>
      <vt:variant>
        <vt:i4>0</vt:i4>
      </vt:variant>
      <vt:variant>
        <vt:i4>5</vt:i4>
      </vt:variant>
      <vt:variant>
        <vt:lpwstr/>
      </vt:variant>
      <vt:variant>
        <vt:lpwstr>_Toc300311023</vt:lpwstr>
      </vt:variant>
      <vt:variant>
        <vt:i4>1507378</vt:i4>
      </vt:variant>
      <vt:variant>
        <vt:i4>113</vt:i4>
      </vt:variant>
      <vt:variant>
        <vt:i4>0</vt:i4>
      </vt:variant>
      <vt:variant>
        <vt:i4>5</vt:i4>
      </vt:variant>
      <vt:variant>
        <vt:lpwstr/>
      </vt:variant>
      <vt:variant>
        <vt:lpwstr>_Toc300311022</vt:lpwstr>
      </vt:variant>
      <vt:variant>
        <vt:i4>1507378</vt:i4>
      </vt:variant>
      <vt:variant>
        <vt:i4>107</vt:i4>
      </vt:variant>
      <vt:variant>
        <vt:i4>0</vt:i4>
      </vt:variant>
      <vt:variant>
        <vt:i4>5</vt:i4>
      </vt:variant>
      <vt:variant>
        <vt:lpwstr/>
      </vt:variant>
      <vt:variant>
        <vt:lpwstr>_Toc300311021</vt:lpwstr>
      </vt:variant>
      <vt:variant>
        <vt:i4>1507378</vt:i4>
      </vt:variant>
      <vt:variant>
        <vt:i4>101</vt:i4>
      </vt:variant>
      <vt:variant>
        <vt:i4>0</vt:i4>
      </vt:variant>
      <vt:variant>
        <vt:i4>5</vt:i4>
      </vt:variant>
      <vt:variant>
        <vt:lpwstr/>
      </vt:variant>
      <vt:variant>
        <vt:lpwstr>_Toc300311020</vt:lpwstr>
      </vt:variant>
      <vt:variant>
        <vt:i4>1310770</vt:i4>
      </vt:variant>
      <vt:variant>
        <vt:i4>95</vt:i4>
      </vt:variant>
      <vt:variant>
        <vt:i4>0</vt:i4>
      </vt:variant>
      <vt:variant>
        <vt:i4>5</vt:i4>
      </vt:variant>
      <vt:variant>
        <vt:lpwstr/>
      </vt:variant>
      <vt:variant>
        <vt:lpwstr>_Toc300311019</vt:lpwstr>
      </vt:variant>
      <vt:variant>
        <vt:i4>1310770</vt:i4>
      </vt:variant>
      <vt:variant>
        <vt:i4>89</vt:i4>
      </vt:variant>
      <vt:variant>
        <vt:i4>0</vt:i4>
      </vt:variant>
      <vt:variant>
        <vt:i4>5</vt:i4>
      </vt:variant>
      <vt:variant>
        <vt:lpwstr/>
      </vt:variant>
      <vt:variant>
        <vt:lpwstr>_Toc300311018</vt:lpwstr>
      </vt:variant>
      <vt:variant>
        <vt:i4>1310770</vt:i4>
      </vt:variant>
      <vt:variant>
        <vt:i4>83</vt:i4>
      </vt:variant>
      <vt:variant>
        <vt:i4>0</vt:i4>
      </vt:variant>
      <vt:variant>
        <vt:i4>5</vt:i4>
      </vt:variant>
      <vt:variant>
        <vt:lpwstr/>
      </vt:variant>
      <vt:variant>
        <vt:lpwstr>_Toc300311017</vt:lpwstr>
      </vt:variant>
      <vt:variant>
        <vt:i4>1310770</vt:i4>
      </vt:variant>
      <vt:variant>
        <vt:i4>77</vt:i4>
      </vt:variant>
      <vt:variant>
        <vt:i4>0</vt:i4>
      </vt:variant>
      <vt:variant>
        <vt:i4>5</vt:i4>
      </vt:variant>
      <vt:variant>
        <vt:lpwstr/>
      </vt:variant>
      <vt:variant>
        <vt:lpwstr>_Toc300311016</vt:lpwstr>
      </vt:variant>
      <vt:variant>
        <vt:i4>1310770</vt:i4>
      </vt:variant>
      <vt:variant>
        <vt:i4>71</vt:i4>
      </vt:variant>
      <vt:variant>
        <vt:i4>0</vt:i4>
      </vt:variant>
      <vt:variant>
        <vt:i4>5</vt:i4>
      </vt:variant>
      <vt:variant>
        <vt:lpwstr/>
      </vt:variant>
      <vt:variant>
        <vt:lpwstr>_Toc300311015</vt:lpwstr>
      </vt:variant>
      <vt:variant>
        <vt:i4>1310770</vt:i4>
      </vt:variant>
      <vt:variant>
        <vt:i4>65</vt:i4>
      </vt:variant>
      <vt:variant>
        <vt:i4>0</vt:i4>
      </vt:variant>
      <vt:variant>
        <vt:i4>5</vt:i4>
      </vt:variant>
      <vt:variant>
        <vt:lpwstr/>
      </vt:variant>
      <vt:variant>
        <vt:lpwstr>_Toc300311014</vt:lpwstr>
      </vt:variant>
      <vt:variant>
        <vt:i4>1310770</vt:i4>
      </vt:variant>
      <vt:variant>
        <vt:i4>59</vt:i4>
      </vt:variant>
      <vt:variant>
        <vt:i4>0</vt:i4>
      </vt:variant>
      <vt:variant>
        <vt:i4>5</vt:i4>
      </vt:variant>
      <vt:variant>
        <vt:lpwstr/>
      </vt:variant>
      <vt:variant>
        <vt:lpwstr>_Toc300311013</vt:lpwstr>
      </vt:variant>
      <vt:variant>
        <vt:i4>1310770</vt:i4>
      </vt:variant>
      <vt:variant>
        <vt:i4>53</vt:i4>
      </vt:variant>
      <vt:variant>
        <vt:i4>0</vt:i4>
      </vt:variant>
      <vt:variant>
        <vt:i4>5</vt:i4>
      </vt:variant>
      <vt:variant>
        <vt:lpwstr/>
      </vt:variant>
      <vt:variant>
        <vt:lpwstr>_Toc300311012</vt:lpwstr>
      </vt:variant>
      <vt:variant>
        <vt:i4>1310770</vt:i4>
      </vt:variant>
      <vt:variant>
        <vt:i4>47</vt:i4>
      </vt:variant>
      <vt:variant>
        <vt:i4>0</vt:i4>
      </vt:variant>
      <vt:variant>
        <vt:i4>5</vt:i4>
      </vt:variant>
      <vt:variant>
        <vt:lpwstr/>
      </vt:variant>
      <vt:variant>
        <vt:lpwstr>_Toc300311011</vt:lpwstr>
      </vt:variant>
      <vt:variant>
        <vt:i4>1310770</vt:i4>
      </vt:variant>
      <vt:variant>
        <vt:i4>41</vt:i4>
      </vt:variant>
      <vt:variant>
        <vt:i4>0</vt:i4>
      </vt:variant>
      <vt:variant>
        <vt:i4>5</vt:i4>
      </vt:variant>
      <vt:variant>
        <vt:lpwstr/>
      </vt:variant>
      <vt:variant>
        <vt:lpwstr>_Toc300311010</vt:lpwstr>
      </vt:variant>
      <vt:variant>
        <vt:i4>1376306</vt:i4>
      </vt:variant>
      <vt:variant>
        <vt:i4>35</vt:i4>
      </vt:variant>
      <vt:variant>
        <vt:i4>0</vt:i4>
      </vt:variant>
      <vt:variant>
        <vt:i4>5</vt:i4>
      </vt:variant>
      <vt:variant>
        <vt:lpwstr/>
      </vt:variant>
      <vt:variant>
        <vt:lpwstr>_Toc300311009</vt:lpwstr>
      </vt:variant>
      <vt:variant>
        <vt:i4>1376306</vt:i4>
      </vt:variant>
      <vt:variant>
        <vt:i4>29</vt:i4>
      </vt:variant>
      <vt:variant>
        <vt:i4>0</vt:i4>
      </vt:variant>
      <vt:variant>
        <vt:i4>5</vt:i4>
      </vt:variant>
      <vt:variant>
        <vt:lpwstr/>
      </vt:variant>
      <vt:variant>
        <vt:lpwstr>_Toc300311008</vt:lpwstr>
      </vt:variant>
      <vt:variant>
        <vt:i4>1376306</vt:i4>
      </vt:variant>
      <vt:variant>
        <vt:i4>23</vt:i4>
      </vt:variant>
      <vt:variant>
        <vt:i4>0</vt:i4>
      </vt:variant>
      <vt:variant>
        <vt:i4>5</vt:i4>
      </vt:variant>
      <vt:variant>
        <vt:lpwstr/>
      </vt:variant>
      <vt:variant>
        <vt:lpwstr>_Toc300311007</vt:lpwstr>
      </vt:variant>
      <vt:variant>
        <vt:i4>1376306</vt:i4>
      </vt:variant>
      <vt:variant>
        <vt:i4>17</vt:i4>
      </vt:variant>
      <vt:variant>
        <vt:i4>0</vt:i4>
      </vt:variant>
      <vt:variant>
        <vt:i4>5</vt:i4>
      </vt:variant>
      <vt:variant>
        <vt:lpwstr/>
      </vt:variant>
      <vt:variant>
        <vt:lpwstr>_Toc300311006</vt:lpwstr>
      </vt:variant>
      <vt:variant>
        <vt:i4>1376306</vt:i4>
      </vt:variant>
      <vt:variant>
        <vt:i4>11</vt:i4>
      </vt:variant>
      <vt:variant>
        <vt:i4>0</vt:i4>
      </vt:variant>
      <vt:variant>
        <vt:i4>5</vt:i4>
      </vt:variant>
      <vt:variant>
        <vt:lpwstr/>
      </vt:variant>
      <vt:variant>
        <vt:lpwstr>_Toc300311005</vt:lpwstr>
      </vt:variant>
      <vt:variant>
        <vt:i4>4194351</vt:i4>
      </vt:variant>
      <vt:variant>
        <vt:i4>6</vt:i4>
      </vt:variant>
      <vt:variant>
        <vt:i4>0</vt:i4>
      </vt:variant>
      <vt:variant>
        <vt:i4>5</vt:i4>
      </vt:variant>
      <vt:variant>
        <vt:lpwstr>mailto:icrc@act.gov.au</vt:lpwstr>
      </vt:variant>
      <vt:variant>
        <vt:lpwstr/>
      </vt:variant>
      <vt:variant>
        <vt:i4>6750261</vt:i4>
      </vt:variant>
      <vt:variant>
        <vt:i4>3</vt:i4>
      </vt:variant>
      <vt:variant>
        <vt:i4>0</vt:i4>
      </vt:variant>
      <vt:variant>
        <vt:i4>5</vt:i4>
      </vt:variant>
      <vt:variant>
        <vt:lpwstr>http://www.icrc.act.gov.au/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Regulated water and sewerage services</dc:title>
  <dc:creator>jack gregory</dc:creator>
  <cp:lastModifiedBy>deirdre burgess</cp:lastModifiedBy>
  <cp:revision>2</cp:revision>
  <cp:lastPrinted>2016-10-18T04:28:00Z</cp:lastPrinted>
  <dcterms:created xsi:type="dcterms:W3CDTF">2016-10-23T22:07:00Z</dcterms:created>
  <dcterms:modified xsi:type="dcterms:W3CDTF">2016-10-23T22:07:00Z</dcterms:modified>
</cp:coreProperties>
</file>