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charts/chart9.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0.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1.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2.xml" ContentType="application/vnd.openxmlformats-officedocument.drawingml.chart+xml"/>
  <Override PartName="/word/charts/chart13.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4.xml" ContentType="application/vnd.openxmlformats-officedocument.drawingml.chart+xml"/>
  <Override PartName="/word/charts/chart15.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6.xml" ContentType="application/vnd.openxmlformats-officedocument.drawingml.chart+xml"/>
  <Override PartName="/word/drawings/drawing2.xml" ContentType="application/vnd.openxmlformats-officedocument.drawingml.chartshapes+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charts/chart20.xml" ContentType="application/vnd.openxmlformats-officedocument.drawingml.chart+xml"/>
  <Override PartName="/word/charts/style9.xml" ContentType="application/vnd.ms-office.chartstyle+xml"/>
  <Override PartName="/word/charts/colors9.xml" ContentType="application/vnd.ms-office.chartcolorstyle+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906" w:rsidRDefault="00635837" w:rsidP="008A1C91">
      <w:pPr>
        <w:pStyle w:val="References"/>
        <w:rPr>
          <w:lang w:val="en-AU"/>
        </w:rPr>
      </w:pPr>
      <w:bookmarkStart w:id="0" w:name="_top"/>
      <w:bookmarkEnd w:id="0"/>
      <w:r>
        <w:rPr>
          <w:lang w:val="en-AU"/>
        </w:rPr>
        <w:t>+</w:t>
      </w:r>
    </w:p>
    <w:p w:rsidR="00635837" w:rsidRPr="00263720" w:rsidRDefault="00635837" w:rsidP="008A1C91">
      <w:pPr>
        <w:pStyle w:val="References"/>
        <w:rPr>
          <w:lang w:val="en-AU"/>
        </w:rPr>
      </w:pPr>
    </w:p>
    <w:p w:rsidR="00A50906" w:rsidRPr="00D11A5A" w:rsidRDefault="00A50906" w:rsidP="008A1C91">
      <w:pPr>
        <w:pStyle w:val="References"/>
        <w:rPr>
          <w:lang w:val="en-AU"/>
        </w:rPr>
      </w:pPr>
    </w:p>
    <w:p w:rsidR="00A50906" w:rsidRPr="00D11A5A" w:rsidRDefault="00A50906" w:rsidP="008A1C91">
      <w:pPr>
        <w:pStyle w:val="References"/>
        <w:rPr>
          <w:lang w:val="en-AU"/>
        </w:rPr>
      </w:pPr>
    </w:p>
    <w:p w:rsidR="00A50906" w:rsidRPr="00D11A5A" w:rsidRDefault="00A50906" w:rsidP="008A1C91">
      <w:pPr>
        <w:pStyle w:val="References"/>
        <w:rPr>
          <w:lang w:val="en-AU"/>
        </w:rPr>
      </w:pPr>
    </w:p>
    <w:p w:rsidR="00796887" w:rsidRPr="00D11A5A" w:rsidRDefault="00796887" w:rsidP="008A1C91">
      <w:pPr>
        <w:pStyle w:val="References"/>
        <w:rPr>
          <w:lang w:val="en-AU"/>
        </w:rPr>
      </w:pPr>
    </w:p>
    <w:p w:rsidR="00796887" w:rsidRPr="00D11A5A" w:rsidRDefault="004A6BDB" w:rsidP="008A1C91">
      <w:pPr>
        <w:pStyle w:val="References"/>
        <w:rPr>
          <w:lang w:val="en-AU"/>
        </w:rPr>
      </w:pPr>
      <w:r>
        <w:rPr>
          <w:bCs/>
          <w:noProof/>
          <w:lang w:val="en-AU" w:eastAsia="en-AU"/>
        </w:rPr>
        <mc:AlternateContent>
          <mc:Choice Requires="wps">
            <w:drawing>
              <wp:anchor distT="0" distB="0" distL="114300" distR="114300" simplePos="0" relativeHeight="251660288" behindDoc="0" locked="0" layoutInCell="1" allowOverlap="1" wp14:anchorId="0CF33B09" wp14:editId="6A2C925F">
                <wp:simplePos x="0" y="0"/>
                <wp:positionH relativeFrom="column">
                  <wp:posOffset>1506220</wp:posOffset>
                </wp:positionH>
                <wp:positionV relativeFrom="paragraph">
                  <wp:posOffset>4587875</wp:posOffset>
                </wp:positionV>
                <wp:extent cx="3686175" cy="2332990"/>
                <wp:effectExtent l="0" t="0" r="9525"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2332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0AB1" w:rsidRPr="00DB0AD7" w:rsidRDefault="001B0AB1" w:rsidP="009334E1">
                            <w:pPr>
                              <w:pStyle w:val="CoverReport"/>
                              <w:rPr>
                                <w:sz w:val="48"/>
                                <w:szCs w:val="48"/>
                              </w:rPr>
                            </w:pPr>
                            <w:r>
                              <w:rPr>
                                <w:sz w:val="48"/>
                                <w:szCs w:val="48"/>
                              </w:rPr>
                              <w:t>Draft report</w:t>
                            </w:r>
                            <w:r w:rsidRPr="00DB0AD7">
                              <w:rPr>
                                <w:sz w:val="48"/>
                                <w:szCs w:val="48"/>
                              </w:rPr>
                              <w:t xml:space="preserve"> </w:t>
                            </w:r>
                          </w:p>
                          <w:p w:rsidR="001B0AB1" w:rsidRDefault="001B0AB1" w:rsidP="009334E1">
                            <w:pPr>
                              <w:pStyle w:val="CoverReport"/>
                            </w:pPr>
                            <w:r>
                              <w:t xml:space="preserve">Tariff Review 2016 </w:t>
                            </w:r>
                          </w:p>
                          <w:p w:rsidR="001B0AB1" w:rsidRDefault="007B3D81" w:rsidP="009334E1">
                            <w:pPr>
                              <w:pStyle w:val="CoverReportNumMonth"/>
                            </w:pPr>
                            <w:sdt>
                              <w:sdtPr>
                                <w:alias w:val="Title"/>
                                <w:id w:val="1186123"/>
                                <w:placeholder>
                                  <w:docPart w:val="BEC3A54377E54BA4BC2549893CE933A7"/>
                                </w:placeholder>
                                <w:dataBinding w:prefixMappings="xmlns:ns0='http://purl.org/dc/elements/1.1/' xmlns:ns1='http://schemas.openxmlformats.org/package/2006/metadata/core-properties' " w:xpath="/ns1:coreProperties[1]/ns0:title[1]" w:storeItemID="{6C3C8BC8-F283-45AE-878A-BAB7291924A1}"/>
                                <w:text/>
                              </w:sdtPr>
                              <w:sdtEndPr/>
                              <w:sdtContent>
                                <w:r w:rsidR="001B0AB1">
                                  <w:t>Regulated water and sewerage services</w:t>
                                </w:r>
                              </w:sdtContent>
                            </w:sdt>
                            <w:bookmarkStart w:id="1" w:name="_Toc265597563"/>
                            <w:r w:rsidR="001B0AB1" w:rsidRPr="00166C87">
                              <w:t xml:space="preserve"> </w:t>
                            </w:r>
                          </w:p>
                          <w:p w:rsidR="001B0AB1" w:rsidRPr="00E729F4" w:rsidRDefault="001B0AB1" w:rsidP="00287869">
                            <w:pPr>
                              <w:pStyle w:val="CoverReportNumMonth"/>
                              <w:rPr>
                                <w:rStyle w:val="Bold"/>
                              </w:rPr>
                            </w:pPr>
                            <w:r w:rsidRPr="00E729F4">
                              <w:rPr>
                                <w:rStyle w:val="Bold"/>
                              </w:rPr>
                              <w:t xml:space="preserve">Report </w:t>
                            </w:r>
                            <w:r w:rsidRPr="00BE2F61">
                              <w:rPr>
                                <w:rStyle w:val="Bold"/>
                              </w:rPr>
                              <w:t>5</w:t>
                            </w:r>
                            <w:r w:rsidRPr="00E729F4">
                              <w:rPr>
                                <w:rStyle w:val="Bold"/>
                              </w:rPr>
                              <w:t xml:space="preserve"> of 201</w:t>
                            </w:r>
                            <w:r>
                              <w:rPr>
                                <w:rStyle w:val="Bold"/>
                              </w:rPr>
                              <w:t>6</w:t>
                            </w:r>
                            <w:r w:rsidRPr="00E729F4">
                              <w:rPr>
                                <w:rStyle w:val="Bold"/>
                              </w:rPr>
                              <w:t xml:space="preserve">, </w:t>
                            </w:r>
                            <w:r>
                              <w:rPr>
                                <w:rStyle w:val="Bold"/>
                              </w:rPr>
                              <w:t>September</w:t>
                            </w:r>
                            <w:r w:rsidRPr="00E729F4">
                              <w:rPr>
                                <w:rStyle w:val="Bold"/>
                              </w:rPr>
                              <w:t xml:space="preserve"> 201</w:t>
                            </w:r>
                            <w:bookmarkEnd w:id="1"/>
                            <w:r>
                              <w:rPr>
                                <w:rStyle w:val="Bold"/>
                              </w:rPr>
                              <w:t>6</w:t>
                            </w:r>
                          </w:p>
                        </w:txbxContent>
                      </wps:txbx>
                      <wps:bodyPr rot="0" vert="horz" wrap="square" lIns="91440" tIns="45720" rIns="91440" bIns="45720" anchor="b"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60872354" id="_x0000_t202" coordsize="21600,21600" o:spt="202" path="m,l,21600r21600,l21600,xe">
                <v:stroke joinstyle="miter"/>
                <v:path gradientshapeok="t" o:connecttype="rect"/>
              </v:shapetype>
              <v:shape id="Text Box 2" o:spid="_x0000_s1026" type="#_x0000_t202" style="position:absolute;left:0;text-align:left;margin-left:118.6pt;margin-top:361.25pt;width:290.25pt;height:183.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" stroked="f">
                <v:textbox style="mso-fit-shape-to-text:t">
                  <w:txbxContent>
                    <w:p w:rsidR="001B0AB1" w:rsidRPr="00DB0AD7" w:rsidRDefault="001B0AB1" w:rsidP="009334E1">
                      <w:pPr>
                        <w:pStyle w:val="CoverReport"/>
                        <w:rPr>
                          <w:sz w:val="48"/>
                          <w:szCs w:val="48"/>
                        </w:rPr>
                      </w:pPr>
                      <w:r>
                        <w:rPr>
                          <w:sz w:val="48"/>
                          <w:szCs w:val="48"/>
                        </w:rPr>
                        <w:t>Draft report</w:t>
                      </w:r>
                      <w:r w:rsidRPr="00DB0AD7">
                        <w:rPr>
                          <w:sz w:val="48"/>
                          <w:szCs w:val="48"/>
                        </w:rPr>
                        <w:t xml:space="preserve"> </w:t>
                      </w:r>
                    </w:p>
                    <w:p w:rsidR="001B0AB1" w:rsidRDefault="001B0AB1" w:rsidP="009334E1">
                      <w:pPr>
                        <w:pStyle w:val="CoverReport"/>
                      </w:pPr>
                      <w:r>
                        <w:t xml:space="preserve">Tariff Review 2016 </w:t>
                      </w:r>
                    </w:p>
                    <w:p w:rsidR="001B0AB1" w:rsidRDefault="00B80BC7" w:rsidP="009334E1">
                      <w:pPr>
                        <w:pStyle w:val="CoverReportNumMonth"/>
                      </w:pPr>
                      <w:sdt>
                        <w:sdtPr>
                          <w:alias w:val="Title"/>
                          <w:id w:val="1186123"/>
                          <w:placeholder>
                            <w:docPart w:val="BEC3A54377E54BA4BC2549893CE933A7"/>
                          </w:placeholder>
                          <w:dataBinding w:prefixMappings="xmlns:ns0='http://purl.org/dc/elements/1.1/' xmlns:ns1='http://schemas.openxmlformats.org/package/2006/metadata/core-properties' " w:xpath="/ns1:coreProperties[1]/ns0:title[1]" w:storeItemID="{6C3C8BC8-F283-45AE-878A-BAB7291924A1}"/>
                          <w:text/>
                        </w:sdtPr>
                        <w:sdtEndPr/>
                        <w:sdtContent>
                          <w:r w:rsidR="001B0AB1">
                            <w:t>Regulated water and sewerage services</w:t>
                          </w:r>
                        </w:sdtContent>
                      </w:sdt>
                      <w:bookmarkStart w:id="3" w:name="_Toc265597563"/>
                      <w:r w:rsidR="001B0AB1" w:rsidRPr="00166C87">
                        <w:t xml:space="preserve"> </w:t>
                      </w:r>
                    </w:p>
                    <w:p w:rsidR="001B0AB1" w:rsidRPr="00E729F4" w:rsidRDefault="001B0AB1" w:rsidP="00287869">
                      <w:pPr>
                        <w:pStyle w:val="CoverReportNumMonth"/>
                        <w:rPr>
                          <w:rStyle w:val="Bold"/>
                        </w:rPr>
                      </w:pPr>
                      <w:r w:rsidRPr="00E729F4">
                        <w:rPr>
                          <w:rStyle w:val="Bold"/>
                        </w:rPr>
                        <w:t xml:space="preserve">Report </w:t>
                      </w:r>
                      <w:r w:rsidRPr="00BE2F61">
                        <w:rPr>
                          <w:rStyle w:val="Bold"/>
                        </w:rPr>
                        <w:t>5</w:t>
                      </w:r>
                      <w:r w:rsidRPr="00E729F4">
                        <w:rPr>
                          <w:rStyle w:val="Bold"/>
                        </w:rPr>
                        <w:t xml:space="preserve"> of 201</w:t>
                      </w:r>
                      <w:r>
                        <w:rPr>
                          <w:rStyle w:val="Bold"/>
                        </w:rPr>
                        <w:t>6</w:t>
                      </w:r>
                      <w:r w:rsidRPr="00E729F4">
                        <w:rPr>
                          <w:rStyle w:val="Bold"/>
                        </w:rPr>
                        <w:t xml:space="preserve">, </w:t>
                      </w:r>
                      <w:r>
                        <w:rPr>
                          <w:rStyle w:val="Bold"/>
                        </w:rPr>
                        <w:t>September</w:t>
                      </w:r>
                      <w:r w:rsidRPr="00E729F4">
                        <w:rPr>
                          <w:rStyle w:val="Bold"/>
                        </w:rPr>
                        <w:t xml:space="preserve"> 201</w:t>
                      </w:r>
                      <w:bookmarkEnd w:id="3"/>
                      <w:r>
                        <w:rPr>
                          <w:rStyle w:val="Bold"/>
                        </w:rPr>
                        <w:t>6</w:t>
                      </w:r>
                    </w:p>
                  </w:txbxContent>
                </v:textbox>
              </v:shape>
            </w:pict>
          </mc:Fallback>
        </mc:AlternateContent>
      </w:r>
    </w:p>
    <w:p w:rsidR="00796887" w:rsidRPr="004A66E2" w:rsidRDefault="00796887" w:rsidP="008A1C91">
      <w:pPr>
        <w:pStyle w:val="References"/>
        <w:sectPr w:rsidR="00796887" w:rsidRPr="004A66E2" w:rsidSect="00FD0141">
          <w:headerReference w:type="even" r:id="rId8"/>
          <w:headerReference w:type="default" r:id="rId9"/>
          <w:footerReference w:type="even" r:id="rId10"/>
          <w:footerReference w:type="default" r:id="rId11"/>
          <w:headerReference w:type="first" r:id="rId12"/>
          <w:footerReference w:type="first" r:id="rId13"/>
          <w:endnotePr>
            <w:numFmt w:val="decimal"/>
          </w:endnotePr>
          <w:pgSz w:w="11907" w:h="16840" w:code="9"/>
          <w:pgMar w:top="2268" w:right="2098" w:bottom="1701" w:left="2098" w:header="578" w:footer="578" w:gutter="0"/>
          <w:pgNumType w:fmt="lowerRoman" w:start="1"/>
          <w:cols w:space="720"/>
          <w:titlePg/>
          <w:docGrid w:linePitch="299"/>
        </w:sectPr>
      </w:pPr>
      <w:bookmarkStart w:id="2" w:name="_Toc27649604"/>
      <w:bookmarkStart w:id="3" w:name="_Toc43786474"/>
      <w:bookmarkStart w:id="4" w:name="_Toc44217184"/>
    </w:p>
    <w:p w:rsidR="000721C4" w:rsidRPr="00B5530C" w:rsidRDefault="000721C4" w:rsidP="0088522D">
      <w:pPr>
        <w:pStyle w:val="References"/>
        <w:jc w:val="center"/>
      </w:pPr>
      <w:bookmarkStart w:id="5" w:name="_Toc44217186"/>
      <w:bookmarkStart w:id="6" w:name="_Toc118359366"/>
      <w:bookmarkEnd w:id="2"/>
      <w:bookmarkEnd w:id="3"/>
      <w:bookmarkEnd w:id="4"/>
      <w:r w:rsidRPr="00B5530C">
        <w:lastRenderedPageBreak/>
        <w:t xml:space="preserve">The Independent Competition and Regulatory Commission is a Territory Authority established under the </w:t>
      </w:r>
      <w:r w:rsidRPr="00C04AA0">
        <w:rPr>
          <w:rStyle w:val="Italic"/>
        </w:rPr>
        <w:t>Independent Competition and Regulatory Commission Act 1997</w:t>
      </w:r>
      <w:r w:rsidRPr="00B5530C">
        <w:t xml:space="preserve"> (</w:t>
      </w:r>
      <w:r w:rsidR="00C04AA0">
        <w:t xml:space="preserve">the </w:t>
      </w:r>
      <w:r w:rsidRPr="00B5530C">
        <w:t>ICRC Act). The Commission is constituted under the ICRC Act by one or more standing</w:t>
      </w:r>
      <w:r w:rsidR="00767AA8">
        <w:t xml:space="preserve"> commissioners and </w:t>
      </w:r>
      <w:r w:rsidRPr="00B5530C">
        <w:t>any associated commissioners appointed for particular purposes. Commissioners are statutory appointments</w:t>
      </w:r>
      <w:r w:rsidR="005A0954">
        <w:t xml:space="preserve">. The </w:t>
      </w:r>
      <w:r w:rsidRPr="00B5530C">
        <w:t xml:space="preserve">current </w:t>
      </w:r>
      <w:r w:rsidR="00EC6ED8">
        <w:t xml:space="preserve">Senior </w:t>
      </w:r>
      <w:r w:rsidRPr="00B5530C">
        <w:t xml:space="preserve">Commissioner </w:t>
      </w:r>
      <w:r w:rsidR="00EC6ED8">
        <w:t>is</w:t>
      </w:r>
      <w:r w:rsidR="00BA2DAC" w:rsidRPr="0010747B">
        <w:t xml:space="preserve"> Joe Dimasi</w:t>
      </w:r>
      <w:r w:rsidRPr="00B5530C">
        <w:t xml:space="preserve"> who constitute</w:t>
      </w:r>
      <w:r w:rsidR="00EC6ED8">
        <w:t>s</w:t>
      </w:r>
      <w:r w:rsidRPr="00B5530C">
        <w:t xml:space="preserve"> the Commission</w:t>
      </w:r>
      <w:r w:rsidR="005A0954">
        <w:t xml:space="preserve"> and </w:t>
      </w:r>
      <w:r w:rsidRPr="00B5530C">
        <w:t>take</w:t>
      </w:r>
      <w:r w:rsidR="005A0954">
        <w:t>s</w:t>
      </w:r>
      <w:r w:rsidRPr="00B5530C">
        <w:t xml:space="preserve"> direct responsibility for delivery of the outcomes of the Commission.</w:t>
      </w:r>
    </w:p>
    <w:p w:rsidR="000721C4" w:rsidRPr="00B5530C" w:rsidRDefault="00337F26" w:rsidP="0088522D">
      <w:pPr>
        <w:pStyle w:val="References"/>
        <w:jc w:val="center"/>
      </w:pPr>
      <w:r>
        <w:t xml:space="preserve">The Commission </w:t>
      </w:r>
      <w:r w:rsidR="000721C4" w:rsidRPr="00B5530C">
        <w:t>ha</w:t>
      </w:r>
      <w:r>
        <w:t xml:space="preserve">s </w:t>
      </w:r>
      <w:r w:rsidR="000721C4" w:rsidRPr="00B5530C">
        <w:t xml:space="preserve">responsibilities for a broad range of regulatory and utility administrative matters. </w:t>
      </w:r>
      <w:r>
        <w:t>The Commission</w:t>
      </w:r>
      <w:r w:rsidRPr="00B5530C">
        <w:t xml:space="preserve"> </w:t>
      </w:r>
      <w:r w:rsidR="000721C4" w:rsidRPr="00B5530C">
        <w:t xml:space="preserve">responsibility under the ICRC Act for regulating and advising government about pricing and other matters for monopoly, near-monopoly and ministerially declared regulated industries, </w:t>
      </w:r>
      <w:r w:rsidR="000271A9">
        <w:t xml:space="preserve">and </w:t>
      </w:r>
      <w:r w:rsidR="000721C4" w:rsidRPr="00B5530C">
        <w:t xml:space="preserve">providing advice on competitive neutrality complaints and government-regulated activities. We also have responsibility for arbitrating infrastructure access disputes under the ICRC Act. In discharging </w:t>
      </w:r>
      <w:r>
        <w:t xml:space="preserve">its </w:t>
      </w:r>
      <w:r w:rsidR="000721C4" w:rsidRPr="00B5530C">
        <w:t xml:space="preserve">objectives and functions, </w:t>
      </w:r>
      <w:r>
        <w:t>the Commission</w:t>
      </w:r>
      <w:r w:rsidRPr="00B5530C">
        <w:t xml:space="preserve"> </w:t>
      </w:r>
      <w:r w:rsidR="000721C4" w:rsidRPr="00B5530C">
        <w:t>provide</w:t>
      </w:r>
      <w:r>
        <w:t>s</w:t>
      </w:r>
      <w:r w:rsidR="000721C4" w:rsidRPr="00B5530C">
        <w:t xml:space="preserve"> independent robust analysis and advice.</w:t>
      </w:r>
    </w:p>
    <w:p w:rsidR="000721C4" w:rsidRPr="00B5530C" w:rsidRDefault="00337F26" w:rsidP="0088522D">
      <w:pPr>
        <w:pStyle w:val="References"/>
        <w:jc w:val="center"/>
      </w:pPr>
      <w:r>
        <w:t>The Commission’s</w:t>
      </w:r>
      <w:r w:rsidRPr="00B5530C">
        <w:t xml:space="preserve"> </w:t>
      </w:r>
      <w:r w:rsidR="000721C4" w:rsidRPr="00B5530C">
        <w:t xml:space="preserve">objectives are set out in section 7 of the ICRC Act and section 3 of the </w:t>
      </w:r>
      <w:r w:rsidR="000721C4" w:rsidRPr="0036790F">
        <w:rPr>
          <w:i/>
        </w:rPr>
        <w:t>Utilities</w:t>
      </w:r>
      <w:r w:rsidR="0036790F">
        <w:rPr>
          <w:i/>
        </w:rPr>
        <w:t> </w:t>
      </w:r>
      <w:r w:rsidR="000721C4" w:rsidRPr="0036790F">
        <w:rPr>
          <w:i/>
        </w:rPr>
        <w:t>Act</w:t>
      </w:r>
      <w:r w:rsidR="0036790F">
        <w:rPr>
          <w:i/>
        </w:rPr>
        <w:t> </w:t>
      </w:r>
      <w:r w:rsidR="0036790F" w:rsidRPr="0036790F">
        <w:rPr>
          <w:i/>
        </w:rPr>
        <w:t>2000</w:t>
      </w:r>
      <w:r w:rsidR="000721C4" w:rsidRPr="00B5530C">
        <w:t>.</w:t>
      </w:r>
    </w:p>
    <w:p w:rsidR="000721C4" w:rsidRPr="00B5530C" w:rsidRDefault="000721C4" w:rsidP="0088522D">
      <w:pPr>
        <w:pStyle w:val="References"/>
        <w:jc w:val="center"/>
      </w:pPr>
      <w:r w:rsidRPr="00B5530C">
        <w:t xml:space="preserve">Correspondence or other inquiries may be directed to </w:t>
      </w:r>
      <w:r w:rsidR="00B2762C">
        <w:t>the Commission</w:t>
      </w:r>
      <w:r w:rsidRPr="00B5530C">
        <w:t xml:space="preserve"> at the </w:t>
      </w:r>
      <w:r w:rsidR="00314A3B">
        <w:t xml:space="preserve">following </w:t>
      </w:r>
      <w:r w:rsidRPr="00B5530C">
        <w:t>addresses:</w:t>
      </w:r>
    </w:p>
    <w:p w:rsidR="000721C4" w:rsidRPr="00B5530C" w:rsidRDefault="000721C4" w:rsidP="0088522D">
      <w:pPr>
        <w:pStyle w:val="References"/>
        <w:jc w:val="center"/>
      </w:pPr>
      <w:r w:rsidRPr="00B5530C">
        <w:t>Independent Competition and Regulatory Commission</w:t>
      </w:r>
      <w:r w:rsidRPr="00B5530C">
        <w:br/>
        <w:t>PO Box 161</w:t>
      </w:r>
      <w:r w:rsidRPr="00B5530C">
        <w:br/>
        <w:t>Civic Square ACT 2608</w:t>
      </w:r>
    </w:p>
    <w:p w:rsidR="000721C4" w:rsidRPr="00B5530C" w:rsidRDefault="000721C4" w:rsidP="0088522D">
      <w:pPr>
        <w:pStyle w:val="References"/>
        <w:jc w:val="center"/>
      </w:pPr>
      <w:r w:rsidRPr="00B5530C">
        <w:t>Level 8</w:t>
      </w:r>
      <w:r w:rsidRPr="00B5530C">
        <w:br/>
        <w:t>221 London Circuit</w:t>
      </w:r>
      <w:r w:rsidRPr="00B5530C">
        <w:br/>
        <w:t>Canberra ACT 2601</w:t>
      </w:r>
    </w:p>
    <w:p w:rsidR="000721C4" w:rsidRDefault="00337F26" w:rsidP="0088522D">
      <w:pPr>
        <w:pStyle w:val="References"/>
        <w:jc w:val="center"/>
      </w:pPr>
      <w:r>
        <w:t>The Commission</w:t>
      </w:r>
      <w:r w:rsidR="000721C4" w:rsidRPr="00B5530C">
        <w:t xml:space="preserve"> may be contacted at the above addresses, by telephone on (02) 6205 0799, or by fax on (02) 6207 5887. </w:t>
      </w:r>
      <w:r>
        <w:t>The Commission’s</w:t>
      </w:r>
      <w:r w:rsidRPr="00B5530C">
        <w:t xml:space="preserve"> </w:t>
      </w:r>
      <w:r w:rsidR="000721C4" w:rsidRPr="00B5530C">
        <w:t xml:space="preserve">website is at </w:t>
      </w:r>
      <w:hyperlink r:id="rId14" w:history="1">
        <w:r w:rsidR="000721C4" w:rsidRPr="00B5530C">
          <w:rPr>
            <w:rStyle w:val="Hyperlink"/>
          </w:rPr>
          <w:t>www.icrc.act.gov.au</w:t>
        </w:r>
      </w:hyperlink>
      <w:r w:rsidR="000721C4" w:rsidRPr="00B5530C">
        <w:t xml:space="preserve"> and </w:t>
      </w:r>
      <w:r>
        <w:t>the Commission’s</w:t>
      </w:r>
      <w:r w:rsidRPr="00B5530C">
        <w:t xml:space="preserve"> </w:t>
      </w:r>
      <w:r w:rsidR="000721C4" w:rsidRPr="00B5530C">
        <w:t xml:space="preserve">email address is </w:t>
      </w:r>
      <w:hyperlink r:id="rId15" w:history="1">
        <w:r w:rsidR="000721C4" w:rsidRPr="00B5530C">
          <w:rPr>
            <w:rStyle w:val="Hyperlink"/>
          </w:rPr>
          <w:t>icrc@act.gov.au</w:t>
        </w:r>
      </w:hyperlink>
      <w:r w:rsidR="000721C4" w:rsidRPr="00B5530C">
        <w:t>.</w:t>
      </w:r>
    </w:p>
    <w:p w:rsidR="00341230" w:rsidRDefault="00341230" w:rsidP="008A1C91">
      <w:pPr>
        <w:pStyle w:val="References"/>
      </w:pPr>
    </w:p>
    <w:p w:rsidR="00341230" w:rsidRDefault="00341230" w:rsidP="008A1C91">
      <w:pPr>
        <w:pStyle w:val="References"/>
        <w:sectPr w:rsidR="00341230" w:rsidSect="00AE2F9D">
          <w:headerReference w:type="even" r:id="rId16"/>
          <w:headerReference w:type="default" r:id="rId17"/>
          <w:footerReference w:type="even" r:id="rId18"/>
          <w:footerReference w:type="default" r:id="rId19"/>
          <w:headerReference w:type="first" r:id="rId20"/>
          <w:endnotePr>
            <w:numFmt w:val="decimal"/>
          </w:endnotePr>
          <w:type w:val="oddPage"/>
          <w:pgSz w:w="11907" w:h="16840" w:code="9"/>
          <w:pgMar w:top="2268" w:right="2098" w:bottom="1701" w:left="2098" w:header="578" w:footer="578" w:gutter="0"/>
          <w:pgNumType w:fmt="lowerRoman" w:start="1"/>
          <w:cols w:space="720"/>
        </w:sectPr>
      </w:pPr>
    </w:p>
    <w:p w:rsidR="00180A18" w:rsidRDefault="00C7756B" w:rsidP="0088522D">
      <w:pPr>
        <w:pStyle w:val="Heading1a"/>
      </w:pPr>
      <w:bookmarkStart w:id="7" w:name="_Toc460572199"/>
      <w:bookmarkStart w:id="8" w:name="_Toc368572030"/>
      <w:r>
        <w:lastRenderedPageBreak/>
        <w:t>Foreword</w:t>
      </w:r>
      <w:bookmarkEnd w:id="7"/>
    </w:p>
    <w:p w:rsidR="003D00FF" w:rsidRDefault="003D00FF" w:rsidP="003D00FF">
      <w:r w:rsidRPr="003D00FF">
        <w:t xml:space="preserve">This draft report </w:t>
      </w:r>
      <w:r>
        <w:t>sets out the Commission’s draft position on the future structure of Icon Water’s regulated water and sewerage services tariffs.</w:t>
      </w:r>
    </w:p>
    <w:p w:rsidR="003D00FF" w:rsidRDefault="003D00FF" w:rsidP="003D00FF">
      <w:r>
        <w:t>The structure of the water tariff and constituent prices play a vital role in providing incentives to customers to use Icon Water’s infrastructure and water resource</w:t>
      </w:r>
      <w:r w:rsidR="0002265E">
        <w:t>s</w:t>
      </w:r>
      <w:r>
        <w:t xml:space="preserve"> efficiently.</w:t>
      </w:r>
      <w:r w:rsidR="00E845C1">
        <w:t xml:space="preserve"> The draft report find</w:t>
      </w:r>
      <w:r w:rsidR="003C4BAD">
        <w:t>s</w:t>
      </w:r>
      <w:r w:rsidR="00E845C1">
        <w:t xml:space="preserve"> that </w:t>
      </w:r>
      <w:r w:rsidR="00635837">
        <w:t xml:space="preserve">given the current and prospective water supply conditions in the ACT, </w:t>
      </w:r>
      <w:r w:rsidR="00E845C1">
        <w:t>the existing water tariff structure can be improved for the benefit of the ACT community</w:t>
      </w:r>
      <w:r w:rsidR="00635837">
        <w:t xml:space="preserve">. It suggests that this can be done by </w:t>
      </w:r>
      <w:r w:rsidR="003C4BAD">
        <w:t>rebalancing the ratio of the supply and usage charge</w:t>
      </w:r>
      <w:r w:rsidR="00635837">
        <w:t>s, whilst being responsive to the future possibility of water scarcity</w:t>
      </w:r>
      <w:r w:rsidR="00E845C1">
        <w:t>.</w:t>
      </w:r>
    </w:p>
    <w:p w:rsidR="00E845C1" w:rsidRDefault="00E845C1" w:rsidP="003D00FF">
      <w:r>
        <w:t>Given the significance of this</w:t>
      </w:r>
      <w:r w:rsidR="00635837">
        <w:t xml:space="preserve"> matter</w:t>
      </w:r>
      <w:r>
        <w:t xml:space="preserve">, the draft report is open for public consultation for a longer period than usual, with the closing date for submissions on </w:t>
      </w:r>
      <w:r w:rsidRPr="00E845C1">
        <w:rPr>
          <w:b/>
        </w:rPr>
        <w:t>30</w:t>
      </w:r>
      <w:r w:rsidR="00655F17">
        <w:rPr>
          <w:b/>
        </w:rPr>
        <w:t> </w:t>
      </w:r>
      <w:r w:rsidRPr="00E845C1">
        <w:rPr>
          <w:b/>
        </w:rPr>
        <w:t>November</w:t>
      </w:r>
      <w:r w:rsidR="00655F17">
        <w:rPr>
          <w:b/>
        </w:rPr>
        <w:t> </w:t>
      </w:r>
      <w:r w:rsidRPr="00E845C1">
        <w:rPr>
          <w:b/>
        </w:rPr>
        <w:t>2016</w:t>
      </w:r>
      <w:r>
        <w:t>. The Commission will also be holding a public forum to discuss the draft report findings at a date to be announced.</w:t>
      </w:r>
    </w:p>
    <w:p w:rsidR="00853471" w:rsidRDefault="00C12CD6" w:rsidP="00AF57AD">
      <w:r>
        <w:t xml:space="preserve">I look forward to hearing the views of the ACT community on </w:t>
      </w:r>
      <w:r w:rsidR="00AF57AD">
        <w:t>the structure of tariffs moving forward.</w:t>
      </w:r>
    </w:p>
    <w:p w:rsidR="00AF57AD" w:rsidRDefault="00AF57AD" w:rsidP="00AF57AD"/>
    <w:p w:rsidR="00853471" w:rsidRPr="00012CC1" w:rsidRDefault="00012CC1" w:rsidP="00012CC1">
      <w:r w:rsidRPr="00012CC1">
        <w:t>Joe Dimasi</w:t>
      </w:r>
      <w:r w:rsidR="00853471" w:rsidRPr="00012CC1">
        <w:t xml:space="preserve"> </w:t>
      </w:r>
    </w:p>
    <w:p w:rsidR="00180A18" w:rsidRDefault="00EC6ED8" w:rsidP="008A1C91">
      <w:pPr>
        <w:pStyle w:val="References"/>
      </w:pPr>
      <w:r>
        <w:t xml:space="preserve">Senior </w:t>
      </w:r>
      <w:r w:rsidR="00180A18">
        <w:t>Commissioner</w:t>
      </w:r>
    </w:p>
    <w:p w:rsidR="00180A18" w:rsidRPr="00C47A39" w:rsidRDefault="00B07BED" w:rsidP="008A1C91">
      <w:pPr>
        <w:pStyle w:val="References"/>
        <w:rPr>
          <w:rStyle w:val="HighlightYellow"/>
        </w:rPr>
      </w:pPr>
      <w:r>
        <w:t xml:space="preserve">6 </w:t>
      </w:r>
      <w:r w:rsidR="00EC6ED8" w:rsidRPr="00B07BED">
        <w:t xml:space="preserve">September </w:t>
      </w:r>
      <w:r w:rsidR="00180A18" w:rsidRPr="00B07BED">
        <w:t>201</w:t>
      </w:r>
      <w:r w:rsidR="00DB0AD7" w:rsidRPr="00B07BED">
        <w:t>6</w:t>
      </w:r>
    </w:p>
    <w:p w:rsidR="00C7756B" w:rsidRPr="00C7756B" w:rsidRDefault="00C7756B" w:rsidP="008A1C91">
      <w:pPr>
        <w:pStyle w:val="References"/>
      </w:pPr>
      <w:r>
        <w:br w:type="page"/>
      </w:r>
    </w:p>
    <w:p w:rsidR="00341230" w:rsidRDefault="00341230" w:rsidP="0088522D">
      <w:pPr>
        <w:pStyle w:val="Heading1a"/>
      </w:pPr>
      <w:bookmarkStart w:id="9" w:name="_Toc460572200"/>
      <w:r w:rsidRPr="001E53CC">
        <w:lastRenderedPageBreak/>
        <w:t>How to make a submission</w:t>
      </w:r>
      <w:bookmarkEnd w:id="8"/>
      <w:bookmarkEnd w:id="9"/>
    </w:p>
    <w:tbl>
      <w:tblPr>
        <w:tblW w:w="49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58"/>
      </w:tblGrid>
      <w:tr w:rsidR="00341230" w:rsidRPr="00C6335A" w:rsidTr="00FD2BFE">
        <w:tc>
          <w:tcPr>
            <w:tcW w:w="5000" w:type="pct"/>
          </w:tcPr>
          <w:p w:rsidR="00341230" w:rsidRDefault="00341230" w:rsidP="00B222E3">
            <w:pPr>
              <w:rPr>
                <w:lang w:val="en-AU"/>
              </w:rPr>
            </w:pPr>
            <w:r w:rsidRPr="004834A1">
              <w:rPr>
                <w:lang w:val="en-AU"/>
              </w:rPr>
              <w:t xml:space="preserve">The </w:t>
            </w:r>
            <w:r w:rsidR="00D22600">
              <w:rPr>
                <w:lang w:val="en-AU"/>
              </w:rPr>
              <w:t xml:space="preserve">draft report </w:t>
            </w:r>
            <w:r w:rsidRPr="004834A1">
              <w:rPr>
                <w:lang w:val="en-AU"/>
              </w:rPr>
              <w:t>provides a</w:t>
            </w:r>
            <w:r>
              <w:rPr>
                <w:lang w:val="en-AU"/>
              </w:rPr>
              <w:t>n</w:t>
            </w:r>
            <w:r w:rsidRPr="004834A1">
              <w:rPr>
                <w:lang w:val="en-AU"/>
              </w:rPr>
              <w:t xml:space="preserve"> opportunity for </w:t>
            </w:r>
            <w:r>
              <w:rPr>
                <w:lang w:val="en-AU"/>
              </w:rPr>
              <w:t>stakeholders</w:t>
            </w:r>
            <w:r w:rsidRPr="004834A1">
              <w:rPr>
                <w:lang w:val="en-AU"/>
              </w:rPr>
              <w:t xml:space="preserve"> to inform the </w:t>
            </w:r>
            <w:r>
              <w:t xml:space="preserve">development of </w:t>
            </w:r>
            <w:r w:rsidR="00E85DDD">
              <w:t>the</w:t>
            </w:r>
            <w:r w:rsidR="000C33DA">
              <w:t xml:space="preserve"> </w:t>
            </w:r>
            <w:r w:rsidR="007B70E0">
              <w:t>final report for the tariff review</w:t>
            </w:r>
            <w:r w:rsidRPr="004834A1">
              <w:rPr>
                <w:lang w:val="en-AU"/>
              </w:rPr>
              <w:t>. It will also ensure that relevant information and views are made public and brought to the Commission</w:t>
            </w:r>
            <w:r>
              <w:rPr>
                <w:lang w:val="en-AU"/>
              </w:rPr>
              <w:t>’</w:t>
            </w:r>
            <w:r w:rsidRPr="004834A1">
              <w:rPr>
                <w:lang w:val="en-AU"/>
              </w:rPr>
              <w:t>s attention.</w:t>
            </w:r>
          </w:p>
          <w:p w:rsidR="00341230" w:rsidRPr="00C6335A" w:rsidRDefault="00341230" w:rsidP="00B222E3">
            <w:pPr>
              <w:rPr>
                <w:rFonts w:eastAsia="SimSun"/>
                <w:lang w:val="en-AU"/>
              </w:rPr>
            </w:pPr>
            <w:r w:rsidRPr="00C6335A">
              <w:rPr>
                <w:rFonts w:eastAsia="SimSun"/>
                <w:lang w:val="en-AU"/>
              </w:rPr>
              <w:t>Submissions may be mailed to the Commission at:</w:t>
            </w:r>
          </w:p>
          <w:p w:rsidR="00341230" w:rsidRPr="00C6335A" w:rsidRDefault="00341230" w:rsidP="00B222E3">
            <w:pPr>
              <w:rPr>
                <w:rFonts w:eastAsia="SimSun"/>
                <w:lang w:val="en-AU"/>
              </w:rPr>
            </w:pPr>
            <w:r w:rsidRPr="00C6335A">
              <w:rPr>
                <w:rFonts w:eastAsia="SimSun"/>
                <w:lang w:val="en-AU"/>
              </w:rPr>
              <w:t>Independent Competition and R</w:t>
            </w:r>
            <w:r>
              <w:rPr>
                <w:rFonts w:eastAsia="SimSun"/>
                <w:lang w:val="en-AU"/>
              </w:rPr>
              <w:t>egulatory Commission</w:t>
            </w:r>
            <w:r>
              <w:rPr>
                <w:rFonts w:eastAsia="SimSun"/>
                <w:lang w:val="en-AU"/>
              </w:rPr>
              <w:br/>
              <w:t>PO Box 161</w:t>
            </w:r>
            <w:r>
              <w:rPr>
                <w:rFonts w:eastAsia="SimSun"/>
                <w:lang w:val="en-AU"/>
              </w:rPr>
              <w:br/>
              <w:t>Civic Square</w:t>
            </w:r>
            <w:r w:rsidRPr="00C6335A">
              <w:rPr>
                <w:rFonts w:eastAsia="SimSun"/>
                <w:lang w:val="en-AU"/>
              </w:rPr>
              <w:t xml:space="preserve"> ACT</w:t>
            </w:r>
            <w:r>
              <w:rPr>
                <w:rFonts w:eastAsia="SimSun"/>
                <w:lang w:val="en-AU"/>
              </w:rPr>
              <w:t xml:space="preserve"> </w:t>
            </w:r>
            <w:r w:rsidRPr="00C6335A">
              <w:rPr>
                <w:rFonts w:eastAsia="SimSun"/>
                <w:lang w:val="en-AU"/>
              </w:rPr>
              <w:t>260</w:t>
            </w:r>
            <w:r>
              <w:rPr>
                <w:rFonts w:eastAsia="SimSun"/>
                <w:lang w:val="en-AU"/>
              </w:rPr>
              <w:t>8</w:t>
            </w:r>
          </w:p>
          <w:p w:rsidR="00341230" w:rsidRDefault="00341230" w:rsidP="00B222E3">
            <w:pPr>
              <w:rPr>
                <w:rFonts w:eastAsia="SimSun"/>
                <w:lang w:val="en-AU"/>
              </w:rPr>
            </w:pPr>
            <w:r w:rsidRPr="00C6335A">
              <w:rPr>
                <w:rFonts w:eastAsia="SimSun"/>
                <w:lang w:val="en-AU"/>
              </w:rPr>
              <w:t xml:space="preserve">Alternatively, submissions may be emailed to the Commission at </w:t>
            </w:r>
            <w:hyperlink r:id="rId21" w:history="1">
              <w:r w:rsidRPr="00C36951">
                <w:rPr>
                  <w:rFonts w:eastAsia="SimSun"/>
                  <w:lang w:val="en-AU"/>
                </w:rPr>
                <w:t>icrc@act.gov.au</w:t>
              </w:r>
            </w:hyperlink>
            <w:r w:rsidRPr="00C6335A">
              <w:rPr>
                <w:rFonts w:eastAsia="SimSun"/>
                <w:lang w:val="en-AU"/>
              </w:rPr>
              <w:t>.</w:t>
            </w:r>
            <w:r>
              <w:rPr>
                <w:rFonts w:eastAsia="SimSun"/>
                <w:lang w:val="en-AU"/>
              </w:rPr>
              <w:t xml:space="preserve"> </w:t>
            </w:r>
            <w:r w:rsidRPr="00692BCF">
              <w:rPr>
                <w:rFonts w:eastAsia="SimSun"/>
                <w:lang w:val="en-AU"/>
              </w:rPr>
              <w:t xml:space="preserve">The </w:t>
            </w:r>
            <w:r>
              <w:rPr>
                <w:rFonts w:eastAsia="SimSun"/>
                <w:lang w:val="en-AU"/>
              </w:rPr>
              <w:t xml:space="preserve">Commission </w:t>
            </w:r>
            <w:r w:rsidRPr="00692BCF">
              <w:rPr>
                <w:rFonts w:eastAsia="SimSun"/>
                <w:lang w:val="en-AU"/>
              </w:rPr>
              <w:t>encourages</w:t>
            </w:r>
            <w:r>
              <w:rPr>
                <w:rFonts w:eastAsia="SimSun"/>
                <w:lang w:val="en-AU"/>
              </w:rPr>
              <w:t xml:space="preserve"> stakeholders </w:t>
            </w:r>
            <w:r w:rsidRPr="00692BCF">
              <w:rPr>
                <w:rFonts w:eastAsia="SimSun"/>
                <w:lang w:val="en-AU"/>
              </w:rPr>
              <w:t>to make submissions in either Microsoft Word format or PDF (OCR</w:t>
            </w:r>
            <w:r>
              <w:rPr>
                <w:rFonts w:eastAsia="SimSun"/>
                <w:lang w:val="en-AU"/>
              </w:rPr>
              <w:t xml:space="preserve"> </w:t>
            </w:r>
            <w:r w:rsidRPr="00692BCF">
              <w:rPr>
                <w:rFonts w:eastAsia="SimSun"/>
                <w:lang w:val="en-AU"/>
              </w:rPr>
              <w:t>readable text format</w:t>
            </w:r>
            <w:r>
              <w:rPr>
                <w:rFonts w:eastAsia="SimSun"/>
                <w:lang w:val="en-AU"/>
              </w:rPr>
              <w:t xml:space="preserve"> – </w:t>
            </w:r>
            <w:r w:rsidRPr="00692BCF">
              <w:rPr>
                <w:rFonts w:eastAsia="SimSun"/>
                <w:lang w:val="en-AU"/>
              </w:rPr>
              <w:t>that is</w:t>
            </w:r>
            <w:r>
              <w:rPr>
                <w:rFonts w:eastAsia="SimSun"/>
                <w:lang w:val="en-AU"/>
              </w:rPr>
              <w:t>,</w:t>
            </w:r>
            <w:r w:rsidRPr="00692BCF">
              <w:rPr>
                <w:rFonts w:eastAsia="SimSun"/>
                <w:lang w:val="en-AU"/>
              </w:rPr>
              <w:t xml:space="preserve"> they should be direct conversions from the word</w:t>
            </w:r>
            <w:r>
              <w:rPr>
                <w:rFonts w:eastAsia="SimSun"/>
                <w:lang w:val="en-AU"/>
              </w:rPr>
              <w:t>-</w:t>
            </w:r>
            <w:r w:rsidRPr="00692BCF">
              <w:rPr>
                <w:rFonts w:eastAsia="SimSun"/>
                <w:lang w:val="en-AU"/>
              </w:rPr>
              <w:t>processing program, rather than scanned copies in which the text cannot be searched)</w:t>
            </w:r>
            <w:r>
              <w:rPr>
                <w:rFonts w:eastAsia="SimSun"/>
                <w:lang w:val="en-AU"/>
              </w:rPr>
              <w:t>.</w:t>
            </w:r>
            <w:r w:rsidRPr="002D502F">
              <w:rPr>
                <w:rFonts w:eastAsia="SimSun"/>
                <w:lang w:val="en-AU"/>
              </w:rPr>
              <w:t xml:space="preserve"> </w:t>
            </w:r>
          </w:p>
          <w:p w:rsidR="00341230" w:rsidRPr="002D502F" w:rsidRDefault="00341230" w:rsidP="00B222E3">
            <w:pPr>
              <w:rPr>
                <w:rFonts w:eastAsia="SimSun"/>
                <w:lang w:val="en-AU"/>
              </w:rPr>
            </w:pPr>
            <w:r w:rsidRPr="00E5541B">
              <w:rPr>
                <w:rFonts w:eastAsia="SimSun"/>
                <w:lang w:val="en-AU"/>
              </w:rPr>
              <w:t>For submissions received from individuals, all personal details (for example</w:t>
            </w:r>
            <w:r>
              <w:rPr>
                <w:rFonts w:eastAsia="SimSun"/>
                <w:lang w:val="en-AU"/>
              </w:rPr>
              <w:t>,</w:t>
            </w:r>
            <w:r w:rsidRPr="00E5541B">
              <w:rPr>
                <w:rFonts w:eastAsia="SimSun"/>
                <w:lang w:val="en-AU"/>
              </w:rPr>
              <w:t xml:space="preserve"> home and email address</w:t>
            </w:r>
            <w:r>
              <w:rPr>
                <w:rFonts w:eastAsia="SimSun"/>
                <w:lang w:val="en-AU"/>
              </w:rPr>
              <w:t>es</w:t>
            </w:r>
            <w:r w:rsidRPr="00E5541B">
              <w:rPr>
                <w:rFonts w:eastAsia="SimSun"/>
                <w:lang w:val="en-AU"/>
              </w:rPr>
              <w:t xml:space="preserve">, </w:t>
            </w:r>
            <w:r>
              <w:rPr>
                <w:rFonts w:eastAsia="SimSun"/>
                <w:lang w:val="en-AU"/>
              </w:rPr>
              <w:t>and tele</w:t>
            </w:r>
            <w:r w:rsidRPr="00E5541B">
              <w:rPr>
                <w:rFonts w:eastAsia="SimSun"/>
                <w:lang w:val="en-AU"/>
              </w:rPr>
              <w:t>phone and fax number</w:t>
            </w:r>
            <w:r>
              <w:rPr>
                <w:rFonts w:eastAsia="SimSun"/>
                <w:lang w:val="en-AU"/>
              </w:rPr>
              <w:t>s</w:t>
            </w:r>
            <w:r w:rsidRPr="00E5541B">
              <w:rPr>
                <w:rFonts w:eastAsia="SimSun"/>
                <w:lang w:val="en-AU"/>
              </w:rPr>
              <w:t xml:space="preserve">) will be removed for privacy reasons before </w:t>
            </w:r>
            <w:r>
              <w:rPr>
                <w:rFonts w:eastAsia="SimSun"/>
                <w:lang w:val="en-AU"/>
              </w:rPr>
              <w:t>the submissions</w:t>
            </w:r>
            <w:r w:rsidRPr="00E5541B">
              <w:rPr>
                <w:rFonts w:eastAsia="SimSun"/>
                <w:lang w:val="en-AU"/>
              </w:rPr>
              <w:t xml:space="preserve"> </w:t>
            </w:r>
            <w:r>
              <w:rPr>
                <w:rFonts w:eastAsia="SimSun"/>
                <w:lang w:val="en-AU"/>
              </w:rPr>
              <w:t>are</w:t>
            </w:r>
            <w:r w:rsidRPr="00E5541B">
              <w:rPr>
                <w:rFonts w:eastAsia="SimSun"/>
                <w:lang w:val="en-AU"/>
              </w:rPr>
              <w:t xml:space="preserve"> published on the website.</w:t>
            </w:r>
            <w:r w:rsidRPr="00E5541B">
              <w:rPr>
                <w:rFonts w:eastAsia="SimSun"/>
                <w:shd w:val="clear" w:color="auto" w:fill="FFFF00"/>
                <w:lang w:val="en-AU"/>
              </w:rPr>
              <w:t xml:space="preserve"> </w:t>
            </w:r>
          </w:p>
          <w:p w:rsidR="00341230" w:rsidRDefault="00341230" w:rsidP="00B222E3">
            <w:pPr>
              <w:rPr>
                <w:rFonts w:eastAsia="SimSun"/>
                <w:lang w:val="en-AU"/>
              </w:rPr>
            </w:pPr>
            <w:r w:rsidRPr="00C6335A">
              <w:rPr>
                <w:rFonts w:eastAsia="SimSun"/>
                <w:lang w:val="en-AU"/>
              </w:rPr>
              <w:t xml:space="preserve">The Commission is guided by and believes strongly in the principles of openness, transparency, consistency and accountability. Public consultation is a crucial element of </w:t>
            </w:r>
            <w:r>
              <w:rPr>
                <w:rFonts w:eastAsia="SimSun"/>
                <w:lang w:val="en-AU"/>
              </w:rPr>
              <w:t xml:space="preserve">the </w:t>
            </w:r>
            <w:r w:rsidRPr="00C6335A">
              <w:rPr>
                <w:rFonts w:eastAsia="SimSun"/>
                <w:lang w:val="en-AU"/>
              </w:rPr>
              <w:t>Commission</w:t>
            </w:r>
            <w:r>
              <w:rPr>
                <w:rFonts w:eastAsia="SimSun"/>
                <w:lang w:val="en-AU"/>
              </w:rPr>
              <w:t>’</w:t>
            </w:r>
            <w:r w:rsidRPr="00C6335A">
              <w:rPr>
                <w:rFonts w:eastAsia="SimSun"/>
                <w:lang w:val="en-AU"/>
              </w:rPr>
              <w:t xml:space="preserve">s processes. </w:t>
            </w:r>
            <w:r>
              <w:rPr>
                <w:rFonts w:eastAsia="SimSun"/>
                <w:lang w:val="en-AU"/>
              </w:rPr>
              <w:t>T</w:t>
            </w:r>
            <w:r w:rsidRPr="00FB72CD">
              <w:t>he Commission</w:t>
            </w:r>
            <w:r>
              <w:t>’</w:t>
            </w:r>
            <w:r w:rsidRPr="00FB72CD">
              <w:t>s preference that all submissions it receives be treated as public and be published on the Commission</w:t>
            </w:r>
            <w:r>
              <w:t>’</w:t>
            </w:r>
            <w:r w:rsidRPr="00FB72CD">
              <w:t xml:space="preserve">s website unless the author of the submission indicates clearly that all or part of the submission is confidential and not to be made available publicly. Where confidential material is claimed, the Commission prefers that this be under a separate cover and clearly marked </w:t>
            </w:r>
            <w:r>
              <w:t>‘</w:t>
            </w:r>
            <w:r w:rsidRPr="00FB72CD">
              <w:t>In Confidence</w:t>
            </w:r>
            <w:r>
              <w:t>’</w:t>
            </w:r>
            <w:r w:rsidRPr="00FB72CD">
              <w:t>. The Commission will assess the author</w:t>
            </w:r>
            <w:r>
              <w:t>’</w:t>
            </w:r>
            <w:r w:rsidRPr="00FB72CD">
              <w:t>s claim and discuss appropriate steps to ensure that confidential material is</w:t>
            </w:r>
            <w:r w:rsidRPr="00FF5F02">
              <w:t xml:space="preserve"> protected while</w:t>
            </w:r>
            <w:r w:rsidRPr="00C6335A">
              <w:rPr>
                <w:rFonts w:eastAsia="SimSun"/>
                <w:lang w:val="en-AU"/>
              </w:rPr>
              <w:t xml:space="preserve"> maintaining the principles of openness, transparency, consistency and accountability.</w:t>
            </w:r>
          </w:p>
          <w:p w:rsidR="00341230" w:rsidRPr="00C6335A" w:rsidRDefault="0066189E" w:rsidP="00B222E3">
            <w:pPr>
              <w:rPr>
                <w:rFonts w:eastAsia="SimSun"/>
                <w:lang w:val="en-AU"/>
              </w:rPr>
            </w:pPr>
            <w:r>
              <w:rPr>
                <w:rFonts w:eastAsia="SimSun"/>
                <w:lang w:val="en-AU"/>
              </w:rPr>
              <w:t xml:space="preserve">The Commission </w:t>
            </w:r>
            <w:r w:rsidR="00341230" w:rsidRPr="00C6335A">
              <w:rPr>
                <w:rFonts w:eastAsia="SimSun"/>
                <w:lang w:val="en-AU"/>
              </w:rPr>
              <w:t>may be contacted at the above addresses, by telephone on (02)</w:t>
            </w:r>
            <w:r w:rsidR="00341230">
              <w:rPr>
                <w:rFonts w:eastAsia="SimSun"/>
                <w:lang w:val="en-AU"/>
              </w:rPr>
              <w:t> </w:t>
            </w:r>
            <w:r w:rsidR="00341230" w:rsidRPr="00C6335A">
              <w:rPr>
                <w:rFonts w:eastAsia="SimSun"/>
                <w:lang w:val="en-AU"/>
              </w:rPr>
              <w:t>6205</w:t>
            </w:r>
            <w:r w:rsidR="00341230">
              <w:rPr>
                <w:rFonts w:eastAsia="SimSun"/>
                <w:lang w:val="en-AU"/>
              </w:rPr>
              <w:t> </w:t>
            </w:r>
            <w:r w:rsidR="00341230" w:rsidRPr="00C6335A">
              <w:rPr>
                <w:rFonts w:eastAsia="SimSun"/>
                <w:lang w:val="en-AU"/>
              </w:rPr>
              <w:t>0799 or by fax on (02) 6207 5887. The Commission</w:t>
            </w:r>
            <w:r w:rsidR="00341230">
              <w:rPr>
                <w:rFonts w:eastAsia="SimSun"/>
                <w:lang w:val="en-AU"/>
              </w:rPr>
              <w:t>’</w:t>
            </w:r>
            <w:r w:rsidR="00341230" w:rsidRPr="00C6335A">
              <w:rPr>
                <w:rFonts w:eastAsia="SimSun"/>
                <w:lang w:val="en-AU"/>
              </w:rPr>
              <w:t>s website is at www.icrc.act.gov.au.</w:t>
            </w:r>
          </w:p>
          <w:p w:rsidR="00341230" w:rsidRPr="00C6335A" w:rsidRDefault="00E85DDD" w:rsidP="001F2DA6">
            <w:pPr>
              <w:rPr>
                <w:rFonts w:eastAsia="SimSun"/>
              </w:rPr>
            </w:pPr>
            <w:r>
              <w:t xml:space="preserve">The </w:t>
            </w:r>
            <w:r w:rsidRPr="007F56C7">
              <w:t>closing date for s</w:t>
            </w:r>
            <w:r w:rsidR="00341230" w:rsidRPr="007F56C7">
              <w:rPr>
                <w:rFonts w:eastAsia="SimSun"/>
              </w:rPr>
              <w:t xml:space="preserve">ubmissions on the </w:t>
            </w:r>
            <w:r w:rsidR="007B70E0">
              <w:rPr>
                <w:rFonts w:eastAsia="SimSun"/>
              </w:rPr>
              <w:t>draft report</w:t>
            </w:r>
            <w:r w:rsidR="00963833">
              <w:rPr>
                <w:rFonts w:eastAsia="SimSun"/>
              </w:rPr>
              <w:t xml:space="preserve"> </w:t>
            </w:r>
            <w:r w:rsidRPr="007F56C7">
              <w:t xml:space="preserve">is </w:t>
            </w:r>
            <w:r w:rsidR="00341230" w:rsidRPr="007F56C7">
              <w:rPr>
                <w:rFonts w:eastAsia="SimSun"/>
                <w:b/>
              </w:rPr>
              <w:t xml:space="preserve">5 pm, </w:t>
            </w:r>
            <w:r w:rsidR="00D21504">
              <w:rPr>
                <w:rFonts w:eastAsia="SimSun"/>
                <w:b/>
              </w:rPr>
              <w:t>30</w:t>
            </w:r>
            <w:r w:rsidR="001F2DA6">
              <w:rPr>
                <w:rStyle w:val="Bold"/>
              </w:rPr>
              <w:t xml:space="preserve"> </w:t>
            </w:r>
            <w:r w:rsidR="00D21504">
              <w:rPr>
                <w:rStyle w:val="Bold"/>
              </w:rPr>
              <w:t>November</w:t>
            </w:r>
            <w:r w:rsidR="0047476A" w:rsidRPr="00C31B19">
              <w:rPr>
                <w:rStyle w:val="Bold"/>
              </w:rPr>
              <w:t> 2016</w:t>
            </w:r>
            <w:r w:rsidR="00341230" w:rsidRPr="007F56C7">
              <w:rPr>
                <w:rStyle w:val="Bold"/>
              </w:rPr>
              <w:t>.</w:t>
            </w:r>
          </w:p>
        </w:tc>
      </w:tr>
    </w:tbl>
    <w:p w:rsidR="00341230" w:rsidRDefault="00341230" w:rsidP="008A1C91">
      <w:pPr>
        <w:pStyle w:val="References"/>
      </w:pPr>
    </w:p>
    <w:p w:rsidR="00043BCD" w:rsidRDefault="00043BCD" w:rsidP="008A1C91">
      <w:pPr>
        <w:pStyle w:val="References"/>
      </w:pPr>
    </w:p>
    <w:p w:rsidR="00866575" w:rsidRDefault="00866575" w:rsidP="008A1C91">
      <w:pPr>
        <w:pStyle w:val="References"/>
        <w:sectPr w:rsidR="00866575" w:rsidSect="00AE2F9D">
          <w:headerReference w:type="even" r:id="rId22"/>
          <w:headerReference w:type="default" r:id="rId23"/>
          <w:footerReference w:type="default" r:id="rId24"/>
          <w:headerReference w:type="first" r:id="rId25"/>
          <w:endnotePr>
            <w:numFmt w:val="decimal"/>
          </w:endnotePr>
          <w:type w:val="oddPage"/>
          <w:pgSz w:w="11907" w:h="16840" w:code="9"/>
          <w:pgMar w:top="2268" w:right="2098" w:bottom="1701" w:left="2098" w:header="578" w:footer="578" w:gutter="0"/>
          <w:pgNumType w:fmt="lowerRoman"/>
          <w:cols w:space="720"/>
        </w:sectPr>
      </w:pPr>
    </w:p>
    <w:p w:rsidR="00206261" w:rsidRDefault="00206261" w:rsidP="008A1C91">
      <w:pPr>
        <w:pStyle w:val="References"/>
        <w:sectPr w:rsidR="00206261" w:rsidSect="000530F0">
          <w:endnotePr>
            <w:numFmt w:val="decimal"/>
          </w:endnotePr>
          <w:pgSz w:w="11907" w:h="16840" w:code="9"/>
          <w:pgMar w:top="2268" w:right="2098" w:bottom="1701" w:left="2098" w:header="578" w:footer="578" w:gutter="0"/>
          <w:pgNumType w:fmt="lowerRoman"/>
          <w:cols w:space="720"/>
          <w:docGrid w:linePitch="299"/>
        </w:sectPr>
      </w:pPr>
    </w:p>
    <w:p w:rsidR="00D5242B" w:rsidRPr="005E1CF9" w:rsidRDefault="00D5242B" w:rsidP="008A1C91">
      <w:pPr>
        <w:pStyle w:val="References"/>
        <w:rPr>
          <w:rFonts w:ascii="Tahoma" w:hAnsi="Tahoma" w:cs="Tahoma"/>
          <w:b/>
          <w:color w:val="000033"/>
          <w:sz w:val="40"/>
          <w:lang w:val="en-AU"/>
        </w:rPr>
      </w:pPr>
      <w:bookmarkStart w:id="10" w:name="Tariff_review_at_a_glance"/>
      <w:bookmarkEnd w:id="5"/>
      <w:bookmarkEnd w:id="6"/>
      <w:bookmarkEnd w:id="10"/>
      <w:r w:rsidRPr="005E1CF9">
        <w:rPr>
          <w:rFonts w:ascii="Tahoma" w:hAnsi="Tahoma" w:cs="Tahoma"/>
          <w:b/>
          <w:color w:val="000033"/>
          <w:sz w:val="40"/>
          <w:lang w:val="en-AU"/>
        </w:rPr>
        <w:t>Contents</w:t>
      </w:r>
    </w:p>
    <w:bookmarkStart w:id="11" w:name="_Toc44217187"/>
    <w:p w:rsidR="00B80BC7" w:rsidRDefault="00097706">
      <w:pPr>
        <w:pStyle w:val="TOC1"/>
        <w:rPr>
          <w:rFonts w:asciiTheme="minorHAnsi" w:eastAsiaTheme="minorEastAsia" w:hAnsiTheme="minorHAnsi" w:cstheme="minorBidi"/>
          <w:b w:val="0"/>
          <w:szCs w:val="22"/>
          <w:lang w:val="en-AU" w:eastAsia="en-AU"/>
        </w:rPr>
      </w:pPr>
      <w:r>
        <w:rPr>
          <w:lang w:val="en-AU"/>
        </w:rPr>
        <w:fldChar w:fldCharType="begin"/>
      </w:r>
      <w:r>
        <w:rPr>
          <w:lang w:val="en-AU"/>
        </w:rPr>
        <w:instrText xml:space="preserve"> TOC \o "1-2" \h \z \u </w:instrText>
      </w:r>
      <w:r>
        <w:rPr>
          <w:lang w:val="en-AU"/>
        </w:rPr>
        <w:fldChar w:fldCharType="separate"/>
      </w:r>
      <w:hyperlink w:anchor="_Toc460572199" w:history="1">
        <w:r w:rsidR="00B80BC7" w:rsidRPr="00EE429F">
          <w:rPr>
            <w:rStyle w:val="Hyperlink"/>
          </w:rPr>
          <w:t>Foreword</w:t>
        </w:r>
        <w:r w:rsidR="00B80BC7">
          <w:rPr>
            <w:webHidden/>
          </w:rPr>
          <w:tab/>
        </w:r>
        <w:r w:rsidR="00B80BC7">
          <w:rPr>
            <w:webHidden/>
          </w:rPr>
          <w:fldChar w:fldCharType="begin"/>
        </w:r>
        <w:r w:rsidR="00B80BC7">
          <w:rPr>
            <w:webHidden/>
          </w:rPr>
          <w:instrText xml:space="preserve"> PAGEREF _Toc460572199 \h </w:instrText>
        </w:r>
        <w:r w:rsidR="00B80BC7">
          <w:rPr>
            <w:webHidden/>
          </w:rPr>
        </w:r>
        <w:r w:rsidR="00B80BC7">
          <w:rPr>
            <w:webHidden/>
          </w:rPr>
          <w:fldChar w:fldCharType="separate"/>
        </w:r>
        <w:r w:rsidR="00B80BC7">
          <w:rPr>
            <w:webHidden/>
          </w:rPr>
          <w:t>iii</w:t>
        </w:r>
        <w:r w:rsidR="00B80BC7">
          <w:rPr>
            <w:webHidden/>
          </w:rPr>
          <w:fldChar w:fldCharType="end"/>
        </w:r>
      </w:hyperlink>
    </w:p>
    <w:p w:rsidR="00B80BC7" w:rsidRDefault="007B3D81">
      <w:pPr>
        <w:pStyle w:val="TOC1"/>
        <w:rPr>
          <w:rFonts w:asciiTheme="minorHAnsi" w:eastAsiaTheme="minorEastAsia" w:hAnsiTheme="minorHAnsi" w:cstheme="minorBidi"/>
          <w:b w:val="0"/>
          <w:szCs w:val="22"/>
          <w:lang w:val="en-AU" w:eastAsia="en-AU"/>
        </w:rPr>
      </w:pPr>
      <w:hyperlink w:anchor="_Toc460572200" w:history="1">
        <w:r w:rsidR="00B80BC7" w:rsidRPr="00EE429F">
          <w:rPr>
            <w:rStyle w:val="Hyperlink"/>
          </w:rPr>
          <w:t>How to make a submission</w:t>
        </w:r>
        <w:r w:rsidR="00B80BC7">
          <w:rPr>
            <w:webHidden/>
          </w:rPr>
          <w:tab/>
        </w:r>
        <w:r w:rsidR="00B80BC7">
          <w:rPr>
            <w:webHidden/>
          </w:rPr>
          <w:fldChar w:fldCharType="begin"/>
        </w:r>
        <w:r w:rsidR="00B80BC7">
          <w:rPr>
            <w:webHidden/>
          </w:rPr>
          <w:instrText xml:space="preserve"> PAGEREF _Toc460572200 \h </w:instrText>
        </w:r>
        <w:r w:rsidR="00B80BC7">
          <w:rPr>
            <w:webHidden/>
          </w:rPr>
        </w:r>
        <w:r w:rsidR="00B80BC7">
          <w:rPr>
            <w:webHidden/>
          </w:rPr>
          <w:fldChar w:fldCharType="separate"/>
        </w:r>
        <w:r w:rsidR="00B80BC7">
          <w:rPr>
            <w:webHidden/>
          </w:rPr>
          <w:t>iv</w:t>
        </w:r>
        <w:r w:rsidR="00B80BC7">
          <w:rPr>
            <w:webHidden/>
          </w:rPr>
          <w:fldChar w:fldCharType="end"/>
        </w:r>
      </w:hyperlink>
    </w:p>
    <w:p w:rsidR="00B80BC7" w:rsidRDefault="007B3D81">
      <w:pPr>
        <w:pStyle w:val="TOC1"/>
        <w:rPr>
          <w:rFonts w:asciiTheme="minorHAnsi" w:eastAsiaTheme="minorEastAsia" w:hAnsiTheme="minorHAnsi" w:cstheme="minorBidi"/>
          <w:b w:val="0"/>
          <w:szCs w:val="22"/>
          <w:lang w:val="en-AU" w:eastAsia="en-AU"/>
        </w:rPr>
      </w:pPr>
      <w:hyperlink w:anchor="_Toc460572201" w:history="1">
        <w:r w:rsidR="00B80BC7" w:rsidRPr="00EE429F">
          <w:rPr>
            <w:rStyle w:val="Hyperlink"/>
          </w:rPr>
          <w:t>Main conclusions</w:t>
        </w:r>
        <w:r w:rsidR="00B80BC7">
          <w:rPr>
            <w:webHidden/>
          </w:rPr>
          <w:tab/>
        </w:r>
        <w:r w:rsidR="00B80BC7">
          <w:rPr>
            <w:webHidden/>
          </w:rPr>
          <w:fldChar w:fldCharType="begin"/>
        </w:r>
        <w:r w:rsidR="00B80BC7">
          <w:rPr>
            <w:webHidden/>
          </w:rPr>
          <w:instrText xml:space="preserve"> PAGEREF _Toc460572201 \h </w:instrText>
        </w:r>
        <w:r w:rsidR="00B80BC7">
          <w:rPr>
            <w:webHidden/>
          </w:rPr>
        </w:r>
        <w:r w:rsidR="00B80BC7">
          <w:rPr>
            <w:webHidden/>
          </w:rPr>
          <w:fldChar w:fldCharType="separate"/>
        </w:r>
        <w:r w:rsidR="00B80BC7">
          <w:rPr>
            <w:webHidden/>
          </w:rPr>
          <w:t>ix</w:t>
        </w:r>
        <w:r w:rsidR="00B80BC7">
          <w:rPr>
            <w:webHidden/>
          </w:rPr>
          <w:fldChar w:fldCharType="end"/>
        </w:r>
      </w:hyperlink>
    </w:p>
    <w:p w:rsidR="00B80BC7" w:rsidRDefault="007B3D81">
      <w:pPr>
        <w:pStyle w:val="TOC1"/>
        <w:rPr>
          <w:rFonts w:asciiTheme="minorHAnsi" w:eastAsiaTheme="minorEastAsia" w:hAnsiTheme="minorHAnsi" w:cstheme="minorBidi"/>
          <w:b w:val="0"/>
          <w:szCs w:val="22"/>
          <w:lang w:val="en-AU" w:eastAsia="en-AU"/>
        </w:rPr>
      </w:pPr>
      <w:hyperlink w:anchor="_Toc460572202" w:history="1">
        <w:r w:rsidR="00B80BC7" w:rsidRPr="00EE429F">
          <w:rPr>
            <w:rStyle w:val="Hyperlink"/>
          </w:rPr>
          <w:t>1</w:t>
        </w:r>
        <w:r w:rsidR="00B80BC7">
          <w:rPr>
            <w:rFonts w:asciiTheme="minorHAnsi" w:eastAsiaTheme="minorEastAsia" w:hAnsiTheme="minorHAnsi" w:cstheme="minorBidi"/>
            <w:b w:val="0"/>
            <w:szCs w:val="22"/>
            <w:lang w:val="en-AU" w:eastAsia="en-AU"/>
          </w:rPr>
          <w:tab/>
        </w:r>
        <w:r w:rsidR="00B80BC7" w:rsidRPr="00EE429F">
          <w:rPr>
            <w:rStyle w:val="Hyperlink"/>
          </w:rPr>
          <w:t>Introduction</w:t>
        </w:r>
        <w:r w:rsidR="00B80BC7">
          <w:rPr>
            <w:webHidden/>
          </w:rPr>
          <w:tab/>
        </w:r>
        <w:r w:rsidR="00B80BC7">
          <w:rPr>
            <w:webHidden/>
          </w:rPr>
          <w:fldChar w:fldCharType="begin"/>
        </w:r>
        <w:r w:rsidR="00B80BC7">
          <w:rPr>
            <w:webHidden/>
          </w:rPr>
          <w:instrText xml:space="preserve"> PAGEREF _Toc460572202 \h </w:instrText>
        </w:r>
        <w:r w:rsidR="00B80BC7">
          <w:rPr>
            <w:webHidden/>
          </w:rPr>
        </w:r>
        <w:r w:rsidR="00B80BC7">
          <w:rPr>
            <w:webHidden/>
          </w:rPr>
          <w:fldChar w:fldCharType="separate"/>
        </w:r>
        <w:r w:rsidR="00B80BC7">
          <w:rPr>
            <w:webHidden/>
          </w:rPr>
          <w:t>1</w:t>
        </w:r>
        <w:r w:rsidR="00B80BC7">
          <w:rPr>
            <w:webHidden/>
          </w:rPr>
          <w:fldChar w:fldCharType="end"/>
        </w:r>
      </w:hyperlink>
    </w:p>
    <w:p w:rsidR="00B80BC7" w:rsidRDefault="007B3D81">
      <w:pPr>
        <w:pStyle w:val="TOC2"/>
        <w:rPr>
          <w:rFonts w:asciiTheme="minorHAnsi" w:eastAsiaTheme="minorEastAsia" w:hAnsiTheme="minorHAnsi" w:cstheme="minorBidi"/>
          <w:szCs w:val="22"/>
          <w:lang w:val="en-AU" w:eastAsia="en-AU"/>
        </w:rPr>
      </w:pPr>
      <w:hyperlink w:anchor="_Toc460572203" w:history="1">
        <w:r w:rsidR="00B80BC7" w:rsidRPr="00EE429F">
          <w:rPr>
            <w:rStyle w:val="Hyperlink"/>
          </w:rPr>
          <w:t>1.1</w:t>
        </w:r>
        <w:r w:rsidR="00B80BC7">
          <w:rPr>
            <w:rFonts w:asciiTheme="minorHAnsi" w:eastAsiaTheme="minorEastAsia" w:hAnsiTheme="minorHAnsi" w:cstheme="minorBidi"/>
            <w:szCs w:val="22"/>
            <w:lang w:val="en-AU" w:eastAsia="en-AU"/>
          </w:rPr>
          <w:tab/>
        </w:r>
        <w:r w:rsidR="00B80BC7" w:rsidRPr="00EE429F">
          <w:rPr>
            <w:rStyle w:val="Hyperlink"/>
          </w:rPr>
          <w:t>Background</w:t>
        </w:r>
        <w:r w:rsidR="00B80BC7">
          <w:rPr>
            <w:webHidden/>
          </w:rPr>
          <w:tab/>
        </w:r>
        <w:r w:rsidR="00B80BC7">
          <w:rPr>
            <w:webHidden/>
          </w:rPr>
          <w:fldChar w:fldCharType="begin"/>
        </w:r>
        <w:r w:rsidR="00B80BC7">
          <w:rPr>
            <w:webHidden/>
          </w:rPr>
          <w:instrText xml:space="preserve"> PAGEREF _Toc460572203 \h </w:instrText>
        </w:r>
        <w:r w:rsidR="00B80BC7">
          <w:rPr>
            <w:webHidden/>
          </w:rPr>
        </w:r>
        <w:r w:rsidR="00B80BC7">
          <w:rPr>
            <w:webHidden/>
          </w:rPr>
          <w:fldChar w:fldCharType="separate"/>
        </w:r>
        <w:r w:rsidR="00B80BC7">
          <w:rPr>
            <w:webHidden/>
          </w:rPr>
          <w:t>1</w:t>
        </w:r>
        <w:r w:rsidR="00B80BC7">
          <w:rPr>
            <w:webHidden/>
          </w:rPr>
          <w:fldChar w:fldCharType="end"/>
        </w:r>
      </w:hyperlink>
    </w:p>
    <w:p w:rsidR="00B80BC7" w:rsidRDefault="007B3D81">
      <w:pPr>
        <w:pStyle w:val="TOC2"/>
        <w:rPr>
          <w:rFonts w:asciiTheme="minorHAnsi" w:eastAsiaTheme="minorEastAsia" w:hAnsiTheme="minorHAnsi" w:cstheme="minorBidi"/>
          <w:szCs w:val="22"/>
          <w:lang w:val="en-AU" w:eastAsia="en-AU"/>
        </w:rPr>
      </w:pPr>
      <w:hyperlink w:anchor="_Toc460572204" w:history="1">
        <w:r w:rsidR="00B80BC7" w:rsidRPr="00EE429F">
          <w:rPr>
            <w:rStyle w:val="Hyperlink"/>
          </w:rPr>
          <w:t>1.2</w:t>
        </w:r>
        <w:r w:rsidR="00B80BC7">
          <w:rPr>
            <w:rFonts w:asciiTheme="minorHAnsi" w:eastAsiaTheme="minorEastAsia" w:hAnsiTheme="minorHAnsi" w:cstheme="minorBidi"/>
            <w:szCs w:val="22"/>
            <w:lang w:val="en-AU" w:eastAsia="en-AU"/>
          </w:rPr>
          <w:tab/>
        </w:r>
        <w:r w:rsidR="00B80BC7" w:rsidRPr="00EE429F">
          <w:rPr>
            <w:rStyle w:val="Hyperlink"/>
          </w:rPr>
          <w:t>The tariff review story leading up to the draft report</w:t>
        </w:r>
        <w:r w:rsidR="00B80BC7">
          <w:rPr>
            <w:webHidden/>
          </w:rPr>
          <w:tab/>
        </w:r>
        <w:r w:rsidR="00B80BC7">
          <w:rPr>
            <w:webHidden/>
          </w:rPr>
          <w:fldChar w:fldCharType="begin"/>
        </w:r>
        <w:r w:rsidR="00B80BC7">
          <w:rPr>
            <w:webHidden/>
          </w:rPr>
          <w:instrText xml:space="preserve"> PAGEREF _Toc460572204 \h </w:instrText>
        </w:r>
        <w:r w:rsidR="00B80BC7">
          <w:rPr>
            <w:webHidden/>
          </w:rPr>
        </w:r>
        <w:r w:rsidR="00B80BC7">
          <w:rPr>
            <w:webHidden/>
          </w:rPr>
          <w:fldChar w:fldCharType="separate"/>
        </w:r>
        <w:r w:rsidR="00B80BC7">
          <w:rPr>
            <w:webHidden/>
          </w:rPr>
          <w:t>1</w:t>
        </w:r>
        <w:r w:rsidR="00B80BC7">
          <w:rPr>
            <w:webHidden/>
          </w:rPr>
          <w:fldChar w:fldCharType="end"/>
        </w:r>
      </w:hyperlink>
    </w:p>
    <w:p w:rsidR="00B80BC7" w:rsidRDefault="007B3D81">
      <w:pPr>
        <w:pStyle w:val="TOC2"/>
        <w:rPr>
          <w:rFonts w:asciiTheme="minorHAnsi" w:eastAsiaTheme="minorEastAsia" w:hAnsiTheme="minorHAnsi" w:cstheme="minorBidi"/>
          <w:szCs w:val="22"/>
          <w:lang w:val="en-AU" w:eastAsia="en-AU"/>
        </w:rPr>
      </w:pPr>
      <w:hyperlink w:anchor="_Toc460572205" w:history="1">
        <w:r w:rsidR="00B80BC7" w:rsidRPr="00EE429F">
          <w:rPr>
            <w:rStyle w:val="Hyperlink"/>
          </w:rPr>
          <w:t>1.3</w:t>
        </w:r>
        <w:r w:rsidR="00B80BC7">
          <w:rPr>
            <w:rFonts w:asciiTheme="minorHAnsi" w:eastAsiaTheme="minorEastAsia" w:hAnsiTheme="minorHAnsi" w:cstheme="minorBidi"/>
            <w:szCs w:val="22"/>
            <w:lang w:val="en-AU" w:eastAsia="en-AU"/>
          </w:rPr>
          <w:tab/>
        </w:r>
        <w:r w:rsidR="00B80BC7" w:rsidRPr="00EE429F">
          <w:rPr>
            <w:rStyle w:val="Hyperlink"/>
          </w:rPr>
          <w:t>Purpose of the draft report</w:t>
        </w:r>
        <w:r w:rsidR="00B80BC7">
          <w:rPr>
            <w:webHidden/>
          </w:rPr>
          <w:tab/>
        </w:r>
        <w:r w:rsidR="00B80BC7">
          <w:rPr>
            <w:webHidden/>
          </w:rPr>
          <w:fldChar w:fldCharType="begin"/>
        </w:r>
        <w:r w:rsidR="00B80BC7">
          <w:rPr>
            <w:webHidden/>
          </w:rPr>
          <w:instrText xml:space="preserve"> PAGEREF _Toc460572205 \h </w:instrText>
        </w:r>
        <w:r w:rsidR="00B80BC7">
          <w:rPr>
            <w:webHidden/>
          </w:rPr>
        </w:r>
        <w:r w:rsidR="00B80BC7">
          <w:rPr>
            <w:webHidden/>
          </w:rPr>
          <w:fldChar w:fldCharType="separate"/>
        </w:r>
        <w:r w:rsidR="00B80BC7">
          <w:rPr>
            <w:webHidden/>
          </w:rPr>
          <w:t>5</w:t>
        </w:r>
        <w:r w:rsidR="00B80BC7">
          <w:rPr>
            <w:webHidden/>
          </w:rPr>
          <w:fldChar w:fldCharType="end"/>
        </w:r>
      </w:hyperlink>
    </w:p>
    <w:p w:rsidR="00B80BC7" w:rsidRDefault="007B3D81">
      <w:pPr>
        <w:pStyle w:val="TOC2"/>
        <w:rPr>
          <w:rFonts w:asciiTheme="minorHAnsi" w:eastAsiaTheme="minorEastAsia" w:hAnsiTheme="minorHAnsi" w:cstheme="minorBidi"/>
          <w:szCs w:val="22"/>
          <w:lang w:val="en-AU" w:eastAsia="en-AU"/>
        </w:rPr>
      </w:pPr>
      <w:hyperlink w:anchor="_Toc460572206" w:history="1">
        <w:r w:rsidR="00B80BC7" w:rsidRPr="00EE429F">
          <w:rPr>
            <w:rStyle w:val="Hyperlink"/>
          </w:rPr>
          <w:t>1.4</w:t>
        </w:r>
        <w:r w:rsidR="00B80BC7">
          <w:rPr>
            <w:rFonts w:asciiTheme="minorHAnsi" w:eastAsiaTheme="minorEastAsia" w:hAnsiTheme="minorHAnsi" w:cstheme="minorBidi"/>
            <w:szCs w:val="22"/>
            <w:lang w:val="en-AU" w:eastAsia="en-AU"/>
          </w:rPr>
          <w:tab/>
        </w:r>
        <w:r w:rsidR="00B80BC7" w:rsidRPr="00EE429F">
          <w:rPr>
            <w:rStyle w:val="Hyperlink"/>
          </w:rPr>
          <w:t>Tariff review timeline and submission process</w:t>
        </w:r>
        <w:r w:rsidR="00B80BC7">
          <w:rPr>
            <w:webHidden/>
          </w:rPr>
          <w:tab/>
        </w:r>
        <w:r w:rsidR="00B80BC7">
          <w:rPr>
            <w:webHidden/>
          </w:rPr>
          <w:fldChar w:fldCharType="begin"/>
        </w:r>
        <w:r w:rsidR="00B80BC7">
          <w:rPr>
            <w:webHidden/>
          </w:rPr>
          <w:instrText xml:space="preserve"> PAGEREF _Toc460572206 \h </w:instrText>
        </w:r>
        <w:r w:rsidR="00B80BC7">
          <w:rPr>
            <w:webHidden/>
          </w:rPr>
        </w:r>
        <w:r w:rsidR="00B80BC7">
          <w:rPr>
            <w:webHidden/>
          </w:rPr>
          <w:fldChar w:fldCharType="separate"/>
        </w:r>
        <w:r w:rsidR="00B80BC7">
          <w:rPr>
            <w:webHidden/>
          </w:rPr>
          <w:t>6</w:t>
        </w:r>
        <w:r w:rsidR="00B80BC7">
          <w:rPr>
            <w:webHidden/>
          </w:rPr>
          <w:fldChar w:fldCharType="end"/>
        </w:r>
      </w:hyperlink>
    </w:p>
    <w:p w:rsidR="00B80BC7" w:rsidRDefault="007B3D81">
      <w:pPr>
        <w:pStyle w:val="TOC2"/>
        <w:rPr>
          <w:rFonts w:asciiTheme="minorHAnsi" w:eastAsiaTheme="minorEastAsia" w:hAnsiTheme="minorHAnsi" w:cstheme="minorBidi"/>
          <w:szCs w:val="22"/>
          <w:lang w:val="en-AU" w:eastAsia="en-AU"/>
        </w:rPr>
      </w:pPr>
      <w:hyperlink w:anchor="_Toc460572207" w:history="1">
        <w:r w:rsidR="00B80BC7" w:rsidRPr="00EE429F">
          <w:rPr>
            <w:rStyle w:val="Hyperlink"/>
          </w:rPr>
          <w:t>1.5</w:t>
        </w:r>
        <w:r w:rsidR="00B80BC7">
          <w:rPr>
            <w:rFonts w:asciiTheme="minorHAnsi" w:eastAsiaTheme="minorEastAsia" w:hAnsiTheme="minorHAnsi" w:cstheme="minorBidi"/>
            <w:szCs w:val="22"/>
            <w:lang w:val="en-AU" w:eastAsia="en-AU"/>
          </w:rPr>
          <w:tab/>
        </w:r>
        <w:r w:rsidR="00B80BC7" w:rsidRPr="00EE429F">
          <w:rPr>
            <w:rStyle w:val="Hyperlink"/>
          </w:rPr>
          <w:t>Draft report structure</w:t>
        </w:r>
        <w:r w:rsidR="00B80BC7">
          <w:rPr>
            <w:webHidden/>
          </w:rPr>
          <w:tab/>
        </w:r>
        <w:r w:rsidR="00B80BC7">
          <w:rPr>
            <w:webHidden/>
          </w:rPr>
          <w:fldChar w:fldCharType="begin"/>
        </w:r>
        <w:r w:rsidR="00B80BC7">
          <w:rPr>
            <w:webHidden/>
          </w:rPr>
          <w:instrText xml:space="preserve"> PAGEREF _Toc460572207 \h </w:instrText>
        </w:r>
        <w:r w:rsidR="00B80BC7">
          <w:rPr>
            <w:webHidden/>
          </w:rPr>
        </w:r>
        <w:r w:rsidR="00B80BC7">
          <w:rPr>
            <w:webHidden/>
          </w:rPr>
          <w:fldChar w:fldCharType="separate"/>
        </w:r>
        <w:r w:rsidR="00B80BC7">
          <w:rPr>
            <w:webHidden/>
          </w:rPr>
          <w:t>6</w:t>
        </w:r>
        <w:r w:rsidR="00B80BC7">
          <w:rPr>
            <w:webHidden/>
          </w:rPr>
          <w:fldChar w:fldCharType="end"/>
        </w:r>
      </w:hyperlink>
    </w:p>
    <w:p w:rsidR="00B80BC7" w:rsidRDefault="007B3D81">
      <w:pPr>
        <w:pStyle w:val="TOC1"/>
        <w:rPr>
          <w:rFonts w:asciiTheme="minorHAnsi" w:eastAsiaTheme="minorEastAsia" w:hAnsiTheme="minorHAnsi" w:cstheme="minorBidi"/>
          <w:b w:val="0"/>
          <w:szCs w:val="22"/>
          <w:lang w:val="en-AU" w:eastAsia="en-AU"/>
        </w:rPr>
      </w:pPr>
      <w:hyperlink w:anchor="_Toc460572208" w:history="1">
        <w:r w:rsidR="00B80BC7" w:rsidRPr="00EE429F">
          <w:rPr>
            <w:rStyle w:val="Hyperlink"/>
          </w:rPr>
          <w:t>2</w:t>
        </w:r>
        <w:r w:rsidR="00B80BC7">
          <w:rPr>
            <w:rFonts w:asciiTheme="minorHAnsi" w:eastAsiaTheme="minorEastAsia" w:hAnsiTheme="minorHAnsi" w:cstheme="minorBidi"/>
            <w:b w:val="0"/>
            <w:szCs w:val="22"/>
            <w:lang w:val="en-AU" w:eastAsia="en-AU"/>
          </w:rPr>
          <w:tab/>
        </w:r>
        <w:r w:rsidR="00B80BC7" w:rsidRPr="00EE429F">
          <w:rPr>
            <w:rStyle w:val="Hyperlink"/>
          </w:rPr>
          <w:t>The assessment framework</w:t>
        </w:r>
        <w:r w:rsidR="00B80BC7">
          <w:rPr>
            <w:webHidden/>
          </w:rPr>
          <w:tab/>
        </w:r>
        <w:r w:rsidR="00B80BC7">
          <w:rPr>
            <w:webHidden/>
          </w:rPr>
          <w:fldChar w:fldCharType="begin"/>
        </w:r>
        <w:r w:rsidR="00B80BC7">
          <w:rPr>
            <w:webHidden/>
          </w:rPr>
          <w:instrText xml:space="preserve"> PAGEREF _Toc460572208 \h </w:instrText>
        </w:r>
        <w:r w:rsidR="00B80BC7">
          <w:rPr>
            <w:webHidden/>
          </w:rPr>
        </w:r>
        <w:r w:rsidR="00B80BC7">
          <w:rPr>
            <w:webHidden/>
          </w:rPr>
          <w:fldChar w:fldCharType="separate"/>
        </w:r>
        <w:r w:rsidR="00B80BC7">
          <w:rPr>
            <w:webHidden/>
          </w:rPr>
          <w:t>7</w:t>
        </w:r>
        <w:r w:rsidR="00B80BC7">
          <w:rPr>
            <w:webHidden/>
          </w:rPr>
          <w:fldChar w:fldCharType="end"/>
        </w:r>
      </w:hyperlink>
    </w:p>
    <w:p w:rsidR="00B80BC7" w:rsidRDefault="007B3D81">
      <w:pPr>
        <w:pStyle w:val="TOC2"/>
        <w:rPr>
          <w:rFonts w:asciiTheme="minorHAnsi" w:eastAsiaTheme="minorEastAsia" w:hAnsiTheme="minorHAnsi" w:cstheme="minorBidi"/>
          <w:szCs w:val="22"/>
          <w:lang w:val="en-AU" w:eastAsia="en-AU"/>
        </w:rPr>
      </w:pPr>
      <w:hyperlink w:anchor="_Toc460572209" w:history="1">
        <w:r w:rsidR="00B80BC7" w:rsidRPr="00EE429F">
          <w:rPr>
            <w:rStyle w:val="Hyperlink"/>
          </w:rPr>
          <w:t>2.1</w:t>
        </w:r>
        <w:r w:rsidR="00B80BC7">
          <w:rPr>
            <w:rFonts w:asciiTheme="minorHAnsi" w:eastAsiaTheme="minorEastAsia" w:hAnsiTheme="minorHAnsi" w:cstheme="minorBidi"/>
            <w:szCs w:val="22"/>
            <w:lang w:val="en-AU" w:eastAsia="en-AU"/>
          </w:rPr>
          <w:tab/>
        </w:r>
        <w:r w:rsidR="00B80BC7" w:rsidRPr="00EE429F">
          <w:rPr>
            <w:rStyle w:val="Hyperlink"/>
          </w:rPr>
          <w:t>Introduction</w:t>
        </w:r>
        <w:r w:rsidR="00B80BC7">
          <w:rPr>
            <w:webHidden/>
          </w:rPr>
          <w:tab/>
        </w:r>
        <w:r w:rsidR="00B80BC7">
          <w:rPr>
            <w:webHidden/>
          </w:rPr>
          <w:fldChar w:fldCharType="begin"/>
        </w:r>
        <w:r w:rsidR="00B80BC7">
          <w:rPr>
            <w:webHidden/>
          </w:rPr>
          <w:instrText xml:space="preserve"> PAGEREF _Toc460572209 \h </w:instrText>
        </w:r>
        <w:r w:rsidR="00B80BC7">
          <w:rPr>
            <w:webHidden/>
          </w:rPr>
        </w:r>
        <w:r w:rsidR="00B80BC7">
          <w:rPr>
            <w:webHidden/>
          </w:rPr>
          <w:fldChar w:fldCharType="separate"/>
        </w:r>
        <w:r w:rsidR="00B80BC7">
          <w:rPr>
            <w:webHidden/>
          </w:rPr>
          <w:t>7</w:t>
        </w:r>
        <w:r w:rsidR="00B80BC7">
          <w:rPr>
            <w:webHidden/>
          </w:rPr>
          <w:fldChar w:fldCharType="end"/>
        </w:r>
      </w:hyperlink>
    </w:p>
    <w:p w:rsidR="00B80BC7" w:rsidRDefault="007B3D81">
      <w:pPr>
        <w:pStyle w:val="TOC2"/>
        <w:rPr>
          <w:rFonts w:asciiTheme="minorHAnsi" w:eastAsiaTheme="minorEastAsia" w:hAnsiTheme="minorHAnsi" w:cstheme="minorBidi"/>
          <w:szCs w:val="22"/>
          <w:lang w:val="en-AU" w:eastAsia="en-AU"/>
        </w:rPr>
      </w:pPr>
      <w:hyperlink w:anchor="_Toc460572210" w:history="1">
        <w:r w:rsidR="00B80BC7" w:rsidRPr="00EE429F">
          <w:rPr>
            <w:rStyle w:val="Hyperlink"/>
          </w:rPr>
          <w:t>2.2</w:t>
        </w:r>
        <w:r w:rsidR="00B80BC7">
          <w:rPr>
            <w:rFonts w:asciiTheme="minorHAnsi" w:eastAsiaTheme="minorEastAsia" w:hAnsiTheme="minorHAnsi" w:cstheme="minorBidi"/>
            <w:szCs w:val="22"/>
            <w:lang w:val="en-AU" w:eastAsia="en-AU"/>
          </w:rPr>
          <w:tab/>
        </w:r>
        <w:r w:rsidR="00B80BC7" w:rsidRPr="00EE429F">
          <w:rPr>
            <w:rStyle w:val="Hyperlink"/>
          </w:rPr>
          <w:t>Refining the assessment framework</w:t>
        </w:r>
        <w:r w:rsidR="00B80BC7">
          <w:rPr>
            <w:webHidden/>
          </w:rPr>
          <w:tab/>
        </w:r>
        <w:r w:rsidR="00B80BC7">
          <w:rPr>
            <w:webHidden/>
          </w:rPr>
          <w:fldChar w:fldCharType="begin"/>
        </w:r>
        <w:r w:rsidR="00B80BC7">
          <w:rPr>
            <w:webHidden/>
          </w:rPr>
          <w:instrText xml:space="preserve"> PAGEREF _Toc460572210 \h </w:instrText>
        </w:r>
        <w:r w:rsidR="00B80BC7">
          <w:rPr>
            <w:webHidden/>
          </w:rPr>
        </w:r>
        <w:r w:rsidR="00B80BC7">
          <w:rPr>
            <w:webHidden/>
          </w:rPr>
          <w:fldChar w:fldCharType="separate"/>
        </w:r>
        <w:r w:rsidR="00B80BC7">
          <w:rPr>
            <w:webHidden/>
          </w:rPr>
          <w:t>7</w:t>
        </w:r>
        <w:r w:rsidR="00B80BC7">
          <w:rPr>
            <w:webHidden/>
          </w:rPr>
          <w:fldChar w:fldCharType="end"/>
        </w:r>
      </w:hyperlink>
    </w:p>
    <w:p w:rsidR="00B80BC7" w:rsidRDefault="007B3D81">
      <w:pPr>
        <w:pStyle w:val="TOC2"/>
        <w:rPr>
          <w:rFonts w:asciiTheme="minorHAnsi" w:eastAsiaTheme="minorEastAsia" w:hAnsiTheme="minorHAnsi" w:cstheme="minorBidi"/>
          <w:szCs w:val="22"/>
          <w:lang w:val="en-AU" w:eastAsia="en-AU"/>
        </w:rPr>
      </w:pPr>
      <w:hyperlink w:anchor="_Toc460572211" w:history="1">
        <w:r w:rsidR="00B80BC7" w:rsidRPr="00EE429F">
          <w:rPr>
            <w:rStyle w:val="Hyperlink"/>
          </w:rPr>
          <w:t>2.3</w:t>
        </w:r>
        <w:r w:rsidR="00B80BC7">
          <w:rPr>
            <w:rFonts w:asciiTheme="minorHAnsi" w:eastAsiaTheme="minorEastAsia" w:hAnsiTheme="minorHAnsi" w:cstheme="minorBidi"/>
            <w:szCs w:val="22"/>
            <w:lang w:val="en-AU" w:eastAsia="en-AU"/>
          </w:rPr>
          <w:tab/>
        </w:r>
        <w:r w:rsidR="00B80BC7" w:rsidRPr="00EE429F">
          <w:rPr>
            <w:rStyle w:val="Hyperlink"/>
          </w:rPr>
          <w:t>Summary</w:t>
        </w:r>
        <w:r w:rsidR="00B80BC7">
          <w:rPr>
            <w:webHidden/>
          </w:rPr>
          <w:tab/>
        </w:r>
        <w:r w:rsidR="00B80BC7">
          <w:rPr>
            <w:webHidden/>
          </w:rPr>
          <w:fldChar w:fldCharType="begin"/>
        </w:r>
        <w:r w:rsidR="00B80BC7">
          <w:rPr>
            <w:webHidden/>
          </w:rPr>
          <w:instrText xml:space="preserve"> PAGEREF _Toc460572211 \h </w:instrText>
        </w:r>
        <w:r w:rsidR="00B80BC7">
          <w:rPr>
            <w:webHidden/>
          </w:rPr>
        </w:r>
        <w:r w:rsidR="00B80BC7">
          <w:rPr>
            <w:webHidden/>
          </w:rPr>
          <w:fldChar w:fldCharType="separate"/>
        </w:r>
        <w:r w:rsidR="00B80BC7">
          <w:rPr>
            <w:webHidden/>
          </w:rPr>
          <w:t>13</w:t>
        </w:r>
        <w:r w:rsidR="00B80BC7">
          <w:rPr>
            <w:webHidden/>
          </w:rPr>
          <w:fldChar w:fldCharType="end"/>
        </w:r>
      </w:hyperlink>
    </w:p>
    <w:p w:rsidR="00B80BC7" w:rsidRDefault="007B3D81">
      <w:pPr>
        <w:pStyle w:val="TOC2"/>
        <w:rPr>
          <w:rFonts w:asciiTheme="minorHAnsi" w:eastAsiaTheme="minorEastAsia" w:hAnsiTheme="minorHAnsi" w:cstheme="minorBidi"/>
          <w:szCs w:val="22"/>
          <w:lang w:val="en-AU" w:eastAsia="en-AU"/>
        </w:rPr>
      </w:pPr>
      <w:hyperlink w:anchor="_Toc460572212" w:history="1">
        <w:r w:rsidR="00B80BC7" w:rsidRPr="00EE429F">
          <w:rPr>
            <w:rStyle w:val="Hyperlink"/>
          </w:rPr>
          <w:t>2.4</w:t>
        </w:r>
        <w:r w:rsidR="00B80BC7">
          <w:rPr>
            <w:rFonts w:asciiTheme="minorHAnsi" w:eastAsiaTheme="minorEastAsia" w:hAnsiTheme="minorHAnsi" w:cstheme="minorBidi"/>
            <w:szCs w:val="22"/>
            <w:lang w:val="en-AU" w:eastAsia="en-AU"/>
          </w:rPr>
          <w:tab/>
        </w:r>
        <w:r w:rsidR="00B80BC7" w:rsidRPr="00EE429F">
          <w:rPr>
            <w:rStyle w:val="Hyperlink"/>
          </w:rPr>
          <w:t>Potential dual role for the framework</w:t>
        </w:r>
        <w:r w:rsidR="00B80BC7">
          <w:rPr>
            <w:webHidden/>
          </w:rPr>
          <w:tab/>
        </w:r>
        <w:r w:rsidR="00B80BC7">
          <w:rPr>
            <w:webHidden/>
          </w:rPr>
          <w:fldChar w:fldCharType="begin"/>
        </w:r>
        <w:r w:rsidR="00B80BC7">
          <w:rPr>
            <w:webHidden/>
          </w:rPr>
          <w:instrText xml:space="preserve"> PAGEREF _Toc460572212 \h </w:instrText>
        </w:r>
        <w:r w:rsidR="00B80BC7">
          <w:rPr>
            <w:webHidden/>
          </w:rPr>
        </w:r>
        <w:r w:rsidR="00B80BC7">
          <w:rPr>
            <w:webHidden/>
          </w:rPr>
          <w:fldChar w:fldCharType="separate"/>
        </w:r>
        <w:r w:rsidR="00B80BC7">
          <w:rPr>
            <w:webHidden/>
          </w:rPr>
          <w:t>14</w:t>
        </w:r>
        <w:r w:rsidR="00B80BC7">
          <w:rPr>
            <w:webHidden/>
          </w:rPr>
          <w:fldChar w:fldCharType="end"/>
        </w:r>
      </w:hyperlink>
    </w:p>
    <w:p w:rsidR="00B80BC7" w:rsidRDefault="007B3D81">
      <w:pPr>
        <w:pStyle w:val="TOC1"/>
        <w:rPr>
          <w:rFonts w:asciiTheme="minorHAnsi" w:eastAsiaTheme="minorEastAsia" w:hAnsiTheme="minorHAnsi" w:cstheme="minorBidi"/>
          <w:b w:val="0"/>
          <w:szCs w:val="22"/>
          <w:lang w:val="en-AU" w:eastAsia="en-AU"/>
        </w:rPr>
      </w:pPr>
      <w:hyperlink w:anchor="_Toc460572213" w:history="1">
        <w:r w:rsidR="00B80BC7" w:rsidRPr="00EE429F">
          <w:rPr>
            <w:rStyle w:val="Hyperlink"/>
          </w:rPr>
          <w:t>3</w:t>
        </w:r>
        <w:r w:rsidR="00B80BC7">
          <w:rPr>
            <w:rFonts w:asciiTheme="minorHAnsi" w:eastAsiaTheme="minorEastAsia" w:hAnsiTheme="minorHAnsi" w:cstheme="minorBidi"/>
            <w:b w:val="0"/>
            <w:szCs w:val="22"/>
            <w:lang w:val="en-AU" w:eastAsia="en-AU"/>
          </w:rPr>
          <w:tab/>
        </w:r>
        <w:r w:rsidR="00B80BC7" w:rsidRPr="00EE429F">
          <w:rPr>
            <w:rStyle w:val="Hyperlink"/>
          </w:rPr>
          <w:t>Water tariffs: Options and analysis</w:t>
        </w:r>
        <w:r w:rsidR="00B80BC7">
          <w:rPr>
            <w:webHidden/>
          </w:rPr>
          <w:tab/>
        </w:r>
        <w:r w:rsidR="00B80BC7">
          <w:rPr>
            <w:webHidden/>
          </w:rPr>
          <w:fldChar w:fldCharType="begin"/>
        </w:r>
        <w:r w:rsidR="00B80BC7">
          <w:rPr>
            <w:webHidden/>
          </w:rPr>
          <w:instrText xml:space="preserve"> PAGEREF _Toc460572213 \h </w:instrText>
        </w:r>
        <w:r w:rsidR="00B80BC7">
          <w:rPr>
            <w:webHidden/>
          </w:rPr>
        </w:r>
        <w:r w:rsidR="00B80BC7">
          <w:rPr>
            <w:webHidden/>
          </w:rPr>
          <w:fldChar w:fldCharType="separate"/>
        </w:r>
        <w:r w:rsidR="00B80BC7">
          <w:rPr>
            <w:webHidden/>
          </w:rPr>
          <w:t>17</w:t>
        </w:r>
        <w:r w:rsidR="00B80BC7">
          <w:rPr>
            <w:webHidden/>
          </w:rPr>
          <w:fldChar w:fldCharType="end"/>
        </w:r>
      </w:hyperlink>
    </w:p>
    <w:p w:rsidR="00B80BC7" w:rsidRDefault="007B3D81">
      <w:pPr>
        <w:pStyle w:val="TOC2"/>
        <w:rPr>
          <w:rFonts w:asciiTheme="minorHAnsi" w:eastAsiaTheme="minorEastAsia" w:hAnsiTheme="minorHAnsi" w:cstheme="minorBidi"/>
          <w:szCs w:val="22"/>
          <w:lang w:val="en-AU" w:eastAsia="en-AU"/>
        </w:rPr>
      </w:pPr>
      <w:hyperlink w:anchor="_Toc460572214" w:history="1">
        <w:r w:rsidR="00B80BC7" w:rsidRPr="00EE429F">
          <w:rPr>
            <w:rStyle w:val="Hyperlink"/>
          </w:rPr>
          <w:t>3.1</w:t>
        </w:r>
        <w:r w:rsidR="00B80BC7">
          <w:rPr>
            <w:rFonts w:asciiTheme="minorHAnsi" w:eastAsiaTheme="minorEastAsia" w:hAnsiTheme="minorHAnsi" w:cstheme="minorBidi"/>
            <w:szCs w:val="22"/>
            <w:lang w:val="en-AU" w:eastAsia="en-AU"/>
          </w:rPr>
          <w:tab/>
        </w:r>
        <w:r w:rsidR="00B80BC7" w:rsidRPr="00EE429F">
          <w:rPr>
            <w:rStyle w:val="Hyperlink"/>
          </w:rPr>
          <w:t>Introduction</w:t>
        </w:r>
        <w:r w:rsidR="00B80BC7">
          <w:rPr>
            <w:webHidden/>
          </w:rPr>
          <w:tab/>
        </w:r>
        <w:r w:rsidR="00B80BC7">
          <w:rPr>
            <w:webHidden/>
          </w:rPr>
          <w:fldChar w:fldCharType="begin"/>
        </w:r>
        <w:r w:rsidR="00B80BC7">
          <w:rPr>
            <w:webHidden/>
          </w:rPr>
          <w:instrText xml:space="preserve"> PAGEREF _Toc460572214 \h </w:instrText>
        </w:r>
        <w:r w:rsidR="00B80BC7">
          <w:rPr>
            <w:webHidden/>
          </w:rPr>
        </w:r>
        <w:r w:rsidR="00B80BC7">
          <w:rPr>
            <w:webHidden/>
          </w:rPr>
          <w:fldChar w:fldCharType="separate"/>
        </w:r>
        <w:r w:rsidR="00B80BC7">
          <w:rPr>
            <w:webHidden/>
          </w:rPr>
          <w:t>17</w:t>
        </w:r>
        <w:r w:rsidR="00B80BC7">
          <w:rPr>
            <w:webHidden/>
          </w:rPr>
          <w:fldChar w:fldCharType="end"/>
        </w:r>
      </w:hyperlink>
    </w:p>
    <w:p w:rsidR="00B80BC7" w:rsidRDefault="007B3D81">
      <w:pPr>
        <w:pStyle w:val="TOC2"/>
        <w:rPr>
          <w:rFonts w:asciiTheme="minorHAnsi" w:eastAsiaTheme="minorEastAsia" w:hAnsiTheme="minorHAnsi" w:cstheme="minorBidi"/>
          <w:szCs w:val="22"/>
          <w:lang w:val="en-AU" w:eastAsia="en-AU"/>
        </w:rPr>
      </w:pPr>
      <w:hyperlink w:anchor="_Toc460572215" w:history="1">
        <w:r w:rsidR="00B80BC7" w:rsidRPr="00EE429F">
          <w:rPr>
            <w:rStyle w:val="Hyperlink"/>
          </w:rPr>
          <w:t>3.2</w:t>
        </w:r>
        <w:r w:rsidR="00B80BC7">
          <w:rPr>
            <w:rFonts w:asciiTheme="minorHAnsi" w:eastAsiaTheme="minorEastAsia" w:hAnsiTheme="minorHAnsi" w:cstheme="minorBidi"/>
            <w:szCs w:val="22"/>
            <w:lang w:val="en-AU" w:eastAsia="en-AU"/>
          </w:rPr>
          <w:tab/>
        </w:r>
        <w:r w:rsidR="00B80BC7" w:rsidRPr="00EE429F">
          <w:rPr>
            <w:rStyle w:val="Hyperlink"/>
          </w:rPr>
          <w:t>Current tariff structure: two-part, inclining block</w:t>
        </w:r>
        <w:r w:rsidR="00B80BC7">
          <w:rPr>
            <w:webHidden/>
          </w:rPr>
          <w:tab/>
        </w:r>
        <w:r w:rsidR="00B80BC7">
          <w:rPr>
            <w:webHidden/>
          </w:rPr>
          <w:fldChar w:fldCharType="begin"/>
        </w:r>
        <w:r w:rsidR="00B80BC7">
          <w:rPr>
            <w:webHidden/>
          </w:rPr>
          <w:instrText xml:space="preserve"> PAGEREF _Toc460572215 \h </w:instrText>
        </w:r>
        <w:r w:rsidR="00B80BC7">
          <w:rPr>
            <w:webHidden/>
          </w:rPr>
        </w:r>
        <w:r w:rsidR="00B80BC7">
          <w:rPr>
            <w:webHidden/>
          </w:rPr>
          <w:fldChar w:fldCharType="separate"/>
        </w:r>
        <w:r w:rsidR="00B80BC7">
          <w:rPr>
            <w:webHidden/>
          </w:rPr>
          <w:t>17</w:t>
        </w:r>
        <w:r w:rsidR="00B80BC7">
          <w:rPr>
            <w:webHidden/>
          </w:rPr>
          <w:fldChar w:fldCharType="end"/>
        </w:r>
      </w:hyperlink>
    </w:p>
    <w:p w:rsidR="00B80BC7" w:rsidRDefault="007B3D81">
      <w:pPr>
        <w:pStyle w:val="TOC2"/>
        <w:rPr>
          <w:rFonts w:asciiTheme="minorHAnsi" w:eastAsiaTheme="minorEastAsia" w:hAnsiTheme="minorHAnsi" w:cstheme="minorBidi"/>
          <w:szCs w:val="22"/>
          <w:lang w:val="en-AU" w:eastAsia="en-AU"/>
        </w:rPr>
      </w:pPr>
      <w:hyperlink w:anchor="_Toc460572216" w:history="1">
        <w:r w:rsidR="00B80BC7" w:rsidRPr="00EE429F">
          <w:rPr>
            <w:rStyle w:val="Hyperlink"/>
          </w:rPr>
          <w:t>3.3</w:t>
        </w:r>
        <w:r w:rsidR="00B80BC7">
          <w:rPr>
            <w:rFonts w:asciiTheme="minorHAnsi" w:eastAsiaTheme="minorEastAsia" w:hAnsiTheme="minorHAnsi" w:cstheme="minorBidi"/>
            <w:szCs w:val="22"/>
            <w:lang w:val="en-AU" w:eastAsia="en-AU"/>
          </w:rPr>
          <w:tab/>
        </w:r>
        <w:r w:rsidR="00B80BC7" w:rsidRPr="00EE429F">
          <w:rPr>
            <w:rStyle w:val="Hyperlink"/>
          </w:rPr>
          <w:t>Alternative tariff structure: two-part, single usage charge set with reference to long-run marginal cost</w:t>
        </w:r>
        <w:r w:rsidR="00B80BC7">
          <w:rPr>
            <w:webHidden/>
          </w:rPr>
          <w:tab/>
        </w:r>
        <w:r w:rsidR="00B80BC7">
          <w:rPr>
            <w:webHidden/>
          </w:rPr>
          <w:fldChar w:fldCharType="begin"/>
        </w:r>
        <w:r w:rsidR="00B80BC7">
          <w:rPr>
            <w:webHidden/>
          </w:rPr>
          <w:instrText xml:space="preserve"> PAGEREF _Toc460572216 \h </w:instrText>
        </w:r>
        <w:r w:rsidR="00B80BC7">
          <w:rPr>
            <w:webHidden/>
          </w:rPr>
        </w:r>
        <w:r w:rsidR="00B80BC7">
          <w:rPr>
            <w:webHidden/>
          </w:rPr>
          <w:fldChar w:fldCharType="separate"/>
        </w:r>
        <w:r w:rsidR="00B80BC7">
          <w:rPr>
            <w:webHidden/>
          </w:rPr>
          <w:t>21</w:t>
        </w:r>
        <w:r w:rsidR="00B80BC7">
          <w:rPr>
            <w:webHidden/>
          </w:rPr>
          <w:fldChar w:fldCharType="end"/>
        </w:r>
      </w:hyperlink>
    </w:p>
    <w:p w:rsidR="00B80BC7" w:rsidRDefault="007B3D81">
      <w:pPr>
        <w:pStyle w:val="TOC2"/>
        <w:rPr>
          <w:rFonts w:asciiTheme="minorHAnsi" w:eastAsiaTheme="minorEastAsia" w:hAnsiTheme="minorHAnsi" w:cstheme="minorBidi"/>
          <w:szCs w:val="22"/>
          <w:lang w:val="en-AU" w:eastAsia="en-AU"/>
        </w:rPr>
      </w:pPr>
      <w:hyperlink w:anchor="_Toc460572217" w:history="1">
        <w:r w:rsidR="00B80BC7" w:rsidRPr="00EE429F">
          <w:rPr>
            <w:rStyle w:val="Hyperlink"/>
          </w:rPr>
          <w:t>3.4</w:t>
        </w:r>
        <w:r w:rsidR="00B80BC7">
          <w:rPr>
            <w:rFonts w:asciiTheme="minorHAnsi" w:eastAsiaTheme="minorEastAsia" w:hAnsiTheme="minorHAnsi" w:cstheme="minorBidi"/>
            <w:szCs w:val="22"/>
            <w:lang w:val="en-AU" w:eastAsia="en-AU"/>
          </w:rPr>
          <w:tab/>
        </w:r>
        <w:r w:rsidR="00B80BC7" w:rsidRPr="00EE429F">
          <w:rPr>
            <w:rStyle w:val="Hyperlink"/>
          </w:rPr>
          <w:t>Submissions and Commission’s consideration</w:t>
        </w:r>
        <w:r w:rsidR="00B80BC7">
          <w:rPr>
            <w:webHidden/>
          </w:rPr>
          <w:tab/>
        </w:r>
        <w:r w:rsidR="00B80BC7">
          <w:rPr>
            <w:webHidden/>
          </w:rPr>
          <w:fldChar w:fldCharType="begin"/>
        </w:r>
        <w:r w:rsidR="00B80BC7">
          <w:rPr>
            <w:webHidden/>
          </w:rPr>
          <w:instrText xml:space="preserve"> PAGEREF _Toc460572217 \h </w:instrText>
        </w:r>
        <w:r w:rsidR="00B80BC7">
          <w:rPr>
            <w:webHidden/>
          </w:rPr>
        </w:r>
        <w:r w:rsidR="00B80BC7">
          <w:rPr>
            <w:webHidden/>
          </w:rPr>
          <w:fldChar w:fldCharType="separate"/>
        </w:r>
        <w:r w:rsidR="00B80BC7">
          <w:rPr>
            <w:webHidden/>
          </w:rPr>
          <w:t>26</w:t>
        </w:r>
        <w:r w:rsidR="00B80BC7">
          <w:rPr>
            <w:webHidden/>
          </w:rPr>
          <w:fldChar w:fldCharType="end"/>
        </w:r>
      </w:hyperlink>
    </w:p>
    <w:p w:rsidR="00B80BC7" w:rsidRDefault="007B3D81">
      <w:pPr>
        <w:pStyle w:val="TOC2"/>
        <w:rPr>
          <w:rFonts w:asciiTheme="minorHAnsi" w:eastAsiaTheme="minorEastAsia" w:hAnsiTheme="minorHAnsi" w:cstheme="minorBidi"/>
          <w:szCs w:val="22"/>
          <w:lang w:val="en-AU" w:eastAsia="en-AU"/>
        </w:rPr>
      </w:pPr>
      <w:hyperlink w:anchor="_Toc460572218" w:history="1">
        <w:r w:rsidR="00B80BC7" w:rsidRPr="00EE429F">
          <w:rPr>
            <w:rStyle w:val="Hyperlink"/>
          </w:rPr>
          <w:t>3.5</w:t>
        </w:r>
        <w:r w:rsidR="00B80BC7">
          <w:rPr>
            <w:rFonts w:asciiTheme="minorHAnsi" w:eastAsiaTheme="minorEastAsia" w:hAnsiTheme="minorHAnsi" w:cstheme="minorBidi"/>
            <w:szCs w:val="22"/>
            <w:lang w:val="en-AU" w:eastAsia="en-AU"/>
          </w:rPr>
          <w:tab/>
        </w:r>
        <w:r w:rsidR="00B80BC7" w:rsidRPr="00EE429F">
          <w:rPr>
            <w:rStyle w:val="Hyperlink"/>
          </w:rPr>
          <w:t>Other tariff alternatives</w:t>
        </w:r>
        <w:r w:rsidR="00B80BC7">
          <w:rPr>
            <w:webHidden/>
          </w:rPr>
          <w:tab/>
        </w:r>
        <w:r w:rsidR="00B80BC7">
          <w:rPr>
            <w:webHidden/>
          </w:rPr>
          <w:fldChar w:fldCharType="begin"/>
        </w:r>
        <w:r w:rsidR="00B80BC7">
          <w:rPr>
            <w:webHidden/>
          </w:rPr>
          <w:instrText xml:space="preserve"> PAGEREF _Toc460572218 \h </w:instrText>
        </w:r>
        <w:r w:rsidR="00B80BC7">
          <w:rPr>
            <w:webHidden/>
          </w:rPr>
        </w:r>
        <w:r w:rsidR="00B80BC7">
          <w:rPr>
            <w:webHidden/>
          </w:rPr>
          <w:fldChar w:fldCharType="separate"/>
        </w:r>
        <w:r w:rsidR="00B80BC7">
          <w:rPr>
            <w:webHidden/>
          </w:rPr>
          <w:t>34</w:t>
        </w:r>
        <w:r w:rsidR="00B80BC7">
          <w:rPr>
            <w:webHidden/>
          </w:rPr>
          <w:fldChar w:fldCharType="end"/>
        </w:r>
      </w:hyperlink>
    </w:p>
    <w:p w:rsidR="00B80BC7" w:rsidRDefault="007B3D81">
      <w:pPr>
        <w:pStyle w:val="TOC1"/>
        <w:rPr>
          <w:rFonts w:asciiTheme="minorHAnsi" w:eastAsiaTheme="minorEastAsia" w:hAnsiTheme="minorHAnsi" w:cstheme="minorBidi"/>
          <w:b w:val="0"/>
          <w:szCs w:val="22"/>
          <w:lang w:val="en-AU" w:eastAsia="en-AU"/>
        </w:rPr>
      </w:pPr>
      <w:hyperlink w:anchor="_Toc460572219" w:history="1">
        <w:r w:rsidR="00B80BC7" w:rsidRPr="00EE429F">
          <w:rPr>
            <w:rStyle w:val="Hyperlink"/>
          </w:rPr>
          <w:t>4</w:t>
        </w:r>
        <w:r w:rsidR="00B80BC7">
          <w:rPr>
            <w:rFonts w:asciiTheme="minorHAnsi" w:eastAsiaTheme="minorEastAsia" w:hAnsiTheme="minorHAnsi" w:cstheme="minorBidi"/>
            <w:b w:val="0"/>
            <w:szCs w:val="22"/>
            <w:lang w:val="en-AU" w:eastAsia="en-AU"/>
          </w:rPr>
          <w:tab/>
        </w:r>
        <w:r w:rsidR="00B80BC7" w:rsidRPr="00EE429F">
          <w:rPr>
            <w:rStyle w:val="Hyperlink"/>
          </w:rPr>
          <w:t>Sewerage services tariffs: Options and analysis</w:t>
        </w:r>
        <w:r w:rsidR="00B80BC7">
          <w:rPr>
            <w:webHidden/>
          </w:rPr>
          <w:tab/>
        </w:r>
        <w:r w:rsidR="00B80BC7">
          <w:rPr>
            <w:webHidden/>
          </w:rPr>
          <w:fldChar w:fldCharType="begin"/>
        </w:r>
        <w:r w:rsidR="00B80BC7">
          <w:rPr>
            <w:webHidden/>
          </w:rPr>
          <w:instrText xml:space="preserve"> PAGEREF _Toc460572219 \h </w:instrText>
        </w:r>
        <w:r w:rsidR="00B80BC7">
          <w:rPr>
            <w:webHidden/>
          </w:rPr>
        </w:r>
        <w:r w:rsidR="00B80BC7">
          <w:rPr>
            <w:webHidden/>
          </w:rPr>
          <w:fldChar w:fldCharType="separate"/>
        </w:r>
        <w:r w:rsidR="00B80BC7">
          <w:rPr>
            <w:webHidden/>
          </w:rPr>
          <w:t>45</w:t>
        </w:r>
        <w:r w:rsidR="00B80BC7">
          <w:rPr>
            <w:webHidden/>
          </w:rPr>
          <w:fldChar w:fldCharType="end"/>
        </w:r>
      </w:hyperlink>
    </w:p>
    <w:p w:rsidR="00B80BC7" w:rsidRDefault="007B3D81">
      <w:pPr>
        <w:pStyle w:val="TOC2"/>
        <w:rPr>
          <w:rFonts w:asciiTheme="minorHAnsi" w:eastAsiaTheme="minorEastAsia" w:hAnsiTheme="minorHAnsi" w:cstheme="minorBidi"/>
          <w:szCs w:val="22"/>
          <w:lang w:val="en-AU" w:eastAsia="en-AU"/>
        </w:rPr>
      </w:pPr>
      <w:hyperlink w:anchor="_Toc460572220" w:history="1">
        <w:r w:rsidR="00B80BC7" w:rsidRPr="00EE429F">
          <w:rPr>
            <w:rStyle w:val="Hyperlink"/>
          </w:rPr>
          <w:t>4.1</w:t>
        </w:r>
        <w:r w:rsidR="00B80BC7">
          <w:rPr>
            <w:rFonts w:asciiTheme="minorHAnsi" w:eastAsiaTheme="minorEastAsia" w:hAnsiTheme="minorHAnsi" w:cstheme="minorBidi"/>
            <w:szCs w:val="22"/>
            <w:lang w:val="en-AU" w:eastAsia="en-AU"/>
          </w:rPr>
          <w:tab/>
        </w:r>
        <w:r w:rsidR="00B80BC7" w:rsidRPr="00EE429F">
          <w:rPr>
            <w:rStyle w:val="Hyperlink"/>
          </w:rPr>
          <w:t>Introduction</w:t>
        </w:r>
        <w:r w:rsidR="00B80BC7">
          <w:rPr>
            <w:webHidden/>
          </w:rPr>
          <w:tab/>
        </w:r>
        <w:r w:rsidR="00B80BC7">
          <w:rPr>
            <w:webHidden/>
          </w:rPr>
          <w:fldChar w:fldCharType="begin"/>
        </w:r>
        <w:r w:rsidR="00B80BC7">
          <w:rPr>
            <w:webHidden/>
          </w:rPr>
          <w:instrText xml:space="preserve"> PAGEREF _Toc460572220 \h </w:instrText>
        </w:r>
        <w:r w:rsidR="00B80BC7">
          <w:rPr>
            <w:webHidden/>
          </w:rPr>
        </w:r>
        <w:r w:rsidR="00B80BC7">
          <w:rPr>
            <w:webHidden/>
          </w:rPr>
          <w:fldChar w:fldCharType="separate"/>
        </w:r>
        <w:r w:rsidR="00B80BC7">
          <w:rPr>
            <w:webHidden/>
          </w:rPr>
          <w:t>45</w:t>
        </w:r>
        <w:r w:rsidR="00B80BC7">
          <w:rPr>
            <w:webHidden/>
          </w:rPr>
          <w:fldChar w:fldCharType="end"/>
        </w:r>
      </w:hyperlink>
    </w:p>
    <w:p w:rsidR="00B80BC7" w:rsidRDefault="007B3D81">
      <w:pPr>
        <w:pStyle w:val="TOC2"/>
        <w:rPr>
          <w:rFonts w:asciiTheme="minorHAnsi" w:eastAsiaTheme="minorEastAsia" w:hAnsiTheme="minorHAnsi" w:cstheme="minorBidi"/>
          <w:szCs w:val="22"/>
          <w:lang w:val="en-AU" w:eastAsia="en-AU"/>
        </w:rPr>
      </w:pPr>
      <w:hyperlink w:anchor="_Toc460572221" w:history="1">
        <w:r w:rsidR="00B80BC7" w:rsidRPr="00EE429F">
          <w:rPr>
            <w:rStyle w:val="Hyperlink"/>
          </w:rPr>
          <w:t>4.2</w:t>
        </w:r>
        <w:r w:rsidR="00B80BC7">
          <w:rPr>
            <w:rFonts w:asciiTheme="minorHAnsi" w:eastAsiaTheme="minorEastAsia" w:hAnsiTheme="minorHAnsi" w:cstheme="minorBidi"/>
            <w:szCs w:val="22"/>
            <w:lang w:val="en-AU" w:eastAsia="en-AU"/>
          </w:rPr>
          <w:tab/>
        </w:r>
        <w:r w:rsidR="00B80BC7" w:rsidRPr="00EE429F">
          <w:rPr>
            <w:rStyle w:val="Hyperlink"/>
          </w:rPr>
          <w:t>Current tariff structure: Supply charges only</w:t>
        </w:r>
        <w:r w:rsidR="00B80BC7">
          <w:rPr>
            <w:webHidden/>
          </w:rPr>
          <w:tab/>
        </w:r>
        <w:r w:rsidR="00B80BC7">
          <w:rPr>
            <w:webHidden/>
          </w:rPr>
          <w:fldChar w:fldCharType="begin"/>
        </w:r>
        <w:r w:rsidR="00B80BC7">
          <w:rPr>
            <w:webHidden/>
          </w:rPr>
          <w:instrText xml:space="preserve"> PAGEREF _Toc460572221 \h </w:instrText>
        </w:r>
        <w:r w:rsidR="00B80BC7">
          <w:rPr>
            <w:webHidden/>
          </w:rPr>
        </w:r>
        <w:r w:rsidR="00B80BC7">
          <w:rPr>
            <w:webHidden/>
          </w:rPr>
          <w:fldChar w:fldCharType="separate"/>
        </w:r>
        <w:r w:rsidR="00B80BC7">
          <w:rPr>
            <w:webHidden/>
          </w:rPr>
          <w:t>45</w:t>
        </w:r>
        <w:r w:rsidR="00B80BC7">
          <w:rPr>
            <w:webHidden/>
          </w:rPr>
          <w:fldChar w:fldCharType="end"/>
        </w:r>
      </w:hyperlink>
    </w:p>
    <w:p w:rsidR="00B80BC7" w:rsidRDefault="007B3D81">
      <w:pPr>
        <w:pStyle w:val="TOC2"/>
        <w:rPr>
          <w:rFonts w:asciiTheme="minorHAnsi" w:eastAsiaTheme="minorEastAsia" w:hAnsiTheme="minorHAnsi" w:cstheme="minorBidi"/>
          <w:szCs w:val="22"/>
          <w:lang w:val="en-AU" w:eastAsia="en-AU"/>
        </w:rPr>
      </w:pPr>
      <w:hyperlink w:anchor="_Toc460572222" w:history="1">
        <w:r w:rsidR="00B80BC7" w:rsidRPr="00EE429F">
          <w:rPr>
            <w:rStyle w:val="Hyperlink"/>
          </w:rPr>
          <w:t>4.3</w:t>
        </w:r>
        <w:r w:rsidR="00B80BC7">
          <w:rPr>
            <w:rFonts w:asciiTheme="minorHAnsi" w:eastAsiaTheme="minorEastAsia" w:hAnsiTheme="minorHAnsi" w:cstheme="minorBidi"/>
            <w:szCs w:val="22"/>
            <w:lang w:val="en-AU" w:eastAsia="en-AU"/>
          </w:rPr>
          <w:tab/>
        </w:r>
        <w:r w:rsidR="00B80BC7" w:rsidRPr="00EE429F">
          <w:rPr>
            <w:rStyle w:val="Hyperlink"/>
          </w:rPr>
          <w:t>Alternative tariff structure: two-part tariff, single usage charge set with reference to short-run marginal cost</w:t>
        </w:r>
        <w:r w:rsidR="00B80BC7">
          <w:rPr>
            <w:webHidden/>
          </w:rPr>
          <w:tab/>
        </w:r>
        <w:r w:rsidR="00B80BC7">
          <w:rPr>
            <w:webHidden/>
          </w:rPr>
          <w:fldChar w:fldCharType="begin"/>
        </w:r>
        <w:r w:rsidR="00B80BC7">
          <w:rPr>
            <w:webHidden/>
          </w:rPr>
          <w:instrText xml:space="preserve"> PAGEREF _Toc460572222 \h </w:instrText>
        </w:r>
        <w:r w:rsidR="00B80BC7">
          <w:rPr>
            <w:webHidden/>
          </w:rPr>
        </w:r>
        <w:r w:rsidR="00B80BC7">
          <w:rPr>
            <w:webHidden/>
          </w:rPr>
          <w:fldChar w:fldCharType="separate"/>
        </w:r>
        <w:r w:rsidR="00B80BC7">
          <w:rPr>
            <w:webHidden/>
          </w:rPr>
          <w:t>46</w:t>
        </w:r>
        <w:r w:rsidR="00B80BC7">
          <w:rPr>
            <w:webHidden/>
          </w:rPr>
          <w:fldChar w:fldCharType="end"/>
        </w:r>
      </w:hyperlink>
    </w:p>
    <w:p w:rsidR="00B80BC7" w:rsidRDefault="007B3D81">
      <w:pPr>
        <w:pStyle w:val="TOC2"/>
        <w:rPr>
          <w:rFonts w:asciiTheme="minorHAnsi" w:eastAsiaTheme="minorEastAsia" w:hAnsiTheme="minorHAnsi" w:cstheme="minorBidi"/>
          <w:szCs w:val="22"/>
          <w:lang w:val="en-AU" w:eastAsia="en-AU"/>
        </w:rPr>
      </w:pPr>
      <w:hyperlink w:anchor="_Toc460572223" w:history="1">
        <w:r w:rsidR="00B80BC7" w:rsidRPr="00EE429F">
          <w:rPr>
            <w:rStyle w:val="Hyperlink"/>
          </w:rPr>
          <w:t>4.4</w:t>
        </w:r>
        <w:r w:rsidR="00B80BC7">
          <w:rPr>
            <w:rFonts w:asciiTheme="minorHAnsi" w:eastAsiaTheme="minorEastAsia" w:hAnsiTheme="minorHAnsi" w:cstheme="minorBidi"/>
            <w:szCs w:val="22"/>
            <w:lang w:val="en-AU" w:eastAsia="en-AU"/>
          </w:rPr>
          <w:tab/>
        </w:r>
        <w:r w:rsidR="00B80BC7" w:rsidRPr="00EE429F">
          <w:rPr>
            <w:rStyle w:val="Hyperlink"/>
          </w:rPr>
          <w:t>Submissions and Commission’s consideration</w:t>
        </w:r>
        <w:r w:rsidR="00B80BC7">
          <w:rPr>
            <w:webHidden/>
          </w:rPr>
          <w:tab/>
        </w:r>
        <w:r w:rsidR="00B80BC7">
          <w:rPr>
            <w:webHidden/>
          </w:rPr>
          <w:fldChar w:fldCharType="begin"/>
        </w:r>
        <w:r w:rsidR="00B80BC7">
          <w:rPr>
            <w:webHidden/>
          </w:rPr>
          <w:instrText xml:space="preserve"> PAGEREF _Toc460572223 \h </w:instrText>
        </w:r>
        <w:r w:rsidR="00B80BC7">
          <w:rPr>
            <w:webHidden/>
          </w:rPr>
        </w:r>
        <w:r w:rsidR="00B80BC7">
          <w:rPr>
            <w:webHidden/>
          </w:rPr>
          <w:fldChar w:fldCharType="separate"/>
        </w:r>
        <w:r w:rsidR="00B80BC7">
          <w:rPr>
            <w:webHidden/>
          </w:rPr>
          <w:t>49</w:t>
        </w:r>
        <w:r w:rsidR="00B80BC7">
          <w:rPr>
            <w:webHidden/>
          </w:rPr>
          <w:fldChar w:fldCharType="end"/>
        </w:r>
      </w:hyperlink>
    </w:p>
    <w:p w:rsidR="00B80BC7" w:rsidRDefault="007B3D81">
      <w:pPr>
        <w:pStyle w:val="TOC2"/>
        <w:rPr>
          <w:rFonts w:asciiTheme="minorHAnsi" w:eastAsiaTheme="minorEastAsia" w:hAnsiTheme="minorHAnsi" w:cstheme="minorBidi"/>
          <w:szCs w:val="22"/>
          <w:lang w:val="en-AU" w:eastAsia="en-AU"/>
        </w:rPr>
      </w:pPr>
      <w:hyperlink w:anchor="_Toc460572224" w:history="1">
        <w:r w:rsidR="00B80BC7" w:rsidRPr="00EE429F">
          <w:rPr>
            <w:rStyle w:val="Hyperlink"/>
          </w:rPr>
          <w:t>4.5</w:t>
        </w:r>
        <w:r w:rsidR="00B80BC7">
          <w:rPr>
            <w:rFonts w:asciiTheme="minorHAnsi" w:eastAsiaTheme="minorEastAsia" w:hAnsiTheme="minorHAnsi" w:cstheme="minorBidi"/>
            <w:szCs w:val="22"/>
            <w:lang w:val="en-AU" w:eastAsia="en-AU"/>
          </w:rPr>
          <w:tab/>
        </w:r>
        <w:r w:rsidR="00B80BC7" w:rsidRPr="00EE429F">
          <w:rPr>
            <w:rStyle w:val="Hyperlink"/>
          </w:rPr>
          <w:t>Trade waste pricing</w:t>
        </w:r>
        <w:r w:rsidR="00B80BC7">
          <w:rPr>
            <w:webHidden/>
          </w:rPr>
          <w:tab/>
        </w:r>
        <w:r w:rsidR="00B80BC7">
          <w:rPr>
            <w:webHidden/>
          </w:rPr>
          <w:fldChar w:fldCharType="begin"/>
        </w:r>
        <w:r w:rsidR="00B80BC7">
          <w:rPr>
            <w:webHidden/>
          </w:rPr>
          <w:instrText xml:space="preserve"> PAGEREF _Toc460572224 \h </w:instrText>
        </w:r>
        <w:r w:rsidR="00B80BC7">
          <w:rPr>
            <w:webHidden/>
          </w:rPr>
        </w:r>
        <w:r w:rsidR="00B80BC7">
          <w:rPr>
            <w:webHidden/>
          </w:rPr>
          <w:fldChar w:fldCharType="separate"/>
        </w:r>
        <w:r w:rsidR="00B80BC7">
          <w:rPr>
            <w:webHidden/>
          </w:rPr>
          <w:t>51</w:t>
        </w:r>
        <w:r w:rsidR="00B80BC7">
          <w:rPr>
            <w:webHidden/>
          </w:rPr>
          <w:fldChar w:fldCharType="end"/>
        </w:r>
      </w:hyperlink>
    </w:p>
    <w:p w:rsidR="00B80BC7" w:rsidRDefault="007B3D81">
      <w:pPr>
        <w:pStyle w:val="TOC1"/>
        <w:rPr>
          <w:rFonts w:asciiTheme="minorHAnsi" w:eastAsiaTheme="minorEastAsia" w:hAnsiTheme="minorHAnsi" w:cstheme="minorBidi"/>
          <w:b w:val="0"/>
          <w:szCs w:val="22"/>
          <w:lang w:val="en-AU" w:eastAsia="en-AU"/>
        </w:rPr>
      </w:pPr>
      <w:hyperlink w:anchor="_Toc460572225" w:history="1">
        <w:r w:rsidR="00B80BC7" w:rsidRPr="00EE429F">
          <w:rPr>
            <w:rStyle w:val="Hyperlink"/>
          </w:rPr>
          <w:t>5</w:t>
        </w:r>
        <w:r w:rsidR="00B80BC7">
          <w:rPr>
            <w:rFonts w:asciiTheme="minorHAnsi" w:eastAsiaTheme="minorEastAsia" w:hAnsiTheme="minorHAnsi" w:cstheme="minorBidi"/>
            <w:b w:val="0"/>
            <w:szCs w:val="22"/>
            <w:lang w:val="en-AU" w:eastAsia="en-AU"/>
          </w:rPr>
          <w:tab/>
        </w:r>
        <w:r w:rsidR="00B80BC7" w:rsidRPr="00EE429F">
          <w:rPr>
            <w:rStyle w:val="Hyperlink"/>
          </w:rPr>
          <w:t>Implementation and transition</w:t>
        </w:r>
        <w:r w:rsidR="00B80BC7">
          <w:rPr>
            <w:webHidden/>
          </w:rPr>
          <w:tab/>
        </w:r>
        <w:r w:rsidR="00B80BC7">
          <w:rPr>
            <w:webHidden/>
          </w:rPr>
          <w:fldChar w:fldCharType="begin"/>
        </w:r>
        <w:r w:rsidR="00B80BC7">
          <w:rPr>
            <w:webHidden/>
          </w:rPr>
          <w:instrText xml:space="preserve"> PAGEREF _Toc460572225 \h </w:instrText>
        </w:r>
        <w:r w:rsidR="00B80BC7">
          <w:rPr>
            <w:webHidden/>
          </w:rPr>
        </w:r>
        <w:r w:rsidR="00B80BC7">
          <w:rPr>
            <w:webHidden/>
          </w:rPr>
          <w:fldChar w:fldCharType="separate"/>
        </w:r>
        <w:r w:rsidR="00B80BC7">
          <w:rPr>
            <w:webHidden/>
          </w:rPr>
          <w:t>53</w:t>
        </w:r>
        <w:r w:rsidR="00B80BC7">
          <w:rPr>
            <w:webHidden/>
          </w:rPr>
          <w:fldChar w:fldCharType="end"/>
        </w:r>
      </w:hyperlink>
    </w:p>
    <w:p w:rsidR="00B80BC7" w:rsidRDefault="007B3D81">
      <w:pPr>
        <w:pStyle w:val="TOC2"/>
        <w:rPr>
          <w:rFonts w:asciiTheme="minorHAnsi" w:eastAsiaTheme="minorEastAsia" w:hAnsiTheme="minorHAnsi" w:cstheme="minorBidi"/>
          <w:szCs w:val="22"/>
          <w:lang w:val="en-AU" w:eastAsia="en-AU"/>
        </w:rPr>
      </w:pPr>
      <w:hyperlink w:anchor="_Toc460572226" w:history="1">
        <w:r w:rsidR="00B80BC7" w:rsidRPr="00EE429F">
          <w:rPr>
            <w:rStyle w:val="Hyperlink"/>
          </w:rPr>
          <w:t>5.1</w:t>
        </w:r>
        <w:r w:rsidR="00B80BC7">
          <w:rPr>
            <w:rFonts w:asciiTheme="minorHAnsi" w:eastAsiaTheme="minorEastAsia" w:hAnsiTheme="minorHAnsi" w:cstheme="minorBidi"/>
            <w:szCs w:val="22"/>
            <w:lang w:val="en-AU" w:eastAsia="en-AU"/>
          </w:rPr>
          <w:tab/>
        </w:r>
        <w:r w:rsidR="00B80BC7" w:rsidRPr="00EE429F">
          <w:rPr>
            <w:rStyle w:val="Hyperlink"/>
          </w:rPr>
          <w:t>Introduction</w:t>
        </w:r>
        <w:r w:rsidR="00B80BC7">
          <w:rPr>
            <w:webHidden/>
          </w:rPr>
          <w:tab/>
        </w:r>
        <w:r w:rsidR="00B80BC7">
          <w:rPr>
            <w:webHidden/>
          </w:rPr>
          <w:fldChar w:fldCharType="begin"/>
        </w:r>
        <w:r w:rsidR="00B80BC7">
          <w:rPr>
            <w:webHidden/>
          </w:rPr>
          <w:instrText xml:space="preserve"> PAGEREF _Toc460572226 \h </w:instrText>
        </w:r>
        <w:r w:rsidR="00B80BC7">
          <w:rPr>
            <w:webHidden/>
          </w:rPr>
        </w:r>
        <w:r w:rsidR="00B80BC7">
          <w:rPr>
            <w:webHidden/>
          </w:rPr>
          <w:fldChar w:fldCharType="separate"/>
        </w:r>
        <w:r w:rsidR="00B80BC7">
          <w:rPr>
            <w:webHidden/>
          </w:rPr>
          <w:t>53</w:t>
        </w:r>
        <w:r w:rsidR="00B80BC7">
          <w:rPr>
            <w:webHidden/>
          </w:rPr>
          <w:fldChar w:fldCharType="end"/>
        </w:r>
      </w:hyperlink>
    </w:p>
    <w:p w:rsidR="00B80BC7" w:rsidRDefault="007B3D81">
      <w:pPr>
        <w:pStyle w:val="TOC2"/>
        <w:rPr>
          <w:rFonts w:asciiTheme="minorHAnsi" w:eastAsiaTheme="minorEastAsia" w:hAnsiTheme="minorHAnsi" w:cstheme="minorBidi"/>
          <w:szCs w:val="22"/>
          <w:lang w:val="en-AU" w:eastAsia="en-AU"/>
        </w:rPr>
      </w:pPr>
      <w:hyperlink w:anchor="_Toc460572227" w:history="1">
        <w:r w:rsidR="00B80BC7" w:rsidRPr="00EE429F">
          <w:rPr>
            <w:rStyle w:val="Hyperlink"/>
          </w:rPr>
          <w:t>5.2</w:t>
        </w:r>
        <w:r w:rsidR="00B80BC7">
          <w:rPr>
            <w:rFonts w:asciiTheme="minorHAnsi" w:eastAsiaTheme="minorEastAsia" w:hAnsiTheme="minorHAnsi" w:cstheme="minorBidi"/>
            <w:szCs w:val="22"/>
            <w:lang w:val="en-AU" w:eastAsia="en-AU"/>
          </w:rPr>
          <w:tab/>
        </w:r>
        <w:r w:rsidR="00B80BC7" w:rsidRPr="00EE429F">
          <w:rPr>
            <w:rStyle w:val="Hyperlink"/>
          </w:rPr>
          <w:t>Implementation start</w:t>
        </w:r>
        <w:r w:rsidR="00B80BC7">
          <w:rPr>
            <w:webHidden/>
          </w:rPr>
          <w:tab/>
        </w:r>
        <w:r w:rsidR="00B80BC7">
          <w:rPr>
            <w:webHidden/>
          </w:rPr>
          <w:fldChar w:fldCharType="begin"/>
        </w:r>
        <w:r w:rsidR="00B80BC7">
          <w:rPr>
            <w:webHidden/>
          </w:rPr>
          <w:instrText xml:space="preserve"> PAGEREF _Toc460572227 \h </w:instrText>
        </w:r>
        <w:r w:rsidR="00B80BC7">
          <w:rPr>
            <w:webHidden/>
          </w:rPr>
        </w:r>
        <w:r w:rsidR="00B80BC7">
          <w:rPr>
            <w:webHidden/>
          </w:rPr>
          <w:fldChar w:fldCharType="separate"/>
        </w:r>
        <w:r w:rsidR="00B80BC7">
          <w:rPr>
            <w:webHidden/>
          </w:rPr>
          <w:t>53</w:t>
        </w:r>
        <w:r w:rsidR="00B80BC7">
          <w:rPr>
            <w:webHidden/>
          </w:rPr>
          <w:fldChar w:fldCharType="end"/>
        </w:r>
      </w:hyperlink>
    </w:p>
    <w:p w:rsidR="00B80BC7" w:rsidRDefault="007B3D81">
      <w:pPr>
        <w:pStyle w:val="TOC2"/>
        <w:rPr>
          <w:rFonts w:asciiTheme="minorHAnsi" w:eastAsiaTheme="minorEastAsia" w:hAnsiTheme="minorHAnsi" w:cstheme="minorBidi"/>
          <w:szCs w:val="22"/>
          <w:lang w:val="en-AU" w:eastAsia="en-AU"/>
        </w:rPr>
      </w:pPr>
      <w:hyperlink w:anchor="_Toc460572228" w:history="1">
        <w:r w:rsidR="00B80BC7" w:rsidRPr="00EE429F">
          <w:rPr>
            <w:rStyle w:val="Hyperlink"/>
          </w:rPr>
          <w:t>5.3</w:t>
        </w:r>
        <w:r w:rsidR="00B80BC7">
          <w:rPr>
            <w:rFonts w:asciiTheme="minorHAnsi" w:eastAsiaTheme="minorEastAsia" w:hAnsiTheme="minorHAnsi" w:cstheme="minorBidi"/>
            <w:szCs w:val="22"/>
            <w:lang w:val="en-AU" w:eastAsia="en-AU"/>
          </w:rPr>
          <w:tab/>
        </w:r>
        <w:r w:rsidR="00B80BC7" w:rsidRPr="00EE429F">
          <w:rPr>
            <w:rStyle w:val="Hyperlink"/>
          </w:rPr>
          <w:t>Responsibility for tariff structure and prices</w:t>
        </w:r>
        <w:r w:rsidR="00B80BC7">
          <w:rPr>
            <w:webHidden/>
          </w:rPr>
          <w:tab/>
        </w:r>
        <w:r w:rsidR="00B80BC7">
          <w:rPr>
            <w:webHidden/>
          </w:rPr>
          <w:fldChar w:fldCharType="begin"/>
        </w:r>
        <w:r w:rsidR="00B80BC7">
          <w:rPr>
            <w:webHidden/>
          </w:rPr>
          <w:instrText xml:space="preserve"> PAGEREF _Toc460572228 \h </w:instrText>
        </w:r>
        <w:r w:rsidR="00B80BC7">
          <w:rPr>
            <w:webHidden/>
          </w:rPr>
        </w:r>
        <w:r w:rsidR="00B80BC7">
          <w:rPr>
            <w:webHidden/>
          </w:rPr>
          <w:fldChar w:fldCharType="separate"/>
        </w:r>
        <w:r w:rsidR="00B80BC7">
          <w:rPr>
            <w:webHidden/>
          </w:rPr>
          <w:t>54</w:t>
        </w:r>
        <w:r w:rsidR="00B80BC7">
          <w:rPr>
            <w:webHidden/>
          </w:rPr>
          <w:fldChar w:fldCharType="end"/>
        </w:r>
      </w:hyperlink>
    </w:p>
    <w:p w:rsidR="00B80BC7" w:rsidRDefault="007B3D81">
      <w:pPr>
        <w:pStyle w:val="TOC2"/>
        <w:rPr>
          <w:rFonts w:asciiTheme="minorHAnsi" w:eastAsiaTheme="minorEastAsia" w:hAnsiTheme="minorHAnsi" w:cstheme="minorBidi"/>
          <w:szCs w:val="22"/>
          <w:lang w:val="en-AU" w:eastAsia="en-AU"/>
        </w:rPr>
      </w:pPr>
      <w:hyperlink w:anchor="_Toc460572229" w:history="1">
        <w:r w:rsidR="00B80BC7" w:rsidRPr="00EE429F">
          <w:rPr>
            <w:rStyle w:val="Hyperlink"/>
          </w:rPr>
          <w:t>5.4</w:t>
        </w:r>
        <w:r w:rsidR="00B80BC7">
          <w:rPr>
            <w:rFonts w:asciiTheme="minorHAnsi" w:eastAsiaTheme="minorEastAsia" w:hAnsiTheme="minorHAnsi" w:cstheme="minorBidi"/>
            <w:szCs w:val="22"/>
            <w:lang w:val="en-AU" w:eastAsia="en-AU"/>
          </w:rPr>
          <w:tab/>
        </w:r>
        <w:r w:rsidR="00B80BC7" w:rsidRPr="00EE429F">
          <w:rPr>
            <w:rStyle w:val="Hyperlink"/>
          </w:rPr>
          <w:t>Transition to the alternative water tariff structure</w:t>
        </w:r>
        <w:r w:rsidR="00B80BC7">
          <w:rPr>
            <w:webHidden/>
          </w:rPr>
          <w:tab/>
        </w:r>
        <w:r w:rsidR="00B80BC7">
          <w:rPr>
            <w:webHidden/>
          </w:rPr>
          <w:fldChar w:fldCharType="begin"/>
        </w:r>
        <w:r w:rsidR="00B80BC7">
          <w:rPr>
            <w:webHidden/>
          </w:rPr>
          <w:instrText xml:space="preserve"> PAGEREF _Toc460572229 \h </w:instrText>
        </w:r>
        <w:r w:rsidR="00B80BC7">
          <w:rPr>
            <w:webHidden/>
          </w:rPr>
        </w:r>
        <w:r w:rsidR="00B80BC7">
          <w:rPr>
            <w:webHidden/>
          </w:rPr>
          <w:fldChar w:fldCharType="separate"/>
        </w:r>
        <w:r w:rsidR="00B80BC7">
          <w:rPr>
            <w:webHidden/>
          </w:rPr>
          <w:t>54</w:t>
        </w:r>
        <w:r w:rsidR="00B80BC7">
          <w:rPr>
            <w:webHidden/>
          </w:rPr>
          <w:fldChar w:fldCharType="end"/>
        </w:r>
      </w:hyperlink>
    </w:p>
    <w:p w:rsidR="00B80BC7" w:rsidRDefault="007B3D81">
      <w:pPr>
        <w:pStyle w:val="TOC2"/>
        <w:rPr>
          <w:rFonts w:asciiTheme="minorHAnsi" w:eastAsiaTheme="minorEastAsia" w:hAnsiTheme="minorHAnsi" w:cstheme="minorBidi"/>
          <w:szCs w:val="22"/>
          <w:lang w:val="en-AU" w:eastAsia="en-AU"/>
        </w:rPr>
      </w:pPr>
      <w:hyperlink w:anchor="_Toc460572230" w:history="1">
        <w:r w:rsidR="00B80BC7" w:rsidRPr="00EE429F">
          <w:rPr>
            <w:rStyle w:val="Hyperlink"/>
          </w:rPr>
          <w:t>5.5</w:t>
        </w:r>
        <w:r w:rsidR="00B80BC7">
          <w:rPr>
            <w:rFonts w:asciiTheme="minorHAnsi" w:eastAsiaTheme="minorEastAsia" w:hAnsiTheme="minorHAnsi" w:cstheme="minorBidi"/>
            <w:szCs w:val="22"/>
            <w:lang w:val="en-AU" w:eastAsia="en-AU"/>
          </w:rPr>
          <w:tab/>
        </w:r>
        <w:r w:rsidR="00B80BC7" w:rsidRPr="00EE429F">
          <w:rPr>
            <w:rStyle w:val="Hyperlink"/>
          </w:rPr>
          <w:t>Next steps</w:t>
        </w:r>
        <w:r w:rsidR="00B80BC7">
          <w:rPr>
            <w:webHidden/>
          </w:rPr>
          <w:tab/>
        </w:r>
        <w:r w:rsidR="00B80BC7">
          <w:rPr>
            <w:webHidden/>
          </w:rPr>
          <w:fldChar w:fldCharType="begin"/>
        </w:r>
        <w:r w:rsidR="00B80BC7">
          <w:rPr>
            <w:webHidden/>
          </w:rPr>
          <w:instrText xml:space="preserve"> PAGEREF _Toc460572230 \h </w:instrText>
        </w:r>
        <w:r w:rsidR="00B80BC7">
          <w:rPr>
            <w:webHidden/>
          </w:rPr>
        </w:r>
        <w:r w:rsidR="00B80BC7">
          <w:rPr>
            <w:webHidden/>
          </w:rPr>
          <w:fldChar w:fldCharType="separate"/>
        </w:r>
        <w:r w:rsidR="00B80BC7">
          <w:rPr>
            <w:webHidden/>
          </w:rPr>
          <w:t>64</w:t>
        </w:r>
        <w:r w:rsidR="00B80BC7">
          <w:rPr>
            <w:webHidden/>
          </w:rPr>
          <w:fldChar w:fldCharType="end"/>
        </w:r>
      </w:hyperlink>
    </w:p>
    <w:p w:rsidR="00B80BC7" w:rsidRDefault="007B3D81">
      <w:pPr>
        <w:pStyle w:val="TOC1"/>
        <w:tabs>
          <w:tab w:val="left" w:pos="1800"/>
        </w:tabs>
        <w:rPr>
          <w:rFonts w:asciiTheme="minorHAnsi" w:eastAsiaTheme="minorEastAsia" w:hAnsiTheme="minorHAnsi" w:cstheme="minorBidi"/>
          <w:b w:val="0"/>
          <w:szCs w:val="22"/>
          <w:lang w:val="en-AU" w:eastAsia="en-AU"/>
        </w:rPr>
      </w:pPr>
      <w:hyperlink w:anchor="_Toc460572231" w:history="1">
        <w:r w:rsidR="00B80BC7" w:rsidRPr="00EE429F">
          <w:rPr>
            <w:rStyle w:val="Hyperlink"/>
          </w:rPr>
          <w:t>Appendix 1</w:t>
        </w:r>
        <w:r w:rsidR="00B80BC7">
          <w:rPr>
            <w:rFonts w:asciiTheme="minorHAnsi" w:eastAsiaTheme="minorEastAsia" w:hAnsiTheme="minorHAnsi" w:cstheme="minorBidi"/>
            <w:b w:val="0"/>
            <w:szCs w:val="22"/>
            <w:lang w:val="en-AU" w:eastAsia="en-AU"/>
          </w:rPr>
          <w:tab/>
        </w:r>
        <w:r w:rsidR="00B80BC7" w:rsidRPr="00EE429F">
          <w:rPr>
            <w:rStyle w:val="Hyperlink"/>
          </w:rPr>
          <w:t>Summary of submissions</w:t>
        </w:r>
        <w:r w:rsidR="00B80BC7">
          <w:rPr>
            <w:webHidden/>
          </w:rPr>
          <w:tab/>
        </w:r>
        <w:r w:rsidR="00B80BC7">
          <w:rPr>
            <w:webHidden/>
          </w:rPr>
          <w:fldChar w:fldCharType="begin"/>
        </w:r>
        <w:r w:rsidR="00B80BC7">
          <w:rPr>
            <w:webHidden/>
          </w:rPr>
          <w:instrText xml:space="preserve"> PAGEREF _Toc460572231 \h </w:instrText>
        </w:r>
        <w:r w:rsidR="00B80BC7">
          <w:rPr>
            <w:webHidden/>
          </w:rPr>
        </w:r>
        <w:r w:rsidR="00B80BC7">
          <w:rPr>
            <w:webHidden/>
          </w:rPr>
          <w:fldChar w:fldCharType="separate"/>
        </w:r>
        <w:r w:rsidR="00B80BC7">
          <w:rPr>
            <w:webHidden/>
          </w:rPr>
          <w:t>65</w:t>
        </w:r>
        <w:r w:rsidR="00B80BC7">
          <w:rPr>
            <w:webHidden/>
          </w:rPr>
          <w:fldChar w:fldCharType="end"/>
        </w:r>
      </w:hyperlink>
    </w:p>
    <w:p w:rsidR="00B80BC7" w:rsidRDefault="007B3D81">
      <w:pPr>
        <w:pStyle w:val="TOC2"/>
        <w:rPr>
          <w:rFonts w:asciiTheme="minorHAnsi" w:eastAsiaTheme="minorEastAsia" w:hAnsiTheme="minorHAnsi" w:cstheme="minorBidi"/>
          <w:szCs w:val="22"/>
          <w:lang w:val="en-AU" w:eastAsia="en-AU"/>
        </w:rPr>
      </w:pPr>
      <w:hyperlink w:anchor="_Toc460572232" w:history="1">
        <w:r w:rsidR="00B80BC7" w:rsidRPr="00EE429F">
          <w:rPr>
            <w:rStyle w:val="Hyperlink"/>
          </w:rPr>
          <w:t>A1.1</w:t>
        </w:r>
        <w:r w:rsidR="00B80BC7">
          <w:rPr>
            <w:rFonts w:asciiTheme="minorHAnsi" w:eastAsiaTheme="minorEastAsia" w:hAnsiTheme="minorHAnsi" w:cstheme="minorBidi"/>
            <w:szCs w:val="22"/>
            <w:lang w:val="en-AU" w:eastAsia="en-AU"/>
          </w:rPr>
          <w:tab/>
        </w:r>
        <w:r w:rsidR="00B80BC7" w:rsidRPr="00EE429F">
          <w:rPr>
            <w:rStyle w:val="Hyperlink"/>
          </w:rPr>
          <w:t>Icon Water</w:t>
        </w:r>
        <w:r w:rsidR="00B80BC7">
          <w:rPr>
            <w:webHidden/>
          </w:rPr>
          <w:tab/>
        </w:r>
        <w:r w:rsidR="00B80BC7">
          <w:rPr>
            <w:webHidden/>
          </w:rPr>
          <w:fldChar w:fldCharType="begin"/>
        </w:r>
        <w:r w:rsidR="00B80BC7">
          <w:rPr>
            <w:webHidden/>
          </w:rPr>
          <w:instrText xml:space="preserve"> PAGEREF _Toc460572232 \h </w:instrText>
        </w:r>
        <w:r w:rsidR="00B80BC7">
          <w:rPr>
            <w:webHidden/>
          </w:rPr>
        </w:r>
        <w:r w:rsidR="00B80BC7">
          <w:rPr>
            <w:webHidden/>
          </w:rPr>
          <w:fldChar w:fldCharType="separate"/>
        </w:r>
        <w:r w:rsidR="00B80BC7">
          <w:rPr>
            <w:webHidden/>
          </w:rPr>
          <w:t>65</w:t>
        </w:r>
        <w:r w:rsidR="00B80BC7">
          <w:rPr>
            <w:webHidden/>
          </w:rPr>
          <w:fldChar w:fldCharType="end"/>
        </w:r>
      </w:hyperlink>
    </w:p>
    <w:p w:rsidR="00B80BC7" w:rsidRDefault="007B3D81">
      <w:pPr>
        <w:pStyle w:val="TOC2"/>
        <w:rPr>
          <w:rFonts w:asciiTheme="minorHAnsi" w:eastAsiaTheme="minorEastAsia" w:hAnsiTheme="minorHAnsi" w:cstheme="minorBidi"/>
          <w:szCs w:val="22"/>
          <w:lang w:val="en-AU" w:eastAsia="en-AU"/>
        </w:rPr>
      </w:pPr>
      <w:hyperlink w:anchor="_Toc460572233" w:history="1">
        <w:r w:rsidR="00B80BC7" w:rsidRPr="00EE429F">
          <w:rPr>
            <w:rStyle w:val="Hyperlink"/>
          </w:rPr>
          <w:t>A1.2</w:t>
        </w:r>
        <w:r w:rsidR="00B80BC7">
          <w:rPr>
            <w:rFonts w:asciiTheme="minorHAnsi" w:eastAsiaTheme="minorEastAsia" w:hAnsiTheme="minorHAnsi" w:cstheme="minorBidi"/>
            <w:szCs w:val="22"/>
            <w:lang w:val="en-AU" w:eastAsia="en-AU"/>
          </w:rPr>
          <w:tab/>
        </w:r>
        <w:r w:rsidR="00B80BC7" w:rsidRPr="00EE429F">
          <w:rPr>
            <w:rStyle w:val="Hyperlink"/>
          </w:rPr>
          <w:t>ACAT</w:t>
        </w:r>
        <w:r w:rsidR="00B80BC7">
          <w:rPr>
            <w:webHidden/>
          </w:rPr>
          <w:tab/>
        </w:r>
        <w:r w:rsidR="00B80BC7">
          <w:rPr>
            <w:webHidden/>
          </w:rPr>
          <w:fldChar w:fldCharType="begin"/>
        </w:r>
        <w:r w:rsidR="00B80BC7">
          <w:rPr>
            <w:webHidden/>
          </w:rPr>
          <w:instrText xml:space="preserve"> PAGEREF _Toc460572233 \h </w:instrText>
        </w:r>
        <w:r w:rsidR="00B80BC7">
          <w:rPr>
            <w:webHidden/>
          </w:rPr>
        </w:r>
        <w:r w:rsidR="00B80BC7">
          <w:rPr>
            <w:webHidden/>
          </w:rPr>
          <w:fldChar w:fldCharType="separate"/>
        </w:r>
        <w:r w:rsidR="00B80BC7">
          <w:rPr>
            <w:webHidden/>
          </w:rPr>
          <w:t>67</w:t>
        </w:r>
        <w:r w:rsidR="00B80BC7">
          <w:rPr>
            <w:webHidden/>
          </w:rPr>
          <w:fldChar w:fldCharType="end"/>
        </w:r>
      </w:hyperlink>
    </w:p>
    <w:p w:rsidR="00B80BC7" w:rsidRDefault="007B3D81">
      <w:pPr>
        <w:pStyle w:val="TOC2"/>
        <w:rPr>
          <w:rFonts w:asciiTheme="minorHAnsi" w:eastAsiaTheme="minorEastAsia" w:hAnsiTheme="minorHAnsi" w:cstheme="minorBidi"/>
          <w:szCs w:val="22"/>
          <w:lang w:val="en-AU" w:eastAsia="en-AU"/>
        </w:rPr>
      </w:pPr>
      <w:hyperlink w:anchor="_Toc460572234" w:history="1">
        <w:r w:rsidR="00B80BC7" w:rsidRPr="00EE429F">
          <w:rPr>
            <w:rStyle w:val="Hyperlink"/>
          </w:rPr>
          <w:t>A1.3</w:t>
        </w:r>
        <w:r w:rsidR="00B80BC7">
          <w:rPr>
            <w:rFonts w:asciiTheme="minorHAnsi" w:eastAsiaTheme="minorEastAsia" w:hAnsiTheme="minorHAnsi" w:cstheme="minorBidi"/>
            <w:szCs w:val="22"/>
            <w:lang w:val="en-AU" w:eastAsia="en-AU"/>
          </w:rPr>
          <w:tab/>
        </w:r>
        <w:r w:rsidR="00B80BC7" w:rsidRPr="00EE429F">
          <w:rPr>
            <w:rStyle w:val="Hyperlink"/>
          </w:rPr>
          <w:t>ClubsACT</w:t>
        </w:r>
        <w:r w:rsidR="00B80BC7">
          <w:rPr>
            <w:webHidden/>
          </w:rPr>
          <w:tab/>
        </w:r>
        <w:r w:rsidR="00B80BC7">
          <w:rPr>
            <w:webHidden/>
          </w:rPr>
          <w:fldChar w:fldCharType="begin"/>
        </w:r>
        <w:r w:rsidR="00B80BC7">
          <w:rPr>
            <w:webHidden/>
          </w:rPr>
          <w:instrText xml:space="preserve"> PAGEREF _Toc460572234 \h </w:instrText>
        </w:r>
        <w:r w:rsidR="00B80BC7">
          <w:rPr>
            <w:webHidden/>
          </w:rPr>
        </w:r>
        <w:r w:rsidR="00B80BC7">
          <w:rPr>
            <w:webHidden/>
          </w:rPr>
          <w:fldChar w:fldCharType="separate"/>
        </w:r>
        <w:r w:rsidR="00B80BC7">
          <w:rPr>
            <w:webHidden/>
          </w:rPr>
          <w:t>67</w:t>
        </w:r>
        <w:r w:rsidR="00B80BC7">
          <w:rPr>
            <w:webHidden/>
          </w:rPr>
          <w:fldChar w:fldCharType="end"/>
        </w:r>
      </w:hyperlink>
    </w:p>
    <w:p w:rsidR="00B80BC7" w:rsidRDefault="007B3D81">
      <w:pPr>
        <w:pStyle w:val="TOC2"/>
        <w:rPr>
          <w:rFonts w:asciiTheme="minorHAnsi" w:eastAsiaTheme="minorEastAsia" w:hAnsiTheme="minorHAnsi" w:cstheme="minorBidi"/>
          <w:szCs w:val="22"/>
          <w:lang w:val="en-AU" w:eastAsia="en-AU"/>
        </w:rPr>
      </w:pPr>
      <w:hyperlink w:anchor="_Toc460572235" w:history="1">
        <w:r w:rsidR="00B80BC7" w:rsidRPr="00EE429F">
          <w:rPr>
            <w:rStyle w:val="Hyperlink"/>
          </w:rPr>
          <w:t>A1.4</w:t>
        </w:r>
        <w:r w:rsidR="00B80BC7">
          <w:rPr>
            <w:rFonts w:asciiTheme="minorHAnsi" w:eastAsiaTheme="minorEastAsia" w:hAnsiTheme="minorHAnsi" w:cstheme="minorBidi"/>
            <w:szCs w:val="22"/>
            <w:lang w:val="en-AU" w:eastAsia="en-AU"/>
          </w:rPr>
          <w:tab/>
        </w:r>
        <w:r w:rsidR="00B80BC7" w:rsidRPr="00EE429F">
          <w:rPr>
            <w:rStyle w:val="Hyperlink"/>
          </w:rPr>
          <w:t>Federal Golf Club</w:t>
        </w:r>
        <w:r w:rsidR="00B80BC7">
          <w:rPr>
            <w:webHidden/>
          </w:rPr>
          <w:tab/>
        </w:r>
        <w:r w:rsidR="00B80BC7">
          <w:rPr>
            <w:webHidden/>
          </w:rPr>
          <w:fldChar w:fldCharType="begin"/>
        </w:r>
        <w:r w:rsidR="00B80BC7">
          <w:rPr>
            <w:webHidden/>
          </w:rPr>
          <w:instrText xml:space="preserve"> PAGEREF _Toc460572235 \h </w:instrText>
        </w:r>
        <w:r w:rsidR="00B80BC7">
          <w:rPr>
            <w:webHidden/>
          </w:rPr>
        </w:r>
        <w:r w:rsidR="00B80BC7">
          <w:rPr>
            <w:webHidden/>
          </w:rPr>
          <w:fldChar w:fldCharType="separate"/>
        </w:r>
        <w:r w:rsidR="00B80BC7">
          <w:rPr>
            <w:webHidden/>
          </w:rPr>
          <w:t>68</w:t>
        </w:r>
        <w:r w:rsidR="00B80BC7">
          <w:rPr>
            <w:webHidden/>
          </w:rPr>
          <w:fldChar w:fldCharType="end"/>
        </w:r>
      </w:hyperlink>
    </w:p>
    <w:p w:rsidR="00B80BC7" w:rsidRDefault="007B3D81">
      <w:pPr>
        <w:pStyle w:val="TOC2"/>
        <w:rPr>
          <w:rFonts w:asciiTheme="minorHAnsi" w:eastAsiaTheme="minorEastAsia" w:hAnsiTheme="minorHAnsi" w:cstheme="minorBidi"/>
          <w:szCs w:val="22"/>
          <w:lang w:val="en-AU" w:eastAsia="en-AU"/>
        </w:rPr>
      </w:pPr>
      <w:hyperlink w:anchor="_Toc460572236" w:history="1">
        <w:r w:rsidR="00B80BC7" w:rsidRPr="00EE429F">
          <w:rPr>
            <w:rStyle w:val="Hyperlink"/>
          </w:rPr>
          <w:t>A1.5</w:t>
        </w:r>
        <w:r w:rsidR="00B80BC7">
          <w:rPr>
            <w:rFonts w:asciiTheme="minorHAnsi" w:eastAsiaTheme="minorEastAsia" w:hAnsiTheme="minorHAnsi" w:cstheme="minorBidi"/>
            <w:szCs w:val="22"/>
            <w:lang w:val="en-AU" w:eastAsia="en-AU"/>
          </w:rPr>
          <w:tab/>
        </w:r>
        <w:r w:rsidR="00B80BC7" w:rsidRPr="00EE429F">
          <w:rPr>
            <w:rStyle w:val="Hyperlink"/>
          </w:rPr>
          <w:t>ACT community</w:t>
        </w:r>
        <w:r w:rsidR="00B80BC7">
          <w:rPr>
            <w:webHidden/>
          </w:rPr>
          <w:tab/>
        </w:r>
        <w:r w:rsidR="00B80BC7">
          <w:rPr>
            <w:webHidden/>
          </w:rPr>
          <w:fldChar w:fldCharType="begin"/>
        </w:r>
        <w:r w:rsidR="00B80BC7">
          <w:rPr>
            <w:webHidden/>
          </w:rPr>
          <w:instrText xml:space="preserve"> PAGEREF _Toc460572236 \h </w:instrText>
        </w:r>
        <w:r w:rsidR="00B80BC7">
          <w:rPr>
            <w:webHidden/>
          </w:rPr>
        </w:r>
        <w:r w:rsidR="00B80BC7">
          <w:rPr>
            <w:webHidden/>
          </w:rPr>
          <w:fldChar w:fldCharType="separate"/>
        </w:r>
        <w:r w:rsidR="00B80BC7">
          <w:rPr>
            <w:webHidden/>
          </w:rPr>
          <w:t>68</w:t>
        </w:r>
        <w:r w:rsidR="00B80BC7">
          <w:rPr>
            <w:webHidden/>
          </w:rPr>
          <w:fldChar w:fldCharType="end"/>
        </w:r>
      </w:hyperlink>
    </w:p>
    <w:p w:rsidR="00B80BC7" w:rsidRDefault="007B3D81">
      <w:pPr>
        <w:pStyle w:val="TOC1"/>
        <w:tabs>
          <w:tab w:val="left" w:pos="1800"/>
        </w:tabs>
        <w:rPr>
          <w:rFonts w:asciiTheme="minorHAnsi" w:eastAsiaTheme="minorEastAsia" w:hAnsiTheme="minorHAnsi" w:cstheme="minorBidi"/>
          <w:b w:val="0"/>
          <w:szCs w:val="22"/>
          <w:lang w:val="en-AU" w:eastAsia="en-AU"/>
        </w:rPr>
      </w:pPr>
      <w:hyperlink w:anchor="_Toc460572237" w:history="1">
        <w:r w:rsidR="00B80BC7" w:rsidRPr="00EE429F">
          <w:rPr>
            <w:rStyle w:val="Hyperlink"/>
          </w:rPr>
          <w:t>Appendix 2</w:t>
        </w:r>
        <w:r w:rsidR="00B80BC7">
          <w:rPr>
            <w:rFonts w:asciiTheme="minorHAnsi" w:eastAsiaTheme="minorEastAsia" w:hAnsiTheme="minorHAnsi" w:cstheme="minorBidi"/>
            <w:b w:val="0"/>
            <w:szCs w:val="22"/>
            <w:lang w:val="en-AU" w:eastAsia="en-AU"/>
          </w:rPr>
          <w:tab/>
        </w:r>
        <w:r w:rsidR="00B80BC7" w:rsidRPr="00EE429F">
          <w:rPr>
            <w:rStyle w:val="Hyperlink"/>
          </w:rPr>
          <w:t>Other legislative and national considerations</w:t>
        </w:r>
        <w:r w:rsidR="00B80BC7">
          <w:rPr>
            <w:webHidden/>
          </w:rPr>
          <w:tab/>
        </w:r>
        <w:r w:rsidR="00B80BC7">
          <w:rPr>
            <w:webHidden/>
          </w:rPr>
          <w:fldChar w:fldCharType="begin"/>
        </w:r>
        <w:r w:rsidR="00B80BC7">
          <w:rPr>
            <w:webHidden/>
          </w:rPr>
          <w:instrText xml:space="preserve"> PAGEREF _Toc460572237 \h </w:instrText>
        </w:r>
        <w:r w:rsidR="00B80BC7">
          <w:rPr>
            <w:webHidden/>
          </w:rPr>
        </w:r>
        <w:r w:rsidR="00B80BC7">
          <w:rPr>
            <w:webHidden/>
          </w:rPr>
          <w:fldChar w:fldCharType="separate"/>
        </w:r>
        <w:r w:rsidR="00B80BC7">
          <w:rPr>
            <w:webHidden/>
          </w:rPr>
          <w:t>71</w:t>
        </w:r>
        <w:r w:rsidR="00B80BC7">
          <w:rPr>
            <w:webHidden/>
          </w:rPr>
          <w:fldChar w:fldCharType="end"/>
        </w:r>
      </w:hyperlink>
    </w:p>
    <w:p w:rsidR="00B80BC7" w:rsidRDefault="007B3D81">
      <w:pPr>
        <w:pStyle w:val="TOC2"/>
        <w:rPr>
          <w:rFonts w:asciiTheme="minorHAnsi" w:eastAsiaTheme="minorEastAsia" w:hAnsiTheme="minorHAnsi" w:cstheme="minorBidi"/>
          <w:szCs w:val="22"/>
          <w:lang w:val="en-AU" w:eastAsia="en-AU"/>
        </w:rPr>
      </w:pPr>
      <w:hyperlink w:anchor="_Toc460572238" w:history="1">
        <w:r w:rsidR="00B80BC7" w:rsidRPr="00EE429F">
          <w:rPr>
            <w:rStyle w:val="Hyperlink"/>
          </w:rPr>
          <w:t>A2.1</w:t>
        </w:r>
        <w:r w:rsidR="00B80BC7">
          <w:rPr>
            <w:rFonts w:asciiTheme="minorHAnsi" w:eastAsiaTheme="minorEastAsia" w:hAnsiTheme="minorHAnsi" w:cstheme="minorBidi"/>
            <w:szCs w:val="22"/>
            <w:lang w:val="en-AU" w:eastAsia="en-AU"/>
          </w:rPr>
          <w:tab/>
        </w:r>
        <w:r w:rsidR="00B80BC7" w:rsidRPr="00EE429F">
          <w:rPr>
            <w:rStyle w:val="Hyperlink"/>
          </w:rPr>
          <w:t>Section 20(2) of the ICRC Act</w:t>
        </w:r>
        <w:r w:rsidR="00B80BC7">
          <w:rPr>
            <w:webHidden/>
          </w:rPr>
          <w:tab/>
        </w:r>
        <w:r w:rsidR="00B80BC7">
          <w:rPr>
            <w:webHidden/>
          </w:rPr>
          <w:fldChar w:fldCharType="begin"/>
        </w:r>
        <w:r w:rsidR="00B80BC7">
          <w:rPr>
            <w:webHidden/>
          </w:rPr>
          <w:instrText xml:space="preserve"> PAGEREF _Toc460572238 \h </w:instrText>
        </w:r>
        <w:r w:rsidR="00B80BC7">
          <w:rPr>
            <w:webHidden/>
          </w:rPr>
        </w:r>
        <w:r w:rsidR="00B80BC7">
          <w:rPr>
            <w:webHidden/>
          </w:rPr>
          <w:fldChar w:fldCharType="separate"/>
        </w:r>
        <w:r w:rsidR="00B80BC7">
          <w:rPr>
            <w:webHidden/>
          </w:rPr>
          <w:t>71</w:t>
        </w:r>
        <w:r w:rsidR="00B80BC7">
          <w:rPr>
            <w:webHidden/>
          </w:rPr>
          <w:fldChar w:fldCharType="end"/>
        </w:r>
      </w:hyperlink>
    </w:p>
    <w:p w:rsidR="00B80BC7" w:rsidRDefault="007B3D81">
      <w:pPr>
        <w:pStyle w:val="TOC2"/>
        <w:rPr>
          <w:rFonts w:asciiTheme="minorHAnsi" w:eastAsiaTheme="minorEastAsia" w:hAnsiTheme="minorHAnsi" w:cstheme="minorBidi"/>
          <w:szCs w:val="22"/>
          <w:lang w:val="en-AU" w:eastAsia="en-AU"/>
        </w:rPr>
      </w:pPr>
      <w:hyperlink w:anchor="_Toc460572239" w:history="1">
        <w:r w:rsidR="00B80BC7" w:rsidRPr="00EE429F">
          <w:rPr>
            <w:rStyle w:val="Hyperlink"/>
          </w:rPr>
          <w:t>A2.2</w:t>
        </w:r>
        <w:r w:rsidR="00B80BC7">
          <w:rPr>
            <w:rFonts w:asciiTheme="minorHAnsi" w:eastAsiaTheme="minorEastAsia" w:hAnsiTheme="minorHAnsi" w:cstheme="minorBidi"/>
            <w:szCs w:val="22"/>
            <w:lang w:val="en-AU" w:eastAsia="en-AU"/>
          </w:rPr>
          <w:tab/>
        </w:r>
        <w:r w:rsidR="00B80BC7" w:rsidRPr="00EE429F">
          <w:rPr>
            <w:rStyle w:val="Hyperlink"/>
          </w:rPr>
          <w:t>National Water Initiative pricing principles</w:t>
        </w:r>
        <w:r w:rsidR="00B80BC7">
          <w:rPr>
            <w:webHidden/>
          </w:rPr>
          <w:tab/>
        </w:r>
        <w:r w:rsidR="00B80BC7">
          <w:rPr>
            <w:webHidden/>
          </w:rPr>
          <w:fldChar w:fldCharType="begin"/>
        </w:r>
        <w:r w:rsidR="00B80BC7">
          <w:rPr>
            <w:webHidden/>
          </w:rPr>
          <w:instrText xml:space="preserve"> PAGEREF _Toc460572239 \h </w:instrText>
        </w:r>
        <w:r w:rsidR="00B80BC7">
          <w:rPr>
            <w:webHidden/>
          </w:rPr>
        </w:r>
        <w:r w:rsidR="00B80BC7">
          <w:rPr>
            <w:webHidden/>
          </w:rPr>
          <w:fldChar w:fldCharType="separate"/>
        </w:r>
        <w:r w:rsidR="00B80BC7">
          <w:rPr>
            <w:webHidden/>
          </w:rPr>
          <w:t>71</w:t>
        </w:r>
        <w:r w:rsidR="00B80BC7">
          <w:rPr>
            <w:webHidden/>
          </w:rPr>
          <w:fldChar w:fldCharType="end"/>
        </w:r>
      </w:hyperlink>
    </w:p>
    <w:p w:rsidR="00B80BC7" w:rsidRDefault="007B3D81">
      <w:pPr>
        <w:pStyle w:val="TOC1"/>
        <w:tabs>
          <w:tab w:val="left" w:pos="1800"/>
        </w:tabs>
        <w:rPr>
          <w:rFonts w:asciiTheme="minorHAnsi" w:eastAsiaTheme="minorEastAsia" w:hAnsiTheme="minorHAnsi" w:cstheme="minorBidi"/>
          <w:b w:val="0"/>
          <w:szCs w:val="22"/>
          <w:lang w:val="en-AU" w:eastAsia="en-AU"/>
        </w:rPr>
      </w:pPr>
      <w:hyperlink w:anchor="_Toc460572240" w:history="1">
        <w:r w:rsidR="00B80BC7" w:rsidRPr="00EE429F">
          <w:rPr>
            <w:rStyle w:val="Hyperlink"/>
          </w:rPr>
          <w:t>Appendix 3</w:t>
        </w:r>
        <w:r w:rsidR="00B80BC7">
          <w:rPr>
            <w:rFonts w:asciiTheme="minorHAnsi" w:eastAsiaTheme="minorEastAsia" w:hAnsiTheme="minorHAnsi" w:cstheme="minorBidi"/>
            <w:b w:val="0"/>
            <w:szCs w:val="22"/>
            <w:lang w:val="en-AU" w:eastAsia="en-AU"/>
          </w:rPr>
          <w:tab/>
        </w:r>
        <w:r w:rsidR="00B80BC7" w:rsidRPr="00EE429F">
          <w:rPr>
            <w:rStyle w:val="Hyperlink"/>
          </w:rPr>
          <w:t>Water tariffs in other jurisdictions</w:t>
        </w:r>
        <w:r w:rsidR="00B80BC7">
          <w:rPr>
            <w:webHidden/>
          </w:rPr>
          <w:tab/>
        </w:r>
        <w:r w:rsidR="00B80BC7">
          <w:rPr>
            <w:webHidden/>
          </w:rPr>
          <w:fldChar w:fldCharType="begin"/>
        </w:r>
        <w:r w:rsidR="00B80BC7">
          <w:rPr>
            <w:webHidden/>
          </w:rPr>
          <w:instrText xml:space="preserve"> PAGEREF _Toc460572240 \h </w:instrText>
        </w:r>
        <w:r w:rsidR="00B80BC7">
          <w:rPr>
            <w:webHidden/>
          </w:rPr>
        </w:r>
        <w:r w:rsidR="00B80BC7">
          <w:rPr>
            <w:webHidden/>
          </w:rPr>
          <w:fldChar w:fldCharType="separate"/>
        </w:r>
        <w:r w:rsidR="00B80BC7">
          <w:rPr>
            <w:webHidden/>
          </w:rPr>
          <w:t>73</w:t>
        </w:r>
        <w:r w:rsidR="00B80BC7">
          <w:rPr>
            <w:webHidden/>
          </w:rPr>
          <w:fldChar w:fldCharType="end"/>
        </w:r>
      </w:hyperlink>
    </w:p>
    <w:p w:rsidR="00B80BC7" w:rsidRDefault="007B3D81">
      <w:pPr>
        <w:pStyle w:val="TOC1"/>
        <w:rPr>
          <w:rFonts w:asciiTheme="minorHAnsi" w:eastAsiaTheme="minorEastAsia" w:hAnsiTheme="minorHAnsi" w:cstheme="minorBidi"/>
          <w:b w:val="0"/>
          <w:szCs w:val="22"/>
          <w:lang w:val="en-AU" w:eastAsia="en-AU"/>
        </w:rPr>
      </w:pPr>
      <w:hyperlink w:anchor="_Toc460572241" w:history="1">
        <w:r w:rsidR="00B80BC7" w:rsidRPr="00EE429F">
          <w:rPr>
            <w:rStyle w:val="Hyperlink"/>
          </w:rPr>
          <w:t>Abbreviations and acronyms</w:t>
        </w:r>
        <w:r w:rsidR="00B80BC7">
          <w:rPr>
            <w:webHidden/>
          </w:rPr>
          <w:tab/>
        </w:r>
        <w:r w:rsidR="00B80BC7">
          <w:rPr>
            <w:webHidden/>
          </w:rPr>
          <w:fldChar w:fldCharType="begin"/>
        </w:r>
        <w:r w:rsidR="00B80BC7">
          <w:rPr>
            <w:webHidden/>
          </w:rPr>
          <w:instrText xml:space="preserve"> PAGEREF _Toc460572241 \h </w:instrText>
        </w:r>
        <w:r w:rsidR="00B80BC7">
          <w:rPr>
            <w:webHidden/>
          </w:rPr>
        </w:r>
        <w:r w:rsidR="00B80BC7">
          <w:rPr>
            <w:webHidden/>
          </w:rPr>
          <w:fldChar w:fldCharType="separate"/>
        </w:r>
        <w:r w:rsidR="00B80BC7">
          <w:rPr>
            <w:webHidden/>
          </w:rPr>
          <w:t>75</w:t>
        </w:r>
        <w:r w:rsidR="00B80BC7">
          <w:rPr>
            <w:webHidden/>
          </w:rPr>
          <w:fldChar w:fldCharType="end"/>
        </w:r>
      </w:hyperlink>
    </w:p>
    <w:p w:rsidR="00B80BC7" w:rsidRDefault="007B3D81">
      <w:pPr>
        <w:pStyle w:val="TOC1"/>
        <w:rPr>
          <w:rFonts w:asciiTheme="minorHAnsi" w:eastAsiaTheme="minorEastAsia" w:hAnsiTheme="minorHAnsi" w:cstheme="minorBidi"/>
          <w:b w:val="0"/>
          <w:szCs w:val="22"/>
          <w:lang w:val="en-AU" w:eastAsia="en-AU"/>
        </w:rPr>
      </w:pPr>
      <w:hyperlink w:anchor="_Toc460572242" w:history="1">
        <w:r w:rsidR="00B80BC7" w:rsidRPr="00EE429F">
          <w:rPr>
            <w:rStyle w:val="Hyperlink"/>
          </w:rPr>
          <w:t>References</w:t>
        </w:r>
        <w:r w:rsidR="00B80BC7">
          <w:rPr>
            <w:webHidden/>
          </w:rPr>
          <w:tab/>
        </w:r>
        <w:r w:rsidR="00B80BC7">
          <w:rPr>
            <w:webHidden/>
          </w:rPr>
          <w:fldChar w:fldCharType="begin"/>
        </w:r>
        <w:r w:rsidR="00B80BC7">
          <w:rPr>
            <w:webHidden/>
          </w:rPr>
          <w:instrText xml:space="preserve"> PAGEREF _Toc460572242 \h </w:instrText>
        </w:r>
        <w:r w:rsidR="00B80BC7">
          <w:rPr>
            <w:webHidden/>
          </w:rPr>
        </w:r>
        <w:r w:rsidR="00B80BC7">
          <w:rPr>
            <w:webHidden/>
          </w:rPr>
          <w:fldChar w:fldCharType="separate"/>
        </w:r>
        <w:r w:rsidR="00B80BC7">
          <w:rPr>
            <w:webHidden/>
          </w:rPr>
          <w:t>77</w:t>
        </w:r>
        <w:r w:rsidR="00B80BC7">
          <w:rPr>
            <w:webHidden/>
          </w:rPr>
          <w:fldChar w:fldCharType="end"/>
        </w:r>
      </w:hyperlink>
    </w:p>
    <w:p w:rsidR="00640A28" w:rsidRDefault="00097706" w:rsidP="007F026C">
      <w:pPr>
        <w:pStyle w:val="References"/>
        <w:rPr>
          <w:rFonts w:ascii="Arial" w:hAnsi="Arial" w:cs="Arial"/>
          <w:b/>
          <w:sz w:val="26"/>
          <w:szCs w:val="26"/>
        </w:rPr>
      </w:pPr>
      <w:r>
        <w:rPr>
          <w:noProof/>
          <w:szCs w:val="40"/>
          <w:lang w:val="en-AU"/>
        </w:rPr>
        <w:fldChar w:fldCharType="end"/>
      </w:r>
    </w:p>
    <w:p w:rsidR="00DE3143" w:rsidRPr="001E3780" w:rsidRDefault="00043BCD" w:rsidP="008A1C91">
      <w:pPr>
        <w:pStyle w:val="References"/>
        <w:rPr>
          <w:rFonts w:ascii="Arial" w:hAnsi="Arial" w:cs="Arial"/>
          <w:b/>
          <w:sz w:val="26"/>
          <w:szCs w:val="26"/>
        </w:rPr>
      </w:pPr>
      <w:r w:rsidRPr="001E3780">
        <w:rPr>
          <w:rFonts w:ascii="Arial" w:hAnsi="Arial" w:cs="Arial"/>
          <w:b/>
          <w:sz w:val="26"/>
          <w:szCs w:val="26"/>
        </w:rPr>
        <w:t>List of tables</w:t>
      </w:r>
    </w:p>
    <w:p w:rsidR="00B80BC7" w:rsidRDefault="00A51443">
      <w:pPr>
        <w:pStyle w:val="TableofFigures"/>
        <w:rPr>
          <w:rFonts w:asciiTheme="minorHAnsi" w:eastAsiaTheme="minorEastAsia" w:hAnsiTheme="minorHAnsi" w:cstheme="minorBidi"/>
          <w:szCs w:val="22"/>
          <w:lang w:val="en-AU" w:eastAsia="en-AU"/>
        </w:rPr>
      </w:pPr>
      <w:r>
        <w:rPr>
          <w:lang w:val="en-AU"/>
        </w:rPr>
        <w:fldChar w:fldCharType="begin"/>
      </w:r>
      <w:r w:rsidR="00874740">
        <w:rPr>
          <w:lang w:val="en-AU"/>
        </w:rPr>
        <w:instrText xml:space="preserve"> TOC \h \z \c "Table" </w:instrText>
      </w:r>
      <w:r>
        <w:rPr>
          <w:lang w:val="en-AU"/>
        </w:rPr>
        <w:fldChar w:fldCharType="separate"/>
      </w:r>
      <w:hyperlink w:anchor="_Toc460572243" w:history="1">
        <w:r w:rsidR="00B80BC7" w:rsidRPr="00293F85">
          <w:rPr>
            <w:rStyle w:val="Hyperlink"/>
          </w:rPr>
          <w:t>Table ES.1</w:t>
        </w:r>
        <w:r w:rsidR="00B80BC7">
          <w:rPr>
            <w:rFonts w:asciiTheme="minorHAnsi" w:eastAsiaTheme="minorEastAsia" w:hAnsiTheme="minorHAnsi" w:cstheme="minorBidi"/>
            <w:szCs w:val="22"/>
            <w:lang w:val="en-AU" w:eastAsia="en-AU"/>
          </w:rPr>
          <w:tab/>
        </w:r>
        <w:r w:rsidR="00B80BC7" w:rsidRPr="00293F85">
          <w:rPr>
            <w:rStyle w:val="Hyperlink"/>
          </w:rPr>
          <w:t>Current and indicative alternative water tariffs</w:t>
        </w:r>
        <w:r w:rsidR="00B80BC7">
          <w:rPr>
            <w:webHidden/>
          </w:rPr>
          <w:tab/>
        </w:r>
        <w:r w:rsidR="00B80BC7">
          <w:rPr>
            <w:webHidden/>
          </w:rPr>
          <w:fldChar w:fldCharType="begin"/>
        </w:r>
        <w:r w:rsidR="00B80BC7">
          <w:rPr>
            <w:webHidden/>
          </w:rPr>
          <w:instrText xml:space="preserve"> PAGEREF _Toc460572243 \h </w:instrText>
        </w:r>
        <w:r w:rsidR="00B80BC7">
          <w:rPr>
            <w:webHidden/>
          </w:rPr>
        </w:r>
        <w:r w:rsidR="00B80BC7">
          <w:rPr>
            <w:webHidden/>
          </w:rPr>
          <w:fldChar w:fldCharType="separate"/>
        </w:r>
        <w:r w:rsidR="00B80BC7">
          <w:rPr>
            <w:webHidden/>
          </w:rPr>
          <w:t>xvi</w:t>
        </w:r>
        <w:r w:rsidR="00B80BC7">
          <w:rPr>
            <w:webHidden/>
          </w:rPr>
          <w:fldChar w:fldCharType="end"/>
        </w:r>
      </w:hyperlink>
    </w:p>
    <w:p w:rsidR="00B80BC7" w:rsidRDefault="007B3D81">
      <w:pPr>
        <w:pStyle w:val="TableofFigures"/>
        <w:rPr>
          <w:rFonts w:asciiTheme="minorHAnsi" w:eastAsiaTheme="minorEastAsia" w:hAnsiTheme="minorHAnsi" w:cstheme="minorBidi"/>
          <w:szCs w:val="22"/>
          <w:lang w:val="en-AU" w:eastAsia="en-AU"/>
        </w:rPr>
      </w:pPr>
      <w:hyperlink w:anchor="_Toc460572244" w:history="1">
        <w:r w:rsidR="00B80BC7" w:rsidRPr="00293F85">
          <w:rPr>
            <w:rStyle w:val="Hyperlink"/>
          </w:rPr>
          <w:t>Table ES.2</w:t>
        </w:r>
        <w:r w:rsidR="00B80BC7">
          <w:rPr>
            <w:rFonts w:asciiTheme="minorHAnsi" w:eastAsiaTheme="minorEastAsia" w:hAnsiTheme="minorHAnsi" w:cstheme="minorBidi"/>
            <w:szCs w:val="22"/>
            <w:lang w:val="en-AU" w:eastAsia="en-AU"/>
          </w:rPr>
          <w:tab/>
        </w:r>
        <w:r w:rsidR="00B80BC7" w:rsidRPr="00293F85">
          <w:rPr>
            <w:rStyle w:val="Hyperlink"/>
          </w:rPr>
          <w:t>Draft assessment framework</w:t>
        </w:r>
        <w:r w:rsidR="00B80BC7">
          <w:rPr>
            <w:webHidden/>
          </w:rPr>
          <w:tab/>
        </w:r>
        <w:r w:rsidR="00B80BC7">
          <w:rPr>
            <w:webHidden/>
          </w:rPr>
          <w:fldChar w:fldCharType="begin"/>
        </w:r>
        <w:r w:rsidR="00B80BC7">
          <w:rPr>
            <w:webHidden/>
          </w:rPr>
          <w:instrText xml:space="preserve"> PAGEREF _Toc460572244 \h </w:instrText>
        </w:r>
        <w:r w:rsidR="00B80BC7">
          <w:rPr>
            <w:webHidden/>
          </w:rPr>
        </w:r>
        <w:r w:rsidR="00B80BC7">
          <w:rPr>
            <w:webHidden/>
          </w:rPr>
          <w:fldChar w:fldCharType="separate"/>
        </w:r>
        <w:r w:rsidR="00B80BC7">
          <w:rPr>
            <w:webHidden/>
          </w:rPr>
          <w:t>xx</w:t>
        </w:r>
        <w:r w:rsidR="00B80BC7">
          <w:rPr>
            <w:webHidden/>
          </w:rPr>
          <w:fldChar w:fldCharType="end"/>
        </w:r>
      </w:hyperlink>
    </w:p>
    <w:p w:rsidR="00B80BC7" w:rsidRDefault="007B3D81">
      <w:pPr>
        <w:pStyle w:val="TableofFigures"/>
        <w:rPr>
          <w:rFonts w:asciiTheme="minorHAnsi" w:eastAsiaTheme="minorEastAsia" w:hAnsiTheme="minorHAnsi" w:cstheme="minorBidi"/>
          <w:szCs w:val="22"/>
          <w:lang w:val="en-AU" w:eastAsia="en-AU"/>
        </w:rPr>
      </w:pPr>
      <w:hyperlink w:anchor="_Toc460572245" w:history="1">
        <w:r w:rsidR="00B80BC7" w:rsidRPr="00293F85">
          <w:rPr>
            <w:rStyle w:val="Hyperlink"/>
          </w:rPr>
          <w:t>Table 1.1</w:t>
        </w:r>
        <w:r w:rsidR="00B80BC7">
          <w:rPr>
            <w:rFonts w:asciiTheme="minorHAnsi" w:eastAsiaTheme="minorEastAsia" w:hAnsiTheme="minorHAnsi" w:cstheme="minorBidi"/>
            <w:szCs w:val="22"/>
            <w:lang w:val="en-AU" w:eastAsia="en-AU"/>
          </w:rPr>
          <w:tab/>
        </w:r>
        <w:r w:rsidR="00B80BC7" w:rsidRPr="00293F85">
          <w:rPr>
            <w:rStyle w:val="Hyperlink"/>
          </w:rPr>
          <w:t>Issues paper proposed assessment framework</w:t>
        </w:r>
        <w:r w:rsidR="00B80BC7">
          <w:rPr>
            <w:webHidden/>
          </w:rPr>
          <w:tab/>
        </w:r>
        <w:r w:rsidR="00B80BC7">
          <w:rPr>
            <w:webHidden/>
          </w:rPr>
          <w:fldChar w:fldCharType="begin"/>
        </w:r>
        <w:r w:rsidR="00B80BC7">
          <w:rPr>
            <w:webHidden/>
          </w:rPr>
          <w:instrText xml:space="preserve"> PAGEREF _Toc460572245 \h </w:instrText>
        </w:r>
        <w:r w:rsidR="00B80BC7">
          <w:rPr>
            <w:webHidden/>
          </w:rPr>
        </w:r>
        <w:r w:rsidR="00B80BC7">
          <w:rPr>
            <w:webHidden/>
          </w:rPr>
          <w:fldChar w:fldCharType="separate"/>
        </w:r>
        <w:r w:rsidR="00B80BC7">
          <w:rPr>
            <w:webHidden/>
          </w:rPr>
          <w:t>2</w:t>
        </w:r>
        <w:r w:rsidR="00B80BC7">
          <w:rPr>
            <w:webHidden/>
          </w:rPr>
          <w:fldChar w:fldCharType="end"/>
        </w:r>
      </w:hyperlink>
    </w:p>
    <w:p w:rsidR="00B80BC7" w:rsidRDefault="007B3D81">
      <w:pPr>
        <w:pStyle w:val="TableofFigures"/>
        <w:rPr>
          <w:rFonts w:asciiTheme="minorHAnsi" w:eastAsiaTheme="minorEastAsia" w:hAnsiTheme="minorHAnsi" w:cstheme="minorBidi"/>
          <w:szCs w:val="22"/>
          <w:lang w:val="en-AU" w:eastAsia="en-AU"/>
        </w:rPr>
      </w:pPr>
      <w:hyperlink w:anchor="_Toc460572246" w:history="1">
        <w:r w:rsidR="00B80BC7" w:rsidRPr="00293F85">
          <w:rPr>
            <w:rStyle w:val="Hyperlink"/>
          </w:rPr>
          <w:t>Table 1.2</w:t>
        </w:r>
        <w:r w:rsidR="00B80BC7">
          <w:rPr>
            <w:rFonts w:asciiTheme="minorHAnsi" w:eastAsiaTheme="minorEastAsia" w:hAnsiTheme="minorHAnsi" w:cstheme="minorBidi"/>
            <w:szCs w:val="22"/>
            <w:lang w:val="en-AU" w:eastAsia="en-AU"/>
          </w:rPr>
          <w:tab/>
        </w:r>
        <w:r w:rsidR="00B80BC7" w:rsidRPr="00293F85">
          <w:rPr>
            <w:rStyle w:val="Hyperlink"/>
          </w:rPr>
          <w:t>Indicative timeline for the tariff review</w:t>
        </w:r>
        <w:r w:rsidR="00B80BC7">
          <w:rPr>
            <w:webHidden/>
          </w:rPr>
          <w:tab/>
        </w:r>
        <w:r w:rsidR="00B80BC7">
          <w:rPr>
            <w:webHidden/>
          </w:rPr>
          <w:fldChar w:fldCharType="begin"/>
        </w:r>
        <w:r w:rsidR="00B80BC7">
          <w:rPr>
            <w:webHidden/>
          </w:rPr>
          <w:instrText xml:space="preserve"> PAGEREF _Toc460572246 \h </w:instrText>
        </w:r>
        <w:r w:rsidR="00B80BC7">
          <w:rPr>
            <w:webHidden/>
          </w:rPr>
        </w:r>
        <w:r w:rsidR="00B80BC7">
          <w:rPr>
            <w:webHidden/>
          </w:rPr>
          <w:fldChar w:fldCharType="separate"/>
        </w:r>
        <w:r w:rsidR="00B80BC7">
          <w:rPr>
            <w:webHidden/>
          </w:rPr>
          <w:t>6</w:t>
        </w:r>
        <w:r w:rsidR="00B80BC7">
          <w:rPr>
            <w:webHidden/>
          </w:rPr>
          <w:fldChar w:fldCharType="end"/>
        </w:r>
      </w:hyperlink>
    </w:p>
    <w:p w:rsidR="00B80BC7" w:rsidRDefault="007B3D81">
      <w:pPr>
        <w:pStyle w:val="TableofFigures"/>
        <w:rPr>
          <w:rFonts w:asciiTheme="minorHAnsi" w:eastAsiaTheme="minorEastAsia" w:hAnsiTheme="minorHAnsi" w:cstheme="minorBidi"/>
          <w:szCs w:val="22"/>
          <w:lang w:val="en-AU" w:eastAsia="en-AU"/>
        </w:rPr>
      </w:pPr>
      <w:hyperlink w:anchor="_Toc460572247" w:history="1">
        <w:r w:rsidR="00B80BC7" w:rsidRPr="00293F85">
          <w:rPr>
            <w:rStyle w:val="Hyperlink"/>
          </w:rPr>
          <w:t>Table 2.1</w:t>
        </w:r>
        <w:r w:rsidR="00B80BC7">
          <w:rPr>
            <w:rFonts w:asciiTheme="minorHAnsi" w:eastAsiaTheme="minorEastAsia" w:hAnsiTheme="minorHAnsi" w:cstheme="minorBidi"/>
            <w:szCs w:val="22"/>
            <w:lang w:val="en-AU" w:eastAsia="en-AU"/>
          </w:rPr>
          <w:tab/>
        </w:r>
        <w:r w:rsidR="00B80BC7" w:rsidRPr="00293F85">
          <w:rPr>
            <w:rStyle w:val="Hyperlink"/>
          </w:rPr>
          <w:t>Draft assessment framework</w:t>
        </w:r>
        <w:r w:rsidR="00B80BC7">
          <w:rPr>
            <w:webHidden/>
          </w:rPr>
          <w:tab/>
        </w:r>
        <w:r w:rsidR="00B80BC7">
          <w:rPr>
            <w:webHidden/>
          </w:rPr>
          <w:fldChar w:fldCharType="begin"/>
        </w:r>
        <w:r w:rsidR="00B80BC7">
          <w:rPr>
            <w:webHidden/>
          </w:rPr>
          <w:instrText xml:space="preserve"> PAGEREF _Toc460572247 \h </w:instrText>
        </w:r>
        <w:r w:rsidR="00B80BC7">
          <w:rPr>
            <w:webHidden/>
          </w:rPr>
        </w:r>
        <w:r w:rsidR="00B80BC7">
          <w:rPr>
            <w:webHidden/>
          </w:rPr>
          <w:fldChar w:fldCharType="separate"/>
        </w:r>
        <w:r w:rsidR="00B80BC7">
          <w:rPr>
            <w:webHidden/>
          </w:rPr>
          <w:t>14</w:t>
        </w:r>
        <w:r w:rsidR="00B80BC7">
          <w:rPr>
            <w:webHidden/>
          </w:rPr>
          <w:fldChar w:fldCharType="end"/>
        </w:r>
      </w:hyperlink>
    </w:p>
    <w:p w:rsidR="00B80BC7" w:rsidRDefault="007B3D81">
      <w:pPr>
        <w:pStyle w:val="TableofFigures"/>
        <w:rPr>
          <w:rFonts w:asciiTheme="minorHAnsi" w:eastAsiaTheme="minorEastAsia" w:hAnsiTheme="minorHAnsi" w:cstheme="minorBidi"/>
          <w:szCs w:val="22"/>
          <w:lang w:val="en-AU" w:eastAsia="en-AU"/>
        </w:rPr>
      </w:pPr>
      <w:hyperlink w:anchor="_Toc460572248" w:history="1">
        <w:r w:rsidR="00B80BC7" w:rsidRPr="00293F85">
          <w:rPr>
            <w:rStyle w:val="Hyperlink"/>
          </w:rPr>
          <w:t>Table 3.1</w:t>
        </w:r>
        <w:r w:rsidR="00B80BC7">
          <w:rPr>
            <w:rFonts w:asciiTheme="minorHAnsi" w:eastAsiaTheme="minorEastAsia" w:hAnsiTheme="minorHAnsi" w:cstheme="minorBidi"/>
            <w:szCs w:val="22"/>
            <w:lang w:val="en-AU" w:eastAsia="en-AU"/>
          </w:rPr>
          <w:tab/>
        </w:r>
        <w:r w:rsidR="00B80BC7" w:rsidRPr="00293F85">
          <w:rPr>
            <w:rStyle w:val="Hyperlink"/>
          </w:rPr>
          <w:t>Summary assessment of the current water tariff structure</w:t>
        </w:r>
        <w:r w:rsidR="00B80BC7">
          <w:rPr>
            <w:webHidden/>
          </w:rPr>
          <w:tab/>
        </w:r>
        <w:r w:rsidR="00B80BC7">
          <w:rPr>
            <w:webHidden/>
          </w:rPr>
          <w:fldChar w:fldCharType="begin"/>
        </w:r>
        <w:r w:rsidR="00B80BC7">
          <w:rPr>
            <w:webHidden/>
          </w:rPr>
          <w:instrText xml:space="preserve"> PAGEREF _Toc460572248 \h </w:instrText>
        </w:r>
        <w:r w:rsidR="00B80BC7">
          <w:rPr>
            <w:webHidden/>
          </w:rPr>
        </w:r>
        <w:r w:rsidR="00B80BC7">
          <w:rPr>
            <w:webHidden/>
          </w:rPr>
          <w:fldChar w:fldCharType="separate"/>
        </w:r>
        <w:r w:rsidR="00B80BC7">
          <w:rPr>
            <w:webHidden/>
          </w:rPr>
          <w:t>21</w:t>
        </w:r>
        <w:r w:rsidR="00B80BC7">
          <w:rPr>
            <w:webHidden/>
          </w:rPr>
          <w:fldChar w:fldCharType="end"/>
        </w:r>
      </w:hyperlink>
    </w:p>
    <w:p w:rsidR="00B80BC7" w:rsidRDefault="007B3D81">
      <w:pPr>
        <w:pStyle w:val="TableofFigures"/>
        <w:rPr>
          <w:rFonts w:asciiTheme="minorHAnsi" w:eastAsiaTheme="minorEastAsia" w:hAnsiTheme="minorHAnsi" w:cstheme="minorBidi"/>
          <w:szCs w:val="22"/>
          <w:lang w:val="en-AU" w:eastAsia="en-AU"/>
        </w:rPr>
      </w:pPr>
      <w:hyperlink w:anchor="_Toc460572249" w:history="1">
        <w:r w:rsidR="00B80BC7" w:rsidRPr="00293F85">
          <w:rPr>
            <w:rStyle w:val="Hyperlink"/>
          </w:rPr>
          <w:t>Table 3.2</w:t>
        </w:r>
        <w:r w:rsidR="00B80BC7">
          <w:rPr>
            <w:rFonts w:asciiTheme="minorHAnsi" w:eastAsiaTheme="minorEastAsia" w:hAnsiTheme="minorHAnsi" w:cstheme="minorBidi"/>
            <w:szCs w:val="22"/>
            <w:lang w:val="en-AU" w:eastAsia="en-AU"/>
          </w:rPr>
          <w:tab/>
        </w:r>
        <w:r w:rsidR="00B80BC7" w:rsidRPr="00293F85">
          <w:rPr>
            <w:rStyle w:val="Hyperlink"/>
          </w:rPr>
          <w:t>Summary assessment of the alternative water tariff structure</w:t>
        </w:r>
        <w:r w:rsidR="00B80BC7">
          <w:rPr>
            <w:webHidden/>
          </w:rPr>
          <w:tab/>
        </w:r>
        <w:r w:rsidR="00B80BC7">
          <w:rPr>
            <w:webHidden/>
          </w:rPr>
          <w:fldChar w:fldCharType="begin"/>
        </w:r>
        <w:r w:rsidR="00B80BC7">
          <w:rPr>
            <w:webHidden/>
          </w:rPr>
          <w:instrText xml:space="preserve"> PAGEREF _Toc460572249 \h </w:instrText>
        </w:r>
        <w:r w:rsidR="00B80BC7">
          <w:rPr>
            <w:webHidden/>
          </w:rPr>
        </w:r>
        <w:r w:rsidR="00B80BC7">
          <w:rPr>
            <w:webHidden/>
          </w:rPr>
          <w:fldChar w:fldCharType="separate"/>
        </w:r>
        <w:r w:rsidR="00B80BC7">
          <w:rPr>
            <w:webHidden/>
          </w:rPr>
          <w:t>26</w:t>
        </w:r>
        <w:r w:rsidR="00B80BC7">
          <w:rPr>
            <w:webHidden/>
          </w:rPr>
          <w:fldChar w:fldCharType="end"/>
        </w:r>
      </w:hyperlink>
    </w:p>
    <w:p w:rsidR="00B80BC7" w:rsidRDefault="007B3D81">
      <w:pPr>
        <w:pStyle w:val="TableofFigures"/>
        <w:rPr>
          <w:rFonts w:asciiTheme="minorHAnsi" w:eastAsiaTheme="minorEastAsia" w:hAnsiTheme="minorHAnsi" w:cstheme="minorBidi"/>
          <w:szCs w:val="22"/>
          <w:lang w:val="en-AU" w:eastAsia="en-AU"/>
        </w:rPr>
      </w:pPr>
      <w:hyperlink w:anchor="_Toc460572250" w:history="1">
        <w:r w:rsidR="00B80BC7" w:rsidRPr="00293F85">
          <w:rPr>
            <w:rStyle w:val="Hyperlink"/>
          </w:rPr>
          <w:t>Table 3.3</w:t>
        </w:r>
        <w:r w:rsidR="00B80BC7">
          <w:rPr>
            <w:rFonts w:asciiTheme="minorHAnsi" w:eastAsiaTheme="minorEastAsia" w:hAnsiTheme="minorHAnsi" w:cstheme="minorBidi"/>
            <w:szCs w:val="22"/>
            <w:lang w:val="en-AU" w:eastAsia="en-AU"/>
          </w:rPr>
          <w:tab/>
        </w:r>
        <w:r w:rsidR="00B80BC7" w:rsidRPr="00293F85">
          <w:rPr>
            <w:rStyle w:val="Hyperlink"/>
          </w:rPr>
          <w:t>Price elasticities of demand for water in the ACT, 1999 to 2015</w:t>
        </w:r>
        <w:r w:rsidR="00B80BC7">
          <w:rPr>
            <w:webHidden/>
          </w:rPr>
          <w:tab/>
        </w:r>
        <w:r w:rsidR="00B80BC7">
          <w:rPr>
            <w:webHidden/>
          </w:rPr>
          <w:fldChar w:fldCharType="begin"/>
        </w:r>
        <w:r w:rsidR="00B80BC7">
          <w:rPr>
            <w:webHidden/>
          </w:rPr>
          <w:instrText xml:space="preserve"> PAGEREF _Toc460572250 \h </w:instrText>
        </w:r>
        <w:r w:rsidR="00B80BC7">
          <w:rPr>
            <w:webHidden/>
          </w:rPr>
        </w:r>
        <w:r w:rsidR="00B80BC7">
          <w:rPr>
            <w:webHidden/>
          </w:rPr>
          <w:fldChar w:fldCharType="separate"/>
        </w:r>
        <w:r w:rsidR="00B80BC7">
          <w:rPr>
            <w:webHidden/>
          </w:rPr>
          <w:t>36</w:t>
        </w:r>
        <w:r w:rsidR="00B80BC7">
          <w:rPr>
            <w:webHidden/>
          </w:rPr>
          <w:fldChar w:fldCharType="end"/>
        </w:r>
      </w:hyperlink>
    </w:p>
    <w:p w:rsidR="00B80BC7" w:rsidRDefault="007B3D81">
      <w:pPr>
        <w:pStyle w:val="TableofFigures"/>
        <w:rPr>
          <w:rFonts w:asciiTheme="minorHAnsi" w:eastAsiaTheme="minorEastAsia" w:hAnsiTheme="minorHAnsi" w:cstheme="minorBidi"/>
          <w:szCs w:val="22"/>
          <w:lang w:val="en-AU" w:eastAsia="en-AU"/>
        </w:rPr>
      </w:pPr>
      <w:hyperlink w:anchor="_Toc460572251" w:history="1">
        <w:r w:rsidR="00B80BC7" w:rsidRPr="00293F85">
          <w:rPr>
            <w:rStyle w:val="Hyperlink"/>
          </w:rPr>
          <w:t>Table 4.1</w:t>
        </w:r>
        <w:r w:rsidR="00B80BC7">
          <w:rPr>
            <w:rFonts w:asciiTheme="minorHAnsi" w:eastAsiaTheme="minorEastAsia" w:hAnsiTheme="minorHAnsi" w:cstheme="minorBidi"/>
            <w:szCs w:val="22"/>
            <w:lang w:val="en-AU" w:eastAsia="en-AU"/>
          </w:rPr>
          <w:tab/>
        </w:r>
        <w:r w:rsidR="00B80BC7" w:rsidRPr="00293F85">
          <w:rPr>
            <w:rStyle w:val="Hyperlink"/>
          </w:rPr>
          <w:t>Summary assessment of current sewerage services tariff structure</w:t>
        </w:r>
        <w:r w:rsidR="00B80BC7">
          <w:rPr>
            <w:webHidden/>
          </w:rPr>
          <w:tab/>
        </w:r>
        <w:r w:rsidR="00B80BC7">
          <w:rPr>
            <w:webHidden/>
          </w:rPr>
          <w:fldChar w:fldCharType="begin"/>
        </w:r>
        <w:r w:rsidR="00B80BC7">
          <w:rPr>
            <w:webHidden/>
          </w:rPr>
          <w:instrText xml:space="preserve"> PAGEREF _Toc460572251 \h </w:instrText>
        </w:r>
        <w:r w:rsidR="00B80BC7">
          <w:rPr>
            <w:webHidden/>
          </w:rPr>
        </w:r>
        <w:r w:rsidR="00B80BC7">
          <w:rPr>
            <w:webHidden/>
          </w:rPr>
          <w:fldChar w:fldCharType="separate"/>
        </w:r>
        <w:r w:rsidR="00B80BC7">
          <w:rPr>
            <w:webHidden/>
          </w:rPr>
          <w:t>46</w:t>
        </w:r>
        <w:r w:rsidR="00B80BC7">
          <w:rPr>
            <w:webHidden/>
          </w:rPr>
          <w:fldChar w:fldCharType="end"/>
        </w:r>
      </w:hyperlink>
    </w:p>
    <w:p w:rsidR="00B80BC7" w:rsidRDefault="007B3D81">
      <w:pPr>
        <w:pStyle w:val="TableofFigures"/>
        <w:rPr>
          <w:rFonts w:asciiTheme="minorHAnsi" w:eastAsiaTheme="minorEastAsia" w:hAnsiTheme="minorHAnsi" w:cstheme="minorBidi"/>
          <w:szCs w:val="22"/>
          <w:lang w:val="en-AU" w:eastAsia="en-AU"/>
        </w:rPr>
      </w:pPr>
      <w:hyperlink w:anchor="_Toc460572252" w:history="1">
        <w:r w:rsidR="00B80BC7" w:rsidRPr="00293F85">
          <w:rPr>
            <w:rStyle w:val="Hyperlink"/>
          </w:rPr>
          <w:t>Table 4.2</w:t>
        </w:r>
        <w:r w:rsidR="00B80BC7">
          <w:rPr>
            <w:rFonts w:asciiTheme="minorHAnsi" w:eastAsiaTheme="minorEastAsia" w:hAnsiTheme="minorHAnsi" w:cstheme="minorBidi"/>
            <w:szCs w:val="22"/>
            <w:lang w:val="en-AU" w:eastAsia="en-AU"/>
          </w:rPr>
          <w:tab/>
        </w:r>
        <w:r w:rsidR="00B80BC7" w:rsidRPr="00293F85">
          <w:rPr>
            <w:rStyle w:val="Hyperlink"/>
          </w:rPr>
          <w:t>Summary assessment of the alternative sewerage services tariff structure</w:t>
        </w:r>
        <w:r w:rsidR="00B80BC7">
          <w:rPr>
            <w:webHidden/>
          </w:rPr>
          <w:tab/>
        </w:r>
        <w:r w:rsidR="00B80BC7">
          <w:rPr>
            <w:webHidden/>
          </w:rPr>
          <w:fldChar w:fldCharType="begin"/>
        </w:r>
        <w:r w:rsidR="00B80BC7">
          <w:rPr>
            <w:webHidden/>
          </w:rPr>
          <w:instrText xml:space="preserve"> PAGEREF _Toc460572252 \h </w:instrText>
        </w:r>
        <w:r w:rsidR="00B80BC7">
          <w:rPr>
            <w:webHidden/>
          </w:rPr>
        </w:r>
        <w:r w:rsidR="00B80BC7">
          <w:rPr>
            <w:webHidden/>
          </w:rPr>
          <w:fldChar w:fldCharType="separate"/>
        </w:r>
        <w:r w:rsidR="00B80BC7">
          <w:rPr>
            <w:webHidden/>
          </w:rPr>
          <w:t>49</w:t>
        </w:r>
        <w:r w:rsidR="00B80BC7">
          <w:rPr>
            <w:webHidden/>
          </w:rPr>
          <w:fldChar w:fldCharType="end"/>
        </w:r>
      </w:hyperlink>
    </w:p>
    <w:p w:rsidR="00B80BC7" w:rsidRDefault="007B3D81">
      <w:pPr>
        <w:pStyle w:val="TableofFigures"/>
        <w:rPr>
          <w:rFonts w:asciiTheme="minorHAnsi" w:eastAsiaTheme="minorEastAsia" w:hAnsiTheme="minorHAnsi" w:cstheme="minorBidi"/>
          <w:szCs w:val="22"/>
          <w:lang w:val="en-AU" w:eastAsia="en-AU"/>
        </w:rPr>
      </w:pPr>
      <w:hyperlink w:anchor="_Toc460572253" w:history="1">
        <w:r w:rsidR="00B80BC7" w:rsidRPr="00293F85">
          <w:rPr>
            <w:rStyle w:val="Hyperlink"/>
          </w:rPr>
          <w:t>Table 5.1</w:t>
        </w:r>
        <w:r w:rsidR="00B80BC7">
          <w:rPr>
            <w:rFonts w:asciiTheme="minorHAnsi" w:eastAsiaTheme="minorEastAsia" w:hAnsiTheme="minorHAnsi" w:cstheme="minorBidi"/>
            <w:szCs w:val="22"/>
            <w:lang w:val="en-AU" w:eastAsia="en-AU"/>
          </w:rPr>
          <w:tab/>
        </w:r>
        <w:r w:rsidR="00B80BC7" w:rsidRPr="00293F85">
          <w:rPr>
            <w:rStyle w:val="Hyperlink"/>
          </w:rPr>
          <w:t>Current and indicative alternative water tariffs</w:t>
        </w:r>
        <w:r w:rsidR="00B80BC7">
          <w:rPr>
            <w:webHidden/>
          </w:rPr>
          <w:tab/>
        </w:r>
        <w:r w:rsidR="00B80BC7">
          <w:rPr>
            <w:webHidden/>
          </w:rPr>
          <w:fldChar w:fldCharType="begin"/>
        </w:r>
        <w:r w:rsidR="00B80BC7">
          <w:rPr>
            <w:webHidden/>
          </w:rPr>
          <w:instrText xml:space="preserve"> PAGEREF _Toc460572253 \h </w:instrText>
        </w:r>
        <w:r w:rsidR="00B80BC7">
          <w:rPr>
            <w:webHidden/>
          </w:rPr>
        </w:r>
        <w:r w:rsidR="00B80BC7">
          <w:rPr>
            <w:webHidden/>
          </w:rPr>
          <w:fldChar w:fldCharType="separate"/>
        </w:r>
        <w:r w:rsidR="00B80BC7">
          <w:rPr>
            <w:webHidden/>
          </w:rPr>
          <w:t>56</w:t>
        </w:r>
        <w:r w:rsidR="00B80BC7">
          <w:rPr>
            <w:webHidden/>
          </w:rPr>
          <w:fldChar w:fldCharType="end"/>
        </w:r>
      </w:hyperlink>
    </w:p>
    <w:p w:rsidR="00B80BC7" w:rsidRDefault="007B3D81">
      <w:pPr>
        <w:pStyle w:val="TableofFigures"/>
        <w:rPr>
          <w:rFonts w:asciiTheme="minorHAnsi" w:eastAsiaTheme="minorEastAsia" w:hAnsiTheme="minorHAnsi" w:cstheme="minorBidi"/>
          <w:szCs w:val="22"/>
          <w:lang w:val="en-AU" w:eastAsia="en-AU"/>
        </w:rPr>
      </w:pPr>
      <w:hyperlink w:anchor="_Toc460572254" w:history="1">
        <w:r w:rsidR="00B80BC7" w:rsidRPr="00293F85">
          <w:rPr>
            <w:rStyle w:val="Hyperlink"/>
          </w:rPr>
          <w:t>Table 5.2</w:t>
        </w:r>
        <w:r w:rsidR="00B80BC7">
          <w:rPr>
            <w:rFonts w:asciiTheme="minorHAnsi" w:eastAsiaTheme="minorEastAsia" w:hAnsiTheme="minorHAnsi" w:cstheme="minorBidi"/>
            <w:szCs w:val="22"/>
            <w:lang w:val="en-AU" w:eastAsia="en-AU"/>
          </w:rPr>
          <w:tab/>
        </w:r>
        <w:r w:rsidR="00B80BC7" w:rsidRPr="00293F85">
          <w:rPr>
            <w:rStyle w:val="Hyperlink"/>
          </w:rPr>
          <w:t>Change in annual water charges for residential customers ($, current prices)</w:t>
        </w:r>
        <w:r w:rsidR="00B80BC7">
          <w:rPr>
            <w:webHidden/>
          </w:rPr>
          <w:tab/>
        </w:r>
        <w:r w:rsidR="00B80BC7">
          <w:rPr>
            <w:webHidden/>
          </w:rPr>
          <w:fldChar w:fldCharType="begin"/>
        </w:r>
        <w:r w:rsidR="00B80BC7">
          <w:rPr>
            <w:webHidden/>
          </w:rPr>
          <w:instrText xml:space="preserve"> PAGEREF _Toc460572254 \h </w:instrText>
        </w:r>
        <w:r w:rsidR="00B80BC7">
          <w:rPr>
            <w:webHidden/>
          </w:rPr>
        </w:r>
        <w:r w:rsidR="00B80BC7">
          <w:rPr>
            <w:webHidden/>
          </w:rPr>
          <w:fldChar w:fldCharType="separate"/>
        </w:r>
        <w:r w:rsidR="00B80BC7">
          <w:rPr>
            <w:webHidden/>
          </w:rPr>
          <w:t>59</w:t>
        </w:r>
        <w:r w:rsidR="00B80BC7">
          <w:rPr>
            <w:webHidden/>
          </w:rPr>
          <w:fldChar w:fldCharType="end"/>
        </w:r>
      </w:hyperlink>
    </w:p>
    <w:p w:rsidR="00B80BC7" w:rsidRDefault="007B3D81">
      <w:pPr>
        <w:pStyle w:val="TableofFigures"/>
        <w:rPr>
          <w:rFonts w:asciiTheme="minorHAnsi" w:eastAsiaTheme="minorEastAsia" w:hAnsiTheme="minorHAnsi" w:cstheme="minorBidi"/>
          <w:szCs w:val="22"/>
          <w:lang w:val="en-AU" w:eastAsia="en-AU"/>
        </w:rPr>
      </w:pPr>
      <w:hyperlink w:anchor="_Toc460572255" w:history="1">
        <w:r w:rsidR="00B80BC7" w:rsidRPr="00293F85">
          <w:rPr>
            <w:rStyle w:val="Hyperlink"/>
          </w:rPr>
          <w:t>Table 5.3</w:t>
        </w:r>
        <w:r w:rsidR="00B80BC7">
          <w:rPr>
            <w:rFonts w:asciiTheme="minorHAnsi" w:eastAsiaTheme="minorEastAsia" w:hAnsiTheme="minorHAnsi" w:cstheme="minorBidi"/>
            <w:szCs w:val="22"/>
            <w:lang w:val="en-AU" w:eastAsia="en-AU"/>
          </w:rPr>
          <w:tab/>
        </w:r>
        <w:r w:rsidR="00B80BC7" w:rsidRPr="00293F85">
          <w:rPr>
            <w:rStyle w:val="Hyperlink"/>
          </w:rPr>
          <w:t>Change in annual combined water and sewerage services bill for residential customers ($, current prices)</w:t>
        </w:r>
        <w:r w:rsidR="00B80BC7">
          <w:rPr>
            <w:webHidden/>
          </w:rPr>
          <w:tab/>
        </w:r>
        <w:r w:rsidR="00B80BC7">
          <w:rPr>
            <w:webHidden/>
          </w:rPr>
          <w:fldChar w:fldCharType="begin"/>
        </w:r>
        <w:r w:rsidR="00B80BC7">
          <w:rPr>
            <w:webHidden/>
          </w:rPr>
          <w:instrText xml:space="preserve"> PAGEREF _Toc460572255 \h </w:instrText>
        </w:r>
        <w:r w:rsidR="00B80BC7">
          <w:rPr>
            <w:webHidden/>
          </w:rPr>
        </w:r>
        <w:r w:rsidR="00B80BC7">
          <w:rPr>
            <w:webHidden/>
          </w:rPr>
          <w:fldChar w:fldCharType="separate"/>
        </w:r>
        <w:r w:rsidR="00B80BC7">
          <w:rPr>
            <w:webHidden/>
          </w:rPr>
          <w:t>60</w:t>
        </w:r>
        <w:r w:rsidR="00B80BC7">
          <w:rPr>
            <w:webHidden/>
          </w:rPr>
          <w:fldChar w:fldCharType="end"/>
        </w:r>
      </w:hyperlink>
    </w:p>
    <w:p w:rsidR="00B80BC7" w:rsidRDefault="007B3D81">
      <w:pPr>
        <w:pStyle w:val="TableofFigures"/>
        <w:rPr>
          <w:rFonts w:asciiTheme="minorHAnsi" w:eastAsiaTheme="minorEastAsia" w:hAnsiTheme="minorHAnsi" w:cstheme="minorBidi"/>
          <w:szCs w:val="22"/>
          <w:lang w:val="en-AU" w:eastAsia="en-AU"/>
        </w:rPr>
      </w:pPr>
      <w:hyperlink w:anchor="_Toc460572256" w:history="1">
        <w:r w:rsidR="00B80BC7" w:rsidRPr="00293F85">
          <w:rPr>
            <w:rStyle w:val="Hyperlink"/>
          </w:rPr>
          <w:t>Table 5.4</w:t>
        </w:r>
        <w:r w:rsidR="00B80BC7">
          <w:rPr>
            <w:rFonts w:asciiTheme="minorHAnsi" w:eastAsiaTheme="minorEastAsia" w:hAnsiTheme="minorHAnsi" w:cstheme="minorBidi"/>
            <w:szCs w:val="22"/>
            <w:lang w:val="en-AU" w:eastAsia="en-AU"/>
          </w:rPr>
          <w:tab/>
        </w:r>
        <w:r w:rsidR="00B80BC7" w:rsidRPr="00293F85">
          <w:rPr>
            <w:rStyle w:val="Hyperlink"/>
          </w:rPr>
          <w:t>Change in annual water charges for commercial customers ($, current prices)</w:t>
        </w:r>
        <w:r w:rsidR="00B80BC7">
          <w:rPr>
            <w:webHidden/>
          </w:rPr>
          <w:tab/>
        </w:r>
        <w:r w:rsidR="00B80BC7">
          <w:rPr>
            <w:webHidden/>
          </w:rPr>
          <w:fldChar w:fldCharType="begin"/>
        </w:r>
        <w:r w:rsidR="00B80BC7">
          <w:rPr>
            <w:webHidden/>
          </w:rPr>
          <w:instrText xml:space="preserve"> PAGEREF _Toc460572256 \h </w:instrText>
        </w:r>
        <w:r w:rsidR="00B80BC7">
          <w:rPr>
            <w:webHidden/>
          </w:rPr>
        </w:r>
        <w:r w:rsidR="00B80BC7">
          <w:rPr>
            <w:webHidden/>
          </w:rPr>
          <w:fldChar w:fldCharType="separate"/>
        </w:r>
        <w:r w:rsidR="00B80BC7">
          <w:rPr>
            <w:webHidden/>
          </w:rPr>
          <w:t>61</w:t>
        </w:r>
        <w:r w:rsidR="00B80BC7">
          <w:rPr>
            <w:webHidden/>
          </w:rPr>
          <w:fldChar w:fldCharType="end"/>
        </w:r>
      </w:hyperlink>
    </w:p>
    <w:p w:rsidR="00B80BC7" w:rsidRDefault="007B3D81">
      <w:pPr>
        <w:pStyle w:val="TableofFigures"/>
        <w:rPr>
          <w:rFonts w:asciiTheme="minorHAnsi" w:eastAsiaTheme="minorEastAsia" w:hAnsiTheme="minorHAnsi" w:cstheme="minorBidi"/>
          <w:szCs w:val="22"/>
          <w:lang w:val="en-AU" w:eastAsia="en-AU"/>
        </w:rPr>
      </w:pPr>
      <w:hyperlink w:anchor="_Toc460572257" w:history="1">
        <w:r w:rsidR="00B80BC7" w:rsidRPr="00293F85">
          <w:rPr>
            <w:rStyle w:val="Hyperlink"/>
          </w:rPr>
          <w:t>Table 5.5</w:t>
        </w:r>
        <w:r w:rsidR="00B80BC7">
          <w:rPr>
            <w:rFonts w:asciiTheme="minorHAnsi" w:eastAsiaTheme="minorEastAsia" w:hAnsiTheme="minorHAnsi" w:cstheme="minorBidi"/>
            <w:szCs w:val="22"/>
            <w:lang w:val="en-AU" w:eastAsia="en-AU"/>
          </w:rPr>
          <w:tab/>
        </w:r>
        <w:r w:rsidR="00B80BC7" w:rsidRPr="00293F85">
          <w:rPr>
            <w:rStyle w:val="Hyperlink"/>
          </w:rPr>
          <w:t>Change in annual combined water and sewerage services bill for commercial customers ($, current prices)</w:t>
        </w:r>
        <w:r w:rsidR="00B80BC7">
          <w:rPr>
            <w:webHidden/>
          </w:rPr>
          <w:tab/>
        </w:r>
        <w:r w:rsidR="00B80BC7">
          <w:rPr>
            <w:webHidden/>
          </w:rPr>
          <w:fldChar w:fldCharType="begin"/>
        </w:r>
        <w:r w:rsidR="00B80BC7">
          <w:rPr>
            <w:webHidden/>
          </w:rPr>
          <w:instrText xml:space="preserve"> PAGEREF _Toc460572257 \h </w:instrText>
        </w:r>
        <w:r w:rsidR="00B80BC7">
          <w:rPr>
            <w:webHidden/>
          </w:rPr>
        </w:r>
        <w:r w:rsidR="00B80BC7">
          <w:rPr>
            <w:webHidden/>
          </w:rPr>
          <w:fldChar w:fldCharType="separate"/>
        </w:r>
        <w:r w:rsidR="00B80BC7">
          <w:rPr>
            <w:webHidden/>
          </w:rPr>
          <w:t>62</w:t>
        </w:r>
        <w:r w:rsidR="00B80BC7">
          <w:rPr>
            <w:webHidden/>
          </w:rPr>
          <w:fldChar w:fldCharType="end"/>
        </w:r>
      </w:hyperlink>
    </w:p>
    <w:p w:rsidR="00B80BC7" w:rsidRDefault="007B3D81">
      <w:pPr>
        <w:pStyle w:val="TableofFigures"/>
        <w:rPr>
          <w:rFonts w:asciiTheme="minorHAnsi" w:eastAsiaTheme="minorEastAsia" w:hAnsiTheme="minorHAnsi" w:cstheme="minorBidi"/>
          <w:szCs w:val="22"/>
          <w:lang w:val="en-AU" w:eastAsia="en-AU"/>
        </w:rPr>
      </w:pPr>
      <w:hyperlink w:anchor="_Toc460572258" w:history="1">
        <w:r w:rsidR="00B80BC7" w:rsidRPr="00293F85">
          <w:rPr>
            <w:rStyle w:val="Hyperlink"/>
          </w:rPr>
          <w:t>Table 5.6</w:t>
        </w:r>
        <w:r w:rsidR="00B80BC7">
          <w:rPr>
            <w:rFonts w:asciiTheme="minorHAnsi" w:eastAsiaTheme="minorEastAsia" w:hAnsiTheme="minorHAnsi" w:cstheme="minorBidi"/>
            <w:szCs w:val="22"/>
            <w:lang w:val="en-AU" w:eastAsia="en-AU"/>
          </w:rPr>
          <w:tab/>
        </w:r>
        <w:r w:rsidR="00B80BC7" w:rsidRPr="00293F85">
          <w:rPr>
            <w:rStyle w:val="Hyperlink"/>
          </w:rPr>
          <w:t>Indicative timeline for the tariff review</w:t>
        </w:r>
        <w:r w:rsidR="00B80BC7">
          <w:rPr>
            <w:webHidden/>
          </w:rPr>
          <w:tab/>
        </w:r>
        <w:r w:rsidR="00B80BC7">
          <w:rPr>
            <w:webHidden/>
          </w:rPr>
          <w:fldChar w:fldCharType="begin"/>
        </w:r>
        <w:r w:rsidR="00B80BC7">
          <w:rPr>
            <w:webHidden/>
          </w:rPr>
          <w:instrText xml:space="preserve"> PAGEREF _Toc460572258 \h </w:instrText>
        </w:r>
        <w:r w:rsidR="00B80BC7">
          <w:rPr>
            <w:webHidden/>
          </w:rPr>
        </w:r>
        <w:r w:rsidR="00B80BC7">
          <w:rPr>
            <w:webHidden/>
          </w:rPr>
          <w:fldChar w:fldCharType="separate"/>
        </w:r>
        <w:r w:rsidR="00B80BC7">
          <w:rPr>
            <w:webHidden/>
          </w:rPr>
          <w:t>64</w:t>
        </w:r>
        <w:r w:rsidR="00B80BC7">
          <w:rPr>
            <w:webHidden/>
          </w:rPr>
          <w:fldChar w:fldCharType="end"/>
        </w:r>
      </w:hyperlink>
    </w:p>
    <w:p w:rsidR="00B80BC7" w:rsidRDefault="007B3D81">
      <w:pPr>
        <w:pStyle w:val="TableofFigures"/>
        <w:rPr>
          <w:rFonts w:asciiTheme="minorHAnsi" w:eastAsiaTheme="minorEastAsia" w:hAnsiTheme="minorHAnsi" w:cstheme="minorBidi"/>
          <w:szCs w:val="22"/>
          <w:lang w:val="en-AU" w:eastAsia="en-AU"/>
        </w:rPr>
      </w:pPr>
      <w:hyperlink w:anchor="_Toc460572259" w:history="1">
        <w:r w:rsidR="00B80BC7" w:rsidRPr="00293F85">
          <w:rPr>
            <w:rStyle w:val="Hyperlink"/>
          </w:rPr>
          <w:t>Table A3.7</w:t>
        </w:r>
        <w:r w:rsidR="00B80BC7">
          <w:rPr>
            <w:rFonts w:asciiTheme="minorHAnsi" w:eastAsiaTheme="minorEastAsia" w:hAnsiTheme="minorHAnsi" w:cstheme="minorBidi"/>
            <w:szCs w:val="22"/>
            <w:lang w:val="en-AU" w:eastAsia="en-AU"/>
          </w:rPr>
          <w:tab/>
        </w:r>
        <w:r w:rsidR="00B80BC7" w:rsidRPr="00293F85">
          <w:rPr>
            <w:rStyle w:val="Hyperlink"/>
          </w:rPr>
          <w:t>Water tariffs in various jurisdictions, 2016–17</w:t>
        </w:r>
        <w:r w:rsidR="00B80BC7">
          <w:rPr>
            <w:webHidden/>
          </w:rPr>
          <w:tab/>
        </w:r>
        <w:r w:rsidR="00B80BC7">
          <w:rPr>
            <w:webHidden/>
          </w:rPr>
          <w:fldChar w:fldCharType="begin"/>
        </w:r>
        <w:r w:rsidR="00B80BC7">
          <w:rPr>
            <w:webHidden/>
          </w:rPr>
          <w:instrText xml:space="preserve"> PAGEREF _Toc460572259 \h </w:instrText>
        </w:r>
        <w:r w:rsidR="00B80BC7">
          <w:rPr>
            <w:webHidden/>
          </w:rPr>
        </w:r>
        <w:r w:rsidR="00B80BC7">
          <w:rPr>
            <w:webHidden/>
          </w:rPr>
          <w:fldChar w:fldCharType="separate"/>
        </w:r>
        <w:r w:rsidR="00B80BC7">
          <w:rPr>
            <w:webHidden/>
          </w:rPr>
          <w:t>73</w:t>
        </w:r>
        <w:r w:rsidR="00B80BC7">
          <w:rPr>
            <w:webHidden/>
          </w:rPr>
          <w:fldChar w:fldCharType="end"/>
        </w:r>
      </w:hyperlink>
    </w:p>
    <w:p w:rsidR="00222C46" w:rsidRDefault="00A51443" w:rsidP="008A1C91">
      <w:pPr>
        <w:pStyle w:val="References"/>
        <w:rPr>
          <w:lang w:val="en-AU"/>
        </w:rPr>
      </w:pPr>
      <w:r>
        <w:rPr>
          <w:lang w:val="en-AU"/>
        </w:rPr>
        <w:fldChar w:fldCharType="end"/>
      </w:r>
    </w:p>
    <w:p w:rsidR="00043BCD" w:rsidRPr="001E3780" w:rsidRDefault="00043BCD" w:rsidP="008A1C91">
      <w:pPr>
        <w:pStyle w:val="References"/>
        <w:rPr>
          <w:rFonts w:ascii="Arial" w:hAnsi="Arial" w:cs="Arial"/>
          <w:b/>
          <w:sz w:val="26"/>
          <w:szCs w:val="26"/>
        </w:rPr>
      </w:pPr>
      <w:r w:rsidRPr="001E3780">
        <w:rPr>
          <w:rFonts w:ascii="Arial" w:hAnsi="Arial" w:cs="Arial"/>
          <w:b/>
          <w:sz w:val="26"/>
          <w:szCs w:val="26"/>
        </w:rPr>
        <w:t>List of figures</w:t>
      </w:r>
    </w:p>
    <w:p w:rsidR="00B80BC7" w:rsidRDefault="00A51443">
      <w:pPr>
        <w:pStyle w:val="TableofFigures"/>
        <w:rPr>
          <w:rFonts w:asciiTheme="minorHAnsi" w:eastAsiaTheme="minorEastAsia" w:hAnsiTheme="minorHAnsi" w:cstheme="minorBidi"/>
          <w:szCs w:val="22"/>
          <w:lang w:val="en-AU" w:eastAsia="en-AU"/>
        </w:rPr>
      </w:pPr>
      <w:r>
        <w:rPr>
          <w:lang w:val="en-AU"/>
        </w:rPr>
        <w:fldChar w:fldCharType="begin"/>
      </w:r>
      <w:r w:rsidR="005859F1">
        <w:rPr>
          <w:lang w:val="en-AU"/>
        </w:rPr>
        <w:instrText xml:space="preserve"> TOC \h \z \c "Figure" </w:instrText>
      </w:r>
      <w:r>
        <w:rPr>
          <w:lang w:val="en-AU"/>
        </w:rPr>
        <w:fldChar w:fldCharType="separate"/>
      </w:r>
      <w:hyperlink w:anchor="_Toc460572260" w:history="1">
        <w:r w:rsidR="00B80BC7" w:rsidRPr="00944A58">
          <w:rPr>
            <w:rStyle w:val="Hyperlink"/>
          </w:rPr>
          <w:t>Figure ES.1</w:t>
        </w:r>
        <w:r w:rsidR="00B80BC7">
          <w:rPr>
            <w:rFonts w:asciiTheme="minorHAnsi" w:eastAsiaTheme="minorEastAsia" w:hAnsiTheme="minorHAnsi" w:cstheme="minorBidi"/>
            <w:szCs w:val="22"/>
            <w:lang w:val="en-AU" w:eastAsia="en-AU"/>
          </w:rPr>
          <w:tab/>
        </w:r>
        <w:r w:rsidR="00B80BC7" w:rsidRPr="00944A58">
          <w:rPr>
            <w:rStyle w:val="Hyperlink"/>
          </w:rPr>
          <w:t>Residential water supply charges by utility, 2016</w:t>
        </w:r>
        <w:r w:rsidR="00B80BC7" w:rsidRPr="00944A58">
          <w:rPr>
            <w:rStyle w:val="Hyperlink"/>
          </w:rPr>
          <w:sym w:font="Symbol" w:char="F02D"/>
        </w:r>
        <w:r w:rsidR="00B80BC7" w:rsidRPr="00944A58">
          <w:rPr>
            <w:rStyle w:val="Hyperlink"/>
          </w:rPr>
          <w:t>17</w:t>
        </w:r>
        <w:r w:rsidR="00B80BC7">
          <w:rPr>
            <w:webHidden/>
          </w:rPr>
          <w:tab/>
        </w:r>
        <w:r w:rsidR="00B80BC7">
          <w:rPr>
            <w:webHidden/>
          </w:rPr>
          <w:fldChar w:fldCharType="begin"/>
        </w:r>
        <w:r w:rsidR="00B80BC7">
          <w:rPr>
            <w:webHidden/>
          </w:rPr>
          <w:instrText xml:space="preserve"> PAGEREF _Toc460572260 \h </w:instrText>
        </w:r>
        <w:r w:rsidR="00B80BC7">
          <w:rPr>
            <w:webHidden/>
          </w:rPr>
        </w:r>
        <w:r w:rsidR="00B80BC7">
          <w:rPr>
            <w:webHidden/>
          </w:rPr>
          <w:fldChar w:fldCharType="separate"/>
        </w:r>
        <w:r w:rsidR="00B80BC7">
          <w:rPr>
            <w:webHidden/>
          </w:rPr>
          <w:t>ix</w:t>
        </w:r>
        <w:r w:rsidR="00B80BC7">
          <w:rPr>
            <w:webHidden/>
          </w:rPr>
          <w:fldChar w:fldCharType="end"/>
        </w:r>
      </w:hyperlink>
    </w:p>
    <w:p w:rsidR="00B80BC7" w:rsidRDefault="007B3D81">
      <w:pPr>
        <w:pStyle w:val="TableofFigures"/>
        <w:rPr>
          <w:rFonts w:asciiTheme="minorHAnsi" w:eastAsiaTheme="minorEastAsia" w:hAnsiTheme="minorHAnsi" w:cstheme="minorBidi"/>
          <w:szCs w:val="22"/>
          <w:lang w:val="en-AU" w:eastAsia="en-AU"/>
        </w:rPr>
      </w:pPr>
      <w:hyperlink w:anchor="_Toc460572261" w:history="1">
        <w:r w:rsidR="00B80BC7" w:rsidRPr="00944A58">
          <w:rPr>
            <w:rStyle w:val="Hyperlink"/>
          </w:rPr>
          <w:t>Figure ES.2</w:t>
        </w:r>
        <w:r w:rsidR="00B80BC7">
          <w:rPr>
            <w:rFonts w:asciiTheme="minorHAnsi" w:eastAsiaTheme="minorEastAsia" w:hAnsiTheme="minorHAnsi" w:cstheme="minorBidi"/>
            <w:szCs w:val="22"/>
            <w:lang w:val="en-AU" w:eastAsia="en-AU"/>
          </w:rPr>
          <w:tab/>
        </w:r>
        <w:r w:rsidR="00B80BC7" w:rsidRPr="00944A58">
          <w:rPr>
            <w:rStyle w:val="Hyperlink"/>
          </w:rPr>
          <w:t>Residential water usage charges by utility, 2016</w:t>
        </w:r>
        <w:r w:rsidR="00B80BC7" w:rsidRPr="00944A58">
          <w:rPr>
            <w:rStyle w:val="Hyperlink"/>
          </w:rPr>
          <w:sym w:font="Symbol" w:char="F02D"/>
        </w:r>
        <w:r w:rsidR="00B80BC7" w:rsidRPr="00944A58">
          <w:rPr>
            <w:rStyle w:val="Hyperlink"/>
          </w:rPr>
          <w:t>17</w:t>
        </w:r>
        <w:r w:rsidR="00B80BC7">
          <w:rPr>
            <w:webHidden/>
          </w:rPr>
          <w:tab/>
        </w:r>
        <w:r w:rsidR="00B80BC7">
          <w:rPr>
            <w:webHidden/>
          </w:rPr>
          <w:fldChar w:fldCharType="begin"/>
        </w:r>
        <w:r w:rsidR="00B80BC7">
          <w:rPr>
            <w:webHidden/>
          </w:rPr>
          <w:instrText xml:space="preserve"> PAGEREF _Toc460572261 \h </w:instrText>
        </w:r>
        <w:r w:rsidR="00B80BC7">
          <w:rPr>
            <w:webHidden/>
          </w:rPr>
        </w:r>
        <w:r w:rsidR="00B80BC7">
          <w:rPr>
            <w:webHidden/>
          </w:rPr>
          <w:fldChar w:fldCharType="separate"/>
        </w:r>
        <w:r w:rsidR="00B80BC7">
          <w:rPr>
            <w:webHidden/>
          </w:rPr>
          <w:t>x</w:t>
        </w:r>
        <w:r w:rsidR="00B80BC7">
          <w:rPr>
            <w:webHidden/>
          </w:rPr>
          <w:fldChar w:fldCharType="end"/>
        </w:r>
      </w:hyperlink>
    </w:p>
    <w:p w:rsidR="00B80BC7" w:rsidRDefault="007B3D81">
      <w:pPr>
        <w:pStyle w:val="TableofFigures"/>
        <w:rPr>
          <w:rFonts w:asciiTheme="minorHAnsi" w:eastAsiaTheme="minorEastAsia" w:hAnsiTheme="minorHAnsi" w:cstheme="minorBidi"/>
          <w:szCs w:val="22"/>
          <w:lang w:val="en-AU" w:eastAsia="en-AU"/>
        </w:rPr>
      </w:pPr>
      <w:hyperlink w:anchor="_Toc460572262" w:history="1">
        <w:r w:rsidR="00B80BC7" w:rsidRPr="00944A58">
          <w:rPr>
            <w:rStyle w:val="Hyperlink"/>
          </w:rPr>
          <w:t>Figure ES.3</w:t>
        </w:r>
        <w:r w:rsidR="00B80BC7">
          <w:rPr>
            <w:rFonts w:asciiTheme="minorHAnsi" w:eastAsiaTheme="minorEastAsia" w:hAnsiTheme="minorHAnsi" w:cstheme="minorBidi"/>
            <w:szCs w:val="22"/>
            <w:lang w:val="en-AU" w:eastAsia="en-AU"/>
          </w:rPr>
          <w:tab/>
        </w:r>
        <w:r w:rsidR="00B80BC7" w:rsidRPr="00944A58">
          <w:rPr>
            <w:rStyle w:val="Hyperlink"/>
          </w:rPr>
          <w:t>Current ACT dam storage levels</w:t>
        </w:r>
        <w:r w:rsidR="00B80BC7">
          <w:rPr>
            <w:webHidden/>
          </w:rPr>
          <w:tab/>
        </w:r>
        <w:r w:rsidR="00B80BC7">
          <w:rPr>
            <w:webHidden/>
          </w:rPr>
          <w:fldChar w:fldCharType="begin"/>
        </w:r>
        <w:r w:rsidR="00B80BC7">
          <w:rPr>
            <w:webHidden/>
          </w:rPr>
          <w:instrText xml:space="preserve"> PAGEREF _Toc460572262 \h </w:instrText>
        </w:r>
        <w:r w:rsidR="00B80BC7">
          <w:rPr>
            <w:webHidden/>
          </w:rPr>
        </w:r>
        <w:r w:rsidR="00B80BC7">
          <w:rPr>
            <w:webHidden/>
          </w:rPr>
          <w:fldChar w:fldCharType="separate"/>
        </w:r>
        <w:r w:rsidR="00B80BC7">
          <w:rPr>
            <w:webHidden/>
          </w:rPr>
          <w:t>xi</w:t>
        </w:r>
        <w:r w:rsidR="00B80BC7">
          <w:rPr>
            <w:webHidden/>
          </w:rPr>
          <w:fldChar w:fldCharType="end"/>
        </w:r>
      </w:hyperlink>
    </w:p>
    <w:p w:rsidR="00B80BC7" w:rsidRDefault="007B3D81">
      <w:pPr>
        <w:pStyle w:val="TableofFigures"/>
        <w:rPr>
          <w:rFonts w:asciiTheme="minorHAnsi" w:eastAsiaTheme="minorEastAsia" w:hAnsiTheme="minorHAnsi" w:cstheme="minorBidi"/>
          <w:szCs w:val="22"/>
          <w:lang w:val="en-AU" w:eastAsia="en-AU"/>
        </w:rPr>
      </w:pPr>
      <w:hyperlink w:anchor="_Toc460572263" w:history="1">
        <w:r w:rsidR="00B80BC7" w:rsidRPr="00944A58">
          <w:rPr>
            <w:rStyle w:val="Hyperlink"/>
          </w:rPr>
          <w:t>Figure ES.4</w:t>
        </w:r>
        <w:r w:rsidR="00B80BC7">
          <w:rPr>
            <w:rFonts w:asciiTheme="minorHAnsi" w:eastAsiaTheme="minorEastAsia" w:hAnsiTheme="minorHAnsi" w:cstheme="minorBidi"/>
            <w:szCs w:val="22"/>
            <w:lang w:val="en-AU" w:eastAsia="en-AU"/>
          </w:rPr>
          <w:tab/>
        </w:r>
        <w:r w:rsidR="00B80BC7" w:rsidRPr="00944A58">
          <w:rPr>
            <w:rStyle w:val="Hyperlink"/>
          </w:rPr>
          <w:t>Icon Water dam releases per capita, 1999 to 2016</w:t>
        </w:r>
        <w:r w:rsidR="00B80BC7">
          <w:rPr>
            <w:webHidden/>
          </w:rPr>
          <w:tab/>
        </w:r>
        <w:r w:rsidR="00B80BC7">
          <w:rPr>
            <w:webHidden/>
          </w:rPr>
          <w:fldChar w:fldCharType="begin"/>
        </w:r>
        <w:r w:rsidR="00B80BC7">
          <w:rPr>
            <w:webHidden/>
          </w:rPr>
          <w:instrText xml:space="preserve"> PAGEREF _Toc460572263 \h </w:instrText>
        </w:r>
        <w:r w:rsidR="00B80BC7">
          <w:rPr>
            <w:webHidden/>
          </w:rPr>
        </w:r>
        <w:r w:rsidR="00B80BC7">
          <w:rPr>
            <w:webHidden/>
          </w:rPr>
          <w:fldChar w:fldCharType="separate"/>
        </w:r>
        <w:r w:rsidR="00B80BC7">
          <w:rPr>
            <w:webHidden/>
          </w:rPr>
          <w:t>xi</w:t>
        </w:r>
        <w:r w:rsidR="00B80BC7">
          <w:rPr>
            <w:webHidden/>
          </w:rPr>
          <w:fldChar w:fldCharType="end"/>
        </w:r>
      </w:hyperlink>
    </w:p>
    <w:p w:rsidR="00B80BC7" w:rsidRDefault="007B3D81">
      <w:pPr>
        <w:pStyle w:val="TableofFigures"/>
        <w:rPr>
          <w:rFonts w:asciiTheme="minorHAnsi" w:eastAsiaTheme="minorEastAsia" w:hAnsiTheme="minorHAnsi" w:cstheme="minorBidi"/>
          <w:szCs w:val="22"/>
          <w:lang w:val="en-AU" w:eastAsia="en-AU"/>
        </w:rPr>
      </w:pPr>
      <w:hyperlink w:anchor="_Toc460572264" w:history="1">
        <w:r w:rsidR="00B80BC7" w:rsidRPr="00944A58">
          <w:rPr>
            <w:rStyle w:val="Hyperlink"/>
          </w:rPr>
          <w:t>Figure ES.5</w:t>
        </w:r>
        <w:r w:rsidR="00B80BC7">
          <w:rPr>
            <w:rFonts w:asciiTheme="minorHAnsi" w:eastAsiaTheme="minorEastAsia" w:hAnsiTheme="minorHAnsi" w:cstheme="minorBidi"/>
            <w:szCs w:val="22"/>
            <w:lang w:val="en-AU" w:eastAsia="en-AU"/>
          </w:rPr>
          <w:tab/>
        </w:r>
        <w:r w:rsidR="00B80BC7" w:rsidRPr="00944A58">
          <w:rPr>
            <w:rStyle w:val="Hyperlink"/>
          </w:rPr>
          <w:t>Probability of water restrictions</w:t>
        </w:r>
        <w:r w:rsidR="00B80BC7">
          <w:rPr>
            <w:webHidden/>
          </w:rPr>
          <w:tab/>
        </w:r>
        <w:r w:rsidR="00B80BC7">
          <w:rPr>
            <w:webHidden/>
          </w:rPr>
          <w:fldChar w:fldCharType="begin"/>
        </w:r>
        <w:r w:rsidR="00B80BC7">
          <w:rPr>
            <w:webHidden/>
          </w:rPr>
          <w:instrText xml:space="preserve"> PAGEREF _Toc460572264 \h </w:instrText>
        </w:r>
        <w:r w:rsidR="00B80BC7">
          <w:rPr>
            <w:webHidden/>
          </w:rPr>
        </w:r>
        <w:r w:rsidR="00B80BC7">
          <w:rPr>
            <w:webHidden/>
          </w:rPr>
          <w:fldChar w:fldCharType="separate"/>
        </w:r>
        <w:r w:rsidR="00B80BC7">
          <w:rPr>
            <w:webHidden/>
          </w:rPr>
          <w:t>xii</w:t>
        </w:r>
        <w:r w:rsidR="00B80BC7">
          <w:rPr>
            <w:webHidden/>
          </w:rPr>
          <w:fldChar w:fldCharType="end"/>
        </w:r>
      </w:hyperlink>
    </w:p>
    <w:p w:rsidR="00B80BC7" w:rsidRDefault="007B3D81">
      <w:pPr>
        <w:pStyle w:val="TableofFigures"/>
        <w:rPr>
          <w:rFonts w:asciiTheme="minorHAnsi" w:eastAsiaTheme="minorEastAsia" w:hAnsiTheme="minorHAnsi" w:cstheme="minorBidi"/>
          <w:szCs w:val="22"/>
          <w:lang w:val="en-AU" w:eastAsia="en-AU"/>
        </w:rPr>
      </w:pPr>
      <w:hyperlink w:anchor="_Toc460572265" w:history="1">
        <w:r w:rsidR="00B80BC7" w:rsidRPr="00944A58">
          <w:rPr>
            <w:rStyle w:val="Hyperlink"/>
          </w:rPr>
          <w:t>Figure ES.6</w:t>
        </w:r>
        <w:r w:rsidR="00B80BC7">
          <w:rPr>
            <w:rFonts w:asciiTheme="minorHAnsi" w:eastAsiaTheme="minorEastAsia" w:hAnsiTheme="minorHAnsi" w:cstheme="minorBidi"/>
            <w:szCs w:val="22"/>
            <w:lang w:val="en-AU" w:eastAsia="en-AU"/>
          </w:rPr>
          <w:tab/>
        </w:r>
        <w:r w:rsidR="00B80BC7" w:rsidRPr="00944A58">
          <w:rPr>
            <w:rStyle w:val="Hyperlink"/>
          </w:rPr>
          <w:t>Year 1 impact, residential customers</w:t>
        </w:r>
        <w:r w:rsidR="00B80BC7">
          <w:rPr>
            <w:webHidden/>
          </w:rPr>
          <w:tab/>
        </w:r>
        <w:r w:rsidR="00B80BC7">
          <w:rPr>
            <w:webHidden/>
          </w:rPr>
          <w:fldChar w:fldCharType="begin"/>
        </w:r>
        <w:r w:rsidR="00B80BC7">
          <w:rPr>
            <w:webHidden/>
          </w:rPr>
          <w:instrText xml:space="preserve"> PAGEREF _Toc460572265 \h </w:instrText>
        </w:r>
        <w:r w:rsidR="00B80BC7">
          <w:rPr>
            <w:webHidden/>
          </w:rPr>
        </w:r>
        <w:r w:rsidR="00B80BC7">
          <w:rPr>
            <w:webHidden/>
          </w:rPr>
          <w:fldChar w:fldCharType="separate"/>
        </w:r>
        <w:r w:rsidR="00B80BC7">
          <w:rPr>
            <w:webHidden/>
          </w:rPr>
          <w:t>xviii</w:t>
        </w:r>
        <w:r w:rsidR="00B80BC7">
          <w:rPr>
            <w:webHidden/>
          </w:rPr>
          <w:fldChar w:fldCharType="end"/>
        </w:r>
      </w:hyperlink>
    </w:p>
    <w:p w:rsidR="00B80BC7" w:rsidRDefault="007B3D81">
      <w:pPr>
        <w:pStyle w:val="TableofFigures"/>
        <w:rPr>
          <w:rFonts w:asciiTheme="minorHAnsi" w:eastAsiaTheme="minorEastAsia" w:hAnsiTheme="minorHAnsi" w:cstheme="minorBidi"/>
          <w:szCs w:val="22"/>
          <w:lang w:val="en-AU" w:eastAsia="en-AU"/>
        </w:rPr>
      </w:pPr>
      <w:hyperlink w:anchor="_Toc460572266" w:history="1">
        <w:r w:rsidR="00B80BC7" w:rsidRPr="00944A58">
          <w:rPr>
            <w:rStyle w:val="Hyperlink"/>
          </w:rPr>
          <w:t>Figure ES.7</w:t>
        </w:r>
        <w:r w:rsidR="00B80BC7">
          <w:rPr>
            <w:rFonts w:asciiTheme="minorHAnsi" w:eastAsiaTheme="minorEastAsia" w:hAnsiTheme="minorHAnsi" w:cstheme="minorBidi"/>
            <w:szCs w:val="22"/>
            <w:lang w:val="en-AU" w:eastAsia="en-AU"/>
          </w:rPr>
          <w:tab/>
        </w:r>
        <w:r w:rsidR="00B80BC7" w:rsidRPr="00944A58">
          <w:rPr>
            <w:rStyle w:val="Hyperlink"/>
          </w:rPr>
          <w:t>Year 1 impact, commercial customers</w:t>
        </w:r>
        <w:r w:rsidR="00B80BC7">
          <w:rPr>
            <w:webHidden/>
          </w:rPr>
          <w:tab/>
        </w:r>
        <w:r w:rsidR="00B80BC7">
          <w:rPr>
            <w:webHidden/>
          </w:rPr>
          <w:fldChar w:fldCharType="begin"/>
        </w:r>
        <w:r w:rsidR="00B80BC7">
          <w:rPr>
            <w:webHidden/>
          </w:rPr>
          <w:instrText xml:space="preserve"> PAGEREF _Toc460572266 \h </w:instrText>
        </w:r>
        <w:r w:rsidR="00B80BC7">
          <w:rPr>
            <w:webHidden/>
          </w:rPr>
        </w:r>
        <w:r w:rsidR="00B80BC7">
          <w:rPr>
            <w:webHidden/>
          </w:rPr>
          <w:fldChar w:fldCharType="separate"/>
        </w:r>
        <w:r w:rsidR="00B80BC7">
          <w:rPr>
            <w:webHidden/>
          </w:rPr>
          <w:t>xix</w:t>
        </w:r>
        <w:r w:rsidR="00B80BC7">
          <w:rPr>
            <w:webHidden/>
          </w:rPr>
          <w:fldChar w:fldCharType="end"/>
        </w:r>
      </w:hyperlink>
    </w:p>
    <w:p w:rsidR="00B80BC7" w:rsidRDefault="007B3D81">
      <w:pPr>
        <w:pStyle w:val="TableofFigures"/>
        <w:rPr>
          <w:rFonts w:asciiTheme="minorHAnsi" w:eastAsiaTheme="minorEastAsia" w:hAnsiTheme="minorHAnsi" w:cstheme="minorBidi"/>
          <w:szCs w:val="22"/>
          <w:lang w:val="en-AU" w:eastAsia="en-AU"/>
        </w:rPr>
      </w:pPr>
      <w:hyperlink w:anchor="_Toc460572267" w:history="1">
        <w:r w:rsidR="00B80BC7" w:rsidRPr="00944A58">
          <w:rPr>
            <w:rStyle w:val="Hyperlink"/>
          </w:rPr>
          <w:t>Figure 3.1</w:t>
        </w:r>
        <w:r w:rsidR="00B80BC7">
          <w:rPr>
            <w:rFonts w:asciiTheme="minorHAnsi" w:eastAsiaTheme="minorEastAsia" w:hAnsiTheme="minorHAnsi" w:cstheme="minorBidi"/>
            <w:szCs w:val="22"/>
            <w:lang w:val="en-AU" w:eastAsia="en-AU"/>
          </w:rPr>
          <w:tab/>
        </w:r>
        <w:r w:rsidR="00B80BC7" w:rsidRPr="00944A58">
          <w:rPr>
            <w:rStyle w:val="Hyperlink"/>
          </w:rPr>
          <w:t>Residential water supply charges by utility, 2016</w:t>
        </w:r>
        <w:r w:rsidR="00B80BC7" w:rsidRPr="00944A58">
          <w:rPr>
            <w:rStyle w:val="Hyperlink"/>
          </w:rPr>
          <w:sym w:font="Symbol" w:char="F02D"/>
        </w:r>
        <w:r w:rsidR="00B80BC7" w:rsidRPr="00944A58">
          <w:rPr>
            <w:rStyle w:val="Hyperlink"/>
          </w:rPr>
          <w:t>17</w:t>
        </w:r>
        <w:r w:rsidR="00B80BC7">
          <w:rPr>
            <w:webHidden/>
          </w:rPr>
          <w:tab/>
        </w:r>
        <w:r w:rsidR="00B80BC7">
          <w:rPr>
            <w:webHidden/>
          </w:rPr>
          <w:fldChar w:fldCharType="begin"/>
        </w:r>
        <w:r w:rsidR="00B80BC7">
          <w:rPr>
            <w:webHidden/>
          </w:rPr>
          <w:instrText xml:space="preserve"> PAGEREF _Toc460572267 \h </w:instrText>
        </w:r>
        <w:r w:rsidR="00B80BC7">
          <w:rPr>
            <w:webHidden/>
          </w:rPr>
        </w:r>
        <w:r w:rsidR="00B80BC7">
          <w:rPr>
            <w:webHidden/>
          </w:rPr>
          <w:fldChar w:fldCharType="separate"/>
        </w:r>
        <w:r w:rsidR="00B80BC7">
          <w:rPr>
            <w:webHidden/>
          </w:rPr>
          <w:t>17</w:t>
        </w:r>
        <w:r w:rsidR="00B80BC7">
          <w:rPr>
            <w:webHidden/>
          </w:rPr>
          <w:fldChar w:fldCharType="end"/>
        </w:r>
      </w:hyperlink>
    </w:p>
    <w:p w:rsidR="00B80BC7" w:rsidRDefault="007B3D81">
      <w:pPr>
        <w:pStyle w:val="TableofFigures"/>
        <w:rPr>
          <w:rFonts w:asciiTheme="minorHAnsi" w:eastAsiaTheme="minorEastAsia" w:hAnsiTheme="minorHAnsi" w:cstheme="minorBidi"/>
          <w:szCs w:val="22"/>
          <w:lang w:val="en-AU" w:eastAsia="en-AU"/>
        </w:rPr>
      </w:pPr>
      <w:hyperlink w:anchor="_Toc460572268" w:history="1">
        <w:r w:rsidR="00B80BC7" w:rsidRPr="00944A58">
          <w:rPr>
            <w:rStyle w:val="Hyperlink"/>
          </w:rPr>
          <w:t>Figure 3.2</w:t>
        </w:r>
        <w:r w:rsidR="00B80BC7">
          <w:rPr>
            <w:rFonts w:asciiTheme="minorHAnsi" w:eastAsiaTheme="minorEastAsia" w:hAnsiTheme="minorHAnsi" w:cstheme="minorBidi"/>
            <w:szCs w:val="22"/>
            <w:lang w:val="en-AU" w:eastAsia="en-AU"/>
          </w:rPr>
          <w:tab/>
        </w:r>
        <w:r w:rsidR="00B80BC7" w:rsidRPr="00944A58">
          <w:rPr>
            <w:rStyle w:val="Hyperlink"/>
          </w:rPr>
          <w:t>Residential water usage charges by utility, 2016</w:t>
        </w:r>
        <w:r w:rsidR="00B80BC7" w:rsidRPr="00944A58">
          <w:rPr>
            <w:rStyle w:val="Hyperlink"/>
          </w:rPr>
          <w:sym w:font="Symbol" w:char="F02D"/>
        </w:r>
        <w:r w:rsidR="00B80BC7" w:rsidRPr="00944A58">
          <w:rPr>
            <w:rStyle w:val="Hyperlink"/>
          </w:rPr>
          <w:t>17</w:t>
        </w:r>
        <w:r w:rsidR="00B80BC7">
          <w:rPr>
            <w:webHidden/>
          </w:rPr>
          <w:tab/>
        </w:r>
        <w:r w:rsidR="00B80BC7">
          <w:rPr>
            <w:webHidden/>
          </w:rPr>
          <w:fldChar w:fldCharType="begin"/>
        </w:r>
        <w:r w:rsidR="00B80BC7">
          <w:rPr>
            <w:webHidden/>
          </w:rPr>
          <w:instrText xml:space="preserve"> PAGEREF _Toc460572268 \h </w:instrText>
        </w:r>
        <w:r w:rsidR="00B80BC7">
          <w:rPr>
            <w:webHidden/>
          </w:rPr>
        </w:r>
        <w:r w:rsidR="00B80BC7">
          <w:rPr>
            <w:webHidden/>
          </w:rPr>
          <w:fldChar w:fldCharType="separate"/>
        </w:r>
        <w:r w:rsidR="00B80BC7">
          <w:rPr>
            <w:webHidden/>
          </w:rPr>
          <w:t>18</w:t>
        </w:r>
        <w:r w:rsidR="00B80BC7">
          <w:rPr>
            <w:webHidden/>
          </w:rPr>
          <w:fldChar w:fldCharType="end"/>
        </w:r>
      </w:hyperlink>
    </w:p>
    <w:p w:rsidR="00B80BC7" w:rsidRDefault="007B3D81">
      <w:pPr>
        <w:pStyle w:val="TableofFigures"/>
        <w:rPr>
          <w:rFonts w:asciiTheme="minorHAnsi" w:eastAsiaTheme="minorEastAsia" w:hAnsiTheme="minorHAnsi" w:cstheme="minorBidi"/>
          <w:szCs w:val="22"/>
          <w:lang w:val="en-AU" w:eastAsia="en-AU"/>
        </w:rPr>
      </w:pPr>
      <w:hyperlink w:anchor="_Toc460572269" w:history="1">
        <w:r w:rsidR="00B80BC7" w:rsidRPr="00944A58">
          <w:rPr>
            <w:rStyle w:val="Hyperlink"/>
          </w:rPr>
          <w:t>Figure 3.3</w:t>
        </w:r>
        <w:r w:rsidR="00B80BC7">
          <w:rPr>
            <w:rFonts w:asciiTheme="minorHAnsi" w:eastAsiaTheme="minorEastAsia" w:hAnsiTheme="minorHAnsi" w:cstheme="minorBidi"/>
            <w:szCs w:val="22"/>
            <w:lang w:val="en-AU" w:eastAsia="en-AU"/>
          </w:rPr>
          <w:tab/>
        </w:r>
        <w:r w:rsidR="00B80BC7" w:rsidRPr="00944A58">
          <w:rPr>
            <w:rStyle w:val="Hyperlink"/>
          </w:rPr>
          <w:t>Marginal cost estimate for water, summary</w:t>
        </w:r>
        <w:r w:rsidR="00B80BC7">
          <w:rPr>
            <w:webHidden/>
          </w:rPr>
          <w:tab/>
        </w:r>
        <w:r w:rsidR="00B80BC7">
          <w:rPr>
            <w:webHidden/>
          </w:rPr>
          <w:fldChar w:fldCharType="begin"/>
        </w:r>
        <w:r w:rsidR="00B80BC7">
          <w:rPr>
            <w:webHidden/>
          </w:rPr>
          <w:instrText xml:space="preserve"> PAGEREF _Toc460572269 \h </w:instrText>
        </w:r>
        <w:r w:rsidR="00B80BC7">
          <w:rPr>
            <w:webHidden/>
          </w:rPr>
        </w:r>
        <w:r w:rsidR="00B80BC7">
          <w:rPr>
            <w:webHidden/>
          </w:rPr>
          <w:fldChar w:fldCharType="separate"/>
        </w:r>
        <w:r w:rsidR="00B80BC7">
          <w:rPr>
            <w:webHidden/>
          </w:rPr>
          <w:t>19</w:t>
        </w:r>
        <w:r w:rsidR="00B80BC7">
          <w:rPr>
            <w:webHidden/>
          </w:rPr>
          <w:fldChar w:fldCharType="end"/>
        </w:r>
      </w:hyperlink>
    </w:p>
    <w:p w:rsidR="00B80BC7" w:rsidRDefault="007B3D81">
      <w:pPr>
        <w:pStyle w:val="TableofFigures"/>
        <w:rPr>
          <w:rFonts w:asciiTheme="minorHAnsi" w:eastAsiaTheme="minorEastAsia" w:hAnsiTheme="minorHAnsi" w:cstheme="minorBidi"/>
          <w:szCs w:val="22"/>
          <w:lang w:val="en-AU" w:eastAsia="en-AU"/>
        </w:rPr>
      </w:pPr>
      <w:hyperlink w:anchor="_Toc460572270" w:history="1">
        <w:r w:rsidR="00B80BC7" w:rsidRPr="00944A58">
          <w:rPr>
            <w:rStyle w:val="Hyperlink"/>
          </w:rPr>
          <w:t>Figure 3.4</w:t>
        </w:r>
        <w:r w:rsidR="00B80BC7">
          <w:rPr>
            <w:rFonts w:asciiTheme="minorHAnsi" w:eastAsiaTheme="minorEastAsia" w:hAnsiTheme="minorHAnsi" w:cstheme="minorBidi"/>
            <w:szCs w:val="22"/>
            <w:lang w:val="en-AU" w:eastAsia="en-AU"/>
          </w:rPr>
          <w:tab/>
        </w:r>
        <w:r w:rsidR="00B80BC7" w:rsidRPr="00944A58">
          <w:rPr>
            <w:rStyle w:val="Hyperlink"/>
          </w:rPr>
          <w:t>Icon Water first tier proportion of total water sales, 2008</w:t>
        </w:r>
        <w:r w:rsidR="00B80BC7" w:rsidRPr="00944A58">
          <w:rPr>
            <w:rStyle w:val="Hyperlink"/>
          </w:rPr>
          <w:sym w:font="Symbol" w:char="F02D"/>
        </w:r>
        <w:r w:rsidR="00B80BC7" w:rsidRPr="00944A58">
          <w:rPr>
            <w:rStyle w:val="Hyperlink"/>
          </w:rPr>
          <w:t>09 to 2014</w:t>
        </w:r>
        <w:r w:rsidR="00B80BC7" w:rsidRPr="00944A58">
          <w:rPr>
            <w:rStyle w:val="Hyperlink"/>
          </w:rPr>
          <w:sym w:font="Symbol" w:char="F02D"/>
        </w:r>
        <w:r w:rsidR="00B80BC7" w:rsidRPr="00944A58">
          <w:rPr>
            <w:rStyle w:val="Hyperlink"/>
          </w:rPr>
          <w:t>15</w:t>
        </w:r>
        <w:r w:rsidR="00B80BC7">
          <w:rPr>
            <w:webHidden/>
          </w:rPr>
          <w:tab/>
        </w:r>
        <w:r w:rsidR="00B80BC7">
          <w:rPr>
            <w:webHidden/>
          </w:rPr>
          <w:fldChar w:fldCharType="begin"/>
        </w:r>
        <w:r w:rsidR="00B80BC7">
          <w:rPr>
            <w:webHidden/>
          </w:rPr>
          <w:instrText xml:space="preserve"> PAGEREF _Toc460572270 \h </w:instrText>
        </w:r>
        <w:r w:rsidR="00B80BC7">
          <w:rPr>
            <w:webHidden/>
          </w:rPr>
        </w:r>
        <w:r w:rsidR="00B80BC7">
          <w:rPr>
            <w:webHidden/>
          </w:rPr>
          <w:fldChar w:fldCharType="separate"/>
        </w:r>
        <w:r w:rsidR="00B80BC7">
          <w:rPr>
            <w:webHidden/>
          </w:rPr>
          <w:t>23</w:t>
        </w:r>
        <w:r w:rsidR="00B80BC7">
          <w:rPr>
            <w:webHidden/>
          </w:rPr>
          <w:fldChar w:fldCharType="end"/>
        </w:r>
      </w:hyperlink>
    </w:p>
    <w:p w:rsidR="00B80BC7" w:rsidRDefault="007B3D81">
      <w:pPr>
        <w:pStyle w:val="TableofFigures"/>
        <w:rPr>
          <w:rFonts w:asciiTheme="minorHAnsi" w:eastAsiaTheme="minorEastAsia" w:hAnsiTheme="minorHAnsi" w:cstheme="minorBidi"/>
          <w:szCs w:val="22"/>
          <w:lang w:val="en-AU" w:eastAsia="en-AU"/>
        </w:rPr>
      </w:pPr>
      <w:hyperlink w:anchor="_Toc460572271" w:history="1">
        <w:r w:rsidR="00B80BC7" w:rsidRPr="00944A58">
          <w:rPr>
            <w:rStyle w:val="Hyperlink"/>
          </w:rPr>
          <w:t>Figure 3.5</w:t>
        </w:r>
        <w:r w:rsidR="00B80BC7">
          <w:rPr>
            <w:rFonts w:asciiTheme="minorHAnsi" w:eastAsiaTheme="minorEastAsia" w:hAnsiTheme="minorHAnsi" w:cstheme="minorBidi"/>
            <w:szCs w:val="22"/>
            <w:lang w:val="en-AU" w:eastAsia="en-AU"/>
          </w:rPr>
          <w:tab/>
        </w:r>
        <w:r w:rsidR="00B80BC7" w:rsidRPr="00944A58">
          <w:rPr>
            <w:rStyle w:val="Hyperlink"/>
          </w:rPr>
          <w:t>Indicative water supply charge, with single usage charge set at marginal cost</w:t>
        </w:r>
        <w:r w:rsidR="00B80BC7">
          <w:rPr>
            <w:webHidden/>
          </w:rPr>
          <w:tab/>
        </w:r>
        <w:r w:rsidR="00B80BC7">
          <w:rPr>
            <w:webHidden/>
          </w:rPr>
          <w:fldChar w:fldCharType="begin"/>
        </w:r>
        <w:r w:rsidR="00B80BC7">
          <w:rPr>
            <w:webHidden/>
          </w:rPr>
          <w:instrText xml:space="preserve"> PAGEREF _Toc460572271 \h </w:instrText>
        </w:r>
        <w:r w:rsidR="00B80BC7">
          <w:rPr>
            <w:webHidden/>
          </w:rPr>
        </w:r>
        <w:r w:rsidR="00B80BC7">
          <w:rPr>
            <w:webHidden/>
          </w:rPr>
          <w:fldChar w:fldCharType="separate"/>
        </w:r>
        <w:r w:rsidR="00B80BC7">
          <w:rPr>
            <w:webHidden/>
          </w:rPr>
          <w:t>24</w:t>
        </w:r>
        <w:r w:rsidR="00B80BC7">
          <w:rPr>
            <w:webHidden/>
          </w:rPr>
          <w:fldChar w:fldCharType="end"/>
        </w:r>
      </w:hyperlink>
    </w:p>
    <w:p w:rsidR="00B80BC7" w:rsidRDefault="007B3D81">
      <w:pPr>
        <w:pStyle w:val="TableofFigures"/>
        <w:rPr>
          <w:rFonts w:asciiTheme="minorHAnsi" w:eastAsiaTheme="minorEastAsia" w:hAnsiTheme="minorHAnsi" w:cstheme="minorBidi"/>
          <w:szCs w:val="22"/>
          <w:lang w:val="en-AU" w:eastAsia="en-AU"/>
        </w:rPr>
      </w:pPr>
      <w:hyperlink w:anchor="_Toc460572272" w:history="1">
        <w:r w:rsidR="00B80BC7" w:rsidRPr="00944A58">
          <w:rPr>
            <w:rStyle w:val="Hyperlink"/>
          </w:rPr>
          <w:t>Figure 3.6</w:t>
        </w:r>
        <w:r w:rsidR="00B80BC7">
          <w:rPr>
            <w:rFonts w:asciiTheme="minorHAnsi" w:eastAsiaTheme="minorEastAsia" w:hAnsiTheme="minorHAnsi" w:cstheme="minorBidi"/>
            <w:szCs w:val="22"/>
            <w:lang w:val="en-AU" w:eastAsia="en-AU"/>
          </w:rPr>
          <w:tab/>
        </w:r>
        <w:r w:rsidR="00B80BC7" w:rsidRPr="00944A58">
          <w:rPr>
            <w:rStyle w:val="Hyperlink"/>
          </w:rPr>
          <w:t>Indicative residential customer impact, direct move to $1.74 per kL usage charge</w:t>
        </w:r>
        <w:r w:rsidR="00B80BC7">
          <w:rPr>
            <w:webHidden/>
          </w:rPr>
          <w:tab/>
        </w:r>
        <w:r w:rsidR="00B80BC7">
          <w:rPr>
            <w:webHidden/>
          </w:rPr>
          <w:fldChar w:fldCharType="begin"/>
        </w:r>
        <w:r w:rsidR="00B80BC7">
          <w:rPr>
            <w:webHidden/>
          </w:rPr>
          <w:instrText xml:space="preserve"> PAGEREF _Toc460572272 \h </w:instrText>
        </w:r>
        <w:r w:rsidR="00B80BC7">
          <w:rPr>
            <w:webHidden/>
          </w:rPr>
        </w:r>
        <w:r w:rsidR="00B80BC7">
          <w:rPr>
            <w:webHidden/>
          </w:rPr>
          <w:fldChar w:fldCharType="separate"/>
        </w:r>
        <w:r w:rsidR="00B80BC7">
          <w:rPr>
            <w:webHidden/>
          </w:rPr>
          <w:t>25</w:t>
        </w:r>
        <w:r w:rsidR="00B80BC7">
          <w:rPr>
            <w:webHidden/>
          </w:rPr>
          <w:fldChar w:fldCharType="end"/>
        </w:r>
      </w:hyperlink>
    </w:p>
    <w:p w:rsidR="00B80BC7" w:rsidRDefault="007B3D81">
      <w:pPr>
        <w:pStyle w:val="TableofFigures"/>
        <w:rPr>
          <w:rFonts w:asciiTheme="minorHAnsi" w:eastAsiaTheme="minorEastAsia" w:hAnsiTheme="minorHAnsi" w:cstheme="minorBidi"/>
          <w:szCs w:val="22"/>
          <w:lang w:val="en-AU" w:eastAsia="en-AU"/>
        </w:rPr>
      </w:pPr>
      <w:hyperlink w:anchor="_Toc460572273" w:history="1">
        <w:r w:rsidR="00B80BC7" w:rsidRPr="00944A58">
          <w:rPr>
            <w:rStyle w:val="Hyperlink"/>
          </w:rPr>
          <w:t>Figure 3.7</w:t>
        </w:r>
        <w:r w:rsidR="00B80BC7">
          <w:rPr>
            <w:rFonts w:asciiTheme="minorHAnsi" w:eastAsiaTheme="minorEastAsia" w:hAnsiTheme="minorHAnsi" w:cstheme="minorBidi"/>
            <w:szCs w:val="22"/>
            <w:lang w:val="en-AU" w:eastAsia="en-AU"/>
          </w:rPr>
          <w:tab/>
        </w:r>
        <w:r w:rsidR="00B80BC7" w:rsidRPr="00944A58">
          <w:rPr>
            <w:rStyle w:val="Hyperlink"/>
          </w:rPr>
          <w:t>Current ACT dam storage levels</w:t>
        </w:r>
        <w:r w:rsidR="00B80BC7">
          <w:rPr>
            <w:webHidden/>
          </w:rPr>
          <w:tab/>
        </w:r>
        <w:r w:rsidR="00B80BC7">
          <w:rPr>
            <w:webHidden/>
          </w:rPr>
          <w:fldChar w:fldCharType="begin"/>
        </w:r>
        <w:r w:rsidR="00B80BC7">
          <w:rPr>
            <w:webHidden/>
          </w:rPr>
          <w:instrText xml:space="preserve"> PAGEREF _Toc460572273 \h </w:instrText>
        </w:r>
        <w:r w:rsidR="00B80BC7">
          <w:rPr>
            <w:webHidden/>
          </w:rPr>
        </w:r>
        <w:r w:rsidR="00B80BC7">
          <w:rPr>
            <w:webHidden/>
          </w:rPr>
          <w:fldChar w:fldCharType="separate"/>
        </w:r>
        <w:r w:rsidR="00B80BC7">
          <w:rPr>
            <w:webHidden/>
          </w:rPr>
          <w:t>30</w:t>
        </w:r>
        <w:r w:rsidR="00B80BC7">
          <w:rPr>
            <w:webHidden/>
          </w:rPr>
          <w:fldChar w:fldCharType="end"/>
        </w:r>
      </w:hyperlink>
    </w:p>
    <w:p w:rsidR="00B80BC7" w:rsidRDefault="007B3D81">
      <w:pPr>
        <w:pStyle w:val="TableofFigures"/>
        <w:rPr>
          <w:rFonts w:asciiTheme="minorHAnsi" w:eastAsiaTheme="minorEastAsia" w:hAnsiTheme="minorHAnsi" w:cstheme="minorBidi"/>
          <w:szCs w:val="22"/>
          <w:lang w:val="en-AU" w:eastAsia="en-AU"/>
        </w:rPr>
      </w:pPr>
      <w:hyperlink w:anchor="_Toc460572274" w:history="1">
        <w:r w:rsidR="00B80BC7" w:rsidRPr="00944A58">
          <w:rPr>
            <w:rStyle w:val="Hyperlink"/>
          </w:rPr>
          <w:t>Figure 3.8</w:t>
        </w:r>
        <w:r w:rsidR="00B80BC7">
          <w:rPr>
            <w:rFonts w:asciiTheme="minorHAnsi" w:eastAsiaTheme="minorEastAsia" w:hAnsiTheme="minorHAnsi" w:cstheme="minorBidi"/>
            <w:szCs w:val="22"/>
            <w:lang w:val="en-AU" w:eastAsia="en-AU"/>
          </w:rPr>
          <w:tab/>
        </w:r>
        <w:r w:rsidR="00B80BC7" w:rsidRPr="00944A58">
          <w:rPr>
            <w:rStyle w:val="Hyperlink"/>
          </w:rPr>
          <w:t>Icon Water dam releases per capita, 1999 to 2016</w:t>
        </w:r>
        <w:r w:rsidR="00B80BC7">
          <w:rPr>
            <w:webHidden/>
          </w:rPr>
          <w:tab/>
        </w:r>
        <w:r w:rsidR="00B80BC7">
          <w:rPr>
            <w:webHidden/>
          </w:rPr>
          <w:fldChar w:fldCharType="begin"/>
        </w:r>
        <w:r w:rsidR="00B80BC7">
          <w:rPr>
            <w:webHidden/>
          </w:rPr>
          <w:instrText xml:space="preserve"> PAGEREF _Toc460572274 \h </w:instrText>
        </w:r>
        <w:r w:rsidR="00B80BC7">
          <w:rPr>
            <w:webHidden/>
          </w:rPr>
        </w:r>
        <w:r w:rsidR="00B80BC7">
          <w:rPr>
            <w:webHidden/>
          </w:rPr>
          <w:fldChar w:fldCharType="separate"/>
        </w:r>
        <w:r w:rsidR="00B80BC7">
          <w:rPr>
            <w:webHidden/>
          </w:rPr>
          <w:t>31</w:t>
        </w:r>
        <w:r w:rsidR="00B80BC7">
          <w:rPr>
            <w:webHidden/>
          </w:rPr>
          <w:fldChar w:fldCharType="end"/>
        </w:r>
      </w:hyperlink>
    </w:p>
    <w:p w:rsidR="00B80BC7" w:rsidRDefault="007B3D81">
      <w:pPr>
        <w:pStyle w:val="TableofFigures"/>
        <w:rPr>
          <w:rFonts w:asciiTheme="minorHAnsi" w:eastAsiaTheme="minorEastAsia" w:hAnsiTheme="minorHAnsi" w:cstheme="minorBidi"/>
          <w:szCs w:val="22"/>
          <w:lang w:val="en-AU" w:eastAsia="en-AU"/>
        </w:rPr>
      </w:pPr>
      <w:hyperlink w:anchor="_Toc460572275" w:history="1">
        <w:r w:rsidR="00B80BC7" w:rsidRPr="00944A58">
          <w:rPr>
            <w:rStyle w:val="Hyperlink"/>
          </w:rPr>
          <w:t>Figure 3.9</w:t>
        </w:r>
        <w:r w:rsidR="00B80BC7">
          <w:rPr>
            <w:rFonts w:asciiTheme="minorHAnsi" w:eastAsiaTheme="minorEastAsia" w:hAnsiTheme="minorHAnsi" w:cstheme="minorBidi"/>
            <w:szCs w:val="22"/>
            <w:lang w:val="en-AU" w:eastAsia="en-AU"/>
          </w:rPr>
          <w:tab/>
        </w:r>
        <w:r w:rsidR="00B80BC7" w:rsidRPr="00944A58">
          <w:rPr>
            <w:rStyle w:val="Hyperlink"/>
          </w:rPr>
          <w:t>Probability of water restrictions</w:t>
        </w:r>
        <w:r w:rsidR="00B80BC7">
          <w:rPr>
            <w:webHidden/>
          </w:rPr>
          <w:tab/>
        </w:r>
        <w:r w:rsidR="00B80BC7">
          <w:rPr>
            <w:webHidden/>
          </w:rPr>
          <w:fldChar w:fldCharType="begin"/>
        </w:r>
        <w:r w:rsidR="00B80BC7">
          <w:rPr>
            <w:webHidden/>
          </w:rPr>
          <w:instrText xml:space="preserve"> PAGEREF _Toc460572275 \h </w:instrText>
        </w:r>
        <w:r w:rsidR="00B80BC7">
          <w:rPr>
            <w:webHidden/>
          </w:rPr>
        </w:r>
        <w:r w:rsidR="00B80BC7">
          <w:rPr>
            <w:webHidden/>
          </w:rPr>
          <w:fldChar w:fldCharType="separate"/>
        </w:r>
        <w:r w:rsidR="00B80BC7">
          <w:rPr>
            <w:webHidden/>
          </w:rPr>
          <w:t>32</w:t>
        </w:r>
        <w:r w:rsidR="00B80BC7">
          <w:rPr>
            <w:webHidden/>
          </w:rPr>
          <w:fldChar w:fldCharType="end"/>
        </w:r>
      </w:hyperlink>
    </w:p>
    <w:p w:rsidR="00B80BC7" w:rsidRDefault="007B3D81">
      <w:pPr>
        <w:pStyle w:val="TableofFigures"/>
        <w:rPr>
          <w:rFonts w:asciiTheme="minorHAnsi" w:eastAsiaTheme="minorEastAsia" w:hAnsiTheme="minorHAnsi" w:cstheme="minorBidi"/>
          <w:szCs w:val="22"/>
          <w:lang w:val="en-AU" w:eastAsia="en-AU"/>
        </w:rPr>
      </w:pPr>
      <w:hyperlink w:anchor="_Toc460572276" w:history="1">
        <w:r w:rsidR="00B80BC7" w:rsidRPr="00944A58">
          <w:rPr>
            <w:rStyle w:val="Hyperlink"/>
          </w:rPr>
          <w:t>Figure 3.10</w:t>
        </w:r>
        <w:r w:rsidR="00B80BC7">
          <w:rPr>
            <w:rFonts w:asciiTheme="minorHAnsi" w:eastAsiaTheme="minorEastAsia" w:hAnsiTheme="minorHAnsi" w:cstheme="minorBidi"/>
            <w:szCs w:val="22"/>
            <w:lang w:val="en-AU" w:eastAsia="en-AU"/>
          </w:rPr>
          <w:tab/>
        </w:r>
        <w:r w:rsidR="00B80BC7" w:rsidRPr="00944A58">
          <w:rPr>
            <w:rStyle w:val="Hyperlink"/>
          </w:rPr>
          <w:t>Seasonal interaction with elasticity estimate</w:t>
        </w:r>
        <w:r w:rsidR="00B80BC7">
          <w:rPr>
            <w:webHidden/>
          </w:rPr>
          <w:tab/>
        </w:r>
        <w:r w:rsidR="00B80BC7">
          <w:rPr>
            <w:webHidden/>
          </w:rPr>
          <w:fldChar w:fldCharType="begin"/>
        </w:r>
        <w:r w:rsidR="00B80BC7">
          <w:rPr>
            <w:webHidden/>
          </w:rPr>
          <w:instrText xml:space="preserve"> PAGEREF _Toc460572276 \h </w:instrText>
        </w:r>
        <w:r w:rsidR="00B80BC7">
          <w:rPr>
            <w:webHidden/>
          </w:rPr>
        </w:r>
        <w:r w:rsidR="00B80BC7">
          <w:rPr>
            <w:webHidden/>
          </w:rPr>
          <w:fldChar w:fldCharType="separate"/>
        </w:r>
        <w:r w:rsidR="00B80BC7">
          <w:rPr>
            <w:webHidden/>
          </w:rPr>
          <w:t>40</w:t>
        </w:r>
        <w:r w:rsidR="00B80BC7">
          <w:rPr>
            <w:webHidden/>
          </w:rPr>
          <w:fldChar w:fldCharType="end"/>
        </w:r>
      </w:hyperlink>
    </w:p>
    <w:p w:rsidR="00B80BC7" w:rsidRDefault="007B3D81">
      <w:pPr>
        <w:pStyle w:val="TableofFigures"/>
        <w:rPr>
          <w:rFonts w:asciiTheme="minorHAnsi" w:eastAsiaTheme="minorEastAsia" w:hAnsiTheme="minorHAnsi" w:cstheme="minorBidi"/>
          <w:szCs w:val="22"/>
          <w:lang w:val="en-AU" w:eastAsia="en-AU"/>
        </w:rPr>
      </w:pPr>
      <w:hyperlink w:anchor="_Toc460572277" w:history="1">
        <w:r w:rsidR="00B80BC7" w:rsidRPr="00944A58">
          <w:rPr>
            <w:rStyle w:val="Hyperlink"/>
          </w:rPr>
          <w:t>Figure 3.11</w:t>
        </w:r>
        <w:r w:rsidR="00B80BC7">
          <w:rPr>
            <w:rFonts w:asciiTheme="minorHAnsi" w:eastAsiaTheme="minorEastAsia" w:hAnsiTheme="minorHAnsi" w:cstheme="minorBidi"/>
            <w:szCs w:val="22"/>
            <w:lang w:val="en-AU" w:eastAsia="en-AU"/>
          </w:rPr>
          <w:tab/>
        </w:r>
        <w:r w:rsidR="00B80BC7" w:rsidRPr="00944A58">
          <w:rPr>
            <w:rStyle w:val="Hyperlink"/>
          </w:rPr>
          <w:t>July 2006 breakpoint</w:t>
        </w:r>
        <w:r w:rsidR="00B80BC7">
          <w:rPr>
            <w:webHidden/>
          </w:rPr>
          <w:tab/>
        </w:r>
        <w:r w:rsidR="00B80BC7">
          <w:rPr>
            <w:webHidden/>
          </w:rPr>
          <w:fldChar w:fldCharType="begin"/>
        </w:r>
        <w:r w:rsidR="00B80BC7">
          <w:rPr>
            <w:webHidden/>
          </w:rPr>
          <w:instrText xml:space="preserve"> PAGEREF _Toc460572277 \h </w:instrText>
        </w:r>
        <w:r w:rsidR="00B80BC7">
          <w:rPr>
            <w:webHidden/>
          </w:rPr>
        </w:r>
        <w:r w:rsidR="00B80BC7">
          <w:rPr>
            <w:webHidden/>
          </w:rPr>
          <w:fldChar w:fldCharType="separate"/>
        </w:r>
        <w:r w:rsidR="00B80BC7">
          <w:rPr>
            <w:webHidden/>
          </w:rPr>
          <w:t>41</w:t>
        </w:r>
        <w:r w:rsidR="00B80BC7">
          <w:rPr>
            <w:webHidden/>
          </w:rPr>
          <w:fldChar w:fldCharType="end"/>
        </w:r>
      </w:hyperlink>
    </w:p>
    <w:p w:rsidR="00B80BC7" w:rsidRDefault="007B3D81">
      <w:pPr>
        <w:pStyle w:val="TableofFigures"/>
        <w:rPr>
          <w:rFonts w:asciiTheme="minorHAnsi" w:eastAsiaTheme="minorEastAsia" w:hAnsiTheme="minorHAnsi" w:cstheme="minorBidi"/>
          <w:szCs w:val="22"/>
          <w:lang w:val="en-AU" w:eastAsia="en-AU"/>
        </w:rPr>
      </w:pPr>
      <w:hyperlink w:anchor="_Toc460572278" w:history="1">
        <w:r w:rsidR="00B80BC7" w:rsidRPr="00944A58">
          <w:rPr>
            <w:rStyle w:val="Hyperlink"/>
          </w:rPr>
          <w:t>Figure 4.1</w:t>
        </w:r>
        <w:r w:rsidR="00B80BC7">
          <w:rPr>
            <w:rFonts w:asciiTheme="minorHAnsi" w:eastAsiaTheme="minorEastAsia" w:hAnsiTheme="minorHAnsi" w:cstheme="minorBidi"/>
            <w:szCs w:val="22"/>
            <w:lang w:val="en-AU" w:eastAsia="en-AU"/>
          </w:rPr>
          <w:tab/>
        </w:r>
        <w:r w:rsidR="00B80BC7" w:rsidRPr="00944A58">
          <w:rPr>
            <w:rStyle w:val="Hyperlink"/>
          </w:rPr>
          <w:t>Indicative sewerage service supply and fixture charges, with usage charge set at short-run marginal cost</w:t>
        </w:r>
        <w:r w:rsidR="00B80BC7">
          <w:rPr>
            <w:webHidden/>
          </w:rPr>
          <w:tab/>
        </w:r>
        <w:r w:rsidR="00B80BC7">
          <w:rPr>
            <w:webHidden/>
          </w:rPr>
          <w:fldChar w:fldCharType="begin"/>
        </w:r>
        <w:r w:rsidR="00B80BC7">
          <w:rPr>
            <w:webHidden/>
          </w:rPr>
          <w:instrText xml:space="preserve"> PAGEREF _Toc460572278 \h </w:instrText>
        </w:r>
        <w:r w:rsidR="00B80BC7">
          <w:rPr>
            <w:webHidden/>
          </w:rPr>
        </w:r>
        <w:r w:rsidR="00B80BC7">
          <w:rPr>
            <w:webHidden/>
          </w:rPr>
          <w:fldChar w:fldCharType="separate"/>
        </w:r>
        <w:r w:rsidR="00B80BC7">
          <w:rPr>
            <w:webHidden/>
          </w:rPr>
          <w:t>48</w:t>
        </w:r>
        <w:r w:rsidR="00B80BC7">
          <w:rPr>
            <w:webHidden/>
          </w:rPr>
          <w:fldChar w:fldCharType="end"/>
        </w:r>
      </w:hyperlink>
    </w:p>
    <w:p w:rsidR="00B80BC7" w:rsidRDefault="007B3D81">
      <w:pPr>
        <w:pStyle w:val="TableofFigures"/>
        <w:rPr>
          <w:rFonts w:asciiTheme="minorHAnsi" w:eastAsiaTheme="minorEastAsia" w:hAnsiTheme="minorHAnsi" w:cstheme="minorBidi"/>
          <w:szCs w:val="22"/>
          <w:lang w:val="en-AU" w:eastAsia="en-AU"/>
        </w:rPr>
      </w:pPr>
      <w:hyperlink w:anchor="_Toc460572279" w:history="1">
        <w:r w:rsidR="00B80BC7" w:rsidRPr="00944A58">
          <w:rPr>
            <w:rStyle w:val="Hyperlink"/>
          </w:rPr>
          <w:t>Figure 5.1</w:t>
        </w:r>
        <w:r w:rsidR="00B80BC7">
          <w:rPr>
            <w:rFonts w:asciiTheme="minorHAnsi" w:eastAsiaTheme="minorEastAsia" w:hAnsiTheme="minorHAnsi" w:cstheme="minorBidi"/>
            <w:szCs w:val="22"/>
            <w:lang w:val="en-AU" w:eastAsia="en-AU"/>
          </w:rPr>
          <w:tab/>
        </w:r>
        <w:r w:rsidR="00B80BC7" w:rsidRPr="00944A58">
          <w:rPr>
            <w:rStyle w:val="Hyperlink"/>
          </w:rPr>
          <w:t>Year 1 impact, residential customers</w:t>
        </w:r>
        <w:r w:rsidR="00B80BC7">
          <w:rPr>
            <w:webHidden/>
          </w:rPr>
          <w:tab/>
        </w:r>
        <w:r w:rsidR="00B80BC7">
          <w:rPr>
            <w:webHidden/>
          </w:rPr>
          <w:fldChar w:fldCharType="begin"/>
        </w:r>
        <w:r w:rsidR="00B80BC7">
          <w:rPr>
            <w:webHidden/>
          </w:rPr>
          <w:instrText xml:space="preserve"> PAGEREF _Toc460572279 \h </w:instrText>
        </w:r>
        <w:r w:rsidR="00B80BC7">
          <w:rPr>
            <w:webHidden/>
          </w:rPr>
        </w:r>
        <w:r w:rsidR="00B80BC7">
          <w:rPr>
            <w:webHidden/>
          </w:rPr>
          <w:fldChar w:fldCharType="separate"/>
        </w:r>
        <w:r w:rsidR="00B80BC7">
          <w:rPr>
            <w:webHidden/>
          </w:rPr>
          <w:t>58</w:t>
        </w:r>
        <w:r w:rsidR="00B80BC7">
          <w:rPr>
            <w:webHidden/>
          </w:rPr>
          <w:fldChar w:fldCharType="end"/>
        </w:r>
      </w:hyperlink>
    </w:p>
    <w:p w:rsidR="00B80BC7" w:rsidRDefault="007B3D81">
      <w:pPr>
        <w:pStyle w:val="TableofFigures"/>
        <w:rPr>
          <w:rFonts w:asciiTheme="minorHAnsi" w:eastAsiaTheme="minorEastAsia" w:hAnsiTheme="minorHAnsi" w:cstheme="minorBidi"/>
          <w:szCs w:val="22"/>
          <w:lang w:val="en-AU" w:eastAsia="en-AU"/>
        </w:rPr>
      </w:pPr>
      <w:hyperlink w:anchor="_Toc460572280" w:history="1">
        <w:r w:rsidR="00B80BC7" w:rsidRPr="00944A58">
          <w:rPr>
            <w:rStyle w:val="Hyperlink"/>
          </w:rPr>
          <w:t>Figure 5.2</w:t>
        </w:r>
        <w:r w:rsidR="00B80BC7">
          <w:rPr>
            <w:rFonts w:asciiTheme="minorHAnsi" w:eastAsiaTheme="minorEastAsia" w:hAnsiTheme="minorHAnsi" w:cstheme="minorBidi"/>
            <w:szCs w:val="22"/>
            <w:lang w:val="en-AU" w:eastAsia="en-AU"/>
          </w:rPr>
          <w:tab/>
        </w:r>
        <w:r w:rsidR="00B80BC7" w:rsidRPr="00944A58">
          <w:rPr>
            <w:rStyle w:val="Hyperlink"/>
          </w:rPr>
          <w:t>Year 1 impact, commercial customers</w:t>
        </w:r>
        <w:r w:rsidR="00B80BC7">
          <w:rPr>
            <w:webHidden/>
          </w:rPr>
          <w:tab/>
        </w:r>
        <w:r w:rsidR="00B80BC7">
          <w:rPr>
            <w:webHidden/>
          </w:rPr>
          <w:fldChar w:fldCharType="begin"/>
        </w:r>
        <w:r w:rsidR="00B80BC7">
          <w:rPr>
            <w:webHidden/>
          </w:rPr>
          <w:instrText xml:space="preserve"> PAGEREF _Toc460572280 \h </w:instrText>
        </w:r>
        <w:r w:rsidR="00B80BC7">
          <w:rPr>
            <w:webHidden/>
          </w:rPr>
        </w:r>
        <w:r w:rsidR="00B80BC7">
          <w:rPr>
            <w:webHidden/>
          </w:rPr>
          <w:fldChar w:fldCharType="separate"/>
        </w:r>
        <w:r w:rsidR="00B80BC7">
          <w:rPr>
            <w:webHidden/>
          </w:rPr>
          <w:t>61</w:t>
        </w:r>
        <w:r w:rsidR="00B80BC7">
          <w:rPr>
            <w:webHidden/>
          </w:rPr>
          <w:fldChar w:fldCharType="end"/>
        </w:r>
      </w:hyperlink>
    </w:p>
    <w:p w:rsidR="00B80BC7" w:rsidRDefault="007B3D81">
      <w:pPr>
        <w:pStyle w:val="TableofFigures"/>
        <w:rPr>
          <w:rFonts w:asciiTheme="minorHAnsi" w:eastAsiaTheme="minorEastAsia" w:hAnsiTheme="minorHAnsi" w:cstheme="minorBidi"/>
          <w:szCs w:val="22"/>
          <w:lang w:val="en-AU" w:eastAsia="en-AU"/>
        </w:rPr>
      </w:pPr>
      <w:hyperlink w:anchor="_Toc460572281" w:history="1">
        <w:r w:rsidR="00B80BC7" w:rsidRPr="00944A58">
          <w:rPr>
            <w:rStyle w:val="Hyperlink"/>
          </w:rPr>
          <w:t>Figure 5.3</w:t>
        </w:r>
        <w:r w:rsidR="00B80BC7">
          <w:rPr>
            <w:rFonts w:asciiTheme="minorHAnsi" w:eastAsiaTheme="minorEastAsia" w:hAnsiTheme="minorHAnsi" w:cstheme="minorBidi"/>
            <w:szCs w:val="22"/>
            <w:lang w:val="en-AU" w:eastAsia="en-AU"/>
          </w:rPr>
          <w:tab/>
        </w:r>
        <w:r w:rsidR="00B80BC7" w:rsidRPr="00944A58">
          <w:rPr>
            <w:rStyle w:val="Hyperlink"/>
          </w:rPr>
          <w:t>ACT billed water sales, actual and forecast, 1999–2000 to 2017–18</w:t>
        </w:r>
        <w:r w:rsidR="00B80BC7">
          <w:rPr>
            <w:webHidden/>
          </w:rPr>
          <w:tab/>
        </w:r>
        <w:r w:rsidR="00B80BC7">
          <w:rPr>
            <w:webHidden/>
          </w:rPr>
          <w:fldChar w:fldCharType="begin"/>
        </w:r>
        <w:r w:rsidR="00B80BC7">
          <w:rPr>
            <w:webHidden/>
          </w:rPr>
          <w:instrText xml:space="preserve"> PAGEREF _Toc460572281 \h </w:instrText>
        </w:r>
        <w:r w:rsidR="00B80BC7">
          <w:rPr>
            <w:webHidden/>
          </w:rPr>
        </w:r>
        <w:r w:rsidR="00B80BC7">
          <w:rPr>
            <w:webHidden/>
          </w:rPr>
          <w:fldChar w:fldCharType="separate"/>
        </w:r>
        <w:r w:rsidR="00B80BC7">
          <w:rPr>
            <w:webHidden/>
          </w:rPr>
          <w:t>63</w:t>
        </w:r>
        <w:r w:rsidR="00B80BC7">
          <w:rPr>
            <w:webHidden/>
          </w:rPr>
          <w:fldChar w:fldCharType="end"/>
        </w:r>
      </w:hyperlink>
    </w:p>
    <w:p w:rsidR="00EA10F4" w:rsidRDefault="00A51443" w:rsidP="00A86285">
      <w:pPr>
        <w:pStyle w:val="References"/>
        <w:rPr>
          <w:lang w:val="en-AU"/>
        </w:rPr>
      </w:pPr>
      <w:r>
        <w:rPr>
          <w:lang w:val="en-AU"/>
        </w:rPr>
        <w:fldChar w:fldCharType="end"/>
      </w:r>
      <w:bookmarkStart w:id="12" w:name="_Toc118359367"/>
      <w:bookmarkStart w:id="13" w:name="_Toc202785427"/>
      <w:bookmarkStart w:id="14" w:name="_Toc260327869"/>
    </w:p>
    <w:p w:rsidR="006C2D0B" w:rsidRPr="001E3780" w:rsidRDefault="006C2D0B" w:rsidP="008A1C91">
      <w:pPr>
        <w:pStyle w:val="References"/>
        <w:rPr>
          <w:rFonts w:ascii="Arial" w:hAnsi="Arial" w:cs="Arial"/>
          <w:b/>
          <w:sz w:val="26"/>
          <w:szCs w:val="26"/>
        </w:rPr>
      </w:pPr>
      <w:r w:rsidRPr="001E3780">
        <w:rPr>
          <w:rFonts w:ascii="Arial" w:hAnsi="Arial" w:cs="Arial"/>
          <w:b/>
          <w:sz w:val="26"/>
          <w:szCs w:val="26"/>
        </w:rPr>
        <w:t>List of boxes</w:t>
      </w:r>
    </w:p>
    <w:p w:rsidR="00B80BC7" w:rsidRDefault="00A51443">
      <w:pPr>
        <w:pStyle w:val="TableofFigures"/>
        <w:rPr>
          <w:rFonts w:asciiTheme="minorHAnsi" w:eastAsiaTheme="minorEastAsia" w:hAnsiTheme="minorHAnsi" w:cstheme="minorBidi"/>
          <w:szCs w:val="22"/>
          <w:lang w:val="en-AU" w:eastAsia="en-AU"/>
        </w:rPr>
      </w:pPr>
      <w:r>
        <w:rPr>
          <w:lang w:val="en-AU"/>
        </w:rPr>
        <w:fldChar w:fldCharType="begin"/>
      </w:r>
      <w:r w:rsidR="006C2D0B">
        <w:rPr>
          <w:lang w:val="en-AU"/>
        </w:rPr>
        <w:instrText xml:space="preserve"> TOC \h \z \c "Box" </w:instrText>
      </w:r>
      <w:r>
        <w:rPr>
          <w:lang w:val="en-AU"/>
        </w:rPr>
        <w:fldChar w:fldCharType="separate"/>
      </w:r>
      <w:hyperlink w:anchor="_Toc460572282" w:history="1">
        <w:r w:rsidR="00B80BC7" w:rsidRPr="00334AD0">
          <w:rPr>
            <w:rStyle w:val="Hyperlink"/>
          </w:rPr>
          <w:t>Box 2.1</w:t>
        </w:r>
        <w:r w:rsidR="00B80BC7">
          <w:rPr>
            <w:rFonts w:asciiTheme="minorHAnsi" w:eastAsiaTheme="minorEastAsia" w:hAnsiTheme="minorHAnsi" w:cstheme="minorBidi"/>
            <w:szCs w:val="22"/>
            <w:lang w:val="en-AU" w:eastAsia="en-AU"/>
          </w:rPr>
          <w:tab/>
        </w:r>
        <w:r w:rsidR="00B80BC7" w:rsidRPr="00334AD0">
          <w:rPr>
            <w:rStyle w:val="Hyperlink"/>
          </w:rPr>
          <w:t>Issues paper proposed overarching efficiency objective</w:t>
        </w:r>
        <w:r w:rsidR="00B80BC7">
          <w:rPr>
            <w:webHidden/>
          </w:rPr>
          <w:tab/>
        </w:r>
        <w:r w:rsidR="00B80BC7">
          <w:rPr>
            <w:webHidden/>
          </w:rPr>
          <w:fldChar w:fldCharType="begin"/>
        </w:r>
        <w:r w:rsidR="00B80BC7">
          <w:rPr>
            <w:webHidden/>
          </w:rPr>
          <w:instrText xml:space="preserve"> PAGEREF _Toc460572282 \h </w:instrText>
        </w:r>
        <w:r w:rsidR="00B80BC7">
          <w:rPr>
            <w:webHidden/>
          </w:rPr>
        </w:r>
        <w:r w:rsidR="00B80BC7">
          <w:rPr>
            <w:webHidden/>
          </w:rPr>
          <w:fldChar w:fldCharType="separate"/>
        </w:r>
        <w:r w:rsidR="00B80BC7">
          <w:rPr>
            <w:webHidden/>
          </w:rPr>
          <w:t>7</w:t>
        </w:r>
        <w:r w:rsidR="00B80BC7">
          <w:rPr>
            <w:webHidden/>
          </w:rPr>
          <w:fldChar w:fldCharType="end"/>
        </w:r>
      </w:hyperlink>
    </w:p>
    <w:p w:rsidR="00B80BC7" w:rsidRDefault="007B3D81">
      <w:pPr>
        <w:pStyle w:val="TableofFigures"/>
        <w:rPr>
          <w:rFonts w:asciiTheme="minorHAnsi" w:eastAsiaTheme="minorEastAsia" w:hAnsiTheme="minorHAnsi" w:cstheme="minorBidi"/>
          <w:szCs w:val="22"/>
          <w:lang w:val="en-AU" w:eastAsia="en-AU"/>
        </w:rPr>
      </w:pPr>
      <w:hyperlink w:anchor="_Toc460572283" w:history="1">
        <w:r w:rsidR="00B80BC7" w:rsidRPr="00334AD0">
          <w:rPr>
            <w:rStyle w:val="Hyperlink"/>
          </w:rPr>
          <w:t>Box 2.2</w:t>
        </w:r>
        <w:r w:rsidR="00B80BC7">
          <w:rPr>
            <w:rFonts w:asciiTheme="minorHAnsi" w:eastAsiaTheme="minorEastAsia" w:hAnsiTheme="minorHAnsi" w:cstheme="minorBidi"/>
            <w:szCs w:val="22"/>
            <w:lang w:val="en-AU" w:eastAsia="en-AU"/>
          </w:rPr>
          <w:tab/>
        </w:r>
        <w:r w:rsidR="00B80BC7" w:rsidRPr="00334AD0">
          <w:rPr>
            <w:rStyle w:val="Hyperlink"/>
          </w:rPr>
          <w:t>Draft overarching efficiency objective</w:t>
        </w:r>
        <w:r w:rsidR="00B80BC7">
          <w:rPr>
            <w:webHidden/>
          </w:rPr>
          <w:tab/>
        </w:r>
        <w:r w:rsidR="00B80BC7">
          <w:rPr>
            <w:webHidden/>
          </w:rPr>
          <w:fldChar w:fldCharType="begin"/>
        </w:r>
        <w:r w:rsidR="00B80BC7">
          <w:rPr>
            <w:webHidden/>
          </w:rPr>
          <w:instrText xml:space="preserve"> PAGEREF _Toc460572283 \h </w:instrText>
        </w:r>
        <w:r w:rsidR="00B80BC7">
          <w:rPr>
            <w:webHidden/>
          </w:rPr>
        </w:r>
        <w:r w:rsidR="00B80BC7">
          <w:rPr>
            <w:webHidden/>
          </w:rPr>
          <w:fldChar w:fldCharType="separate"/>
        </w:r>
        <w:r w:rsidR="00B80BC7">
          <w:rPr>
            <w:webHidden/>
          </w:rPr>
          <w:t>9</w:t>
        </w:r>
        <w:r w:rsidR="00B80BC7">
          <w:rPr>
            <w:webHidden/>
          </w:rPr>
          <w:fldChar w:fldCharType="end"/>
        </w:r>
      </w:hyperlink>
    </w:p>
    <w:p w:rsidR="00B80BC7" w:rsidRDefault="007B3D81">
      <w:pPr>
        <w:pStyle w:val="TableofFigures"/>
        <w:rPr>
          <w:rFonts w:asciiTheme="minorHAnsi" w:eastAsiaTheme="minorEastAsia" w:hAnsiTheme="minorHAnsi" w:cstheme="minorBidi"/>
          <w:szCs w:val="22"/>
          <w:lang w:val="en-AU" w:eastAsia="en-AU"/>
        </w:rPr>
      </w:pPr>
      <w:hyperlink w:anchor="_Toc460572284" w:history="1">
        <w:r w:rsidR="00B80BC7" w:rsidRPr="00334AD0">
          <w:rPr>
            <w:rStyle w:val="Hyperlink"/>
          </w:rPr>
          <w:t>Box 2.3</w:t>
        </w:r>
        <w:r w:rsidR="00B80BC7">
          <w:rPr>
            <w:rFonts w:asciiTheme="minorHAnsi" w:eastAsiaTheme="minorEastAsia" w:hAnsiTheme="minorHAnsi" w:cstheme="minorBidi"/>
            <w:szCs w:val="22"/>
            <w:lang w:val="en-AU" w:eastAsia="en-AU"/>
          </w:rPr>
          <w:tab/>
        </w:r>
        <w:r w:rsidR="00B80BC7" w:rsidRPr="00334AD0">
          <w:rPr>
            <w:rStyle w:val="Hyperlink"/>
          </w:rPr>
          <w:t>Issues paper proposed pricing principles</w:t>
        </w:r>
        <w:r w:rsidR="00B80BC7">
          <w:rPr>
            <w:webHidden/>
          </w:rPr>
          <w:tab/>
        </w:r>
        <w:r w:rsidR="00B80BC7">
          <w:rPr>
            <w:webHidden/>
          </w:rPr>
          <w:fldChar w:fldCharType="begin"/>
        </w:r>
        <w:r w:rsidR="00B80BC7">
          <w:rPr>
            <w:webHidden/>
          </w:rPr>
          <w:instrText xml:space="preserve"> PAGEREF _Toc460572284 \h </w:instrText>
        </w:r>
        <w:r w:rsidR="00B80BC7">
          <w:rPr>
            <w:webHidden/>
          </w:rPr>
        </w:r>
        <w:r w:rsidR="00B80BC7">
          <w:rPr>
            <w:webHidden/>
          </w:rPr>
          <w:fldChar w:fldCharType="separate"/>
        </w:r>
        <w:r w:rsidR="00B80BC7">
          <w:rPr>
            <w:webHidden/>
          </w:rPr>
          <w:t>10</w:t>
        </w:r>
        <w:r w:rsidR="00B80BC7">
          <w:rPr>
            <w:webHidden/>
          </w:rPr>
          <w:fldChar w:fldCharType="end"/>
        </w:r>
      </w:hyperlink>
    </w:p>
    <w:p w:rsidR="00B80BC7" w:rsidRDefault="007B3D81">
      <w:pPr>
        <w:pStyle w:val="TableofFigures"/>
        <w:rPr>
          <w:rFonts w:asciiTheme="minorHAnsi" w:eastAsiaTheme="minorEastAsia" w:hAnsiTheme="minorHAnsi" w:cstheme="minorBidi"/>
          <w:szCs w:val="22"/>
          <w:lang w:val="en-AU" w:eastAsia="en-AU"/>
        </w:rPr>
      </w:pPr>
      <w:hyperlink w:anchor="_Toc460572285" w:history="1">
        <w:r w:rsidR="00B80BC7" w:rsidRPr="00334AD0">
          <w:rPr>
            <w:rStyle w:val="Hyperlink"/>
          </w:rPr>
          <w:t>Box 2.4</w:t>
        </w:r>
        <w:r w:rsidR="00B80BC7">
          <w:rPr>
            <w:rFonts w:asciiTheme="minorHAnsi" w:eastAsiaTheme="minorEastAsia" w:hAnsiTheme="minorHAnsi" w:cstheme="minorBidi"/>
            <w:szCs w:val="22"/>
            <w:lang w:val="en-AU" w:eastAsia="en-AU"/>
          </w:rPr>
          <w:tab/>
        </w:r>
        <w:r w:rsidR="00B80BC7" w:rsidRPr="00334AD0">
          <w:rPr>
            <w:rStyle w:val="Hyperlink"/>
          </w:rPr>
          <w:t>New cost-benefit pricing principle</w:t>
        </w:r>
        <w:r w:rsidR="00B80BC7">
          <w:rPr>
            <w:webHidden/>
          </w:rPr>
          <w:tab/>
        </w:r>
        <w:r w:rsidR="00B80BC7">
          <w:rPr>
            <w:webHidden/>
          </w:rPr>
          <w:fldChar w:fldCharType="begin"/>
        </w:r>
        <w:r w:rsidR="00B80BC7">
          <w:rPr>
            <w:webHidden/>
          </w:rPr>
          <w:instrText xml:space="preserve"> PAGEREF _Toc460572285 \h </w:instrText>
        </w:r>
        <w:r w:rsidR="00B80BC7">
          <w:rPr>
            <w:webHidden/>
          </w:rPr>
        </w:r>
        <w:r w:rsidR="00B80BC7">
          <w:rPr>
            <w:webHidden/>
          </w:rPr>
          <w:fldChar w:fldCharType="separate"/>
        </w:r>
        <w:r w:rsidR="00B80BC7">
          <w:rPr>
            <w:webHidden/>
          </w:rPr>
          <w:t>11</w:t>
        </w:r>
        <w:r w:rsidR="00B80BC7">
          <w:rPr>
            <w:webHidden/>
          </w:rPr>
          <w:fldChar w:fldCharType="end"/>
        </w:r>
      </w:hyperlink>
    </w:p>
    <w:p w:rsidR="00B80BC7" w:rsidRDefault="007B3D81">
      <w:pPr>
        <w:pStyle w:val="TableofFigures"/>
        <w:rPr>
          <w:rFonts w:asciiTheme="minorHAnsi" w:eastAsiaTheme="minorEastAsia" w:hAnsiTheme="minorHAnsi" w:cstheme="minorBidi"/>
          <w:szCs w:val="22"/>
          <w:lang w:val="en-AU" w:eastAsia="en-AU"/>
        </w:rPr>
      </w:pPr>
      <w:hyperlink w:anchor="_Toc460572286" w:history="1">
        <w:r w:rsidR="00B80BC7" w:rsidRPr="00334AD0">
          <w:rPr>
            <w:rStyle w:val="Hyperlink"/>
          </w:rPr>
          <w:t>Box 2.5</w:t>
        </w:r>
        <w:r w:rsidR="00B80BC7">
          <w:rPr>
            <w:rFonts w:asciiTheme="minorHAnsi" w:eastAsiaTheme="minorEastAsia" w:hAnsiTheme="minorHAnsi" w:cstheme="minorBidi"/>
            <w:szCs w:val="22"/>
            <w:lang w:val="en-AU" w:eastAsia="en-AU"/>
          </w:rPr>
          <w:tab/>
        </w:r>
        <w:r w:rsidR="00B80BC7" w:rsidRPr="00334AD0">
          <w:rPr>
            <w:rStyle w:val="Hyperlink"/>
          </w:rPr>
          <w:t>Additional tariff differentiation principle</w:t>
        </w:r>
        <w:r w:rsidR="00B80BC7">
          <w:rPr>
            <w:webHidden/>
          </w:rPr>
          <w:tab/>
        </w:r>
        <w:r w:rsidR="00B80BC7">
          <w:rPr>
            <w:webHidden/>
          </w:rPr>
          <w:fldChar w:fldCharType="begin"/>
        </w:r>
        <w:r w:rsidR="00B80BC7">
          <w:rPr>
            <w:webHidden/>
          </w:rPr>
          <w:instrText xml:space="preserve"> PAGEREF _Toc460572286 \h </w:instrText>
        </w:r>
        <w:r w:rsidR="00B80BC7">
          <w:rPr>
            <w:webHidden/>
          </w:rPr>
        </w:r>
        <w:r w:rsidR="00B80BC7">
          <w:rPr>
            <w:webHidden/>
          </w:rPr>
          <w:fldChar w:fldCharType="separate"/>
        </w:r>
        <w:r w:rsidR="00B80BC7">
          <w:rPr>
            <w:webHidden/>
          </w:rPr>
          <w:t>13</w:t>
        </w:r>
        <w:r w:rsidR="00B80BC7">
          <w:rPr>
            <w:webHidden/>
          </w:rPr>
          <w:fldChar w:fldCharType="end"/>
        </w:r>
      </w:hyperlink>
    </w:p>
    <w:p w:rsidR="00B80BC7" w:rsidRDefault="007B3D81">
      <w:pPr>
        <w:pStyle w:val="TableofFigures"/>
        <w:rPr>
          <w:rFonts w:asciiTheme="minorHAnsi" w:eastAsiaTheme="minorEastAsia" w:hAnsiTheme="minorHAnsi" w:cstheme="minorBidi"/>
          <w:szCs w:val="22"/>
          <w:lang w:val="en-AU" w:eastAsia="en-AU"/>
        </w:rPr>
      </w:pPr>
      <w:hyperlink w:anchor="_Toc460572287" w:history="1">
        <w:r w:rsidR="00B80BC7" w:rsidRPr="00334AD0">
          <w:rPr>
            <w:rStyle w:val="Hyperlink"/>
          </w:rPr>
          <w:t>Box A2.1</w:t>
        </w:r>
        <w:r w:rsidR="00B80BC7">
          <w:rPr>
            <w:rFonts w:asciiTheme="minorHAnsi" w:eastAsiaTheme="minorEastAsia" w:hAnsiTheme="minorHAnsi" w:cstheme="minorBidi"/>
            <w:szCs w:val="22"/>
            <w:lang w:val="en-AU" w:eastAsia="en-AU"/>
          </w:rPr>
          <w:tab/>
        </w:r>
        <w:r w:rsidR="00B80BC7" w:rsidRPr="00334AD0">
          <w:rPr>
            <w:rStyle w:val="Hyperlink"/>
          </w:rPr>
          <w:t>National Water Initiative urban water price-setting principles</w:t>
        </w:r>
        <w:r w:rsidR="00B80BC7">
          <w:rPr>
            <w:webHidden/>
          </w:rPr>
          <w:tab/>
        </w:r>
        <w:r w:rsidR="00B80BC7">
          <w:rPr>
            <w:webHidden/>
          </w:rPr>
          <w:fldChar w:fldCharType="begin"/>
        </w:r>
        <w:r w:rsidR="00B80BC7">
          <w:rPr>
            <w:webHidden/>
          </w:rPr>
          <w:instrText xml:space="preserve"> PAGEREF _Toc460572287 \h </w:instrText>
        </w:r>
        <w:r w:rsidR="00B80BC7">
          <w:rPr>
            <w:webHidden/>
          </w:rPr>
        </w:r>
        <w:r w:rsidR="00B80BC7">
          <w:rPr>
            <w:webHidden/>
          </w:rPr>
          <w:fldChar w:fldCharType="separate"/>
        </w:r>
        <w:r w:rsidR="00B80BC7">
          <w:rPr>
            <w:webHidden/>
          </w:rPr>
          <w:t>72</w:t>
        </w:r>
        <w:r w:rsidR="00B80BC7">
          <w:rPr>
            <w:webHidden/>
          </w:rPr>
          <w:fldChar w:fldCharType="end"/>
        </w:r>
      </w:hyperlink>
    </w:p>
    <w:p w:rsidR="00B1692C" w:rsidRDefault="00A51443" w:rsidP="008A1C91">
      <w:pPr>
        <w:pStyle w:val="References"/>
      </w:pPr>
      <w:r>
        <w:rPr>
          <w:lang w:val="en-AU"/>
        </w:rPr>
        <w:fldChar w:fldCharType="end"/>
      </w:r>
    </w:p>
    <w:p w:rsidR="00440F18" w:rsidRDefault="00440F18" w:rsidP="00440F18">
      <w:pPr>
        <w:rPr>
          <w:sz w:val="24"/>
          <w:szCs w:val="24"/>
          <w:lang w:val="en-AU"/>
        </w:rPr>
      </w:pPr>
    </w:p>
    <w:p w:rsidR="00440F18" w:rsidRDefault="00440F18" w:rsidP="00440F18">
      <w:pPr>
        <w:rPr>
          <w:sz w:val="24"/>
          <w:szCs w:val="24"/>
          <w:lang w:val="en-AU"/>
        </w:rPr>
        <w:sectPr w:rsidR="00440F18" w:rsidSect="00174668">
          <w:headerReference w:type="even" r:id="rId26"/>
          <w:headerReference w:type="default" r:id="rId27"/>
          <w:endnotePr>
            <w:numFmt w:val="decimal"/>
          </w:endnotePr>
          <w:type w:val="continuous"/>
          <w:pgSz w:w="11907" w:h="16840" w:code="9"/>
          <w:pgMar w:top="2268" w:right="2098" w:bottom="1701" w:left="2098" w:header="578" w:footer="578" w:gutter="0"/>
          <w:pgNumType w:fmt="lowerRoman"/>
          <w:cols w:space="720"/>
          <w:docGrid w:linePitch="299"/>
        </w:sectPr>
      </w:pPr>
    </w:p>
    <w:p w:rsidR="00440F18" w:rsidRDefault="009B775D" w:rsidP="00440F18">
      <w:pPr>
        <w:pStyle w:val="Heading1a"/>
        <w:sectPr w:rsidR="00440F18" w:rsidSect="005F1A78">
          <w:headerReference w:type="default" r:id="rId28"/>
          <w:endnotePr>
            <w:numFmt w:val="decimal"/>
          </w:endnotePr>
          <w:type w:val="oddPage"/>
          <w:pgSz w:w="11907" w:h="16840" w:code="9"/>
          <w:pgMar w:top="2268" w:right="2098" w:bottom="1701" w:left="2098" w:header="578" w:footer="578" w:gutter="0"/>
          <w:pgNumType w:fmt="lowerRoman"/>
          <w:cols w:space="720"/>
          <w:docGrid w:linePitch="299"/>
        </w:sectPr>
      </w:pPr>
      <w:bookmarkStart w:id="15" w:name="_Toc380050991"/>
      <w:bookmarkStart w:id="16" w:name="_Toc460572201"/>
      <w:r>
        <w:lastRenderedPageBreak/>
        <w:t>Main conclusions</w:t>
      </w:r>
      <w:bookmarkEnd w:id="15"/>
      <w:bookmarkEnd w:id="16"/>
    </w:p>
    <w:p w:rsidR="002C5B3E" w:rsidRDefault="002C5B3E" w:rsidP="002C5B3E">
      <w:pPr>
        <w:pStyle w:val="Heading4"/>
      </w:pPr>
      <w:r>
        <w:t>Introduction</w:t>
      </w:r>
    </w:p>
    <w:p w:rsidR="002C5B3E" w:rsidRPr="003949F4" w:rsidRDefault="002C5B3E" w:rsidP="003949F4">
      <w:r w:rsidRPr="00ED36C4">
        <w:t xml:space="preserve">This draft report sets out, for public comment, the Commission’s draft position on whether Icon Water’s current water and sewerage services tariff structures will continue to deliver the best </w:t>
      </w:r>
      <w:r w:rsidRPr="003949F4">
        <w:t>outcome for the ACT community</w:t>
      </w:r>
      <w:r w:rsidR="004E5B58">
        <w:t>. W</w:t>
      </w:r>
      <w:r w:rsidRPr="003949F4">
        <w:t xml:space="preserve">here required, </w:t>
      </w:r>
      <w:r w:rsidR="004E5B58">
        <w:t xml:space="preserve">it also </w:t>
      </w:r>
      <w:r w:rsidRPr="003949F4">
        <w:t>presents an alternative structure that the Commission believes will deliver a better outcome.</w:t>
      </w:r>
    </w:p>
    <w:p w:rsidR="00440F18" w:rsidRPr="000F5232" w:rsidRDefault="003629D4" w:rsidP="00EF2F36">
      <w:pPr>
        <w:pStyle w:val="Heading4"/>
      </w:pPr>
      <w:r>
        <w:t>Water</w:t>
      </w:r>
    </w:p>
    <w:p w:rsidR="00BC0484" w:rsidRDefault="00BC0484" w:rsidP="00EF2F36">
      <w:pPr>
        <w:pStyle w:val="Heading5"/>
      </w:pPr>
      <w:r>
        <w:t>The current tariff structure</w:t>
      </w:r>
      <w:r w:rsidR="00E168EE">
        <w:t xml:space="preserve"> and the Millennium Drought </w:t>
      </w:r>
    </w:p>
    <w:p w:rsidR="00B63A3F" w:rsidRDefault="003629D4" w:rsidP="004C2313">
      <w:r>
        <w:t xml:space="preserve">The current ACT water tariff structure comprises an annual </w:t>
      </w:r>
      <w:r w:rsidR="00222C46">
        <w:t xml:space="preserve">connection or </w:t>
      </w:r>
      <w:r>
        <w:t>supply charge and a two-tier usage charge with a lower price for the first 200 kilolitres (kL) of water use and a higher water price for water used above that level. The current supply charge is $</w:t>
      </w:r>
      <w:r w:rsidR="00F361AA">
        <w:t>101.48 per year. The current usage charges are $2.61 per kL for the first tier and $5.24 per kL</w:t>
      </w:r>
      <w:r w:rsidR="004F6B2D">
        <w:t xml:space="preserve"> </w:t>
      </w:r>
      <w:r w:rsidR="00F361AA">
        <w:t>for the second</w:t>
      </w:r>
      <w:r w:rsidR="005C16E8">
        <w:t xml:space="preserve"> tier</w:t>
      </w:r>
      <w:r w:rsidR="00F361AA">
        <w:t>.</w:t>
      </w:r>
      <w:r w:rsidR="00B63A3F">
        <w:t xml:space="preserve"> At th</w:t>
      </w:r>
      <w:r w:rsidR="00222C46">
        <w:t xml:space="preserve">is </w:t>
      </w:r>
      <w:r w:rsidR="00B63A3F">
        <w:t xml:space="preserve">level of prices, Icon Water recovers about 10 per cent of its water revenue from the </w:t>
      </w:r>
      <w:r w:rsidR="00B14BFA">
        <w:t>supply</w:t>
      </w:r>
      <w:r w:rsidR="00B63A3F">
        <w:t xml:space="preserve"> charge, with the remaining 90 per cent recovered from </w:t>
      </w:r>
      <w:r w:rsidR="00F23B82">
        <w:t xml:space="preserve">usage </w:t>
      </w:r>
      <w:r w:rsidR="00B63A3F">
        <w:t>charges.</w:t>
      </w:r>
    </w:p>
    <w:p w:rsidR="003629D4" w:rsidRDefault="00A315F3" w:rsidP="004C2313">
      <w:r>
        <w:fldChar w:fldCharType="begin"/>
      </w:r>
      <w:r>
        <w:instrText xml:space="preserve"> REF _Ref460317823 \h </w:instrText>
      </w:r>
      <w:r>
        <w:fldChar w:fldCharType="separate"/>
      </w:r>
      <w:r w:rsidR="00B80BC7" w:rsidRPr="00E33D9E">
        <w:t>Figure</w:t>
      </w:r>
      <w:r w:rsidR="00B80BC7">
        <w:t xml:space="preserve"> ES</w:t>
      </w:r>
      <w:r w:rsidR="00B80BC7" w:rsidRPr="00E33D9E">
        <w:t>.</w:t>
      </w:r>
      <w:r w:rsidR="00B80BC7">
        <w:rPr>
          <w:noProof/>
        </w:rPr>
        <w:t>1</w:t>
      </w:r>
      <w:r>
        <w:fldChar w:fldCharType="end"/>
      </w:r>
      <w:r>
        <w:t xml:space="preserve"> and </w:t>
      </w:r>
      <w:r>
        <w:fldChar w:fldCharType="begin"/>
      </w:r>
      <w:r>
        <w:instrText xml:space="preserve"> REF _Ref460317846 \h </w:instrText>
      </w:r>
      <w:r>
        <w:fldChar w:fldCharType="separate"/>
      </w:r>
      <w:r w:rsidR="00B80BC7" w:rsidRPr="00E33D9E">
        <w:t>Figure</w:t>
      </w:r>
      <w:r w:rsidR="00B80BC7">
        <w:t xml:space="preserve"> ES</w:t>
      </w:r>
      <w:r w:rsidR="00B80BC7" w:rsidRPr="00E33D9E">
        <w:t>.</w:t>
      </w:r>
      <w:r w:rsidR="00B80BC7">
        <w:rPr>
          <w:noProof/>
        </w:rPr>
        <w:t>2</w:t>
      </w:r>
      <w:r>
        <w:fldChar w:fldCharType="end"/>
      </w:r>
      <w:r w:rsidR="00410EDE">
        <w:t xml:space="preserve"> show a comparison between Icon Water’s </w:t>
      </w:r>
      <w:r>
        <w:t xml:space="preserve">residential </w:t>
      </w:r>
      <w:r w:rsidR="00410EDE">
        <w:t>water tariff structure and arrangements for a number of utilities in other jurisdictions. Icon Water’s Tier 2 charge is the highest and its supply charge amongst the lowest.</w:t>
      </w:r>
    </w:p>
    <w:p w:rsidR="00EB0E18" w:rsidRDefault="00EB0E18" w:rsidP="00EB0E18">
      <w:pPr>
        <w:pStyle w:val="FigureName0"/>
      </w:pPr>
      <w:bookmarkStart w:id="17" w:name="_Ref460317823"/>
      <w:bookmarkStart w:id="18" w:name="_Toc460572260"/>
      <w:r w:rsidRPr="00E33D9E">
        <w:t>Figure</w:t>
      </w:r>
      <w:r>
        <w:t xml:space="preserve"> ES</w:t>
      </w:r>
      <w:r w:rsidRPr="00E33D9E">
        <w:t>.</w:t>
      </w:r>
      <w:r w:rsidRPr="00E33D9E">
        <w:fldChar w:fldCharType="begin"/>
      </w:r>
      <w:r w:rsidRPr="00E33D9E">
        <w:instrText xml:space="preserve"> SEQ Figure \* ARABIC \s 1 </w:instrText>
      </w:r>
      <w:r w:rsidRPr="00E33D9E">
        <w:fldChar w:fldCharType="separate"/>
      </w:r>
      <w:r w:rsidR="00B80BC7">
        <w:rPr>
          <w:noProof/>
        </w:rPr>
        <w:t>1</w:t>
      </w:r>
      <w:r w:rsidRPr="00E33D9E">
        <w:fldChar w:fldCharType="end"/>
      </w:r>
      <w:bookmarkEnd w:id="17"/>
      <w:r>
        <w:tab/>
        <w:t xml:space="preserve">Residential </w:t>
      </w:r>
      <w:r w:rsidR="0054650B">
        <w:t xml:space="preserve">water supply </w:t>
      </w:r>
      <w:r>
        <w:t>charges by utility, 2016</w:t>
      </w:r>
      <w:r>
        <w:sym w:font="Symbol" w:char="F02D"/>
      </w:r>
      <w:r>
        <w:t>17</w:t>
      </w:r>
      <w:bookmarkEnd w:id="18"/>
    </w:p>
    <w:p w:rsidR="00EB0E18" w:rsidRDefault="001F518C" w:rsidP="00EB0E18">
      <w:pPr>
        <w:pStyle w:val="TableNotesLast0"/>
        <w:keepNext/>
      </w:pPr>
      <w:r>
        <w:rPr>
          <w:noProof/>
          <w:lang w:val="en-AU" w:eastAsia="en-AU"/>
        </w:rPr>
        <w:drawing>
          <wp:inline distT="0" distB="0" distL="0" distR="0" wp14:anchorId="6E4A3A2E" wp14:editId="30A6F0C5">
            <wp:extent cx="4896485" cy="2661285"/>
            <wp:effectExtent l="0" t="0" r="18415" b="5715"/>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B0E18" w:rsidRDefault="00EB0E18" w:rsidP="00EB0E18">
      <w:pPr>
        <w:pStyle w:val="TableNotesLast0"/>
        <w:keepNext/>
      </w:pPr>
      <w:r>
        <w:t>Source:</w:t>
      </w:r>
      <w:r>
        <w:tab/>
      </w:r>
      <w:r>
        <w:fldChar w:fldCharType="begin"/>
      </w:r>
      <w:r>
        <w:instrText xml:space="preserve"> REF _Ref459984914 \r \h </w:instrText>
      </w:r>
      <w:r>
        <w:fldChar w:fldCharType="separate"/>
      </w:r>
      <w:r w:rsidR="00B80BC7">
        <w:t>Appendix 3</w:t>
      </w:r>
      <w:r>
        <w:fldChar w:fldCharType="end"/>
      </w:r>
      <w:r>
        <w:t>.</w:t>
      </w:r>
    </w:p>
    <w:p w:rsidR="00EB0E18" w:rsidRDefault="00EB0E18" w:rsidP="004C2313"/>
    <w:p w:rsidR="00EB0E18" w:rsidRDefault="00EB0E18" w:rsidP="004C2313"/>
    <w:p w:rsidR="00EB0E18" w:rsidRDefault="00EB0E18" w:rsidP="00EB0E18">
      <w:pPr>
        <w:pStyle w:val="FigureName0"/>
      </w:pPr>
      <w:bookmarkStart w:id="19" w:name="_Ref460317846"/>
      <w:bookmarkStart w:id="20" w:name="_Toc460572261"/>
      <w:r w:rsidRPr="00E33D9E">
        <w:lastRenderedPageBreak/>
        <w:t>Figure</w:t>
      </w:r>
      <w:r>
        <w:t xml:space="preserve"> ES</w:t>
      </w:r>
      <w:r w:rsidRPr="00E33D9E">
        <w:t>.</w:t>
      </w:r>
      <w:r w:rsidRPr="00E33D9E">
        <w:fldChar w:fldCharType="begin"/>
      </w:r>
      <w:r w:rsidRPr="00E33D9E">
        <w:instrText xml:space="preserve"> SEQ Figure \* ARABIC \s 1 </w:instrText>
      </w:r>
      <w:r w:rsidRPr="00E33D9E">
        <w:fldChar w:fldCharType="separate"/>
      </w:r>
      <w:r w:rsidR="00B80BC7">
        <w:rPr>
          <w:noProof/>
        </w:rPr>
        <w:t>2</w:t>
      </w:r>
      <w:r w:rsidRPr="00E33D9E">
        <w:fldChar w:fldCharType="end"/>
      </w:r>
      <w:bookmarkEnd w:id="19"/>
      <w:r>
        <w:tab/>
        <w:t xml:space="preserve">Residential </w:t>
      </w:r>
      <w:r w:rsidR="0054650B">
        <w:t xml:space="preserve">water </w:t>
      </w:r>
      <w:r>
        <w:t>usage charges by utility, 2016</w:t>
      </w:r>
      <w:r>
        <w:sym w:font="Symbol" w:char="F02D"/>
      </w:r>
      <w:r>
        <w:t>17</w:t>
      </w:r>
      <w:bookmarkEnd w:id="20"/>
    </w:p>
    <w:p w:rsidR="00EB0E18" w:rsidRDefault="00EB0E18" w:rsidP="00EB0E18">
      <w:pPr>
        <w:pStyle w:val="TableNotesLast0"/>
        <w:keepNext/>
      </w:pPr>
      <w:r>
        <w:rPr>
          <w:noProof/>
          <w:lang w:val="en-AU" w:eastAsia="en-AU"/>
        </w:rPr>
        <w:drawing>
          <wp:inline distT="0" distB="0" distL="0" distR="0" wp14:anchorId="0F6F8B5D" wp14:editId="45422170">
            <wp:extent cx="4896485" cy="2468245"/>
            <wp:effectExtent l="0" t="0" r="18415" b="825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B0E18" w:rsidRDefault="00EB0E18" w:rsidP="00EB0E18">
      <w:pPr>
        <w:pStyle w:val="TableNotesLast0"/>
        <w:keepNext/>
      </w:pPr>
      <w:r>
        <w:t>Source:</w:t>
      </w:r>
      <w:r>
        <w:tab/>
      </w:r>
      <w:r>
        <w:fldChar w:fldCharType="begin"/>
      </w:r>
      <w:r>
        <w:instrText xml:space="preserve"> REF _Ref459984914 \r \h </w:instrText>
      </w:r>
      <w:r>
        <w:fldChar w:fldCharType="separate"/>
      </w:r>
      <w:r w:rsidR="00B80BC7">
        <w:t>Appendix 3</w:t>
      </w:r>
      <w:r>
        <w:fldChar w:fldCharType="end"/>
      </w:r>
      <w:r>
        <w:t>.</w:t>
      </w:r>
    </w:p>
    <w:p w:rsidR="006C70D7" w:rsidRDefault="00280FA5" w:rsidP="004C2313">
      <w:r>
        <w:t xml:space="preserve">Icon Water’s </w:t>
      </w:r>
      <w:r w:rsidR="002D1BBB">
        <w:t xml:space="preserve">inclining block </w:t>
      </w:r>
      <w:r w:rsidR="005C16E8">
        <w:t xml:space="preserve">tariff </w:t>
      </w:r>
      <w:r w:rsidR="004F6B2D">
        <w:t xml:space="preserve">structure was introduced </w:t>
      </w:r>
      <w:r w:rsidR="00460647">
        <w:t xml:space="preserve">during </w:t>
      </w:r>
      <w:r w:rsidR="004F6B2D">
        <w:t xml:space="preserve">the Millennium Drought, which affected southeast Australia from about 1997 to 2009. </w:t>
      </w:r>
      <w:r w:rsidR="005C16E8">
        <w:t xml:space="preserve">This period was characterised by </w:t>
      </w:r>
      <w:r w:rsidR="00DC5986">
        <w:t xml:space="preserve">very </w:t>
      </w:r>
      <w:r w:rsidR="005C16E8">
        <w:t xml:space="preserve">low inflows to ACT dam catchments, </w:t>
      </w:r>
      <w:r w:rsidR="002F2A28">
        <w:t xml:space="preserve">due to low rainfall and </w:t>
      </w:r>
      <w:r w:rsidR="004B5D54">
        <w:t xml:space="preserve">the </w:t>
      </w:r>
      <w:r w:rsidR="002F2A28">
        <w:t xml:space="preserve">impact of the 2003 bushfires </w:t>
      </w:r>
      <w:r w:rsidR="004B5D54">
        <w:t>which reduced dam inflows even in years of reasonable rainfall</w:t>
      </w:r>
      <w:r w:rsidR="002F2A28">
        <w:t>.</w:t>
      </w:r>
      <w:r w:rsidR="002D1BBB">
        <w:t xml:space="preserve"> C</w:t>
      </w:r>
      <w:r w:rsidR="005C16E8">
        <w:t xml:space="preserve">oupled with fairly high per capita water consumption, </w:t>
      </w:r>
      <w:r w:rsidR="002D1BBB">
        <w:t xml:space="preserve">this </w:t>
      </w:r>
      <w:r w:rsidR="005C16E8">
        <w:t xml:space="preserve">resulted in </w:t>
      </w:r>
      <w:r w:rsidR="00242334">
        <w:t xml:space="preserve">rapidly diminishing water supplies </w:t>
      </w:r>
      <w:r w:rsidR="00B82241">
        <w:t xml:space="preserve">with combined dam </w:t>
      </w:r>
      <w:r w:rsidR="00C63E00">
        <w:t xml:space="preserve">levels </w:t>
      </w:r>
      <w:r w:rsidR="00B82241">
        <w:t>falling to a low of 31 per cent by mid-2007.</w:t>
      </w:r>
    </w:p>
    <w:p w:rsidR="005C16E8" w:rsidRDefault="00B82241" w:rsidP="004C2313">
      <w:r>
        <w:t>Th</w:t>
      </w:r>
      <w:r w:rsidR="00023361">
        <w:t>e</w:t>
      </w:r>
      <w:r>
        <w:t xml:space="preserve"> dire water security situation </w:t>
      </w:r>
      <w:r w:rsidR="00242334">
        <w:t xml:space="preserve">drew </w:t>
      </w:r>
      <w:r>
        <w:t xml:space="preserve">a short-term response </w:t>
      </w:r>
      <w:r w:rsidR="00242334">
        <w:t>in the form of</w:t>
      </w:r>
      <w:r w:rsidR="005C16E8">
        <w:t xml:space="preserve"> temporary water restrictions</w:t>
      </w:r>
      <w:r w:rsidR="00DC5986">
        <w:t xml:space="preserve">, </w:t>
      </w:r>
      <w:r w:rsidR="00242334">
        <w:t xml:space="preserve">with severe Stage 3 restrictions in place from </w:t>
      </w:r>
      <w:r w:rsidR="009532E8">
        <w:t>Dec</w:t>
      </w:r>
      <w:r w:rsidR="00242334">
        <w:t xml:space="preserve">ember 2006 to August 2010. </w:t>
      </w:r>
      <w:r w:rsidR="00723A3E">
        <w:t xml:space="preserve">As a longer-term measure, Icon Water </w:t>
      </w:r>
      <w:r w:rsidR="003C4553">
        <w:t xml:space="preserve">embarked on </w:t>
      </w:r>
      <w:r w:rsidR="00723A3E">
        <w:t xml:space="preserve">a </w:t>
      </w:r>
      <w:r w:rsidR="00460647">
        <w:t xml:space="preserve">substantial investment </w:t>
      </w:r>
      <w:r w:rsidR="00DC5986">
        <w:t xml:space="preserve">programme to </w:t>
      </w:r>
      <w:r w:rsidR="00460647">
        <w:t>augment Canberra’s water supply</w:t>
      </w:r>
      <w:r w:rsidR="005C16E8">
        <w:t>.</w:t>
      </w:r>
      <w:r w:rsidR="001354F6">
        <w:t xml:space="preserve"> The key projects were the enlargement of the Cotter Dam from 4 gigalitres (GL) to 7</w:t>
      </w:r>
      <w:r w:rsidR="00A2081C">
        <w:t>6</w:t>
      </w:r>
      <w:r w:rsidR="001354F6">
        <w:t xml:space="preserve"> GL</w:t>
      </w:r>
      <w:r w:rsidR="006C70D7">
        <w:t xml:space="preserve"> and </w:t>
      </w:r>
      <w:r w:rsidR="001354F6">
        <w:t xml:space="preserve">the construction of the Murrumbidgee to Googong </w:t>
      </w:r>
      <w:r w:rsidR="006C70D7">
        <w:t xml:space="preserve">Dam </w:t>
      </w:r>
      <w:r w:rsidR="001354F6">
        <w:t>pipeline</w:t>
      </w:r>
      <w:r w:rsidR="009F4733">
        <w:t xml:space="preserve"> </w:t>
      </w:r>
      <w:r w:rsidR="006C70D7">
        <w:t>to transfer water directly from the Murrumbidgee River to the Googong Dam</w:t>
      </w:r>
      <w:r w:rsidR="001354F6">
        <w:t>.</w:t>
      </w:r>
    </w:p>
    <w:p w:rsidR="00BE2C7E" w:rsidRDefault="005C16E8" w:rsidP="004C2313">
      <w:r>
        <w:t>Given the water security situation</w:t>
      </w:r>
      <w:r w:rsidR="002D1BBB">
        <w:t xml:space="preserve"> at the time</w:t>
      </w:r>
      <w:r>
        <w:t xml:space="preserve">, an inclining block structure, </w:t>
      </w:r>
      <w:r w:rsidR="007C4CFB">
        <w:t xml:space="preserve">especially with </w:t>
      </w:r>
      <w:r w:rsidR="001354F6">
        <w:t xml:space="preserve">a </w:t>
      </w:r>
      <w:r w:rsidR="00426ED3">
        <w:t xml:space="preserve">usage charge </w:t>
      </w:r>
      <w:r w:rsidR="004F6B2D">
        <w:t xml:space="preserve">doubling </w:t>
      </w:r>
      <w:r>
        <w:t xml:space="preserve">for the higher tier, made sense as a relatively blunt instrument </w:t>
      </w:r>
      <w:r w:rsidR="007C4CFB">
        <w:t xml:space="preserve">intended </w:t>
      </w:r>
      <w:r w:rsidR="00BE2C7E">
        <w:t xml:space="preserve">to discourage </w:t>
      </w:r>
      <w:r w:rsidR="004F6B2D">
        <w:t xml:space="preserve">outdoor water use for </w:t>
      </w:r>
      <w:r>
        <w:t xml:space="preserve">the </w:t>
      </w:r>
      <w:r w:rsidR="002D1BBB">
        <w:t xml:space="preserve">express </w:t>
      </w:r>
      <w:r>
        <w:t xml:space="preserve">purpose of conserving </w:t>
      </w:r>
      <w:r w:rsidR="004F6B2D">
        <w:t>water</w:t>
      </w:r>
      <w:r w:rsidR="00460647">
        <w:t>.</w:t>
      </w:r>
    </w:p>
    <w:p w:rsidR="00CD3F7D" w:rsidRDefault="00CD3F7D" w:rsidP="00EF2F36">
      <w:pPr>
        <w:pStyle w:val="Heading5"/>
      </w:pPr>
      <w:r>
        <w:t>The ACT is now</w:t>
      </w:r>
      <w:r w:rsidR="000138D4">
        <w:t xml:space="preserve"> more</w:t>
      </w:r>
      <w:r>
        <w:t xml:space="preserve"> water secure</w:t>
      </w:r>
    </w:p>
    <w:p w:rsidR="00F166F1" w:rsidRDefault="00D32C7A" w:rsidP="006D2D5B">
      <w:r>
        <w:t>T</w:t>
      </w:r>
      <w:r w:rsidR="0095271F">
        <w:t xml:space="preserve">he ACT’s water </w:t>
      </w:r>
      <w:r w:rsidR="00610095">
        <w:t xml:space="preserve">supply and demand balance </w:t>
      </w:r>
      <w:r w:rsidR="0095271F">
        <w:t xml:space="preserve">today </w:t>
      </w:r>
      <w:r w:rsidR="00AD4919">
        <w:t xml:space="preserve">is </w:t>
      </w:r>
      <w:r w:rsidR="00BF1DB9">
        <w:t>very different</w:t>
      </w:r>
      <w:r w:rsidR="0095271F">
        <w:t>.</w:t>
      </w:r>
    </w:p>
    <w:p w:rsidR="00C63E00" w:rsidRDefault="00F166F1" w:rsidP="006D2D5B">
      <w:r>
        <w:t>On the supply side, t</w:t>
      </w:r>
      <w:r w:rsidR="0095271F">
        <w:t>he</w:t>
      </w:r>
      <w:r w:rsidR="006D2D5B" w:rsidRPr="006D2D5B">
        <w:t xml:space="preserve"> Millennium Drought broke </w:t>
      </w:r>
      <w:r w:rsidR="0095271F">
        <w:t xml:space="preserve">in 2010 </w:t>
      </w:r>
      <w:r w:rsidR="006D2D5B" w:rsidRPr="006D2D5B">
        <w:t>due to a strong La Niña event</w:t>
      </w:r>
      <w:r w:rsidR="0095271F">
        <w:t xml:space="preserve">, with </w:t>
      </w:r>
      <w:r w:rsidR="006D2D5B" w:rsidRPr="006D2D5B">
        <w:t>Canberra Airport record</w:t>
      </w:r>
      <w:r w:rsidR="0095271F">
        <w:t xml:space="preserve">ing </w:t>
      </w:r>
      <w:r w:rsidR="006D2D5B" w:rsidRPr="006D2D5B">
        <w:t>960 millimetres of rainfall, well above the historical average of 617 millimetres</w:t>
      </w:r>
      <w:r w:rsidR="0095271F">
        <w:t>, with d</w:t>
      </w:r>
      <w:r w:rsidR="006D2D5B" w:rsidRPr="006D2D5B">
        <w:t>am inflows estimated at 404 GL, well above the long-term average of 235 GL</w:t>
      </w:r>
      <w:r w:rsidR="00684B2E">
        <w:t xml:space="preserve"> per year</w:t>
      </w:r>
      <w:r w:rsidR="006D2D5B" w:rsidRPr="006D2D5B">
        <w:t>.</w:t>
      </w:r>
      <w:r w:rsidR="0095271F">
        <w:t xml:space="preserve"> The enlarged Cotter Dam increased the ACT combined dam storage capacity by </w:t>
      </w:r>
      <w:r w:rsidR="00134AC2">
        <w:t xml:space="preserve">more than a third </w:t>
      </w:r>
      <w:r w:rsidR="0095271F">
        <w:t>from 20</w:t>
      </w:r>
      <w:r w:rsidR="002D1BBB">
        <w:t>6</w:t>
      </w:r>
      <w:r w:rsidR="0095271F">
        <w:t xml:space="preserve"> to 278 GL</w:t>
      </w:r>
      <w:r w:rsidR="00134AC2">
        <w:t xml:space="preserve">. </w:t>
      </w:r>
      <w:r w:rsidR="00842869">
        <w:lastRenderedPageBreak/>
        <w:t>The current combined dam storage level is 90</w:t>
      </w:r>
      <w:r>
        <w:t> </w:t>
      </w:r>
      <w:r w:rsidR="00842869">
        <w:t>per cent</w:t>
      </w:r>
      <w:r>
        <w:t xml:space="preserve">, as shown in </w:t>
      </w:r>
      <w:r>
        <w:fldChar w:fldCharType="begin"/>
      </w:r>
      <w:r>
        <w:instrText xml:space="preserve"> REF _Ref459621486 \h </w:instrText>
      </w:r>
      <w:r>
        <w:fldChar w:fldCharType="separate"/>
      </w:r>
      <w:r w:rsidR="00B80BC7" w:rsidRPr="00E33D9E">
        <w:t xml:space="preserve">Figure </w:t>
      </w:r>
      <w:r w:rsidR="00B80BC7">
        <w:t>ES</w:t>
      </w:r>
      <w:r w:rsidR="00B80BC7" w:rsidRPr="00E33D9E">
        <w:t>.</w:t>
      </w:r>
      <w:r w:rsidR="00B80BC7">
        <w:rPr>
          <w:noProof/>
        </w:rPr>
        <w:t>3</w:t>
      </w:r>
      <w:r>
        <w:fldChar w:fldCharType="end"/>
      </w:r>
      <w:r w:rsidR="00E1421A">
        <w:t>, and the Cotter Dam started spilling in July this year</w:t>
      </w:r>
      <w:r w:rsidR="00842869">
        <w:t>.</w:t>
      </w:r>
      <w:r w:rsidR="00610095">
        <w:rPr>
          <w:rStyle w:val="FootnoteReference"/>
        </w:rPr>
        <w:footnoteReference w:id="2"/>
      </w:r>
      <w:r w:rsidR="00842869">
        <w:t xml:space="preserve"> </w:t>
      </w:r>
    </w:p>
    <w:p w:rsidR="00C63E00" w:rsidRDefault="00C63E00" w:rsidP="00C63E00">
      <w:pPr>
        <w:pStyle w:val="FigureName0"/>
        <w:rPr>
          <w:lang w:val="en-AU"/>
        </w:rPr>
      </w:pPr>
      <w:bookmarkStart w:id="21" w:name="_Ref459621486"/>
      <w:bookmarkStart w:id="22" w:name="_Toc460572262"/>
      <w:r w:rsidRPr="00E33D9E">
        <w:t xml:space="preserve">Figure </w:t>
      </w:r>
      <w:r>
        <w:t>ES</w:t>
      </w:r>
      <w:r w:rsidRPr="00E33D9E">
        <w:t>.</w:t>
      </w:r>
      <w:r w:rsidRPr="00E33D9E">
        <w:fldChar w:fldCharType="begin"/>
      </w:r>
      <w:r w:rsidRPr="00E33D9E">
        <w:instrText xml:space="preserve"> SEQ Figure \* ARABIC \s 1 </w:instrText>
      </w:r>
      <w:r w:rsidRPr="00E33D9E">
        <w:fldChar w:fldCharType="separate"/>
      </w:r>
      <w:r w:rsidR="00B80BC7">
        <w:rPr>
          <w:noProof/>
        </w:rPr>
        <w:t>3</w:t>
      </w:r>
      <w:r w:rsidRPr="00E33D9E">
        <w:fldChar w:fldCharType="end"/>
      </w:r>
      <w:bookmarkEnd w:id="21"/>
      <w:r>
        <w:tab/>
      </w:r>
      <w:r w:rsidR="002C5684">
        <w:t xml:space="preserve">Current </w:t>
      </w:r>
      <w:r w:rsidR="00842869">
        <w:t>ACT dam storage levels</w:t>
      </w:r>
      <w:bookmarkEnd w:id="22"/>
    </w:p>
    <w:p w:rsidR="00C63E00" w:rsidRPr="00C63BD3" w:rsidRDefault="00C63E00" w:rsidP="00C63E00">
      <w:pPr>
        <w:rPr>
          <w:b/>
          <w:lang w:val="en-AU"/>
        </w:rPr>
      </w:pPr>
      <w:r>
        <w:rPr>
          <w:noProof/>
          <w:lang w:val="en-AU" w:eastAsia="en-AU"/>
        </w:rPr>
        <w:drawing>
          <wp:inline distT="0" distB="0" distL="0" distR="0" wp14:anchorId="15099770" wp14:editId="2C035DAF">
            <wp:extent cx="4625502" cy="2217907"/>
            <wp:effectExtent l="0" t="0" r="3810" b="1143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63E00" w:rsidRPr="00636FE1" w:rsidRDefault="00C63E00" w:rsidP="00C63E00">
      <w:pPr>
        <w:pStyle w:val="TableNotesLast0"/>
        <w:keepNext/>
      </w:pPr>
      <w:r>
        <w:t>Source:</w:t>
      </w:r>
      <w:r>
        <w:tab/>
        <w:t>Icon Water (</w:t>
      </w:r>
      <w:r w:rsidRPr="00C63E00">
        <w:t>https://www.iconwater.com.au/Water-and-Sewerage-System/Dams/Water-Storage-Levels.aspx</w:t>
      </w:r>
      <w:r>
        <w:t>).</w:t>
      </w:r>
    </w:p>
    <w:p w:rsidR="004F1996" w:rsidRDefault="00842869" w:rsidP="006D2D5B">
      <w:r>
        <w:t xml:space="preserve">On the demand side, </w:t>
      </w:r>
      <w:r w:rsidR="00BF0643">
        <w:t xml:space="preserve">there has been </w:t>
      </w:r>
      <w:r w:rsidR="007E5AC1">
        <w:t xml:space="preserve">no evidence of a </w:t>
      </w:r>
      <w:r>
        <w:t>bounce back</w:t>
      </w:r>
      <w:r w:rsidR="00BF0643">
        <w:t xml:space="preserve"> in per capita water consumption levels since the lifting of temporary water restrictions</w:t>
      </w:r>
      <w:r>
        <w:t xml:space="preserve"> in 2010</w:t>
      </w:r>
      <w:r w:rsidR="005A01A3">
        <w:t xml:space="preserve">. As shown in </w:t>
      </w:r>
      <w:r w:rsidR="005A01A3">
        <w:fldChar w:fldCharType="begin"/>
      </w:r>
      <w:r w:rsidR="005A01A3">
        <w:instrText xml:space="preserve"> REF _Ref459621337 \h </w:instrText>
      </w:r>
      <w:r w:rsidR="005A01A3">
        <w:fldChar w:fldCharType="separate"/>
      </w:r>
      <w:r w:rsidR="00B80BC7" w:rsidRPr="00E33D9E">
        <w:t xml:space="preserve">Figure </w:t>
      </w:r>
      <w:r w:rsidR="00B80BC7">
        <w:t>ES</w:t>
      </w:r>
      <w:r w:rsidR="00B80BC7" w:rsidRPr="00E33D9E">
        <w:t>.</w:t>
      </w:r>
      <w:r w:rsidR="00B80BC7">
        <w:rPr>
          <w:noProof/>
        </w:rPr>
        <w:t>4</w:t>
      </w:r>
      <w:r w:rsidR="005A01A3">
        <w:fldChar w:fldCharType="end"/>
      </w:r>
      <w:r w:rsidR="007E5AC1">
        <w:t>,</w:t>
      </w:r>
      <w:r w:rsidR="00BF0643">
        <w:t xml:space="preserve"> current levels </w:t>
      </w:r>
      <w:r w:rsidR="002C5684">
        <w:t xml:space="preserve">are </w:t>
      </w:r>
      <w:r w:rsidR="00BF0643">
        <w:t>well below those prevailing in the early to mid-2000s.</w:t>
      </w:r>
    </w:p>
    <w:p w:rsidR="004F1996" w:rsidRDefault="004F1996" w:rsidP="005B6EAB">
      <w:pPr>
        <w:pStyle w:val="FigureName0"/>
        <w:rPr>
          <w:lang w:val="en-AU"/>
        </w:rPr>
      </w:pPr>
      <w:bookmarkStart w:id="23" w:name="_Ref459621337"/>
      <w:bookmarkStart w:id="24" w:name="_Toc460572263"/>
      <w:r w:rsidRPr="00E33D9E">
        <w:t xml:space="preserve">Figure </w:t>
      </w:r>
      <w:r>
        <w:t>ES</w:t>
      </w:r>
      <w:r w:rsidRPr="00E33D9E">
        <w:t>.</w:t>
      </w:r>
      <w:r w:rsidRPr="00E33D9E">
        <w:fldChar w:fldCharType="begin"/>
      </w:r>
      <w:r w:rsidRPr="00E33D9E">
        <w:instrText xml:space="preserve"> SEQ Figure \* ARABIC \s 1 </w:instrText>
      </w:r>
      <w:r w:rsidRPr="00E33D9E">
        <w:fldChar w:fldCharType="separate"/>
      </w:r>
      <w:r w:rsidR="00B80BC7">
        <w:rPr>
          <w:noProof/>
        </w:rPr>
        <w:t>4</w:t>
      </w:r>
      <w:r w:rsidRPr="00E33D9E">
        <w:fldChar w:fldCharType="end"/>
      </w:r>
      <w:bookmarkEnd w:id="23"/>
      <w:r>
        <w:tab/>
      </w:r>
      <w:r w:rsidR="005A01A3">
        <w:t>Icon Water dam releases per capita, 1999 to 2016</w:t>
      </w:r>
      <w:r w:rsidR="00B66E4E">
        <w:rPr>
          <w:rStyle w:val="FootnoteReference"/>
        </w:rPr>
        <w:footnoteReference w:id="3"/>
      </w:r>
      <w:bookmarkEnd w:id="24"/>
    </w:p>
    <w:p w:rsidR="004F1996" w:rsidRPr="00C63BD3" w:rsidRDefault="004F1996" w:rsidP="005B6EAB">
      <w:pPr>
        <w:keepNext/>
        <w:rPr>
          <w:b/>
          <w:lang w:val="en-AU"/>
        </w:rPr>
      </w:pPr>
      <w:r w:rsidRPr="00EF2F36">
        <w:rPr>
          <w:noProof/>
          <w:color w:val="C00000"/>
          <w:lang w:val="en-AU" w:eastAsia="en-AU"/>
        </w:rPr>
        <w:drawing>
          <wp:inline distT="0" distB="0" distL="0" distR="0" wp14:anchorId="182DCCAE" wp14:editId="3011FB57">
            <wp:extent cx="4970780" cy="2247089"/>
            <wp:effectExtent l="0" t="0" r="1270" b="127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F1996" w:rsidRPr="00636FE1" w:rsidRDefault="004F1996" w:rsidP="005B6EAB">
      <w:pPr>
        <w:pStyle w:val="TableNotesLast0"/>
        <w:keepNext/>
      </w:pPr>
      <w:r>
        <w:t>Source:</w:t>
      </w:r>
      <w:r>
        <w:tab/>
      </w:r>
      <w:r w:rsidR="00CC7427">
        <w:t xml:space="preserve">Australian Bureau of Statistics, ACT Treasury and Icon </w:t>
      </w:r>
      <w:r>
        <w:t>Water</w:t>
      </w:r>
      <w:r w:rsidR="00CC7427">
        <w:t>.</w:t>
      </w:r>
    </w:p>
    <w:p w:rsidR="009415F2" w:rsidRDefault="00B01B55" w:rsidP="004C2313">
      <w:r>
        <w:t>A number of water security scenarios were modelled</w:t>
      </w:r>
      <w:r w:rsidR="0046564B">
        <w:t xml:space="preserve"> </w:t>
      </w:r>
      <w:r>
        <w:t xml:space="preserve">in the </w:t>
      </w:r>
      <w:r w:rsidR="00CD76D1">
        <w:t xml:space="preserve">Commission’s </w:t>
      </w:r>
      <w:r>
        <w:t xml:space="preserve">technical paper on marginal cost pricing </w:t>
      </w:r>
      <w:r w:rsidR="0046564B">
        <w:t>using Icon Water’s supply and demand model</w:t>
      </w:r>
      <w:r>
        <w:t>.</w:t>
      </w:r>
      <w:r w:rsidR="002D09A1" w:rsidRPr="002D09A1">
        <w:t xml:space="preserve"> </w:t>
      </w:r>
      <w:r w:rsidR="002D09A1">
        <w:t xml:space="preserve">This </w:t>
      </w:r>
      <w:r w:rsidR="002D09A1">
        <w:lastRenderedPageBreak/>
        <w:t xml:space="preserve">model is used to calculate the probability of temporary restrictions </w:t>
      </w:r>
      <w:r w:rsidR="003B6764">
        <w:t xml:space="preserve">each year </w:t>
      </w:r>
      <w:r w:rsidR="002D09A1">
        <w:t xml:space="preserve">from </w:t>
      </w:r>
      <w:r w:rsidR="00CD76D1">
        <w:t xml:space="preserve">the present day </w:t>
      </w:r>
      <w:r w:rsidR="002D09A1">
        <w:t>until 2062</w:t>
      </w:r>
      <w:r w:rsidR="00CD76D1">
        <w:t xml:space="preserve">. On the supply side it uses </w:t>
      </w:r>
      <w:r w:rsidR="00D00BFB">
        <w:t xml:space="preserve">current dam levels and </w:t>
      </w:r>
      <w:r w:rsidR="002D09A1">
        <w:t>projected dam inflows</w:t>
      </w:r>
      <w:r w:rsidR="00CD76D1">
        <w:t>,</w:t>
      </w:r>
      <w:r w:rsidR="002D09A1">
        <w:t xml:space="preserve"> adjusted for the expected impact of climate change</w:t>
      </w:r>
      <w:r w:rsidR="00CD76D1">
        <w:t xml:space="preserve"> on rainfall and</w:t>
      </w:r>
      <w:r w:rsidR="003B6764">
        <w:t xml:space="preserve"> </w:t>
      </w:r>
      <w:r w:rsidR="00CD76D1">
        <w:t xml:space="preserve">evaporation. On the demand side, </w:t>
      </w:r>
      <w:r w:rsidR="002D09A1">
        <w:t>growth in water demand under various population growth and per capita demand assumptions</w:t>
      </w:r>
      <w:r w:rsidR="00CD76D1">
        <w:t xml:space="preserve"> is modelled</w:t>
      </w:r>
      <w:r w:rsidR="002D09A1">
        <w:t>.</w:t>
      </w:r>
      <w:r w:rsidR="00EF4508">
        <w:t xml:space="preserve"> </w:t>
      </w:r>
      <w:r w:rsidR="009C24C2">
        <w:t xml:space="preserve">Using this model, the </w:t>
      </w:r>
      <w:r w:rsidR="002D09A1">
        <w:t>timing of the next water supply augmentation (or demand reduction intervention) can be gauged from the point</w:t>
      </w:r>
      <w:r w:rsidR="00B53FF0">
        <w:t xml:space="preserve"> </w:t>
      </w:r>
      <w:r w:rsidR="002D09A1">
        <w:t xml:space="preserve">at which the probability </w:t>
      </w:r>
      <w:r w:rsidR="009C24C2">
        <w:t xml:space="preserve">of being in temporary water restrictions </w:t>
      </w:r>
      <w:r w:rsidR="002D09A1">
        <w:t xml:space="preserve">rises above the </w:t>
      </w:r>
      <w:r w:rsidR="005B6EAB">
        <w:t>ACT Government’s five</w:t>
      </w:r>
      <w:r w:rsidR="002D09A1">
        <w:t xml:space="preserve"> per cent water security target</w:t>
      </w:r>
      <w:r w:rsidR="006A4B71" w:rsidRPr="006A4B71">
        <w:t xml:space="preserve"> </w:t>
      </w:r>
      <w:r w:rsidR="006A4B71">
        <w:t xml:space="preserve">(see </w:t>
      </w:r>
      <w:r w:rsidR="006A4B71">
        <w:fldChar w:fldCharType="begin"/>
      </w:r>
      <w:r w:rsidR="006A4B71">
        <w:instrText xml:space="preserve"> REF _Ref459101683 \h </w:instrText>
      </w:r>
      <w:r w:rsidR="006A4B71">
        <w:fldChar w:fldCharType="separate"/>
      </w:r>
      <w:r w:rsidR="00B80BC7" w:rsidRPr="00E33D9E">
        <w:t xml:space="preserve">Figure </w:t>
      </w:r>
      <w:r w:rsidR="00B80BC7">
        <w:t>ES</w:t>
      </w:r>
      <w:r w:rsidR="00B80BC7" w:rsidRPr="00E33D9E">
        <w:t>.</w:t>
      </w:r>
      <w:r w:rsidR="00B80BC7">
        <w:rPr>
          <w:noProof/>
        </w:rPr>
        <w:t>5</w:t>
      </w:r>
      <w:r w:rsidR="006A4B71">
        <w:fldChar w:fldCharType="end"/>
      </w:r>
      <w:r w:rsidR="006A4B71">
        <w:t>).</w:t>
      </w:r>
      <w:r w:rsidR="009415F2">
        <w:t xml:space="preserve"> </w:t>
      </w:r>
    </w:p>
    <w:p w:rsidR="00E748DE" w:rsidRDefault="00E748DE" w:rsidP="000D7B3B">
      <w:pPr>
        <w:pStyle w:val="FigureName0"/>
        <w:keepNext w:val="0"/>
        <w:rPr>
          <w:lang w:val="en-AU"/>
        </w:rPr>
      </w:pPr>
      <w:bookmarkStart w:id="25" w:name="_Ref459101683"/>
      <w:bookmarkStart w:id="26" w:name="_Toc460572264"/>
      <w:r w:rsidRPr="00E33D9E">
        <w:t xml:space="preserve">Figure </w:t>
      </w:r>
      <w:r>
        <w:t>ES</w:t>
      </w:r>
      <w:r w:rsidRPr="00E33D9E">
        <w:t>.</w:t>
      </w:r>
      <w:r w:rsidRPr="00E33D9E">
        <w:fldChar w:fldCharType="begin"/>
      </w:r>
      <w:r w:rsidRPr="00E33D9E">
        <w:instrText xml:space="preserve"> SEQ Figure \* ARABIC \s 1 </w:instrText>
      </w:r>
      <w:r w:rsidRPr="00E33D9E">
        <w:fldChar w:fldCharType="separate"/>
      </w:r>
      <w:r w:rsidR="00B80BC7">
        <w:rPr>
          <w:noProof/>
        </w:rPr>
        <w:t>5</w:t>
      </w:r>
      <w:r w:rsidRPr="00E33D9E">
        <w:fldChar w:fldCharType="end"/>
      </w:r>
      <w:bookmarkEnd w:id="25"/>
      <w:r>
        <w:tab/>
        <w:t>Probability of water restrictions</w:t>
      </w:r>
      <w:bookmarkEnd w:id="26"/>
    </w:p>
    <w:p w:rsidR="00E748DE" w:rsidRPr="00C63BD3" w:rsidRDefault="00AD3037" w:rsidP="000D7B3B">
      <w:pPr>
        <w:rPr>
          <w:b/>
          <w:lang w:val="en-AU"/>
        </w:rPr>
      </w:pPr>
      <w:r>
        <w:rPr>
          <w:noProof/>
          <w:lang w:val="en-AU" w:eastAsia="en-AU"/>
        </w:rPr>
        <w:drawing>
          <wp:inline distT="0" distB="0" distL="0" distR="0" wp14:anchorId="43A13ECD" wp14:editId="1BF3177D">
            <wp:extent cx="4896485" cy="3013710"/>
            <wp:effectExtent l="0" t="0" r="18415" b="1524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748DE" w:rsidRPr="00636FE1" w:rsidRDefault="00E748DE" w:rsidP="000D7B3B">
      <w:pPr>
        <w:pStyle w:val="TableNotesLast0"/>
      </w:pPr>
      <w:r>
        <w:t>Source:</w:t>
      </w:r>
      <w:r>
        <w:tab/>
      </w:r>
      <w:r>
        <w:fldChar w:fldCharType="begin"/>
      </w:r>
      <w:r>
        <w:instrText xml:space="preserve"> ADDIN EN.CITE &lt;EndNote&gt;&lt;Cite&gt;&lt;Author&gt;ICRC&lt;/Author&gt;&lt;Year&gt;2016&lt;/Year&gt;&lt;RecNum&gt;727&lt;/RecNum&gt;&lt;DisplayText&gt;ICRC (2016b)&lt;/DisplayText&gt;&lt;record&gt;&lt;rec-number&gt;727&lt;/rec-number&gt;&lt;foreign-keys&gt;&lt;key app="EN" db-id="5xwt9zxa6r5fesevwr5xzp97r95ev9wx9zpw" timestamp="1465197388"&gt;727&lt;/key&gt;&lt;/foreign-keys&gt;&lt;ref-type name="AAA ICRC Water References"&gt;40&lt;/ref-type&gt;&lt;contributors&gt;&lt;authors&gt;&lt;author&gt;ICRC,&lt;/author&gt;&lt;/authors&gt;&lt;/contributors&gt;&lt;titles&gt;&lt;title&gt;Technical paper 2: Marginal cost pricing in the ACT&lt;/title&gt;&lt;/titles&gt;&lt;volume&gt;Report 4 of 2016&lt;/volume&gt;&lt;dates&gt;&lt;year&gt;2016&lt;/year&gt;&lt;pub-dates&gt;&lt;date&gt;June 2016&lt;/date&gt;&lt;/pub-dates&gt;&lt;/dates&gt;&lt;pub-location&gt;Canberra&lt;/pub-location&gt;&lt;publisher&gt;Independent Competition and Regulatory Commission&lt;/publisher&gt;&lt;urls&gt;&lt;/urls&gt;&lt;/record&gt;&lt;/Cite&gt;&lt;/EndNote&gt;</w:instrText>
      </w:r>
      <w:r>
        <w:fldChar w:fldCharType="separate"/>
      </w:r>
      <w:hyperlink w:anchor="_ENREF_25" w:tooltip="ICRC, 2016 #727" w:history="1">
        <w:r w:rsidR="00A2488A">
          <w:rPr>
            <w:noProof/>
          </w:rPr>
          <w:t>ICRC (2016b</w:t>
        </w:r>
      </w:hyperlink>
      <w:r>
        <w:rPr>
          <w:noProof/>
        </w:rPr>
        <w:t>)</w:t>
      </w:r>
      <w:r>
        <w:fldChar w:fldCharType="end"/>
      </w:r>
      <w:r>
        <w:t>: 57.</w:t>
      </w:r>
    </w:p>
    <w:p w:rsidR="006A4B71" w:rsidRDefault="006A4B71" w:rsidP="006A4B71">
      <w:r>
        <w:t>Under the minor demand growth scenario, augmentation of ACT’s water supply is not likely to be needed for another 40 years.</w:t>
      </w:r>
      <w:r>
        <w:rPr>
          <w:rStyle w:val="FootnoteReference"/>
        </w:rPr>
        <w:footnoteReference w:id="4"/>
      </w:r>
      <w:r>
        <w:t xml:space="preserve"> Under the more conservative medium demand growth scenario, augmentation is only required in about 30 years.</w:t>
      </w:r>
      <w:r>
        <w:rPr>
          <w:rStyle w:val="FootnoteReference"/>
        </w:rPr>
        <w:footnoteReference w:id="5"/>
      </w:r>
      <w:r>
        <w:t xml:space="preserve"> Under the high demand growth scenario, which can be considered an upper bound, augmentation may be required in about 20 years.</w:t>
      </w:r>
      <w:r>
        <w:rPr>
          <w:rStyle w:val="FootnoteReference"/>
        </w:rPr>
        <w:footnoteReference w:id="6"/>
      </w:r>
      <w:r>
        <w:t xml:space="preserve"> </w:t>
      </w:r>
    </w:p>
    <w:p w:rsidR="006A4B71" w:rsidRDefault="006A4B71" w:rsidP="006A4B71">
      <w:r>
        <w:lastRenderedPageBreak/>
        <w:t>The minor demand growth scenario is used as the optimal investment scenario for marginal cost calculation purpose as we have not seen even minor aggregate demand growth in recent years.</w:t>
      </w:r>
    </w:p>
    <w:p w:rsidR="009A61D6" w:rsidRPr="00DE3F79" w:rsidRDefault="009A61D6" w:rsidP="000D7B3B">
      <w:r>
        <w:t>In these circumstances, Icon Water is currently considering whether to mothball the Murrumbidgee to Googong pipeline on the basis that it is unlikely to be required for some time.</w:t>
      </w:r>
      <w:r>
        <w:rPr>
          <w:rStyle w:val="FootnoteReference"/>
        </w:rPr>
        <w:footnoteReference w:id="7"/>
      </w:r>
    </w:p>
    <w:p w:rsidR="00592250" w:rsidRDefault="00592250" w:rsidP="000D7B3B">
      <w:pPr>
        <w:pStyle w:val="Heading5"/>
        <w:keepNext w:val="0"/>
      </w:pPr>
      <w:r>
        <w:t xml:space="preserve">Limited value in restricting </w:t>
      </w:r>
      <w:r w:rsidR="00255B81">
        <w:t xml:space="preserve">water </w:t>
      </w:r>
      <w:r>
        <w:t>demand</w:t>
      </w:r>
    </w:p>
    <w:p w:rsidR="00592250" w:rsidRDefault="005E5905" w:rsidP="008B63D1">
      <w:r>
        <w:t xml:space="preserve">The ACT is therefore </w:t>
      </w:r>
      <w:r w:rsidR="00CF7333">
        <w:t xml:space="preserve">currently in a very </w:t>
      </w:r>
      <w:r w:rsidR="00592250">
        <w:t xml:space="preserve">positive </w:t>
      </w:r>
      <w:r w:rsidR="00CF7333">
        <w:t>water security situation</w:t>
      </w:r>
      <w:r w:rsidR="008637DB">
        <w:t>. The water security prospects also look positive</w:t>
      </w:r>
      <w:r w:rsidR="00EF4508">
        <w:t xml:space="preserve"> over the long-term, as demonstrated above. With </w:t>
      </w:r>
      <w:r w:rsidR="00CF7333">
        <w:t xml:space="preserve">expanded storages </w:t>
      </w:r>
      <w:r w:rsidR="00CF7333" w:rsidRPr="00EF4508">
        <w:t>90</w:t>
      </w:r>
      <w:r w:rsidR="00EF4508">
        <w:t> </w:t>
      </w:r>
      <w:r w:rsidR="00CF7333" w:rsidRPr="00EF4508">
        <w:t>per</w:t>
      </w:r>
      <w:r w:rsidR="00CF7333">
        <w:t xml:space="preserve"> cent full, temporary water restrictions are unlikely to be required to </w:t>
      </w:r>
      <w:r w:rsidR="00EF4508">
        <w:t xml:space="preserve">restrict </w:t>
      </w:r>
      <w:r w:rsidR="00CF7333">
        <w:t>demand</w:t>
      </w:r>
      <w:r w:rsidR="00EF4508">
        <w:t xml:space="preserve"> in the next regulatory period</w:t>
      </w:r>
      <w:r w:rsidR="00CF7333">
        <w:t>.</w:t>
      </w:r>
      <w:r w:rsidR="00EF4508">
        <w:t xml:space="preserve"> </w:t>
      </w:r>
      <w:r w:rsidR="001038D2">
        <w:t>The value of an additional kilolitre of water left in ACT dams</w:t>
      </w:r>
      <w:r w:rsidR="000E56AD">
        <w:t xml:space="preserve">, which </w:t>
      </w:r>
      <w:r w:rsidR="001038D2">
        <w:t>primarily derives from its contribution to postponing further augmentation of the water supply system</w:t>
      </w:r>
      <w:r w:rsidR="000E56AD">
        <w:t>, is very low</w:t>
      </w:r>
      <w:r w:rsidR="000E56AD" w:rsidRPr="000E56AD">
        <w:t xml:space="preserve"> </w:t>
      </w:r>
      <w:r w:rsidR="000E56AD">
        <w:t>in these circumstances.</w:t>
      </w:r>
      <w:r w:rsidR="00732D06">
        <w:t xml:space="preserve"> </w:t>
      </w:r>
    </w:p>
    <w:p w:rsidR="001038D2" w:rsidRDefault="00732D06" w:rsidP="008B63D1">
      <w:r>
        <w:t>Moreover, f</w:t>
      </w:r>
      <w:r w:rsidR="000E56AD">
        <w:t xml:space="preserve">rom an environmental perspective, there is limited local or downstream environmental benefit to be gained from leaving an </w:t>
      </w:r>
      <w:r w:rsidR="00B101B4">
        <w:t xml:space="preserve">extra </w:t>
      </w:r>
      <w:r w:rsidR="000E56AD">
        <w:t>kilolitre of water in ACT dams rather than consuming it, for two reasons</w:t>
      </w:r>
      <w:r w:rsidR="001038D2">
        <w:t>.</w:t>
      </w:r>
    </w:p>
    <w:p w:rsidR="000E56AD" w:rsidRDefault="00EF4508" w:rsidP="000E56AD">
      <w:r>
        <w:t xml:space="preserve">First, </w:t>
      </w:r>
      <w:r w:rsidR="00D55D0B">
        <w:t xml:space="preserve">Icon </w:t>
      </w:r>
      <w:r>
        <w:t>Water is subject to strict environmental flow requirements</w:t>
      </w:r>
      <w:r w:rsidR="005659D2">
        <w:t xml:space="preserve"> to ensure the </w:t>
      </w:r>
      <w:r w:rsidRPr="001129A4">
        <w:rPr>
          <w:iCs/>
          <w:lang w:val="en-AU"/>
        </w:rPr>
        <w:t>flows of water in ACT streams and rivers that are necessary to maintain aquatic</w:t>
      </w:r>
      <w:r>
        <w:rPr>
          <w:iCs/>
          <w:lang w:val="en-AU"/>
        </w:rPr>
        <w:t xml:space="preserve"> </w:t>
      </w:r>
      <w:r w:rsidRPr="001129A4">
        <w:rPr>
          <w:iCs/>
          <w:lang w:val="en-AU"/>
        </w:rPr>
        <w:t>ecosystems.</w:t>
      </w:r>
      <w:r w:rsidR="000C1622">
        <w:rPr>
          <w:iCs/>
          <w:lang w:val="en-AU"/>
        </w:rPr>
        <w:t xml:space="preserve"> </w:t>
      </w:r>
      <w:r w:rsidR="000C1622">
        <w:t xml:space="preserve">Icon Water’s licence to take water requires </w:t>
      </w:r>
      <w:r w:rsidR="00D55D0B">
        <w:t xml:space="preserve">it </w:t>
      </w:r>
      <w:r w:rsidR="000C1622">
        <w:t>to ensure that environmental flows are given first priority.</w:t>
      </w:r>
    </w:p>
    <w:p w:rsidR="000E56AD" w:rsidRDefault="000E56AD" w:rsidP="000E56AD">
      <w:r>
        <w:t xml:space="preserve">Second, the downstream environmental benefits of any water (over and above environmental flows), that flow from ACT dams are limited for two reasons. The first is that there are no key environmental assets in the ACT that require specific environmental watering. The second is that Burrinjuck Dam sits between the ACT and any benefits for </w:t>
      </w:r>
      <w:r w:rsidR="00A91977">
        <w:t xml:space="preserve">environmental </w:t>
      </w:r>
      <w:r>
        <w:t>sites further downstream in New South Wales.</w:t>
      </w:r>
    </w:p>
    <w:p w:rsidR="00BF1A24" w:rsidRDefault="00977DB8" w:rsidP="008B63D1">
      <w:r>
        <w:t xml:space="preserve">From a broader perspective it </w:t>
      </w:r>
      <w:r w:rsidR="000E56AD">
        <w:t>is also worth noting that</w:t>
      </w:r>
      <w:r w:rsidR="00EF4508">
        <w:t xml:space="preserve">, </w:t>
      </w:r>
      <w:r w:rsidR="000E1A8E">
        <w:t xml:space="preserve">largely due to its urban nature, </w:t>
      </w:r>
      <w:r w:rsidR="00AD3C0F">
        <w:t xml:space="preserve">the ACT only consumes </w:t>
      </w:r>
      <w:r w:rsidR="000E1A8E">
        <w:t>a small proportion of the total amount of water that flows into its catchments. The long-term average water inflows to 2003 averaged about 492</w:t>
      </w:r>
      <w:r w:rsidR="0099722D">
        <w:t> </w:t>
      </w:r>
      <w:r w:rsidR="000E1A8E">
        <w:t xml:space="preserve">GL per year, with around 244 GL per year legislated for environmental flows. Of the balance of 248 GL per year, </w:t>
      </w:r>
      <w:r w:rsidR="00A91977">
        <w:t xml:space="preserve">gross extractions for consumptive </w:t>
      </w:r>
      <w:r w:rsidR="00D365D4">
        <w:t xml:space="preserve">use </w:t>
      </w:r>
      <w:r w:rsidR="002B6682">
        <w:t xml:space="preserve">have </w:t>
      </w:r>
      <w:r w:rsidR="00A91977">
        <w:t>averag</w:t>
      </w:r>
      <w:r w:rsidR="002B6682">
        <w:t>ed</w:t>
      </w:r>
      <w:r w:rsidR="00A91977">
        <w:t xml:space="preserve"> about </w:t>
      </w:r>
      <w:r w:rsidR="00D365D4">
        <w:t>50</w:t>
      </w:r>
      <w:r w:rsidR="00A91977">
        <w:t xml:space="preserve"> GL per year </w:t>
      </w:r>
      <w:r w:rsidR="002B6682">
        <w:t xml:space="preserve">in recent years </w:t>
      </w:r>
      <w:r w:rsidR="00A91977">
        <w:t xml:space="preserve">with about 30 GL </w:t>
      </w:r>
      <w:r w:rsidR="000E1A8E">
        <w:t>return</w:t>
      </w:r>
      <w:r w:rsidR="00A91977">
        <w:t xml:space="preserve">ed to the river system as </w:t>
      </w:r>
      <w:r w:rsidR="000E1A8E">
        <w:t>treated effluent</w:t>
      </w:r>
      <w:r w:rsidR="00A91977">
        <w:t>. The net use h</w:t>
      </w:r>
      <w:r w:rsidR="000E1A8E">
        <w:t>as been at or below 20 GL per year since 2007</w:t>
      </w:r>
      <w:r w:rsidR="000E1A8E">
        <w:sym w:font="Symbol" w:char="F02D"/>
      </w:r>
      <w:r w:rsidR="000E1A8E">
        <w:t>08, 4 per cent of total inflows or 8 per cent of the balance after environmental flows. This is also well below the ACT’s sustainable diversion limit under the Basin Plan of 40.5 GL per year taken from watercourses.</w:t>
      </w:r>
    </w:p>
    <w:p w:rsidR="007B0544" w:rsidRDefault="00417E73" w:rsidP="00EF2F36">
      <w:pPr>
        <w:pStyle w:val="Heading5"/>
      </w:pPr>
      <w:r>
        <w:lastRenderedPageBreak/>
        <w:t xml:space="preserve">The current tariff structure </w:t>
      </w:r>
      <w:r w:rsidR="002B6682">
        <w:t>is not appropriate for today’s conditions</w:t>
      </w:r>
    </w:p>
    <w:p w:rsidR="008B63D1" w:rsidRDefault="00BD0A3E" w:rsidP="008B63D1">
      <w:r>
        <w:t xml:space="preserve">The key </w:t>
      </w:r>
      <w:r w:rsidR="000125E5">
        <w:t xml:space="preserve">conclusion </w:t>
      </w:r>
      <w:r>
        <w:t xml:space="preserve">is that the </w:t>
      </w:r>
      <w:r w:rsidR="00BF1DB9">
        <w:t xml:space="preserve">inclining block </w:t>
      </w:r>
      <w:r w:rsidR="00601D21">
        <w:t xml:space="preserve">water </w:t>
      </w:r>
      <w:r w:rsidR="00BF1DB9">
        <w:t xml:space="preserve">tariff that has served the ACT well throughout the drought years </w:t>
      </w:r>
      <w:r w:rsidR="00FF38A1">
        <w:t xml:space="preserve">as a blunt </w:t>
      </w:r>
      <w:r w:rsidR="00560D2F">
        <w:t>tool</w:t>
      </w:r>
      <w:r w:rsidR="00FF38A1">
        <w:t xml:space="preserve"> to encourage water conservation </w:t>
      </w:r>
      <w:r w:rsidR="00783791">
        <w:t xml:space="preserve">is </w:t>
      </w:r>
      <w:r w:rsidR="00601D21">
        <w:t>no longer providing the best</w:t>
      </w:r>
      <w:r w:rsidR="008B63D1">
        <w:sym w:font="Symbol" w:char="F02D"/>
      </w:r>
      <w:r w:rsidR="008B63D1">
        <w:t>the most efficient</w:t>
      </w:r>
      <w:r w:rsidR="008B63D1">
        <w:sym w:font="Symbol" w:char="F02D"/>
      </w:r>
      <w:r w:rsidR="00601D21">
        <w:t>outcome for the community</w:t>
      </w:r>
      <w:r w:rsidR="00FF38A1">
        <w:t xml:space="preserve"> in the current </w:t>
      </w:r>
      <w:r w:rsidR="008B63D1">
        <w:t>water secur</w:t>
      </w:r>
      <w:r w:rsidR="003D3459">
        <w:t>e</w:t>
      </w:r>
      <w:r w:rsidR="008B63D1">
        <w:t xml:space="preserve"> </w:t>
      </w:r>
      <w:r w:rsidR="00FF38A1">
        <w:t>circumstances</w:t>
      </w:r>
      <w:r w:rsidR="00601D21">
        <w:t>.</w:t>
      </w:r>
      <w:r w:rsidR="00D073A1">
        <w:t xml:space="preserve"> R</w:t>
      </w:r>
      <w:r w:rsidR="008B63D1">
        <w:t xml:space="preserve">ecent amendments to the </w:t>
      </w:r>
      <w:r w:rsidR="008B63D1" w:rsidRPr="00D945F0">
        <w:rPr>
          <w:i/>
        </w:rPr>
        <w:t>Independent Competition and Regulatory Commission Act (1997)</w:t>
      </w:r>
      <w:r w:rsidR="008B63D1">
        <w:t>, which govern</w:t>
      </w:r>
      <w:r w:rsidR="009C5DEB">
        <w:t>s</w:t>
      </w:r>
      <w:r w:rsidR="008B63D1">
        <w:t xml:space="preserve"> the Commission’s decision-making in relation to determining </w:t>
      </w:r>
      <w:r w:rsidR="003578DD">
        <w:t xml:space="preserve">regulated </w:t>
      </w:r>
      <w:r w:rsidR="008B63D1">
        <w:t xml:space="preserve">prices, </w:t>
      </w:r>
      <w:r w:rsidR="004F28F4">
        <w:t xml:space="preserve">emphasise </w:t>
      </w:r>
      <w:r w:rsidR="008B63D1">
        <w:t xml:space="preserve"> economic efficiency</w:t>
      </w:r>
      <w:r w:rsidR="004F28F4">
        <w:t xml:space="preserve"> considerations</w:t>
      </w:r>
      <w:r w:rsidR="00E52039">
        <w:t>,</w:t>
      </w:r>
      <w:r w:rsidR="00D073A1">
        <w:t xml:space="preserve"> whilst </w:t>
      </w:r>
      <w:r w:rsidR="00E81F99">
        <w:t>still</w:t>
      </w:r>
      <w:r w:rsidR="00D073A1">
        <w:t xml:space="preserve"> </w:t>
      </w:r>
      <w:r w:rsidR="004F28F4">
        <w:t xml:space="preserve">requiring the Commission to have </w:t>
      </w:r>
      <w:r w:rsidR="00D073A1">
        <w:t xml:space="preserve">regard to the broader suite of legislative </w:t>
      </w:r>
      <w:r w:rsidR="004F28F4">
        <w:t>requirements</w:t>
      </w:r>
      <w:r w:rsidR="008B63D1">
        <w:t>.</w:t>
      </w:r>
    </w:p>
    <w:p w:rsidR="00104A2F" w:rsidRDefault="004F28F4" w:rsidP="004C2313">
      <w:r>
        <w:t>Previous</w:t>
      </w:r>
      <w:r w:rsidR="006754E2">
        <w:t xml:space="preserve"> analysis</w:t>
      </w:r>
      <w:r>
        <w:t xml:space="preserve"> by the Commission</w:t>
      </w:r>
      <w:r w:rsidR="006754E2">
        <w:t xml:space="preserve"> in </w:t>
      </w:r>
      <w:r>
        <w:t>its</w:t>
      </w:r>
      <w:r w:rsidR="006754E2">
        <w:t xml:space="preserve"> marginal cost technical paper demonstrated that the current tariff structure is not sending suitable price signals to water users about </w:t>
      </w:r>
      <w:r w:rsidR="00D073A1">
        <w:t>the cost of continuing to provide water services efficiently into the future</w:t>
      </w:r>
      <w:r w:rsidR="0077506B">
        <w:t xml:space="preserve"> (</w:t>
      </w:r>
      <w:r w:rsidR="006754E2">
        <w:t xml:space="preserve">the forward-looking </w:t>
      </w:r>
      <w:r w:rsidR="005D0B89">
        <w:t xml:space="preserve">marginal </w:t>
      </w:r>
      <w:r w:rsidR="006754E2">
        <w:t>cost</w:t>
      </w:r>
      <w:r w:rsidR="0077506B">
        <w:t>)</w:t>
      </w:r>
      <w:r w:rsidR="005D0B89">
        <w:t xml:space="preserve">. </w:t>
      </w:r>
      <w:r w:rsidR="00104A2F">
        <w:t xml:space="preserve">The definition of long-run marginal </w:t>
      </w:r>
      <w:r w:rsidR="00302518">
        <w:t xml:space="preserve">cost </w:t>
      </w:r>
      <w:r w:rsidR="00104A2F">
        <w:t>adopted in the technical paper comprises three elements. The first is the infrastructure cost of providing the capacity to supply demand requirements into the future from Icon Water’s dams. The second is the operational cost of storing, treating and delivering the water to customers through Icon Water’s reticulation network. The third is the scarcity value of the water resource.</w:t>
      </w:r>
    </w:p>
    <w:p w:rsidR="00F35602" w:rsidRDefault="00104A2F" w:rsidP="004C2313">
      <w:r>
        <w:t>T</w:t>
      </w:r>
      <w:r w:rsidR="005D0B89">
        <w:t xml:space="preserve">he current top tier price of $5.24 per kL is </w:t>
      </w:r>
      <w:r w:rsidR="00560D2F">
        <w:t xml:space="preserve">three </w:t>
      </w:r>
      <w:r w:rsidR="005D0B89">
        <w:t xml:space="preserve">times the Commission’s </w:t>
      </w:r>
      <w:r w:rsidR="008D49FC">
        <w:t xml:space="preserve">current </w:t>
      </w:r>
      <w:r w:rsidR="004F28F4">
        <w:t xml:space="preserve">estimate of </w:t>
      </w:r>
      <w:r w:rsidR="00977DB8">
        <w:t xml:space="preserve">long-run </w:t>
      </w:r>
      <w:r w:rsidR="005D0B89">
        <w:t>marginal cost of $1.74 per kL.</w:t>
      </w:r>
      <w:r w:rsidR="00F35602">
        <w:t xml:space="preserve"> </w:t>
      </w:r>
      <w:r w:rsidR="005D0B89">
        <w:t xml:space="preserve">This mismatch between price and marginal cost leads to inefficient use of the water infrastructure and water resource, </w:t>
      </w:r>
      <w:r w:rsidR="0092166E">
        <w:t xml:space="preserve">resulting in </w:t>
      </w:r>
      <w:r w:rsidR="005D0B89">
        <w:t>welfare losses for the ACT community.</w:t>
      </w:r>
    </w:p>
    <w:p w:rsidR="000E3FC3" w:rsidRDefault="00260C93" w:rsidP="004C2313">
      <w:r>
        <w:t xml:space="preserve">An example of this is </w:t>
      </w:r>
      <w:r w:rsidR="00B10FE5">
        <w:t xml:space="preserve">the potential for </w:t>
      </w:r>
      <w:r w:rsidR="00F35602">
        <w:t xml:space="preserve">what is called uneconomic bypass whereby, </w:t>
      </w:r>
      <w:r w:rsidR="000E70BD">
        <w:t xml:space="preserve">due </w:t>
      </w:r>
      <w:r w:rsidR="00F35602">
        <w:t xml:space="preserve">to the very high top tier price, large customers </w:t>
      </w:r>
      <w:r w:rsidR="000E70BD">
        <w:t xml:space="preserve">may find it cheaper to </w:t>
      </w:r>
      <w:r w:rsidR="00F35602">
        <w:t xml:space="preserve">invest in alternative water supplies that are more expensive than Icon Water’s marginal cost of supply. </w:t>
      </w:r>
      <w:r w:rsidR="00870D6E">
        <w:t xml:space="preserve">The large customer is worse off compared </w:t>
      </w:r>
      <w:r w:rsidR="00166D1F">
        <w:t xml:space="preserve">to </w:t>
      </w:r>
      <w:r w:rsidR="00870D6E">
        <w:t xml:space="preserve">the alternative of paying the marginal cost. </w:t>
      </w:r>
      <w:r w:rsidR="00F35602">
        <w:t xml:space="preserve">All other customers are </w:t>
      </w:r>
      <w:r w:rsidR="00870D6E">
        <w:t xml:space="preserve">also </w:t>
      </w:r>
      <w:r w:rsidR="00F35602">
        <w:t xml:space="preserve">worse off as Icon Water’s prices have to rise to recover its costs from </w:t>
      </w:r>
      <w:r w:rsidR="00BD0A3E">
        <w:t xml:space="preserve">a smaller </w:t>
      </w:r>
      <w:r w:rsidR="00F35602">
        <w:t>customer</w:t>
      </w:r>
      <w:r w:rsidR="00BD0A3E">
        <w:t xml:space="preserve"> base</w:t>
      </w:r>
      <w:r w:rsidR="00870D6E">
        <w:t xml:space="preserve"> now that is has lost a large customer</w:t>
      </w:r>
      <w:r w:rsidR="00F35602">
        <w:t>.</w:t>
      </w:r>
      <w:r w:rsidR="00C544AE">
        <w:t xml:space="preserve"> This is due to the fact that </w:t>
      </w:r>
      <w:r w:rsidR="000E3FC3">
        <w:t xml:space="preserve">Icon Water’s </w:t>
      </w:r>
      <w:r w:rsidR="00C544AE">
        <w:t xml:space="preserve">existing </w:t>
      </w:r>
      <w:r w:rsidR="000E3FC3">
        <w:t>cost base is largely fixed and does not vary a great deal with the level of water consumption.</w:t>
      </w:r>
    </w:p>
    <w:p w:rsidR="009B0310" w:rsidRDefault="004F28F4" w:rsidP="003949F4">
      <w:r>
        <w:t>E</w:t>
      </w:r>
      <w:r w:rsidR="00575C69">
        <w:t>quity argument</w:t>
      </w:r>
      <w:r>
        <w:t>s are also</w:t>
      </w:r>
      <w:r w:rsidR="00575C69">
        <w:t xml:space="preserve"> put forward for an inclining block tariff</w:t>
      </w:r>
      <w:r>
        <w:t xml:space="preserve">. That is to </w:t>
      </w:r>
      <w:r w:rsidR="00575C69">
        <w:t>provid</w:t>
      </w:r>
      <w:r>
        <w:t xml:space="preserve">e </w:t>
      </w:r>
      <w:r w:rsidR="00575C69">
        <w:t>households with sufficient water at a lower cost to meet their essential health and hygiene needs</w:t>
      </w:r>
      <w:r>
        <w:t xml:space="preserve">. This is </w:t>
      </w:r>
      <w:r w:rsidR="00575C69">
        <w:t>premised on an assumption that low income or disadvantaged customers are low water users. The</w:t>
      </w:r>
      <w:r>
        <w:t xml:space="preserve"> Commission, however, has not seen</w:t>
      </w:r>
      <w:r w:rsidR="00575C69">
        <w:t xml:space="preserve"> evidence that income is correlated with water use. </w:t>
      </w:r>
      <w:r w:rsidR="009B0310">
        <w:t xml:space="preserve">In its submission to the tariff review, Icon Water assessed the level of water use of customers receiving the ACT Government’s Utilities Concession. Icon Water found that around 40 per cent of these customers use more than 200 kL and pay the Tier 2 water usage price and that there are just as many </w:t>
      </w:r>
      <w:r w:rsidR="00E52039">
        <w:t>c</w:t>
      </w:r>
      <w:r w:rsidR="009B0310">
        <w:t>oncession</w:t>
      </w:r>
      <w:r w:rsidR="00E52039">
        <w:t>al</w:t>
      </w:r>
      <w:r w:rsidR="009B0310">
        <w:t xml:space="preserve"> customers using more than 200 kL per year as the</w:t>
      </w:r>
      <w:r w:rsidR="00FF3082">
        <w:t>re</w:t>
      </w:r>
      <w:r w:rsidR="009B0310">
        <w:t xml:space="preserve"> are using less than 150 kL per year.</w:t>
      </w:r>
    </w:p>
    <w:p w:rsidR="009B0310" w:rsidRDefault="00477E0D" w:rsidP="009B0310">
      <w:r>
        <w:lastRenderedPageBreak/>
        <w:t>T</w:t>
      </w:r>
      <w:r w:rsidR="009B0310">
        <w:t>here is empirical evidence</w:t>
      </w:r>
      <w:r>
        <w:t>, however,</w:t>
      </w:r>
      <w:r w:rsidR="009B0310">
        <w:t xml:space="preserve"> showing that </w:t>
      </w:r>
      <w:r w:rsidR="009B0310" w:rsidRPr="00517C8C">
        <w:t>the number of people in a household increases water consumption.</w:t>
      </w:r>
      <w:r w:rsidR="000B6AD2">
        <w:rPr>
          <w:rStyle w:val="FootnoteReference"/>
        </w:rPr>
        <w:footnoteReference w:id="8"/>
      </w:r>
      <w:r w:rsidR="009B0310" w:rsidRPr="00517C8C">
        <w:t xml:space="preserve"> </w:t>
      </w:r>
      <w:r w:rsidR="009B0310">
        <w:t>This implies that</w:t>
      </w:r>
      <w:r w:rsidR="009B0310" w:rsidRPr="00517C8C">
        <w:t xml:space="preserve"> an inc</w:t>
      </w:r>
      <w:r w:rsidR="009B0310">
        <w:t>lining</w:t>
      </w:r>
      <w:r w:rsidR="009B0310" w:rsidRPr="00517C8C">
        <w:t xml:space="preserve"> block structure </w:t>
      </w:r>
      <w:r w:rsidR="009B0310">
        <w:t xml:space="preserve">may </w:t>
      </w:r>
      <w:r w:rsidR="009B0310" w:rsidRPr="00517C8C">
        <w:t>ha</w:t>
      </w:r>
      <w:r w:rsidR="009B0310">
        <w:t>ve</w:t>
      </w:r>
      <w:r w:rsidR="009B0310" w:rsidRPr="00517C8C">
        <w:t xml:space="preserve"> the un</w:t>
      </w:r>
      <w:r w:rsidR="009B0310">
        <w:t>intended</w:t>
      </w:r>
      <w:r w:rsidR="009B0310" w:rsidRPr="00517C8C">
        <w:t xml:space="preserve"> consequence that</w:t>
      </w:r>
      <w:r w:rsidR="00CF159E">
        <w:t xml:space="preserve"> some</w:t>
      </w:r>
      <w:r w:rsidR="009B0310" w:rsidRPr="00517C8C">
        <w:t xml:space="preserve"> large and poor households, who</w:t>
      </w:r>
      <w:r w:rsidR="009B0310">
        <w:t xml:space="preserve"> </w:t>
      </w:r>
      <w:r w:rsidR="009B0310" w:rsidRPr="00517C8C">
        <w:t xml:space="preserve">may have little discretion </w:t>
      </w:r>
      <w:r w:rsidR="009B0310">
        <w:t xml:space="preserve">in their </w:t>
      </w:r>
      <w:r w:rsidR="009B0310" w:rsidRPr="00517C8C">
        <w:t xml:space="preserve">water </w:t>
      </w:r>
      <w:r w:rsidR="009B0310">
        <w:t>consumption</w:t>
      </w:r>
      <w:r w:rsidR="009B0310" w:rsidRPr="00517C8C">
        <w:t>, may pay a higher price</w:t>
      </w:r>
      <w:r w:rsidR="009B0310">
        <w:t xml:space="preserve"> </w:t>
      </w:r>
      <w:r w:rsidR="009B0310" w:rsidRPr="00517C8C">
        <w:t>for water than small</w:t>
      </w:r>
      <w:r w:rsidR="009B0310">
        <w:t>, high-</w:t>
      </w:r>
      <w:r w:rsidR="009B0310" w:rsidRPr="00517C8C">
        <w:t>income households.</w:t>
      </w:r>
    </w:p>
    <w:p w:rsidR="00417E73" w:rsidRDefault="00417E73" w:rsidP="00417E73">
      <w:pPr>
        <w:pStyle w:val="Heading5"/>
      </w:pPr>
      <w:r>
        <w:t>A</w:t>
      </w:r>
      <w:r w:rsidR="006F5D5C">
        <w:t>n alternative,</w:t>
      </w:r>
      <w:r>
        <w:t xml:space="preserve"> more efficient </w:t>
      </w:r>
      <w:r w:rsidR="006855FC">
        <w:t xml:space="preserve">water </w:t>
      </w:r>
      <w:r>
        <w:t>tariff structure</w:t>
      </w:r>
    </w:p>
    <w:p w:rsidR="00E443E9" w:rsidRDefault="00E443E9" w:rsidP="004C2313">
      <w:r w:rsidRPr="00E443E9">
        <w:t>An effective tariff structure should allow for the recovery of the efficient cost of providing water services. It should also provide incentives to use water efficiently depending on the supply conditions of the time.</w:t>
      </w:r>
      <w:r>
        <w:t xml:space="preserve"> It should also provide the flexibility to adjust should conditions change.</w:t>
      </w:r>
    </w:p>
    <w:p w:rsidR="00207830" w:rsidRDefault="00DF0A76" w:rsidP="004C2313">
      <w:r>
        <w:t xml:space="preserve">The Commission’s draft position is that a better outcome for the ACT community will be achieved </w:t>
      </w:r>
      <w:r w:rsidR="008A19AB">
        <w:t>by moving to a</w:t>
      </w:r>
      <w:r w:rsidR="006F5D5C">
        <w:t>n alternative</w:t>
      </w:r>
      <w:r w:rsidR="008A19AB">
        <w:t xml:space="preserve">, more efficient, water tariff structure that still has a </w:t>
      </w:r>
      <w:r w:rsidR="00B14BFA">
        <w:t>supply</w:t>
      </w:r>
      <w:r w:rsidR="008A19AB">
        <w:t xml:space="preserve"> charge but only one usage charge, </w:t>
      </w:r>
      <w:r w:rsidR="00870D6E">
        <w:t xml:space="preserve">the latter </w:t>
      </w:r>
      <w:r w:rsidR="008A19AB">
        <w:t xml:space="preserve">set with reference to </w:t>
      </w:r>
      <w:r w:rsidR="00870D6E">
        <w:t xml:space="preserve">long-run </w:t>
      </w:r>
      <w:r w:rsidR="008A19AB">
        <w:t xml:space="preserve">marginal cost. </w:t>
      </w:r>
      <w:r w:rsidR="000428F0">
        <w:t xml:space="preserve">With a </w:t>
      </w:r>
      <w:r w:rsidR="00D8609E">
        <w:t xml:space="preserve">single </w:t>
      </w:r>
      <w:r w:rsidR="000428F0">
        <w:t xml:space="preserve">lower usage charge, the </w:t>
      </w:r>
      <w:r w:rsidR="00B14BFA">
        <w:t>supply</w:t>
      </w:r>
      <w:r w:rsidR="000428F0">
        <w:t xml:space="preserve"> charge would need to be higher to allow Icon Water to recover its costs</w:t>
      </w:r>
      <w:r w:rsidR="00C544AE">
        <w:t>.</w:t>
      </w:r>
      <w:r w:rsidR="00477E0D">
        <w:t xml:space="preserve"> What is required therefore is </w:t>
      </w:r>
      <w:r w:rsidR="00326153">
        <w:t xml:space="preserve">a </w:t>
      </w:r>
      <w:r w:rsidR="00477E0D">
        <w:t xml:space="preserve">rebalancing between the </w:t>
      </w:r>
      <w:r w:rsidR="00B14BFA">
        <w:t>supply</w:t>
      </w:r>
      <w:r w:rsidR="00477E0D">
        <w:t xml:space="preserve"> charge and the usage charge.</w:t>
      </w:r>
    </w:p>
    <w:p w:rsidR="00E614D4" w:rsidRDefault="00B828DF" w:rsidP="00E614D4">
      <w:r>
        <w:t>S</w:t>
      </w:r>
      <w:r w:rsidR="006430E7">
        <w:t xml:space="preserve">uch </w:t>
      </w:r>
      <w:r w:rsidR="008A19AB">
        <w:t>a cost-reflective tariff structure</w:t>
      </w:r>
      <w:r>
        <w:t xml:space="preserve"> will enhance community welfare as it encourages consumers to use water in a way which is consistent with</w:t>
      </w:r>
      <w:r w:rsidR="008A19AB">
        <w:t xml:space="preserve"> the infrastructure and resource value cost of providing the water service. In addition, a more efficient tariff structure will reduce the possibility of uneconomic bypass of Icon Water’s primary water system.</w:t>
      </w:r>
    </w:p>
    <w:p w:rsidR="00E81101" w:rsidRDefault="00C106F7" w:rsidP="00E81101">
      <w:pPr>
        <w:pStyle w:val="Heading5"/>
      </w:pPr>
      <w:r>
        <w:t>D</w:t>
      </w:r>
      <w:r w:rsidR="00E81101">
        <w:t>rought pricing</w:t>
      </w:r>
    </w:p>
    <w:p w:rsidR="003F7472" w:rsidRDefault="00E81101" w:rsidP="00E81101">
      <w:r>
        <w:t>Drought pricing provides a</w:t>
      </w:r>
      <w:r w:rsidR="003F7472">
        <w:t xml:space="preserve">n </w:t>
      </w:r>
      <w:r>
        <w:t xml:space="preserve">alternative to </w:t>
      </w:r>
      <w:r w:rsidR="000C3848">
        <w:t xml:space="preserve">quantitative </w:t>
      </w:r>
      <w:r>
        <w:t xml:space="preserve">water restrictions by using </w:t>
      </w:r>
      <w:r w:rsidRPr="00FD4B74">
        <w:t>price to ration water demand</w:t>
      </w:r>
      <w:r>
        <w:t xml:space="preserve"> by sending price signals to consumers about the scarcity of the water resource.</w:t>
      </w:r>
      <w:r w:rsidR="003F7472">
        <w:t xml:space="preserve"> </w:t>
      </w:r>
      <w:r w:rsidR="00D31734">
        <w:t xml:space="preserve">In its submission to the tariff review </w:t>
      </w:r>
      <w:r w:rsidR="003F7472">
        <w:t xml:space="preserve">Icon Water </w:t>
      </w:r>
      <w:r w:rsidR="00D31734">
        <w:t xml:space="preserve">indicated its </w:t>
      </w:r>
      <w:r w:rsidR="003F7472">
        <w:t>support</w:t>
      </w:r>
      <w:r w:rsidR="00D31734">
        <w:t xml:space="preserve"> for </w:t>
      </w:r>
      <w:r w:rsidR="003F7472">
        <w:t xml:space="preserve">the implementation of a drought pricing scheme that </w:t>
      </w:r>
      <w:r w:rsidR="003F7472" w:rsidRPr="003F7472">
        <w:t xml:space="preserve">would involve </w:t>
      </w:r>
      <w:r w:rsidR="003F7472">
        <w:t xml:space="preserve">changing the usage </w:t>
      </w:r>
      <w:r w:rsidR="003F7472" w:rsidRPr="003F7472">
        <w:t xml:space="preserve">price to </w:t>
      </w:r>
      <w:r w:rsidR="003F7472">
        <w:t>reflect the level of water in ACT dams.</w:t>
      </w:r>
    </w:p>
    <w:p w:rsidR="00E81101" w:rsidRDefault="0054327E" w:rsidP="00E81101">
      <w:r>
        <w:t xml:space="preserve">The cost-reflective </w:t>
      </w:r>
      <w:r w:rsidR="005B1B19">
        <w:t xml:space="preserve">alternative tariff </w:t>
      </w:r>
      <w:r>
        <w:t>structure proposed above</w:t>
      </w:r>
      <w:r w:rsidRPr="0054327E">
        <w:t xml:space="preserve"> </w:t>
      </w:r>
      <w:r>
        <w:t xml:space="preserve">would accommodate a rise in the usage charge as water storage levels drop and the scarcity value of the water resource increases. </w:t>
      </w:r>
      <w:r w:rsidR="003F7472">
        <w:t>While the current water security situation mean</w:t>
      </w:r>
      <w:r w:rsidR="000C3848">
        <w:t>s</w:t>
      </w:r>
      <w:r w:rsidR="003F7472">
        <w:t xml:space="preserve"> that drought pricing arrangements are not </w:t>
      </w:r>
      <w:r w:rsidR="004925DD">
        <w:t>likely to be required for some time</w:t>
      </w:r>
      <w:r w:rsidR="003F7472">
        <w:t xml:space="preserve">, </w:t>
      </w:r>
      <w:r w:rsidR="00422906">
        <w:t>the Commission would expect such a proposal to be put forward should conditions change. T</w:t>
      </w:r>
      <w:r w:rsidR="003F7472">
        <w:t xml:space="preserve">he Commission would assess any </w:t>
      </w:r>
      <w:r w:rsidR="006430E7">
        <w:t xml:space="preserve">proposal put forward </w:t>
      </w:r>
      <w:r w:rsidR="003F7472">
        <w:t>on its merits.</w:t>
      </w:r>
    </w:p>
    <w:p w:rsidR="00304CD3" w:rsidRPr="00744168" w:rsidRDefault="00304CD3" w:rsidP="00E81101">
      <w:r>
        <w:t xml:space="preserve">In </w:t>
      </w:r>
      <w:r w:rsidRPr="009E479E">
        <w:t xml:space="preserve">practice, </w:t>
      </w:r>
      <w:r w:rsidR="00F567B1">
        <w:t xml:space="preserve">due to the price inelasticity of </w:t>
      </w:r>
      <w:r w:rsidR="00484A5E">
        <w:t xml:space="preserve">ACT </w:t>
      </w:r>
      <w:r w:rsidR="00F567B1">
        <w:t xml:space="preserve">residential water consumption as demonstrated in the </w:t>
      </w:r>
      <w:r>
        <w:t xml:space="preserve">Commission’s </w:t>
      </w:r>
      <w:r w:rsidR="00F567B1">
        <w:t xml:space="preserve">technical paper on water price </w:t>
      </w:r>
      <w:r>
        <w:t xml:space="preserve">elasticity, </w:t>
      </w:r>
      <w:r w:rsidRPr="009E479E">
        <w:t>any drought pricing arrangements would need to be applied in conjunction with quantitative restrictions in order to meet the required demand reduction.</w:t>
      </w:r>
    </w:p>
    <w:p w:rsidR="00C90086" w:rsidRDefault="001E093E" w:rsidP="009A4EB6">
      <w:pPr>
        <w:pStyle w:val="Heading5"/>
      </w:pPr>
      <w:r>
        <w:lastRenderedPageBreak/>
        <w:t xml:space="preserve">Rebalancing the supply and usage charges </w:t>
      </w:r>
      <w:r w:rsidR="00976A0E">
        <w:t>while minimising customer impacts</w:t>
      </w:r>
    </w:p>
    <w:p w:rsidR="00776FEC" w:rsidRDefault="00E614D4" w:rsidP="00BD47E2">
      <w:r>
        <w:t xml:space="preserve">Moving directly from the current to the </w:t>
      </w:r>
      <w:r w:rsidR="006F5D5C">
        <w:t xml:space="preserve">alternative </w:t>
      </w:r>
      <w:r>
        <w:t>structure</w:t>
      </w:r>
      <w:r w:rsidR="00AF207E">
        <w:t xml:space="preserve"> </w:t>
      </w:r>
      <w:r>
        <w:t>would have substantial</w:t>
      </w:r>
      <w:r w:rsidR="00336237">
        <w:t xml:space="preserve"> </w:t>
      </w:r>
      <w:r>
        <w:t>distributional impacts on customers, and negative impacts in particular on low volume water users.</w:t>
      </w:r>
      <w:r w:rsidR="00776FEC">
        <w:t xml:space="preserve"> </w:t>
      </w:r>
      <w:r w:rsidR="00F54941">
        <w:t xml:space="preserve">In order to gauge </w:t>
      </w:r>
      <w:r w:rsidR="004813E9">
        <w:t xml:space="preserve">a </w:t>
      </w:r>
      <w:r w:rsidR="00F54941">
        <w:t xml:space="preserve">suitable transition </w:t>
      </w:r>
      <w:r w:rsidR="004813E9">
        <w:t>period, the Commission analysed the likely distributional impacts of moving from the current structure to the alternative, more efficient structure on residential and commercial customers.</w:t>
      </w:r>
      <w:r w:rsidR="00BD47E2" w:rsidRPr="00BD47E2">
        <w:t xml:space="preserve"> </w:t>
      </w:r>
    </w:p>
    <w:p w:rsidR="00776FEC" w:rsidRDefault="00BD47E2" w:rsidP="00BD47E2">
      <w:r>
        <w:t xml:space="preserve">The key trade-off in determining the appropriate length of the transition period is that between minimising annual customer bill impacts and delaying the efficiency benefits that will flow from </w:t>
      </w:r>
      <w:r w:rsidR="00894F21">
        <w:t xml:space="preserve">more </w:t>
      </w:r>
      <w:r>
        <w:t>rapidly applying the cost-reflective structure.</w:t>
      </w:r>
    </w:p>
    <w:p w:rsidR="00CC5287" w:rsidRDefault="00BD47E2" w:rsidP="00E614D4">
      <w:r>
        <w:t xml:space="preserve">The Commission’s </w:t>
      </w:r>
      <w:r w:rsidR="003A54E8">
        <w:t>view</w:t>
      </w:r>
      <w:r>
        <w:t xml:space="preserve"> is that a transition period of 10 years would achieve this balance.</w:t>
      </w:r>
      <w:r w:rsidR="00776FEC">
        <w:t xml:space="preserve"> </w:t>
      </w:r>
      <w:r w:rsidR="004813E9">
        <w:t xml:space="preserve">The transition process involves gradually increasing the </w:t>
      </w:r>
      <w:r w:rsidR="00B14BFA">
        <w:t>supply</w:t>
      </w:r>
      <w:r w:rsidR="004813E9">
        <w:t xml:space="preserve"> charge until it reaches the desired level while at t</w:t>
      </w:r>
      <w:r w:rsidR="00776FEC">
        <w:t>he same time bringing down the T</w:t>
      </w:r>
      <w:r w:rsidR="004813E9">
        <w:t>ier 2 usage charge until there is only one</w:t>
      </w:r>
      <w:r w:rsidR="00C56487">
        <w:t xml:space="preserve"> usage charge</w:t>
      </w:r>
      <w:r w:rsidR="004813E9">
        <w:t>.</w:t>
      </w:r>
    </w:p>
    <w:p w:rsidR="00C74718" w:rsidRDefault="00CC5287" w:rsidP="00E614D4">
      <w:r>
        <w:t xml:space="preserve">For indicative purposes only, the Commission has examined two transition paths, as shown </w:t>
      </w:r>
      <w:r w:rsidR="00BD47E2">
        <w:t>in</w:t>
      </w:r>
      <w:r w:rsidR="00C56487">
        <w:t xml:space="preserve"> </w:t>
      </w:r>
      <w:r w:rsidR="00C56487">
        <w:fldChar w:fldCharType="begin"/>
      </w:r>
      <w:r w:rsidR="00C56487">
        <w:instrText xml:space="preserve"> REF _Ref460312738 \h </w:instrText>
      </w:r>
      <w:r w:rsidR="00C56487">
        <w:fldChar w:fldCharType="separate"/>
      </w:r>
      <w:r w:rsidR="00B80BC7" w:rsidRPr="003C3AEA">
        <w:t>Table</w:t>
      </w:r>
      <w:r w:rsidR="00B80BC7">
        <w:t xml:space="preserve"> ES.</w:t>
      </w:r>
      <w:r w:rsidR="00B80BC7">
        <w:rPr>
          <w:noProof/>
        </w:rPr>
        <w:t>1</w:t>
      </w:r>
      <w:r w:rsidR="00C56487">
        <w:fldChar w:fldCharType="end"/>
      </w:r>
      <w:r w:rsidR="009801C7">
        <w:t>.</w:t>
      </w:r>
      <w:r>
        <w:t xml:space="preserve"> The options should be treated with caution as they are based on current </w:t>
      </w:r>
      <w:r w:rsidR="00CC6917">
        <w:t>cost</w:t>
      </w:r>
      <w:r>
        <w:t xml:space="preserve"> estimates</w:t>
      </w:r>
      <w:r w:rsidR="00CC6917">
        <w:t xml:space="preserve"> and supply conditions.</w:t>
      </w:r>
      <w:r>
        <w:t xml:space="preserve"> </w:t>
      </w:r>
      <w:r w:rsidR="00CC6917">
        <w:t>These</w:t>
      </w:r>
      <w:r>
        <w:t xml:space="preserve"> will vary as conditions change.</w:t>
      </w:r>
      <w:r w:rsidR="00CC6917">
        <w:t xml:space="preserve"> The balance between the usage charge and the supply charge may also vary as supply conditions change.</w:t>
      </w:r>
    </w:p>
    <w:p w:rsidR="00C74718" w:rsidRDefault="00C74718" w:rsidP="003949F4">
      <w:pPr>
        <w:pStyle w:val="FigureName"/>
        <w:keepNext/>
      </w:pPr>
      <w:bookmarkStart w:id="27" w:name="_Ref460312738"/>
      <w:bookmarkStart w:id="28" w:name="_Toc460572243"/>
      <w:r w:rsidRPr="003C3AEA">
        <w:t>Table</w:t>
      </w:r>
      <w:r>
        <w:t xml:space="preserve"> ES.</w:t>
      </w:r>
      <w:r>
        <w:fldChar w:fldCharType="begin"/>
      </w:r>
      <w:r>
        <w:instrText xml:space="preserve"> SEQ Table \* ARABIC \s 1 </w:instrText>
      </w:r>
      <w:r>
        <w:fldChar w:fldCharType="separate"/>
      </w:r>
      <w:r w:rsidR="00B80BC7">
        <w:rPr>
          <w:noProof/>
        </w:rPr>
        <w:t>1</w:t>
      </w:r>
      <w:r>
        <w:fldChar w:fldCharType="end"/>
      </w:r>
      <w:bookmarkEnd w:id="27"/>
      <w:r>
        <w:tab/>
      </w:r>
      <w:r w:rsidR="00565745">
        <w:t>Current and i</w:t>
      </w:r>
      <w:r w:rsidR="000910DB">
        <w:t xml:space="preserve">ndicative </w:t>
      </w:r>
      <w:r>
        <w:t>alternative water tariffs</w:t>
      </w:r>
      <w:bookmarkEnd w:id="28"/>
    </w:p>
    <w:tbl>
      <w:tblPr>
        <w:tblW w:w="5473" w:type="pct"/>
        <w:tblBorders>
          <w:top w:val="single" w:sz="12" w:space="0" w:color="333399"/>
          <w:bottom w:val="single" w:sz="12" w:space="0" w:color="333399"/>
        </w:tblBorders>
        <w:tblLayout w:type="fixed"/>
        <w:tblCellMar>
          <w:left w:w="115" w:type="dxa"/>
          <w:right w:w="115" w:type="dxa"/>
        </w:tblCellMar>
        <w:tblLook w:val="0000" w:firstRow="0" w:lastRow="0" w:firstColumn="0" w:lastColumn="0" w:noHBand="0" w:noVBand="0"/>
      </w:tblPr>
      <w:tblGrid>
        <w:gridCol w:w="3686"/>
        <w:gridCol w:w="1278"/>
        <w:gridCol w:w="819"/>
        <w:gridCol w:w="886"/>
        <w:gridCol w:w="886"/>
        <w:gridCol w:w="885"/>
      </w:tblGrid>
      <w:tr w:rsidR="00ED36C4" w:rsidRPr="00144F8C" w:rsidTr="00736E13">
        <w:trPr>
          <w:cantSplit/>
        </w:trPr>
        <w:tc>
          <w:tcPr>
            <w:tcW w:w="2184" w:type="pct"/>
            <w:tcBorders>
              <w:top w:val="single" w:sz="12" w:space="0" w:color="1F497D" w:themeColor="text2"/>
              <w:left w:val="nil"/>
              <w:bottom w:val="single" w:sz="8" w:space="0" w:color="1F497D" w:themeColor="text2"/>
              <w:right w:val="nil"/>
            </w:tcBorders>
            <w:shd w:val="clear" w:color="auto" w:fill="DBE5F1" w:themeFill="accent1" w:themeFillTint="33"/>
          </w:tcPr>
          <w:p w:rsidR="00ED36C4" w:rsidRPr="00347ADB" w:rsidRDefault="00ED36C4" w:rsidP="00285751">
            <w:pPr>
              <w:pStyle w:val="TableHeadingLeft"/>
              <w:keepNext/>
            </w:pPr>
            <w:r>
              <w:t>Tariffs</w:t>
            </w:r>
          </w:p>
        </w:tc>
        <w:tc>
          <w:tcPr>
            <w:tcW w:w="757" w:type="pct"/>
            <w:tcBorders>
              <w:top w:val="single" w:sz="12" w:space="0" w:color="1F497D" w:themeColor="text2"/>
              <w:left w:val="nil"/>
              <w:bottom w:val="single" w:sz="8" w:space="0" w:color="1F497D" w:themeColor="text2"/>
              <w:right w:val="nil"/>
            </w:tcBorders>
            <w:shd w:val="clear" w:color="auto" w:fill="DBE5F1" w:themeFill="accent1" w:themeFillTint="33"/>
          </w:tcPr>
          <w:p w:rsidR="00ED36C4" w:rsidRDefault="00ED36C4" w:rsidP="00285751">
            <w:pPr>
              <w:pStyle w:val="TableHeadingLeft"/>
              <w:keepNext/>
              <w:jc w:val="right"/>
            </w:pPr>
            <w:r>
              <w:t>Year 1</w:t>
            </w:r>
          </w:p>
        </w:tc>
        <w:tc>
          <w:tcPr>
            <w:tcW w:w="485" w:type="pct"/>
            <w:tcBorders>
              <w:top w:val="single" w:sz="12" w:space="0" w:color="1F497D" w:themeColor="text2"/>
              <w:left w:val="nil"/>
              <w:bottom w:val="single" w:sz="8" w:space="0" w:color="1F497D" w:themeColor="text2"/>
              <w:right w:val="nil"/>
            </w:tcBorders>
            <w:shd w:val="clear" w:color="auto" w:fill="DBE5F1" w:themeFill="accent1" w:themeFillTint="33"/>
          </w:tcPr>
          <w:p w:rsidR="00ED36C4" w:rsidRPr="00174360" w:rsidRDefault="00ED36C4" w:rsidP="00285751">
            <w:pPr>
              <w:pStyle w:val="TableHeadingLeft"/>
              <w:keepNext/>
              <w:jc w:val="right"/>
            </w:pPr>
            <w:r>
              <w:t>Year 2</w:t>
            </w:r>
          </w:p>
        </w:tc>
        <w:tc>
          <w:tcPr>
            <w:tcW w:w="525" w:type="pct"/>
            <w:tcBorders>
              <w:top w:val="single" w:sz="12" w:space="0" w:color="1F497D" w:themeColor="text2"/>
              <w:left w:val="nil"/>
              <w:bottom w:val="single" w:sz="8" w:space="0" w:color="1F497D" w:themeColor="text2"/>
              <w:right w:val="nil"/>
            </w:tcBorders>
            <w:shd w:val="clear" w:color="auto" w:fill="DBE5F1" w:themeFill="accent1" w:themeFillTint="33"/>
          </w:tcPr>
          <w:p w:rsidR="00ED36C4" w:rsidRPr="00174360" w:rsidRDefault="00ED36C4" w:rsidP="00285751">
            <w:pPr>
              <w:pStyle w:val="TableHeadingLeft"/>
              <w:keepNext/>
              <w:jc w:val="right"/>
            </w:pPr>
            <w:r>
              <w:t>Year 3</w:t>
            </w:r>
            <w:r w:rsidRPr="00174360">
              <w:t xml:space="preserve"> </w:t>
            </w:r>
          </w:p>
        </w:tc>
        <w:tc>
          <w:tcPr>
            <w:tcW w:w="525" w:type="pct"/>
            <w:tcBorders>
              <w:top w:val="single" w:sz="12" w:space="0" w:color="1F497D" w:themeColor="text2"/>
              <w:left w:val="nil"/>
              <w:bottom w:val="single" w:sz="8" w:space="0" w:color="1F497D" w:themeColor="text2"/>
              <w:right w:val="nil"/>
            </w:tcBorders>
            <w:shd w:val="clear" w:color="auto" w:fill="DBE5F1" w:themeFill="accent1" w:themeFillTint="33"/>
          </w:tcPr>
          <w:p w:rsidR="00ED36C4" w:rsidRPr="00174360" w:rsidRDefault="00ED36C4" w:rsidP="00285751">
            <w:pPr>
              <w:pStyle w:val="TableHeadingLeft"/>
              <w:keepNext/>
              <w:jc w:val="right"/>
            </w:pPr>
            <w:r>
              <w:t>Year 4</w:t>
            </w:r>
          </w:p>
        </w:tc>
        <w:tc>
          <w:tcPr>
            <w:tcW w:w="524" w:type="pct"/>
            <w:tcBorders>
              <w:top w:val="single" w:sz="12" w:space="0" w:color="1F497D" w:themeColor="text2"/>
              <w:left w:val="nil"/>
              <w:bottom w:val="single" w:sz="8" w:space="0" w:color="1F497D" w:themeColor="text2"/>
              <w:right w:val="nil"/>
            </w:tcBorders>
            <w:shd w:val="clear" w:color="auto" w:fill="DBE5F1" w:themeFill="accent1" w:themeFillTint="33"/>
          </w:tcPr>
          <w:p w:rsidR="00ED36C4" w:rsidRPr="00174360" w:rsidRDefault="00ED36C4" w:rsidP="00285751">
            <w:pPr>
              <w:pStyle w:val="TableHeadingLeft"/>
              <w:keepNext/>
              <w:jc w:val="right"/>
            </w:pPr>
            <w:r>
              <w:t>Year 5</w:t>
            </w:r>
          </w:p>
        </w:tc>
      </w:tr>
      <w:tr w:rsidR="00565745" w:rsidRPr="00144F8C" w:rsidTr="00736E13">
        <w:trPr>
          <w:cantSplit/>
        </w:trPr>
        <w:tc>
          <w:tcPr>
            <w:tcW w:w="2184" w:type="pct"/>
            <w:tcBorders>
              <w:top w:val="nil"/>
              <w:left w:val="nil"/>
              <w:bottom w:val="nil"/>
              <w:right w:val="nil"/>
            </w:tcBorders>
          </w:tcPr>
          <w:p w:rsidR="00565745" w:rsidRDefault="00565745" w:rsidP="00ED36C4">
            <w:pPr>
              <w:pStyle w:val="TableHeadingLeft"/>
              <w:keepNext/>
            </w:pPr>
            <w:r>
              <w:t xml:space="preserve">Current tariff </w:t>
            </w:r>
            <w:r>
              <w:softHyphen/>
            </w:r>
            <w:r>
              <w:softHyphen/>
              <w:t xml:space="preserve"> </w:t>
            </w:r>
            <w:r>
              <w:sym w:font="Symbol" w:char="F02D"/>
            </w:r>
            <w:r>
              <w:t xml:space="preserve"> 2015</w:t>
            </w:r>
            <w:r>
              <w:softHyphen/>
            </w:r>
            <w:r>
              <w:sym w:font="Symbol" w:char="F02D"/>
            </w:r>
            <w:r>
              <w:t>16</w:t>
            </w:r>
          </w:p>
        </w:tc>
        <w:tc>
          <w:tcPr>
            <w:tcW w:w="757" w:type="pct"/>
            <w:tcBorders>
              <w:top w:val="nil"/>
              <w:left w:val="nil"/>
              <w:right w:val="nil"/>
            </w:tcBorders>
          </w:tcPr>
          <w:p w:rsidR="00565745" w:rsidRPr="003949F4" w:rsidRDefault="00565745" w:rsidP="003949F4">
            <w:pPr>
              <w:pStyle w:val="TableTextRight"/>
            </w:pPr>
          </w:p>
        </w:tc>
        <w:tc>
          <w:tcPr>
            <w:tcW w:w="485" w:type="pct"/>
            <w:tcBorders>
              <w:top w:val="nil"/>
              <w:left w:val="nil"/>
              <w:right w:val="nil"/>
            </w:tcBorders>
          </w:tcPr>
          <w:p w:rsidR="00565745" w:rsidRPr="003949F4" w:rsidRDefault="00565745" w:rsidP="003949F4">
            <w:pPr>
              <w:pStyle w:val="TableTextRight"/>
            </w:pPr>
          </w:p>
        </w:tc>
        <w:tc>
          <w:tcPr>
            <w:tcW w:w="525" w:type="pct"/>
            <w:tcBorders>
              <w:top w:val="nil"/>
              <w:left w:val="nil"/>
              <w:right w:val="nil"/>
            </w:tcBorders>
          </w:tcPr>
          <w:p w:rsidR="00565745" w:rsidRPr="003949F4" w:rsidRDefault="00565745" w:rsidP="003949F4">
            <w:pPr>
              <w:pStyle w:val="TableTextRight"/>
            </w:pPr>
          </w:p>
        </w:tc>
        <w:tc>
          <w:tcPr>
            <w:tcW w:w="525" w:type="pct"/>
            <w:tcBorders>
              <w:top w:val="nil"/>
              <w:left w:val="nil"/>
              <w:right w:val="nil"/>
            </w:tcBorders>
          </w:tcPr>
          <w:p w:rsidR="00565745" w:rsidRPr="003949F4" w:rsidRDefault="00565745" w:rsidP="003949F4">
            <w:pPr>
              <w:pStyle w:val="TableTextRight"/>
            </w:pPr>
          </w:p>
        </w:tc>
        <w:tc>
          <w:tcPr>
            <w:tcW w:w="524" w:type="pct"/>
            <w:tcBorders>
              <w:top w:val="nil"/>
              <w:left w:val="nil"/>
              <w:right w:val="nil"/>
            </w:tcBorders>
          </w:tcPr>
          <w:p w:rsidR="00565745" w:rsidRPr="003949F4" w:rsidRDefault="00565745" w:rsidP="003949F4">
            <w:pPr>
              <w:pStyle w:val="TableTextRight"/>
            </w:pPr>
          </w:p>
        </w:tc>
      </w:tr>
      <w:tr w:rsidR="00565745" w:rsidRPr="00144F8C" w:rsidTr="00736E13">
        <w:trPr>
          <w:cantSplit/>
        </w:trPr>
        <w:tc>
          <w:tcPr>
            <w:tcW w:w="2184" w:type="pct"/>
            <w:tcBorders>
              <w:top w:val="nil"/>
              <w:left w:val="nil"/>
              <w:bottom w:val="nil"/>
              <w:right w:val="nil"/>
            </w:tcBorders>
          </w:tcPr>
          <w:p w:rsidR="00565745" w:rsidRDefault="00565745" w:rsidP="00565745">
            <w:pPr>
              <w:pStyle w:val="TableHeadingLeft"/>
              <w:keepNext/>
            </w:pPr>
            <w:r>
              <w:t xml:space="preserve">Supply charge </w:t>
            </w:r>
            <w:r w:rsidRPr="00EF2F36">
              <w:rPr>
                <w:b w:val="0"/>
              </w:rPr>
              <w:t>($/year)</w:t>
            </w:r>
          </w:p>
        </w:tc>
        <w:tc>
          <w:tcPr>
            <w:tcW w:w="757" w:type="pct"/>
            <w:tcBorders>
              <w:top w:val="nil"/>
              <w:left w:val="nil"/>
              <w:right w:val="nil"/>
            </w:tcBorders>
          </w:tcPr>
          <w:p w:rsidR="00565745" w:rsidRPr="003949F4" w:rsidRDefault="00565745" w:rsidP="00565745">
            <w:pPr>
              <w:pStyle w:val="TableTextRight"/>
            </w:pPr>
            <w:r>
              <w:t>101.48</w:t>
            </w:r>
          </w:p>
        </w:tc>
        <w:tc>
          <w:tcPr>
            <w:tcW w:w="485" w:type="pct"/>
            <w:tcBorders>
              <w:top w:val="nil"/>
              <w:left w:val="nil"/>
              <w:right w:val="nil"/>
            </w:tcBorders>
          </w:tcPr>
          <w:p w:rsidR="00565745" w:rsidRPr="003949F4" w:rsidRDefault="00565745" w:rsidP="00565745">
            <w:pPr>
              <w:pStyle w:val="TableTextRight"/>
            </w:pPr>
          </w:p>
        </w:tc>
        <w:tc>
          <w:tcPr>
            <w:tcW w:w="525" w:type="pct"/>
            <w:tcBorders>
              <w:top w:val="nil"/>
              <w:left w:val="nil"/>
              <w:right w:val="nil"/>
            </w:tcBorders>
          </w:tcPr>
          <w:p w:rsidR="00565745" w:rsidRPr="003949F4" w:rsidRDefault="00565745" w:rsidP="00565745">
            <w:pPr>
              <w:pStyle w:val="TableTextRight"/>
            </w:pPr>
          </w:p>
        </w:tc>
        <w:tc>
          <w:tcPr>
            <w:tcW w:w="525" w:type="pct"/>
            <w:tcBorders>
              <w:top w:val="nil"/>
              <w:left w:val="nil"/>
              <w:right w:val="nil"/>
            </w:tcBorders>
          </w:tcPr>
          <w:p w:rsidR="00565745" w:rsidRPr="003949F4" w:rsidRDefault="00565745" w:rsidP="00565745">
            <w:pPr>
              <w:pStyle w:val="TableTextRight"/>
            </w:pPr>
          </w:p>
        </w:tc>
        <w:tc>
          <w:tcPr>
            <w:tcW w:w="524" w:type="pct"/>
            <w:tcBorders>
              <w:top w:val="nil"/>
              <w:left w:val="nil"/>
              <w:right w:val="nil"/>
            </w:tcBorders>
          </w:tcPr>
          <w:p w:rsidR="00565745" w:rsidRPr="003949F4" w:rsidRDefault="00565745" w:rsidP="00565745">
            <w:pPr>
              <w:pStyle w:val="TableTextRight"/>
            </w:pPr>
          </w:p>
        </w:tc>
      </w:tr>
      <w:tr w:rsidR="00565745" w:rsidRPr="00144F8C" w:rsidTr="00736E13">
        <w:trPr>
          <w:cantSplit/>
        </w:trPr>
        <w:tc>
          <w:tcPr>
            <w:tcW w:w="2184" w:type="pct"/>
            <w:tcBorders>
              <w:top w:val="nil"/>
              <w:left w:val="nil"/>
              <w:bottom w:val="nil"/>
              <w:right w:val="nil"/>
            </w:tcBorders>
          </w:tcPr>
          <w:p w:rsidR="00565745" w:rsidRDefault="00565745" w:rsidP="00565745">
            <w:pPr>
              <w:pStyle w:val="TableHeadingLeft"/>
              <w:keepNext/>
            </w:pPr>
            <w:r>
              <w:t xml:space="preserve">Tier 1 price </w:t>
            </w:r>
            <w:r w:rsidRPr="00EF2F36">
              <w:rPr>
                <w:b w:val="0"/>
              </w:rPr>
              <w:t>($/kL)</w:t>
            </w:r>
          </w:p>
        </w:tc>
        <w:tc>
          <w:tcPr>
            <w:tcW w:w="757" w:type="pct"/>
            <w:tcBorders>
              <w:top w:val="nil"/>
              <w:left w:val="nil"/>
              <w:right w:val="nil"/>
            </w:tcBorders>
          </w:tcPr>
          <w:p w:rsidR="00565745" w:rsidRPr="003949F4" w:rsidRDefault="00565745" w:rsidP="00565745">
            <w:pPr>
              <w:pStyle w:val="TableTextRight"/>
            </w:pPr>
            <w:r>
              <w:t>2.61</w:t>
            </w:r>
          </w:p>
        </w:tc>
        <w:tc>
          <w:tcPr>
            <w:tcW w:w="485" w:type="pct"/>
            <w:tcBorders>
              <w:top w:val="nil"/>
              <w:left w:val="nil"/>
              <w:right w:val="nil"/>
            </w:tcBorders>
          </w:tcPr>
          <w:p w:rsidR="00565745" w:rsidRPr="003949F4" w:rsidRDefault="00565745" w:rsidP="00565745">
            <w:pPr>
              <w:pStyle w:val="TableTextRight"/>
            </w:pPr>
          </w:p>
        </w:tc>
        <w:tc>
          <w:tcPr>
            <w:tcW w:w="525" w:type="pct"/>
            <w:tcBorders>
              <w:top w:val="nil"/>
              <w:left w:val="nil"/>
              <w:right w:val="nil"/>
            </w:tcBorders>
          </w:tcPr>
          <w:p w:rsidR="00565745" w:rsidRPr="003949F4" w:rsidRDefault="00565745" w:rsidP="00565745">
            <w:pPr>
              <w:pStyle w:val="TableTextRight"/>
            </w:pPr>
          </w:p>
        </w:tc>
        <w:tc>
          <w:tcPr>
            <w:tcW w:w="525" w:type="pct"/>
            <w:tcBorders>
              <w:top w:val="nil"/>
              <w:left w:val="nil"/>
              <w:right w:val="nil"/>
            </w:tcBorders>
          </w:tcPr>
          <w:p w:rsidR="00565745" w:rsidRPr="003949F4" w:rsidRDefault="00565745" w:rsidP="00565745">
            <w:pPr>
              <w:pStyle w:val="TableTextRight"/>
            </w:pPr>
          </w:p>
        </w:tc>
        <w:tc>
          <w:tcPr>
            <w:tcW w:w="524" w:type="pct"/>
            <w:tcBorders>
              <w:top w:val="nil"/>
              <w:left w:val="nil"/>
              <w:right w:val="nil"/>
            </w:tcBorders>
          </w:tcPr>
          <w:p w:rsidR="00565745" w:rsidRPr="003949F4" w:rsidRDefault="00565745" w:rsidP="00565745">
            <w:pPr>
              <w:pStyle w:val="TableTextRight"/>
            </w:pPr>
          </w:p>
        </w:tc>
      </w:tr>
      <w:tr w:rsidR="00565745" w:rsidRPr="00144F8C" w:rsidTr="00736E13">
        <w:trPr>
          <w:cantSplit/>
        </w:trPr>
        <w:tc>
          <w:tcPr>
            <w:tcW w:w="2184" w:type="pct"/>
            <w:tcBorders>
              <w:top w:val="nil"/>
              <w:left w:val="nil"/>
              <w:bottom w:val="nil"/>
              <w:right w:val="nil"/>
            </w:tcBorders>
          </w:tcPr>
          <w:p w:rsidR="00565745" w:rsidRDefault="00565745" w:rsidP="00565745">
            <w:pPr>
              <w:pStyle w:val="TableHeadingLeft"/>
              <w:keepNext/>
            </w:pPr>
            <w:r w:rsidRPr="00EF2F36">
              <w:t>Tier 2 price</w:t>
            </w:r>
            <w:r>
              <w:t xml:space="preserve"> </w:t>
            </w:r>
            <w:r w:rsidRPr="00932E8D">
              <w:rPr>
                <w:b w:val="0"/>
              </w:rPr>
              <w:t>($/kL)</w:t>
            </w:r>
          </w:p>
        </w:tc>
        <w:tc>
          <w:tcPr>
            <w:tcW w:w="757" w:type="pct"/>
            <w:tcBorders>
              <w:top w:val="nil"/>
              <w:left w:val="nil"/>
              <w:right w:val="nil"/>
            </w:tcBorders>
          </w:tcPr>
          <w:p w:rsidR="00565745" w:rsidRPr="003949F4" w:rsidRDefault="00565745" w:rsidP="00565745">
            <w:pPr>
              <w:pStyle w:val="TableTextRight"/>
            </w:pPr>
            <w:r>
              <w:t>5.24</w:t>
            </w:r>
          </w:p>
        </w:tc>
        <w:tc>
          <w:tcPr>
            <w:tcW w:w="485" w:type="pct"/>
            <w:tcBorders>
              <w:top w:val="nil"/>
              <w:left w:val="nil"/>
              <w:right w:val="nil"/>
            </w:tcBorders>
          </w:tcPr>
          <w:p w:rsidR="00565745" w:rsidRPr="003949F4" w:rsidRDefault="00565745" w:rsidP="00565745">
            <w:pPr>
              <w:pStyle w:val="TableTextRight"/>
            </w:pPr>
          </w:p>
        </w:tc>
        <w:tc>
          <w:tcPr>
            <w:tcW w:w="525" w:type="pct"/>
            <w:tcBorders>
              <w:top w:val="nil"/>
              <w:left w:val="nil"/>
              <w:right w:val="nil"/>
            </w:tcBorders>
          </w:tcPr>
          <w:p w:rsidR="00565745" w:rsidRPr="003949F4" w:rsidRDefault="00565745" w:rsidP="00565745">
            <w:pPr>
              <w:pStyle w:val="TableTextRight"/>
            </w:pPr>
          </w:p>
        </w:tc>
        <w:tc>
          <w:tcPr>
            <w:tcW w:w="525" w:type="pct"/>
            <w:tcBorders>
              <w:top w:val="nil"/>
              <w:left w:val="nil"/>
              <w:right w:val="nil"/>
            </w:tcBorders>
          </w:tcPr>
          <w:p w:rsidR="00565745" w:rsidRPr="003949F4" w:rsidRDefault="00565745" w:rsidP="00565745">
            <w:pPr>
              <w:pStyle w:val="TableTextRight"/>
            </w:pPr>
          </w:p>
        </w:tc>
        <w:tc>
          <w:tcPr>
            <w:tcW w:w="524" w:type="pct"/>
            <w:tcBorders>
              <w:top w:val="nil"/>
              <w:left w:val="nil"/>
              <w:right w:val="nil"/>
            </w:tcBorders>
          </w:tcPr>
          <w:p w:rsidR="00565745" w:rsidRPr="003949F4" w:rsidRDefault="00565745" w:rsidP="00565745">
            <w:pPr>
              <w:pStyle w:val="TableTextRight"/>
            </w:pPr>
          </w:p>
        </w:tc>
      </w:tr>
      <w:tr w:rsidR="00565745" w:rsidRPr="00144F8C" w:rsidTr="00736E13">
        <w:trPr>
          <w:cantSplit/>
        </w:trPr>
        <w:tc>
          <w:tcPr>
            <w:tcW w:w="2184" w:type="pct"/>
            <w:tcBorders>
              <w:top w:val="nil"/>
              <w:left w:val="nil"/>
              <w:bottom w:val="nil"/>
              <w:right w:val="nil"/>
            </w:tcBorders>
          </w:tcPr>
          <w:p w:rsidR="00565745" w:rsidRDefault="00565745" w:rsidP="00565745">
            <w:pPr>
              <w:pStyle w:val="TableHeadingLeft"/>
              <w:keepNext/>
            </w:pPr>
          </w:p>
        </w:tc>
        <w:tc>
          <w:tcPr>
            <w:tcW w:w="757" w:type="pct"/>
            <w:tcBorders>
              <w:top w:val="nil"/>
              <w:left w:val="nil"/>
              <w:right w:val="nil"/>
            </w:tcBorders>
          </w:tcPr>
          <w:p w:rsidR="00565745" w:rsidRPr="003949F4" w:rsidRDefault="00565745" w:rsidP="00565745">
            <w:pPr>
              <w:pStyle w:val="TableTextRight"/>
            </w:pPr>
          </w:p>
        </w:tc>
        <w:tc>
          <w:tcPr>
            <w:tcW w:w="485" w:type="pct"/>
            <w:tcBorders>
              <w:top w:val="nil"/>
              <w:left w:val="nil"/>
              <w:right w:val="nil"/>
            </w:tcBorders>
          </w:tcPr>
          <w:p w:rsidR="00565745" w:rsidRPr="003949F4" w:rsidRDefault="00565745" w:rsidP="00565745">
            <w:pPr>
              <w:pStyle w:val="TableTextRight"/>
            </w:pPr>
          </w:p>
        </w:tc>
        <w:tc>
          <w:tcPr>
            <w:tcW w:w="525" w:type="pct"/>
            <w:tcBorders>
              <w:top w:val="nil"/>
              <w:left w:val="nil"/>
              <w:right w:val="nil"/>
            </w:tcBorders>
          </w:tcPr>
          <w:p w:rsidR="00565745" w:rsidRPr="003949F4" w:rsidRDefault="00565745" w:rsidP="00565745">
            <w:pPr>
              <w:pStyle w:val="TableTextRight"/>
            </w:pPr>
          </w:p>
        </w:tc>
        <w:tc>
          <w:tcPr>
            <w:tcW w:w="525" w:type="pct"/>
            <w:tcBorders>
              <w:top w:val="nil"/>
              <w:left w:val="nil"/>
              <w:right w:val="nil"/>
            </w:tcBorders>
          </w:tcPr>
          <w:p w:rsidR="00565745" w:rsidRPr="003949F4" w:rsidRDefault="00565745" w:rsidP="00565745">
            <w:pPr>
              <w:pStyle w:val="TableTextRight"/>
            </w:pPr>
          </w:p>
        </w:tc>
        <w:tc>
          <w:tcPr>
            <w:tcW w:w="524" w:type="pct"/>
            <w:tcBorders>
              <w:top w:val="nil"/>
              <w:left w:val="nil"/>
              <w:right w:val="nil"/>
            </w:tcBorders>
          </w:tcPr>
          <w:p w:rsidR="00565745" w:rsidRPr="003949F4" w:rsidRDefault="00565745" w:rsidP="00565745">
            <w:pPr>
              <w:pStyle w:val="TableTextRight"/>
            </w:pPr>
          </w:p>
        </w:tc>
      </w:tr>
      <w:tr w:rsidR="00565745" w:rsidRPr="00144F8C" w:rsidTr="00736E13">
        <w:trPr>
          <w:cantSplit/>
        </w:trPr>
        <w:tc>
          <w:tcPr>
            <w:tcW w:w="2184" w:type="pct"/>
            <w:tcBorders>
              <w:top w:val="nil"/>
              <w:left w:val="nil"/>
              <w:bottom w:val="nil"/>
              <w:right w:val="nil"/>
            </w:tcBorders>
          </w:tcPr>
          <w:p w:rsidR="00565745" w:rsidRPr="00DD58D7" w:rsidRDefault="00565745" w:rsidP="00565745">
            <w:pPr>
              <w:pStyle w:val="TableHeadingLeft"/>
              <w:keepNext/>
            </w:pPr>
            <w:r>
              <w:t xml:space="preserve">Option A. One usage charge </w:t>
            </w:r>
            <w:r>
              <w:sym w:font="Symbol" w:char="F02D"/>
            </w:r>
            <w:r>
              <w:rPr>
                <w:b w:val="0"/>
              </w:rPr>
              <w:t xml:space="preserve"> </w:t>
            </w:r>
            <w:r w:rsidRPr="00EF2F36">
              <w:rPr>
                <w:b w:val="0"/>
              </w:rPr>
              <w:t>set at long-run marginal cost</w:t>
            </w:r>
          </w:p>
        </w:tc>
        <w:tc>
          <w:tcPr>
            <w:tcW w:w="757" w:type="pct"/>
            <w:tcBorders>
              <w:top w:val="nil"/>
              <w:left w:val="nil"/>
              <w:right w:val="nil"/>
            </w:tcBorders>
          </w:tcPr>
          <w:p w:rsidR="00565745" w:rsidRPr="003949F4" w:rsidRDefault="00565745" w:rsidP="00565745">
            <w:pPr>
              <w:pStyle w:val="TableTextRight"/>
            </w:pPr>
          </w:p>
        </w:tc>
        <w:tc>
          <w:tcPr>
            <w:tcW w:w="485" w:type="pct"/>
            <w:tcBorders>
              <w:top w:val="nil"/>
              <w:left w:val="nil"/>
              <w:right w:val="nil"/>
            </w:tcBorders>
          </w:tcPr>
          <w:p w:rsidR="00565745" w:rsidRPr="003949F4" w:rsidRDefault="00565745" w:rsidP="00565745">
            <w:pPr>
              <w:pStyle w:val="TableTextRight"/>
            </w:pPr>
          </w:p>
        </w:tc>
        <w:tc>
          <w:tcPr>
            <w:tcW w:w="525" w:type="pct"/>
            <w:tcBorders>
              <w:top w:val="nil"/>
              <w:left w:val="nil"/>
              <w:right w:val="nil"/>
            </w:tcBorders>
          </w:tcPr>
          <w:p w:rsidR="00565745" w:rsidRPr="003949F4" w:rsidRDefault="00565745" w:rsidP="00565745">
            <w:pPr>
              <w:pStyle w:val="TableTextRight"/>
            </w:pPr>
          </w:p>
        </w:tc>
        <w:tc>
          <w:tcPr>
            <w:tcW w:w="525" w:type="pct"/>
            <w:tcBorders>
              <w:top w:val="nil"/>
              <w:left w:val="nil"/>
              <w:right w:val="nil"/>
            </w:tcBorders>
          </w:tcPr>
          <w:p w:rsidR="00565745" w:rsidRPr="003949F4" w:rsidRDefault="00565745" w:rsidP="00565745">
            <w:pPr>
              <w:pStyle w:val="TableTextRight"/>
            </w:pPr>
          </w:p>
        </w:tc>
        <w:tc>
          <w:tcPr>
            <w:tcW w:w="524" w:type="pct"/>
            <w:tcBorders>
              <w:top w:val="nil"/>
              <w:left w:val="nil"/>
              <w:right w:val="nil"/>
            </w:tcBorders>
          </w:tcPr>
          <w:p w:rsidR="00565745" w:rsidRPr="003949F4" w:rsidRDefault="00565745" w:rsidP="00565745">
            <w:pPr>
              <w:pStyle w:val="TableTextRight"/>
            </w:pPr>
          </w:p>
        </w:tc>
      </w:tr>
      <w:tr w:rsidR="00565745" w:rsidRPr="00144F8C" w:rsidTr="00736E13">
        <w:trPr>
          <w:cantSplit/>
        </w:trPr>
        <w:tc>
          <w:tcPr>
            <w:tcW w:w="2184" w:type="pct"/>
            <w:tcBorders>
              <w:top w:val="nil"/>
              <w:left w:val="nil"/>
              <w:bottom w:val="nil"/>
              <w:right w:val="nil"/>
            </w:tcBorders>
          </w:tcPr>
          <w:p w:rsidR="00565745" w:rsidRDefault="00565745" w:rsidP="00565745">
            <w:pPr>
              <w:pStyle w:val="TableHeadingLeft"/>
              <w:keepNext/>
              <w:rPr>
                <w:b w:val="0"/>
              </w:rPr>
            </w:pPr>
            <w:r>
              <w:t xml:space="preserve">Supply charge </w:t>
            </w:r>
            <w:r w:rsidRPr="00EF2F36">
              <w:rPr>
                <w:b w:val="0"/>
              </w:rPr>
              <w:t>($/year)</w:t>
            </w:r>
          </w:p>
        </w:tc>
        <w:tc>
          <w:tcPr>
            <w:tcW w:w="757" w:type="pct"/>
            <w:tcBorders>
              <w:left w:val="nil"/>
              <w:right w:val="nil"/>
            </w:tcBorders>
          </w:tcPr>
          <w:p w:rsidR="00565745" w:rsidRPr="003949F4" w:rsidRDefault="00565745" w:rsidP="00565745">
            <w:pPr>
              <w:pStyle w:val="TableTextRight"/>
            </w:pPr>
            <w:r w:rsidRPr="003949F4">
              <w:t>125.20</w:t>
            </w:r>
          </w:p>
        </w:tc>
        <w:tc>
          <w:tcPr>
            <w:tcW w:w="485" w:type="pct"/>
            <w:tcBorders>
              <w:left w:val="nil"/>
              <w:right w:val="nil"/>
            </w:tcBorders>
            <w:vAlign w:val="bottom"/>
          </w:tcPr>
          <w:p w:rsidR="00565745" w:rsidRPr="003949F4" w:rsidRDefault="00565745" w:rsidP="00565745">
            <w:pPr>
              <w:pStyle w:val="TableTextRight"/>
            </w:pPr>
            <w:r w:rsidRPr="003949F4">
              <w:t>149.29</w:t>
            </w:r>
          </w:p>
        </w:tc>
        <w:tc>
          <w:tcPr>
            <w:tcW w:w="525" w:type="pct"/>
            <w:tcBorders>
              <w:left w:val="nil"/>
              <w:right w:val="nil"/>
            </w:tcBorders>
            <w:vAlign w:val="bottom"/>
          </w:tcPr>
          <w:p w:rsidR="00565745" w:rsidRPr="003949F4" w:rsidRDefault="00565745" w:rsidP="00565745">
            <w:pPr>
              <w:pStyle w:val="TableTextRight"/>
            </w:pPr>
            <w:r w:rsidRPr="003949F4">
              <w:t>178.00</w:t>
            </w:r>
          </w:p>
        </w:tc>
        <w:tc>
          <w:tcPr>
            <w:tcW w:w="525" w:type="pct"/>
            <w:tcBorders>
              <w:left w:val="nil"/>
              <w:right w:val="nil"/>
            </w:tcBorders>
            <w:vAlign w:val="bottom"/>
          </w:tcPr>
          <w:p w:rsidR="00565745" w:rsidRPr="003949F4" w:rsidRDefault="00565745" w:rsidP="00565745">
            <w:pPr>
              <w:pStyle w:val="TableTextRight"/>
            </w:pPr>
            <w:r w:rsidRPr="003949F4">
              <w:t>212.25</w:t>
            </w:r>
          </w:p>
        </w:tc>
        <w:tc>
          <w:tcPr>
            <w:tcW w:w="524" w:type="pct"/>
            <w:tcBorders>
              <w:left w:val="nil"/>
              <w:right w:val="nil"/>
            </w:tcBorders>
            <w:vAlign w:val="bottom"/>
          </w:tcPr>
          <w:p w:rsidR="00565745" w:rsidRPr="003949F4" w:rsidRDefault="00565745" w:rsidP="00565745">
            <w:pPr>
              <w:pStyle w:val="TableTextRight"/>
            </w:pPr>
            <w:r w:rsidRPr="003949F4">
              <w:t>253.08</w:t>
            </w:r>
          </w:p>
        </w:tc>
      </w:tr>
      <w:tr w:rsidR="00565745" w:rsidRPr="00144F8C" w:rsidTr="00736E13">
        <w:trPr>
          <w:cantSplit/>
        </w:trPr>
        <w:tc>
          <w:tcPr>
            <w:tcW w:w="2184" w:type="pct"/>
            <w:tcBorders>
              <w:top w:val="nil"/>
              <w:left w:val="nil"/>
              <w:bottom w:val="nil"/>
              <w:right w:val="nil"/>
            </w:tcBorders>
          </w:tcPr>
          <w:p w:rsidR="00565745" w:rsidRPr="00174360" w:rsidRDefault="00565745" w:rsidP="00565745">
            <w:pPr>
              <w:pStyle w:val="TableHeadingLeft"/>
              <w:keepNext/>
            </w:pPr>
            <w:r>
              <w:t xml:space="preserve">Tier 1 price </w:t>
            </w:r>
            <w:r w:rsidRPr="00EF2F36">
              <w:rPr>
                <w:b w:val="0"/>
              </w:rPr>
              <w:t>($/kL)</w:t>
            </w:r>
          </w:p>
        </w:tc>
        <w:tc>
          <w:tcPr>
            <w:tcW w:w="757" w:type="pct"/>
            <w:tcBorders>
              <w:left w:val="nil"/>
              <w:right w:val="nil"/>
            </w:tcBorders>
          </w:tcPr>
          <w:p w:rsidR="00565745" w:rsidRPr="003949F4" w:rsidRDefault="00565745" w:rsidP="00565745">
            <w:pPr>
              <w:pStyle w:val="TableTextRight"/>
            </w:pPr>
            <w:r w:rsidRPr="003949F4">
              <w:t>2.61</w:t>
            </w:r>
          </w:p>
        </w:tc>
        <w:tc>
          <w:tcPr>
            <w:tcW w:w="485" w:type="pct"/>
            <w:tcBorders>
              <w:left w:val="nil"/>
              <w:right w:val="nil"/>
            </w:tcBorders>
            <w:vAlign w:val="bottom"/>
          </w:tcPr>
          <w:p w:rsidR="00565745" w:rsidRPr="003949F4" w:rsidRDefault="00565745" w:rsidP="00565745">
            <w:pPr>
              <w:pStyle w:val="TableTextRight"/>
            </w:pPr>
            <w:r w:rsidRPr="003949F4">
              <w:t>2.61</w:t>
            </w:r>
          </w:p>
        </w:tc>
        <w:tc>
          <w:tcPr>
            <w:tcW w:w="525" w:type="pct"/>
            <w:tcBorders>
              <w:left w:val="nil"/>
              <w:right w:val="nil"/>
            </w:tcBorders>
            <w:vAlign w:val="bottom"/>
          </w:tcPr>
          <w:p w:rsidR="00565745" w:rsidRPr="003949F4" w:rsidRDefault="00565745" w:rsidP="00565745">
            <w:pPr>
              <w:pStyle w:val="TableTextRight"/>
            </w:pPr>
            <w:r w:rsidRPr="003949F4">
              <w:t>2.61</w:t>
            </w:r>
          </w:p>
        </w:tc>
        <w:tc>
          <w:tcPr>
            <w:tcW w:w="525" w:type="pct"/>
            <w:tcBorders>
              <w:left w:val="nil"/>
              <w:right w:val="nil"/>
            </w:tcBorders>
            <w:vAlign w:val="bottom"/>
          </w:tcPr>
          <w:p w:rsidR="00565745" w:rsidRPr="003949F4" w:rsidRDefault="00565745" w:rsidP="00565745">
            <w:pPr>
              <w:pStyle w:val="TableTextRight"/>
            </w:pPr>
            <w:r w:rsidRPr="003949F4">
              <w:t>2.61</w:t>
            </w:r>
          </w:p>
        </w:tc>
        <w:tc>
          <w:tcPr>
            <w:tcW w:w="524" w:type="pct"/>
            <w:tcBorders>
              <w:left w:val="nil"/>
              <w:right w:val="nil"/>
            </w:tcBorders>
            <w:vAlign w:val="bottom"/>
          </w:tcPr>
          <w:p w:rsidR="00565745" w:rsidRPr="003949F4" w:rsidRDefault="00565745" w:rsidP="00565745">
            <w:pPr>
              <w:pStyle w:val="TableTextRight"/>
            </w:pPr>
            <w:r w:rsidRPr="003949F4">
              <w:t>2.61</w:t>
            </w:r>
          </w:p>
        </w:tc>
      </w:tr>
      <w:tr w:rsidR="00565745" w:rsidRPr="00144F8C" w:rsidTr="00736E13">
        <w:trPr>
          <w:cantSplit/>
        </w:trPr>
        <w:tc>
          <w:tcPr>
            <w:tcW w:w="2184" w:type="pct"/>
            <w:tcBorders>
              <w:top w:val="nil"/>
              <w:left w:val="nil"/>
              <w:bottom w:val="nil"/>
              <w:right w:val="nil"/>
            </w:tcBorders>
          </w:tcPr>
          <w:p w:rsidR="00565745" w:rsidRDefault="00565745" w:rsidP="00565745">
            <w:pPr>
              <w:pStyle w:val="TableHeadingLeft"/>
              <w:keepNext/>
              <w:rPr>
                <w:b w:val="0"/>
              </w:rPr>
            </w:pPr>
            <w:r w:rsidRPr="00EF2F36">
              <w:t>Tier 2 price</w:t>
            </w:r>
            <w:r>
              <w:t xml:space="preserve"> </w:t>
            </w:r>
            <w:r w:rsidRPr="00932E8D">
              <w:rPr>
                <w:b w:val="0"/>
              </w:rPr>
              <w:t>($/kL)</w:t>
            </w:r>
          </w:p>
        </w:tc>
        <w:tc>
          <w:tcPr>
            <w:tcW w:w="757" w:type="pct"/>
            <w:tcBorders>
              <w:left w:val="nil"/>
              <w:right w:val="nil"/>
            </w:tcBorders>
          </w:tcPr>
          <w:p w:rsidR="00565745" w:rsidRPr="003949F4" w:rsidRDefault="00565745" w:rsidP="00565745">
            <w:pPr>
              <w:pStyle w:val="TableTextRight"/>
            </w:pPr>
            <w:r w:rsidRPr="003949F4">
              <w:t>5.02</w:t>
            </w:r>
          </w:p>
        </w:tc>
        <w:tc>
          <w:tcPr>
            <w:tcW w:w="485" w:type="pct"/>
            <w:tcBorders>
              <w:left w:val="nil"/>
              <w:right w:val="nil"/>
            </w:tcBorders>
            <w:vAlign w:val="bottom"/>
          </w:tcPr>
          <w:p w:rsidR="00565745" w:rsidRPr="003949F4" w:rsidRDefault="00565745" w:rsidP="00565745">
            <w:pPr>
              <w:pStyle w:val="TableTextRight"/>
            </w:pPr>
            <w:r w:rsidRPr="003949F4">
              <w:t>4.80</w:t>
            </w:r>
          </w:p>
        </w:tc>
        <w:tc>
          <w:tcPr>
            <w:tcW w:w="525" w:type="pct"/>
            <w:tcBorders>
              <w:left w:val="nil"/>
              <w:right w:val="nil"/>
            </w:tcBorders>
            <w:vAlign w:val="bottom"/>
          </w:tcPr>
          <w:p w:rsidR="00565745" w:rsidRPr="003949F4" w:rsidRDefault="00565745" w:rsidP="00565745">
            <w:pPr>
              <w:pStyle w:val="TableTextRight"/>
            </w:pPr>
            <w:r w:rsidRPr="003949F4">
              <w:t>4.53</w:t>
            </w:r>
          </w:p>
        </w:tc>
        <w:tc>
          <w:tcPr>
            <w:tcW w:w="525" w:type="pct"/>
            <w:tcBorders>
              <w:left w:val="nil"/>
              <w:right w:val="nil"/>
            </w:tcBorders>
            <w:vAlign w:val="bottom"/>
          </w:tcPr>
          <w:p w:rsidR="00565745" w:rsidRPr="003949F4" w:rsidRDefault="00565745" w:rsidP="00565745">
            <w:pPr>
              <w:pStyle w:val="TableTextRight"/>
            </w:pPr>
            <w:r w:rsidRPr="003949F4">
              <w:t>4.21</w:t>
            </w:r>
          </w:p>
        </w:tc>
        <w:tc>
          <w:tcPr>
            <w:tcW w:w="524" w:type="pct"/>
            <w:tcBorders>
              <w:left w:val="nil"/>
              <w:right w:val="nil"/>
            </w:tcBorders>
            <w:vAlign w:val="bottom"/>
          </w:tcPr>
          <w:p w:rsidR="00565745" w:rsidRPr="003949F4" w:rsidRDefault="00565745" w:rsidP="00565745">
            <w:pPr>
              <w:pStyle w:val="TableTextRight"/>
            </w:pPr>
            <w:r w:rsidRPr="003949F4">
              <w:t>3.84</w:t>
            </w:r>
          </w:p>
        </w:tc>
      </w:tr>
      <w:tr w:rsidR="00565745" w:rsidRPr="00144F8C" w:rsidTr="00736E13">
        <w:trPr>
          <w:cantSplit/>
        </w:trPr>
        <w:tc>
          <w:tcPr>
            <w:tcW w:w="2184" w:type="pct"/>
            <w:tcBorders>
              <w:top w:val="nil"/>
              <w:left w:val="nil"/>
              <w:bottom w:val="nil"/>
              <w:right w:val="nil"/>
            </w:tcBorders>
          </w:tcPr>
          <w:p w:rsidR="00565745" w:rsidRDefault="00565745" w:rsidP="00565745">
            <w:pPr>
              <w:pStyle w:val="TableTextLeft"/>
              <w:keepNext/>
              <w:rPr>
                <w:b/>
              </w:rPr>
            </w:pPr>
          </w:p>
        </w:tc>
        <w:tc>
          <w:tcPr>
            <w:tcW w:w="757" w:type="pct"/>
            <w:tcBorders>
              <w:left w:val="nil"/>
              <w:right w:val="nil"/>
            </w:tcBorders>
          </w:tcPr>
          <w:p w:rsidR="00565745" w:rsidRPr="003949F4" w:rsidRDefault="00565745" w:rsidP="00565745">
            <w:pPr>
              <w:pStyle w:val="TableTextRight"/>
            </w:pPr>
          </w:p>
        </w:tc>
        <w:tc>
          <w:tcPr>
            <w:tcW w:w="485" w:type="pct"/>
            <w:tcBorders>
              <w:left w:val="nil"/>
              <w:right w:val="nil"/>
            </w:tcBorders>
          </w:tcPr>
          <w:p w:rsidR="00565745" w:rsidRPr="003949F4" w:rsidRDefault="00565745" w:rsidP="00565745">
            <w:pPr>
              <w:pStyle w:val="TableTextRight"/>
            </w:pPr>
          </w:p>
        </w:tc>
        <w:tc>
          <w:tcPr>
            <w:tcW w:w="525" w:type="pct"/>
            <w:tcBorders>
              <w:left w:val="nil"/>
              <w:right w:val="nil"/>
            </w:tcBorders>
          </w:tcPr>
          <w:p w:rsidR="00565745" w:rsidRPr="003949F4" w:rsidRDefault="00565745" w:rsidP="00565745">
            <w:pPr>
              <w:pStyle w:val="TableTextRight"/>
            </w:pPr>
          </w:p>
        </w:tc>
        <w:tc>
          <w:tcPr>
            <w:tcW w:w="525" w:type="pct"/>
            <w:tcBorders>
              <w:left w:val="nil"/>
              <w:right w:val="nil"/>
            </w:tcBorders>
          </w:tcPr>
          <w:p w:rsidR="00565745" w:rsidRPr="003949F4" w:rsidRDefault="00565745" w:rsidP="00565745">
            <w:pPr>
              <w:pStyle w:val="TableTextRight"/>
            </w:pPr>
          </w:p>
        </w:tc>
        <w:tc>
          <w:tcPr>
            <w:tcW w:w="524" w:type="pct"/>
            <w:tcBorders>
              <w:left w:val="nil"/>
              <w:right w:val="nil"/>
            </w:tcBorders>
          </w:tcPr>
          <w:p w:rsidR="00565745" w:rsidRPr="003949F4" w:rsidRDefault="00565745" w:rsidP="00565745">
            <w:pPr>
              <w:pStyle w:val="TableTextRight"/>
            </w:pPr>
          </w:p>
        </w:tc>
      </w:tr>
      <w:tr w:rsidR="00565745" w:rsidRPr="00144F8C" w:rsidTr="00736E13">
        <w:trPr>
          <w:cantSplit/>
        </w:trPr>
        <w:tc>
          <w:tcPr>
            <w:tcW w:w="2184" w:type="pct"/>
            <w:tcBorders>
              <w:top w:val="nil"/>
              <w:left w:val="nil"/>
              <w:bottom w:val="nil"/>
              <w:right w:val="nil"/>
            </w:tcBorders>
          </w:tcPr>
          <w:p w:rsidR="00565745" w:rsidRDefault="00565745" w:rsidP="00565745">
            <w:pPr>
              <w:pStyle w:val="TableTextLeft"/>
              <w:keepNext/>
            </w:pPr>
            <w:r>
              <w:rPr>
                <w:b/>
              </w:rPr>
              <w:t xml:space="preserve">Option B: One usage charge </w:t>
            </w:r>
            <w:r>
              <w:rPr>
                <w:b/>
              </w:rPr>
              <w:sym w:font="Symbol" w:char="F02D"/>
            </w:r>
            <w:r w:rsidRPr="00EF2F36">
              <w:t xml:space="preserve"> set </w:t>
            </w:r>
            <w:r>
              <w:t>at current Tier 1 price</w:t>
            </w:r>
          </w:p>
        </w:tc>
        <w:tc>
          <w:tcPr>
            <w:tcW w:w="757" w:type="pct"/>
            <w:tcBorders>
              <w:left w:val="nil"/>
              <w:right w:val="nil"/>
            </w:tcBorders>
          </w:tcPr>
          <w:p w:rsidR="00565745" w:rsidRPr="003949F4" w:rsidRDefault="00565745" w:rsidP="00565745">
            <w:pPr>
              <w:pStyle w:val="TableTextRight"/>
            </w:pPr>
          </w:p>
        </w:tc>
        <w:tc>
          <w:tcPr>
            <w:tcW w:w="485" w:type="pct"/>
            <w:tcBorders>
              <w:left w:val="nil"/>
              <w:right w:val="nil"/>
            </w:tcBorders>
          </w:tcPr>
          <w:p w:rsidR="00565745" w:rsidRPr="003949F4" w:rsidRDefault="00565745" w:rsidP="00565745">
            <w:pPr>
              <w:pStyle w:val="TableTextRight"/>
            </w:pPr>
          </w:p>
        </w:tc>
        <w:tc>
          <w:tcPr>
            <w:tcW w:w="525" w:type="pct"/>
            <w:tcBorders>
              <w:left w:val="nil"/>
              <w:right w:val="nil"/>
            </w:tcBorders>
          </w:tcPr>
          <w:p w:rsidR="00565745" w:rsidRPr="003949F4" w:rsidRDefault="00565745" w:rsidP="00565745">
            <w:pPr>
              <w:pStyle w:val="TableTextRight"/>
            </w:pPr>
          </w:p>
        </w:tc>
        <w:tc>
          <w:tcPr>
            <w:tcW w:w="525" w:type="pct"/>
            <w:tcBorders>
              <w:left w:val="nil"/>
              <w:right w:val="nil"/>
            </w:tcBorders>
          </w:tcPr>
          <w:p w:rsidR="00565745" w:rsidRPr="003949F4" w:rsidRDefault="00565745" w:rsidP="00565745">
            <w:pPr>
              <w:pStyle w:val="TableTextRight"/>
            </w:pPr>
          </w:p>
        </w:tc>
        <w:tc>
          <w:tcPr>
            <w:tcW w:w="524" w:type="pct"/>
            <w:tcBorders>
              <w:left w:val="nil"/>
              <w:right w:val="nil"/>
            </w:tcBorders>
          </w:tcPr>
          <w:p w:rsidR="00565745" w:rsidRPr="003949F4" w:rsidRDefault="00565745" w:rsidP="00565745">
            <w:pPr>
              <w:pStyle w:val="TableTextRight"/>
            </w:pPr>
          </w:p>
        </w:tc>
      </w:tr>
      <w:tr w:rsidR="00565745" w:rsidRPr="00144F8C" w:rsidTr="00736E13">
        <w:trPr>
          <w:cantSplit/>
        </w:trPr>
        <w:tc>
          <w:tcPr>
            <w:tcW w:w="2184" w:type="pct"/>
            <w:tcBorders>
              <w:top w:val="nil"/>
              <w:left w:val="nil"/>
              <w:bottom w:val="nil"/>
              <w:right w:val="nil"/>
            </w:tcBorders>
          </w:tcPr>
          <w:p w:rsidR="00565745" w:rsidRDefault="00565745" w:rsidP="00565745">
            <w:pPr>
              <w:pStyle w:val="TableHeadingLeft"/>
              <w:keepNext/>
              <w:rPr>
                <w:b w:val="0"/>
              </w:rPr>
            </w:pPr>
            <w:r>
              <w:t xml:space="preserve">Supply charge </w:t>
            </w:r>
            <w:r w:rsidRPr="00EF2F36">
              <w:rPr>
                <w:b w:val="0"/>
              </w:rPr>
              <w:t>($/year)</w:t>
            </w:r>
          </w:p>
        </w:tc>
        <w:tc>
          <w:tcPr>
            <w:tcW w:w="757" w:type="pct"/>
            <w:tcBorders>
              <w:left w:val="nil"/>
              <w:right w:val="nil"/>
            </w:tcBorders>
            <w:vAlign w:val="bottom"/>
          </w:tcPr>
          <w:p w:rsidR="00565745" w:rsidRDefault="00565745" w:rsidP="00565745">
            <w:pPr>
              <w:pStyle w:val="TableTextRight"/>
              <w:rPr>
                <w:lang w:eastAsia="en-GB"/>
              </w:rPr>
            </w:pPr>
            <w:r>
              <w:t>119.72</w:t>
            </w:r>
          </w:p>
        </w:tc>
        <w:tc>
          <w:tcPr>
            <w:tcW w:w="485" w:type="pct"/>
            <w:tcBorders>
              <w:left w:val="nil"/>
              <w:right w:val="nil"/>
            </w:tcBorders>
            <w:vAlign w:val="bottom"/>
          </w:tcPr>
          <w:p w:rsidR="00565745" w:rsidRDefault="00565745" w:rsidP="00565745">
            <w:pPr>
              <w:pStyle w:val="TableTextRight"/>
            </w:pPr>
            <w:r>
              <w:t>136.51</w:t>
            </w:r>
          </w:p>
        </w:tc>
        <w:tc>
          <w:tcPr>
            <w:tcW w:w="525" w:type="pct"/>
            <w:tcBorders>
              <w:left w:val="nil"/>
              <w:right w:val="nil"/>
            </w:tcBorders>
            <w:vAlign w:val="bottom"/>
          </w:tcPr>
          <w:p w:rsidR="00565745" w:rsidRDefault="00565745" w:rsidP="00565745">
            <w:pPr>
              <w:pStyle w:val="TableTextRight"/>
            </w:pPr>
            <w:r>
              <w:t>155.65</w:t>
            </w:r>
          </w:p>
        </w:tc>
        <w:tc>
          <w:tcPr>
            <w:tcW w:w="525" w:type="pct"/>
            <w:tcBorders>
              <w:left w:val="nil"/>
              <w:right w:val="nil"/>
            </w:tcBorders>
            <w:vAlign w:val="bottom"/>
          </w:tcPr>
          <w:p w:rsidR="00565745" w:rsidRDefault="00565745" w:rsidP="00565745">
            <w:pPr>
              <w:pStyle w:val="TableTextRight"/>
            </w:pPr>
            <w:r>
              <w:t>177.48</w:t>
            </w:r>
          </w:p>
        </w:tc>
        <w:tc>
          <w:tcPr>
            <w:tcW w:w="524" w:type="pct"/>
            <w:tcBorders>
              <w:left w:val="nil"/>
              <w:right w:val="nil"/>
            </w:tcBorders>
            <w:vAlign w:val="bottom"/>
          </w:tcPr>
          <w:p w:rsidR="00565745" w:rsidRDefault="00565745" w:rsidP="00565745">
            <w:pPr>
              <w:pStyle w:val="TableTextRight"/>
            </w:pPr>
            <w:r>
              <w:t>202.36</w:t>
            </w:r>
          </w:p>
        </w:tc>
      </w:tr>
      <w:tr w:rsidR="00565745" w:rsidRPr="00144F8C" w:rsidTr="00736E13">
        <w:trPr>
          <w:cantSplit/>
        </w:trPr>
        <w:tc>
          <w:tcPr>
            <w:tcW w:w="2184" w:type="pct"/>
            <w:tcBorders>
              <w:top w:val="nil"/>
              <w:left w:val="nil"/>
              <w:bottom w:val="nil"/>
              <w:right w:val="nil"/>
            </w:tcBorders>
          </w:tcPr>
          <w:p w:rsidR="00565745" w:rsidRPr="00174360" w:rsidRDefault="00565745" w:rsidP="00565745">
            <w:pPr>
              <w:pStyle w:val="TableHeadingLeft"/>
              <w:keepNext/>
            </w:pPr>
            <w:r>
              <w:t xml:space="preserve">Tier 1 price </w:t>
            </w:r>
            <w:r w:rsidRPr="00EF2F36">
              <w:rPr>
                <w:b w:val="0"/>
              </w:rPr>
              <w:t>($/kL)</w:t>
            </w:r>
          </w:p>
        </w:tc>
        <w:tc>
          <w:tcPr>
            <w:tcW w:w="757" w:type="pct"/>
            <w:tcBorders>
              <w:left w:val="nil"/>
              <w:right w:val="nil"/>
            </w:tcBorders>
            <w:vAlign w:val="bottom"/>
          </w:tcPr>
          <w:p w:rsidR="00565745" w:rsidRDefault="00565745" w:rsidP="00565745">
            <w:pPr>
              <w:pStyle w:val="TableTextRight"/>
            </w:pPr>
            <w:r>
              <w:t>2.61</w:t>
            </w:r>
          </w:p>
        </w:tc>
        <w:tc>
          <w:tcPr>
            <w:tcW w:w="485" w:type="pct"/>
            <w:tcBorders>
              <w:left w:val="nil"/>
              <w:right w:val="nil"/>
            </w:tcBorders>
            <w:vAlign w:val="bottom"/>
          </w:tcPr>
          <w:p w:rsidR="00565745" w:rsidRDefault="00565745" w:rsidP="00565745">
            <w:pPr>
              <w:pStyle w:val="TableTextRight"/>
            </w:pPr>
            <w:r>
              <w:t>2.61</w:t>
            </w:r>
          </w:p>
        </w:tc>
        <w:tc>
          <w:tcPr>
            <w:tcW w:w="525" w:type="pct"/>
            <w:tcBorders>
              <w:left w:val="nil"/>
              <w:right w:val="nil"/>
            </w:tcBorders>
            <w:vAlign w:val="bottom"/>
          </w:tcPr>
          <w:p w:rsidR="00565745" w:rsidRDefault="00565745" w:rsidP="00565745">
            <w:pPr>
              <w:pStyle w:val="TableTextRight"/>
            </w:pPr>
            <w:r>
              <w:t>2.61</w:t>
            </w:r>
          </w:p>
        </w:tc>
        <w:tc>
          <w:tcPr>
            <w:tcW w:w="525" w:type="pct"/>
            <w:tcBorders>
              <w:left w:val="nil"/>
              <w:right w:val="nil"/>
            </w:tcBorders>
            <w:vAlign w:val="bottom"/>
          </w:tcPr>
          <w:p w:rsidR="00565745" w:rsidRDefault="00565745" w:rsidP="00565745">
            <w:pPr>
              <w:pStyle w:val="TableTextRight"/>
            </w:pPr>
            <w:r>
              <w:t>2.61</w:t>
            </w:r>
          </w:p>
        </w:tc>
        <w:tc>
          <w:tcPr>
            <w:tcW w:w="524" w:type="pct"/>
            <w:tcBorders>
              <w:left w:val="nil"/>
              <w:right w:val="nil"/>
            </w:tcBorders>
            <w:vAlign w:val="bottom"/>
          </w:tcPr>
          <w:p w:rsidR="00565745" w:rsidRDefault="00565745" w:rsidP="00565745">
            <w:pPr>
              <w:pStyle w:val="TableTextRight"/>
            </w:pPr>
            <w:r>
              <w:t>2.61</w:t>
            </w:r>
          </w:p>
        </w:tc>
      </w:tr>
      <w:tr w:rsidR="00565745" w:rsidRPr="00144F8C" w:rsidTr="00736E13">
        <w:trPr>
          <w:cantSplit/>
        </w:trPr>
        <w:tc>
          <w:tcPr>
            <w:tcW w:w="2184" w:type="pct"/>
            <w:tcBorders>
              <w:top w:val="nil"/>
              <w:left w:val="nil"/>
              <w:bottom w:val="single" w:sz="12" w:space="0" w:color="1F497D" w:themeColor="text2"/>
              <w:right w:val="nil"/>
            </w:tcBorders>
          </w:tcPr>
          <w:p w:rsidR="00565745" w:rsidRDefault="00565745" w:rsidP="00565745">
            <w:pPr>
              <w:pStyle w:val="TableHeadingLeft"/>
              <w:keepNext/>
              <w:rPr>
                <w:b w:val="0"/>
              </w:rPr>
            </w:pPr>
            <w:r w:rsidRPr="00EF2F36">
              <w:t>Tier 2 price</w:t>
            </w:r>
            <w:r>
              <w:t xml:space="preserve"> </w:t>
            </w:r>
            <w:r w:rsidRPr="00932E8D">
              <w:rPr>
                <w:b w:val="0"/>
              </w:rPr>
              <w:t>($/kL)</w:t>
            </w:r>
          </w:p>
        </w:tc>
        <w:tc>
          <w:tcPr>
            <w:tcW w:w="757" w:type="pct"/>
            <w:tcBorders>
              <w:left w:val="nil"/>
              <w:bottom w:val="single" w:sz="12" w:space="0" w:color="1F497D" w:themeColor="text2"/>
              <w:right w:val="nil"/>
            </w:tcBorders>
            <w:vAlign w:val="bottom"/>
          </w:tcPr>
          <w:p w:rsidR="00565745" w:rsidRDefault="00565745" w:rsidP="00565745">
            <w:pPr>
              <w:pStyle w:val="TableTextRight"/>
            </w:pPr>
            <w:r>
              <w:t>5.07</w:t>
            </w:r>
          </w:p>
        </w:tc>
        <w:tc>
          <w:tcPr>
            <w:tcW w:w="485" w:type="pct"/>
            <w:tcBorders>
              <w:left w:val="nil"/>
              <w:bottom w:val="single" w:sz="12" w:space="0" w:color="1F497D" w:themeColor="text2"/>
              <w:right w:val="nil"/>
            </w:tcBorders>
            <w:vAlign w:val="bottom"/>
          </w:tcPr>
          <w:p w:rsidR="00565745" w:rsidRDefault="00565745" w:rsidP="00565745">
            <w:pPr>
              <w:pStyle w:val="TableTextRight"/>
            </w:pPr>
            <w:r>
              <w:t>4.92</w:t>
            </w:r>
          </w:p>
        </w:tc>
        <w:tc>
          <w:tcPr>
            <w:tcW w:w="525" w:type="pct"/>
            <w:tcBorders>
              <w:left w:val="nil"/>
              <w:bottom w:val="single" w:sz="12" w:space="0" w:color="1F497D" w:themeColor="text2"/>
              <w:right w:val="nil"/>
            </w:tcBorders>
            <w:vAlign w:val="bottom"/>
          </w:tcPr>
          <w:p w:rsidR="00565745" w:rsidRDefault="00565745" w:rsidP="00565745">
            <w:pPr>
              <w:pStyle w:val="TableTextRight"/>
            </w:pPr>
            <w:r>
              <w:t>4.74</w:t>
            </w:r>
          </w:p>
        </w:tc>
        <w:tc>
          <w:tcPr>
            <w:tcW w:w="525" w:type="pct"/>
            <w:tcBorders>
              <w:left w:val="nil"/>
              <w:bottom w:val="single" w:sz="12" w:space="0" w:color="1F497D" w:themeColor="text2"/>
              <w:right w:val="nil"/>
            </w:tcBorders>
            <w:vAlign w:val="bottom"/>
          </w:tcPr>
          <w:p w:rsidR="00565745" w:rsidRDefault="00565745" w:rsidP="00565745">
            <w:pPr>
              <w:pStyle w:val="TableTextRight"/>
            </w:pPr>
            <w:r>
              <w:t>4.54</w:t>
            </w:r>
          </w:p>
        </w:tc>
        <w:tc>
          <w:tcPr>
            <w:tcW w:w="524" w:type="pct"/>
            <w:tcBorders>
              <w:left w:val="nil"/>
              <w:bottom w:val="single" w:sz="12" w:space="0" w:color="1F497D" w:themeColor="text2"/>
              <w:right w:val="nil"/>
            </w:tcBorders>
            <w:vAlign w:val="bottom"/>
          </w:tcPr>
          <w:p w:rsidR="00565745" w:rsidRDefault="00565745" w:rsidP="00565745">
            <w:pPr>
              <w:pStyle w:val="TableTextRight"/>
            </w:pPr>
            <w:r>
              <w:t>4.31</w:t>
            </w:r>
          </w:p>
        </w:tc>
      </w:tr>
    </w:tbl>
    <w:p w:rsidR="00ED36C4" w:rsidRDefault="00ED36C4" w:rsidP="00E614D4"/>
    <w:tbl>
      <w:tblPr>
        <w:tblW w:w="5473" w:type="pct"/>
        <w:tblBorders>
          <w:top w:val="single" w:sz="12" w:space="0" w:color="333399"/>
          <w:bottom w:val="single" w:sz="12" w:space="0" w:color="333399"/>
        </w:tblBorders>
        <w:tblLayout w:type="fixed"/>
        <w:tblCellMar>
          <w:left w:w="115" w:type="dxa"/>
          <w:right w:w="115" w:type="dxa"/>
        </w:tblCellMar>
        <w:tblLook w:val="0000" w:firstRow="0" w:lastRow="0" w:firstColumn="0" w:lastColumn="0" w:noHBand="0" w:noVBand="0"/>
      </w:tblPr>
      <w:tblGrid>
        <w:gridCol w:w="4173"/>
        <w:gridCol w:w="790"/>
        <w:gridCol w:w="819"/>
        <w:gridCol w:w="886"/>
        <w:gridCol w:w="886"/>
        <w:gridCol w:w="886"/>
      </w:tblGrid>
      <w:tr w:rsidR="005A381B" w:rsidRPr="00144F8C" w:rsidTr="00285751">
        <w:trPr>
          <w:cantSplit/>
        </w:trPr>
        <w:tc>
          <w:tcPr>
            <w:tcW w:w="2472" w:type="pct"/>
            <w:tcBorders>
              <w:top w:val="single" w:sz="12" w:space="0" w:color="1F497D" w:themeColor="text2"/>
              <w:left w:val="nil"/>
              <w:bottom w:val="single" w:sz="8" w:space="0" w:color="1F497D" w:themeColor="text2"/>
              <w:right w:val="nil"/>
            </w:tcBorders>
            <w:shd w:val="clear" w:color="auto" w:fill="DBE5F1" w:themeFill="accent1" w:themeFillTint="33"/>
          </w:tcPr>
          <w:p w:rsidR="005A381B" w:rsidRPr="00347ADB" w:rsidRDefault="005A381B" w:rsidP="00285751">
            <w:pPr>
              <w:pStyle w:val="TableHeadingLeft"/>
              <w:keepNext/>
            </w:pPr>
            <w:r>
              <w:lastRenderedPageBreak/>
              <w:t>Tariffs</w:t>
            </w:r>
          </w:p>
        </w:tc>
        <w:tc>
          <w:tcPr>
            <w:tcW w:w="468" w:type="pct"/>
            <w:tcBorders>
              <w:top w:val="single" w:sz="12" w:space="0" w:color="1F497D" w:themeColor="text2"/>
              <w:left w:val="nil"/>
              <w:bottom w:val="single" w:sz="8" w:space="0" w:color="1F497D" w:themeColor="text2"/>
              <w:right w:val="nil"/>
            </w:tcBorders>
            <w:shd w:val="clear" w:color="auto" w:fill="DBE5F1" w:themeFill="accent1" w:themeFillTint="33"/>
          </w:tcPr>
          <w:p w:rsidR="005A381B" w:rsidRDefault="005A381B" w:rsidP="003949F4">
            <w:pPr>
              <w:pStyle w:val="TableHeadingLeft"/>
              <w:keepNext/>
              <w:jc w:val="right"/>
            </w:pPr>
            <w:r>
              <w:t>Year 6</w:t>
            </w:r>
          </w:p>
        </w:tc>
        <w:tc>
          <w:tcPr>
            <w:tcW w:w="485" w:type="pct"/>
            <w:tcBorders>
              <w:top w:val="single" w:sz="12" w:space="0" w:color="1F497D" w:themeColor="text2"/>
              <w:left w:val="nil"/>
              <w:bottom w:val="single" w:sz="8" w:space="0" w:color="1F497D" w:themeColor="text2"/>
              <w:right w:val="nil"/>
            </w:tcBorders>
            <w:shd w:val="clear" w:color="auto" w:fill="DBE5F1" w:themeFill="accent1" w:themeFillTint="33"/>
          </w:tcPr>
          <w:p w:rsidR="005A381B" w:rsidRPr="00174360" w:rsidRDefault="005A381B" w:rsidP="003949F4">
            <w:pPr>
              <w:pStyle w:val="TableHeadingLeft"/>
              <w:keepNext/>
              <w:jc w:val="right"/>
            </w:pPr>
            <w:r>
              <w:t>Year 7</w:t>
            </w:r>
          </w:p>
        </w:tc>
        <w:tc>
          <w:tcPr>
            <w:tcW w:w="525" w:type="pct"/>
            <w:tcBorders>
              <w:top w:val="single" w:sz="12" w:space="0" w:color="1F497D" w:themeColor="text2"/>
              <w:left w:val="nil"/>
              <w:bottom w:val="single" w:sz="8" w:space="0" w:color="1F497D" w:themeColor="text2"/>
              <w:right w:val="nil"/>
            </w:tcBorders>
            <w:shd w:val="clear" w:color="auto" w:fill="DBE5F1" w:themeFill="accent1" w:themeFillTint="33"/>
          </w:tcPr>
          <w:p w:rsidR="005A381B" w:rsidRPr="00174360" w:rsidRDefault="005A381B" w:rsidP="003949F4">
            <w:pPr>
              <w:pStyle w:val="TableHeadingLeft"/>
              <w:keepNext/>
              <w:jc w:val="right"/>
            </w:pPr>
            <w:r>
              <w:t>Year 8</w:t>
            </w:r>
            <w:r w:rsidRPr="00174360">
              <w:t xml:space="preserve"> </w:t>
            </w:r>
          </w:p>
        </w:tc>
        <w:tc>
          <w:tcPr>
            <w:tcW w:w="525" w:type="pct"/>
            <w:tcBorders>
              <w:top w:val="single" w:sz="12" w:space="0" w:color="1F497D" w:themeColor="text2"/>
              <w:left w:val="nil"/>
              <w:bottom w:val="single" w:sz="8" w:space="0" w:color="1F497D" w:themeColor="text2"/>
              <w:right w:val="nil"/>
            </w:tcBorders>
            <w:shd w:val="clear" w:color="auto" w:fill="DBE5F1" w:themeFill="accent1" w:themeFillTint="33"/>
          </w:tcPr>
          <w:p w:rsidR="005A381B" w:rsidRPr="00174360" w:rsidRDefault="005A381B" w:rsidP="003949F4">
            <w:pPr>
              <w:pStyle w:val="TableHeadingLeft"/>
              <w:keepNext/>
              <w:jc w:val="right"/>
            </w:pPr>
            <w:r>
              <w:t>Year 9</w:t>
            </w:r>
          </w:p>
        </w:tc>
        <w:tc>
          <w:tcPr>
            <w:tcW w:w="525" w:type="pct"/>
            <w:tcBorders>
              <w:top w:val="single" w:sz="12" w:space="0" w:color="1F497D" w:themeColor="text2"/>
              <w:left w:val="nil"/>
              <w:bottom w:val="single" w:sz="8" w:space="0" w:color="1F497D" w:themeColor="text2"/>
              <w:right w:val="nil"/>
            </w:tcBorders>
            <w:shd w:val="clear" w:color="auto" w:fill="DBE5F1" w:themeFill="accent1" w:themeFillTint="33"/>
          </w:tcPr>
          <w:p w:rsidR="005A381B" w:rsidRPr="00174360" w:rsidRDefault="005A381B" w:rsidP="003949F4">
            <w:pPr>
              <w:pStyle w:val="TableHeadingLeft"/>
              <w:keepNext/>
              <w:jc w:val="right"/>
            </w:pPr>
            <w:r>
              <w:t>Year 10</w:t>
            </w:r>
          </w:p>
        </w:tc>
      </w:tr>
      <w:tr w:rsidR="005A381B" w:rsidRPr="00144F8C" w:rsidTr="00285751">
        <w:trPr>
          <w:cantSplit/>
        </w:trPr>
        <w:tc>
          <w:tcPr>
            <w:tcW w:w="2472" w:type="pct"/>
            <w:tcBorders>
              <w:top w:val="nil"/>
              <w:left w:val="nil"/>
              <w:bottom w:val="nil"/>
              <w:right w:val="nil"/>
            </w:tcBorders>
          </w:tcPr>
          <w:p w:rsidR="005A381B" w:rsidRPr="00DD58D7" w:rsidRDefault="005A381B" w:rsidP="003949F4">
            <w:pPr>
              <w:pStyle w:val="TableHeadingLeft"/>
              <w:keepNext/>
            </w:pPr>
            <w:r>
              <w:t>Option A</w:t>
            </w:r>
            <w:r w:rsidR="00C74718">
              <w:t xml:space="preserve"> cont.</w:t>
            </w:r>
          </w:p>
        </w:tc>
        <w:tc>
          <w:tcPr>
            <w:tcW w:w="468" w:type="pct"/>
            <w:tcBorders>
              <w:top w:val="nil"/>
              <w:left w:val="nil"/>
              <w:right w:val="nil"/>
            </w:tcBorders>
          </w:tcPr>
          <w:p w:rsidR="005A381B" w:rsidRPr="007D7B5E" w:rsidRDefault="005A381B" w:rsidP="00285751">
            <w:pPr>
              <w:pStyle w:val="TableTextRight"/>
            </w:pPr>
          </w:p>
        </w:tc>
        <w:tc>
          <w:tcPr>
            <w:tcW w:w="485" w:type="pct"/>
            <w:tcBorders>
              <w:top w:val="nil"/>
              <w:left w:val="nil"/>
              <w:right w:val="nil"/>
            </w:tcBorders>
          </w:tcPr>
          <w:p w:rsidR="005A381B" w:rsidRPr="007D7B5E" w:rsidRDefault="005A381B" w:rsidP="00285751">
            <w:pPr>
              <w:pStyle w:val="TableTextRight"/>
            </w:pPr>
          </w:p>
        </w:tc>
        <w:tc>
          <w:tcPr>
            <w:tcW w:w="525" w:type="pct"/>
            <w:tcBorders>
              <w:top w:val="nil"/>
              <w:left w:val="nil"/>
              <w:right w:val="nil"/>
            </w:tcBorders>
          </w:tcPr>
          <w:p w:rsidR="005A381B" w:rsidRDefault="005A381B" w:rsidP="00285751">
            <w:pPr>
              <w:pStyle w:val="TableTextRight"/>
            </w:pPr>
          </w:p>
        </w:tc>
        <w:tc>
          <w:tcPr>
            <w:tcW w:w="525" w:type="pct"/>
            <w:tcBorders>
              <w:top w:val="nil"/>
              <w:left w:val="nil"/>
              <w:right w:val="nil"/>
            </w:tcBorders>
          </w:tcPr>
          <w:p w:rsidR="005A381B" w:rsidRDefault="005A381B" w:rsidP="00285751">
            <w:pPr>
              <w:pStyle w:val="TableTextRight"/>
            </w:pPr>
          </w:p>
        </w:tc>
        <w:tc>
          <w:tcPr>
            <w:tcW w:w="525" w:type="pct"/>
            <w:tcBorders>
              <w:top w:val="nil"/>
              <w:left w:val="nil"/>
              <w:right w:val="nil"/>
            </w:tcBorders>
          </w:tcPr>
          <w:p w:rsidR="005A381B" w:rsidRDefault="005A381B" w:rsidP="00285751">
            <w:pPr>
              <w:pStyle w:val="TableTextRight"/>
            </w:pPr>
          </w:p>
        </w:tc>
      </w:tr>
      <w:tr w:rsidR="005A381B" w:rsidRPr="00144F8C" w:rsidTr="003949F4">
        <w:trPr>
          <w:cantSplit/>
        </w:trPr>
        <w:tc>
          <w:tcPr>
            <w:tcW w:w="2472" w:type="pct"/>
            <w:tcBorders>
              <w:top w:val="nil"/>
              <w:left w:val="nil"/>
              <w:bottom w:val="nil"/>
              <w:right w:val="nil"/>
            </w:tcBorders>
          </w:tcPr>
          <w:p w:rsidR="005A381B" w:rsidRDefault="00B14BFA" w:rsidP="005A381B">
            <w:pPr>
              <w:pStyle w:val="TableHeadingLeft"/>
              <w:keepNext/>
              <w:rPr>
                <w:b w:val="0"/>
              </w:rPr>
            </w:pPr>
            <w:r>
              <w:t>Supply</w:t>
            </w:r>
            <w:r w:rsidR="005A381B">
              <w:t xml:space="preserve"> charge </w:t>
            </w:r>
            <w:r w:rsidR="005A381B" w:rsidRPr="00EF2F36">
              <w:rPr>
                <w:b w:val="0"/>
              </w:rPr>
              <w:t>($/year)</w:t>
            </w:r>
          </w:p>
        </w:tc>
        <w:tc>
          <w:tcPr>
            <w:tcW w:w="468" w:type="pct"/>
            <w:tcBorders>
              <w:left w:val="nil"/>
              <w:right w:val="nil"/>
            </w:tcBorders>
            <w:vAlign w:val="bottom"/>
          </w:tcPr>
          <w:p w:rsidR="005A381B" w:rsidRDefault="005A381B" w:rsidP="003949F4">
            <w:pPr>
              <w:pStyle w:val="TableTextRight"/>
            </w:pPr>
            <w:r>
              <w:t>301.77</w:t>
            </w:r>
          </w:p>
        </w:tc>
        <w:tc>
          <w:tcPr>
            <w:tcW w:w="485" w:type="pct"/>
            <w:tcBorders>
              <w:left w:val="nil"/>
              <w:right w:val="nil"/>
            </w:tcBorders>
            <w:vAlign w:val="bottom"/>
          </w:tcPr>
          <w:p w:rsidR="005A381B" w:rsidRDefault="005A381B" w:rsidP="003949F4">
            <w:pPr>
              <w:pStyle w:val="TableTextRight"/>
              <w:rPr>
                <w:rFonts w:eastAsia="Times New Roman"/>
                <w:lang w:val="en-AU"/>
              </w:rPr>
            </w:pPr>
            <w:r>
              <w:t>359.82</w:t>
            </w:r>
          </w:p>
        </w:tc>
        <w:tc>
          <w:tcPr>
            <w:tcW w:w="525" w:type="pct"/>
            <w:tcBorders>
              <w:left w:val="nil"/>
              <w:right w:val="nil"/>
            </w:tcBorders>
            <w:vAlign w:val="bottom"/>
          </w:tcPr>
          <w:p w:rsidR="005A381B" w:rsidRDefault="005A381B" w:rsidP="003949F4">
            <w:pPr>
              <w:pStyle w:val="TableTextRight"/>
            </w:pPr>
            <w:r>
              <w:t>429.04</w:t>
            </w:r>
          </w:p>
        </w:tc>
        <w:tc>
          <w:tcPr>
            <w:tcW w:w="525" w:type="pct"/>
            <w:tcBorders>
              <w:left w:val="nil"/>
              <w:right w:val="nil"/>
            </w:tcBorders>
            <w:vAlign w:val="bottom"/>
          </w:tcPr>
          <w:p w:rsidR="005A381B" w:rsidRDefault="005A381B" w:rsidP="003949F4">
            <w:pPr>
              <w:pStyle w:val="TableTextRight"/>
            </w:pPr>
            <w:r>
              <w:t>511.58</w:t>
            </w:r>
          </w:p>
        </w:tc>
        <w:tc>
          <w:tcPr>
            <w:tcW w:w="525" w:type="pct"/>
            <w:tcBorders>
              <w:left w:val="nil"/>
              <w:right w:val="nil"/>
            </w:tcBorders>
            <w:vAlign w:val="bottom"/>
          </w:tcPr>
          <w:p w:rsidR="005A381B" w:rsidRDefault="005A381B" w:rsidP="003949F4">
            <w:pPr>
              <w:pStyle w:val="TableTextRight"/>
            </w:pPr>
            <w:r>
              <w:t>610.00</w:t>
            </w:r>
          </w:p>
        </w:tc>
      </w:tr>
      <w:tr w:rsidR="005A381B" w:rsidRPr="00144F8C" w:rsidTr="003949F4">
        <w:trPr>
          <w:cantSplit/>
        </w:trPr>
        <w:tc>
          <w:tcPr>
            <w:tcW w:w="2472" w:type="pct"/>
            <w:tcBorders>
              <w:top w:val="nil"/>
              <w:left w:val="nil"/>
              <w:bottom w:val="nil"/>
              <w:right w:val="nil"/>
            </w:tcBorders>
          </w:tcPr>
          <w:p w:rsidR="005A381B" w:rsidRPr="00174360" w:rsidRDefault="005A381B" w:rsidP="005A381B">
            <w:pPr>
              <w:pStyle w:val="TableHeadingLeft"/>
              <w:keepNext/>
            </w:pPr>
            <w:r>
              <w:t xml:space="preserve">Tier 1 price </w:t>
            </w:r>
            <w:r w:rsidRPr="00EF2F36">
              <w:rPr>
                <w:b w:val="0"/>
              </w:rPr>
              <w:t>($/kL)</w:t>
            </w:r>
          </w:p>
        </w:tc>
        <w:tc>
          <w:tcPr>
            <w:tcW w:w="468" w:type="pct"/>
            <w:tcBorders>
              <w:left w:val="nil"/>
              <w:right w:val="nil"/>
            </w:tcBorders>
            <w:vAlign w:val="bottom"/>
          </w:tcPr>
          <w:p w:rsidR="005A381B" w:rsidRDefault="005A381B" w:rsidP="003949F4">
            <w:pPr>
              <w:pStyle w:val="TableTextRight"/>
            </w:pPr>
            <w:r>
              <w:t>2.61</w:t>
            </w:r>
          </w:p>
        </w:tc>
        <w:tc>
          <w:tcPr>
            <w:tcW w:w="485" w:type="pct"/>
            <w:tcBorders>
              <w:left w:val="nil"/>
              <w:right w:val="nil"/>
            </w:tcBorders>
            <w:vAlign w:val="bottom"/>
          </w:tcPr>
          <w:p w:rsidR="005A381B" w:rsidRDefault="005A381B" w:rsidP="003949F4">
            <w:pPr>
              <w:pStyle w:val="TableTextRight"/>
            </w:pPr>
            <w:r>
              <w:t>2.61</w:t>
            </w:r>
          </w:p>
        </w:tc>
        <w:tc>
          <w:tcPr>
            <w:tcW w:w="525" w:type="pct"/>
            <w:tcBorders>
              <w:left w:val="nil"/>
              <w:right w:val="nil"/>
            </w:tcBorders>
            <w:vAlign w:val="bottom"/>
          </w:tcPr>
          <w:p w:rsidR="005A381B" w:rsidRDefault="005A381B" w:rsidP="003949F4">
            <w:pPr>
              <w:pStyle w:val="TableTextRight"/>
            </w:pPr>
            <w:r>
              <w:t>2.44</w:t>
            </w:r>
          </w:p>
        </w:tc>
        <w:tc>
          <w:tcPr>
            <w:tcW w:w="525" w:type="pct"/>
            <w:tcBorders>
              <w:left w:val="nil"/>
              <w:right w:val="nil"/>
            </w:tcBorders>
            <w:vAlign w:val="bottom"/>
          </w:tcPr>
          <w:p w:rsidR="005A381B" w:rsidRDefault="005A381B" w:rsidP="003949F4">
            <w:pPr>
              <w:pStyle w:val="TableTextRight"/>
            </w:pPr>
            <w:r>
              <w:t>2.12</w:t>
            </w:r>
          </w:p>
        </w:tc>
        <w:tc>
          <w:tcPr>
            <w:tcW w:w="525" w:type="pct"/>
            <w:tcBorders>
              <w:left w:val="nil"/>
              <w:right w:val="nil"/>
            </w:tcBorders>
            <w:vAlign w:val="bottom"/>
          </w:tcPr>
          <w:p w:rsidR="005A381B" w:rsidRDefault="005A381B" w:rsidP="003949F4">
            <w:pPr>
              <w:pStyle w:val="TableTextRight"/>
            </w:pPr>
            <w:r>
              <w:t>1.74</w:t>
            </w:r>
          </w:p>
        </w:tc>
      </w:tr>
      <w:tr w:rsidR="005A381B" w:rsidRPr="00144F8C" w:rsidTr="003949F4">
        <w:trPr>
          <w:cantSplit/>
        </w:trPr>
        <w:tc>
          <w:tcPr>
            <w:tcW w:w="2472" w:type="pct"/>
            <w:tcBorders>
              <w:top w:val="nil"/>
              <w:left w:val="nil"/>
              <w:bottom w:val="nil"/>
              <w:right w:val="nil"/>
            </w:tcBorders>
          </w:tcPr>
          <w:p w:rsidR="005A381B" w:rsidRDefault="005A381B" w:rsidP="005A381B">
            <w:pPr>
              <w:pStyle w:val="TableHeadingLeft"/>
              <w:keepNext/>
              <w:rPr>
                <w:b w:val="0"/>
              </w:rPr>
            </w:pPr>
            <w:r w:rsidRPr="00EF2F36">
              <w:t>Tier 2 price</w:t>
            </w:r>
            <w:r>
              <w:t xml:space="preserve"> </w:t>
            </w:r>
            <w:r w:rsidRPr="00932E8D">
              <w:rPr>
                <w:b w:val="0"/>
              </w:rPr>
              <w:t>($/kL)</w:t>
            </w:r>
          </w:p>
        </w:tc>
        <w:tc>
          <w:tcPr>
            <w:tcW w:w="468" w:type="pct"/>
            <w:tcBorders>
              <w:left w:val="nil"/>
              <w:right w:val="nil"/>
            </w:tcBorders>
            <w:vAlign w:val="bottom"/>
          </w:tcPr>
          <w:p w:rsidR="005A381B" w:rsidRDefault="005A381B" w:rsidP="003949F4">
            <w:pPr>
              <w:pStyle w:val="TableTextRight"/>
            </w:pPr>
            <w:r>
              <w:t>3.39</w:t>
            </w:r>
          </w:p>
        </w:tc>
        <w:tc>
          <w:tcPr>
            <w:tcW w:w="485" w:type="pct"/>
            <w:tcBorders>
              <w:left w:val="nil"/>
              <w:right w:val="nil"/>
            </w:tcBorders>
            <w:vAlign w:val="bottom"/>
          </w:tcPr>
          <w:p w:rsidR="005A381B" w:rsidRDefault="005A381B" w:rsidP="003949F4">
            <w:pPr>
              <w:pStyle w:val="TableTextRight"/>
            </w:pPr>
            <w:r>
              <w:t>2.85</w:t>
            </w:r>
          </w:p>
        </w:tc>
        <w:tc>
          <w:tcPr>
            <w:tcW w:w="525" w:type="pct"/>
            <w:tcBorders>
              <w:left w:val="nil"/>
              <w:right w:val="nil"/>
            </w:tcBorders>
            <w:vAlign w:val="bottom"/>
          </w:tcPr>
          <w:p w:rsidR="005A381B" w:rsidRDefault="005A381B" w:rsidP="003949F4">
            <w:pPr>
              <w:pStyle w:val="TableTextRight"/>
            </w:pPr>
            <w:r>
              <w:t> </w:t>
            </w:r>
          </w:p>
        </w:tc>
        <w:tc>
          <w:tcPr>
            <w:tcW w:w="525" w:type="pct"/>
            <w:tcBorders>
              <w:left w:val="nil"/>
              <w:right w:val="nil"/>
            </w:tcBorders>
            <w:vAlign w:val="bottom"/>
          </w:tcPr>
          <w:p w:rsidR="005A381B" w:rsidRDefault="005A381B" w:rsidP="003949F4">
            <w:pPr>
              <w:pStyle w:val="TableTextRight"/>
            </w:pPr>
            <w:r>
              <w:t> </w:t>
            </w:r>
          </w:p>
        </w:tc>
        <w:tc>
          <w:tcPr>
            <w:tcW w:w="525" w:type="pct"/>
            <w:tcBorders>
              <w:left w:val="nil"/>
              <w:right w:val="nil"/>
            </w:tcBorders>
            <w:vAlign w:val="bottom"/>
          </w:tcPr>
          <w:p w:rsidR="005A381B" w:rsidRDefault="005A381B" w:rsidP="003949F4">
            <w:pPr>
              <w:pStyle w:val="TableTextRight"/>
            </w:pPr>
            <w:r>
              <w:t> </w:t>
            </w:r>
          </w:p>
        </w:tc>
      </w:tr>
      <w:tr w:rsidR="005A381B" w:rsidRPr="00144F8C" w:rsidTr="00285751">
        <w:trPr>
          <w:cantSplit/>
        </w:trPr>
        <w:tc>
          <w:tcPr>
            <w:tcW w:w="2472" w:type="pct"/>
            <w:tcBorders>
              <w:top w:val="nil"/>
              <w:left w:val="nil"/>
              <w:bottom w:val="nil"/>
              <w:right w:val="nil"/>
            </w:tcBorders>
          </w:tcPr>
          <w:p w:rsidR="005A381B" w:rsidRDefault="005A381B" w:rsidP="005A381B">
            <w:pPr>
              <w:pStyle w:val="TableTextLeft"/>
              <w:keepNext/>
              <w:rPr>
                <w:b/>
              </w:rPr>
            </w:pPr>
          </w:p>
        </w:tc>
        <w:tc>
          <w:tcPr>
            <w:tcW w:w="468" w:type="pct"/>
            <w:tcBorders>
              <w:left w:val="nil"/>
              <w:right w:val="nil"/>
            </w:tcBorders>
          </w:tcPr>
          <w:p w:rsidR="005A381B" w:rsidRDefault="005A381B" w:rsidP="003949F4">
            <w:pPr>
              <w:pStyle w:val="TableTextRight"/>
            </w:pPr>
          </w:p>
        </w:tc>
        <w:tc>
          <w:tcPr>
            <w:tcW w:w="485" w:type="pct"/>
            <w:tcBorders>
              <w:left w:val="nil"/>
              <w:right w:val="nil"/>
            </w:tcBorders>
          </w:tcPr>
          <w:p w:rsidR="005A381B" w:rsidRDefault="005A381B" w:rsidP="003949F4">
            <w:pPr>
              <w:pStyle w:val="TableTextRight"/>
            </w:pPr>
          </w:p>
        </w:tc>
        <w:tc>
          <w:tcPr>
            <w:tcW w:w="525" w:type="pct"/>
            <w:tcBorders>
              <w:left w:val="nil"/>
              <w:right w:val="nil"/>
            </w:tcBorders>
          </w:tcPr>
          <w:p w:rsidR="005A381B" w:rsidRDefault="005A381B" w:rsidP="003949F4">
            <w:pPr>
              <w:pStyle w:val="TableTextRight"/>
            </w:pPr>
          </w:p>
        </w:tc>
        <w:tc>
          <w:tcPr>
            <w:tcW w:w="525" w:type="pct"/>
            <w:tcBorders>
              <w:left w:val="nil"/>
              <w:right w:val="nil"/>
            </w:tcBorders>
          </w:tcPr>
          <w:p w:rsidR="005A381B" w:rsidRDefault="005A381B" w:rsidP="003949F4">
            <w:pPr>
              <w:pStyle w:val="TableTextRight"/>
            </w:pPr>
          </w:p>
        </w:tc>
        <w:tc>
          <w:tcPr>
            <w:tcW w:w="525" w:type="pct"/>
            <w:tcBorders>
              <w:left w:val="nil"/>
              <w:right w:val="nil"/>
            </w:tcBorders>
          </w:tcPr>
          <w:p w:rsidR="005A381B" w:rsidRDefault="005A381B" w:rsidP="003949F4">
            <w:pPr>
              <w:pStyle w:val="TableTextRight"/>
            </w:pPr>
          </w:p>
        </w:tc>
      </w:tr>
      <w:tr w:rsidR="005A381B" w:rsidRPr="00144F8C" w:rsidTr="00285751">
        <w:trPr>
          <w:cantSplit/>
        </w:trPr>
        <w:tc>
          <w:tcPr>
            <w:tcW w:w="2472" w:type="pct"/>
            <w:tcBorders>
              <w:top w:val="nil"/>
              <w:left w:val="nil"/>
              <w:bottom w:val="nil"/>
              <w:right w:val="nil"/>
            </w:tcBorders>
          </w:tcPr>
          <w:p w:rsidR="005A381B" w:rsidRDefault="005A381B" w:rsidP="003949F4">
            <w:pPr>
              <w:pStyle w:val="TableTextLeft"/>
              <w:keepNext/>
            </w:pPr>
            <w:r>
              <w:rPr>
                <w:b/>
              </w:rPr>
              <w:t>Option B</w:t>
            </w:r>
            <w:r w:rsidR="00C74718">
              <w:rPr>
                <w:b/>
              </w:rPr>
              <w:t xml:space="preserve"> cont.</w:t>
            </w:r>
          </w:p>
        </w:tc>
        <w:tc>
          <w:tcPr>
            <w:tcW w:w="468" w:type="pct"/>
            <w:tcBorders>
              <w:left w:val="nil"/>
              <w:right w:val="nil"/>
            </w:tcBorders>
          </w:tcPr>
          <w:p w:rsidR="005A381B" w:rsidRDefault="005A381B" w:rsidP="003949F4">
            <w:pPr>
              <w:pStyle w:val="TableTextRight"/>
            </w:pPr>
          </w:p>
        </w:tc>
        <w:tc>
          <w:tcPr>
            <w:tcW w:w="485" w:type="pct"/>
            <w:tcBorders>
              <w:left w:val="nil"/>
              <w:right w:val="nil"/>
            </w:tcBorders>
          </w:tcPr>
          <w:p w:rsidR="005A381B" w:rsidRDefault="005A381B" w:rsidP="003949F4">
            <w:pPr>
              <w:pStyle w:val="TableTextRight"/>
            </w:pPr>
          </w:p>
        </w:tc>
        <w:tc>
          <w:tcPr>
            <w:tcW w:w="525" w:type="pct"/>
            <w:tcBorders>
              <w:left w:val="nil"/>
              <w:right w:val="nil"/>
            </w:tcBorders>
          </w:tcPr>
          <w:p w:rsidR="005A381B" w:rsidRDefault="005A381B" w:rsidP="003949F4">
            <w:pPr>
              <w:pStyle w:val="TableTextRight"/>
            </w:pPr>
          </w:p>
        </w:tc>
        <w:tc>
          <w:tcPr>
            <w:tcW w:w="525" w:type="pct"/>
            <w:tcBorders>
              <w:left w:val="nil"/>
              <w:right w:val="nil"/>
            </w:tcBorders>
          </w:tcPr>
          <w:p w:rsidR="005A381B" w:rsidRDefault="005A381B" w:rsidP="003949F4">
            <w:pPr>
              <w:pStyle w:val="TableTextRight"/>
            </w:pPr>
          </w:p>
        </w:tc>
        <w:tc>
          <w:tcPr>
            <w:tcW w:w="525" w:type="pct"/>
            <w:tcBorders>
              <w:left w:val="nil"/>
              <w:right w:val="nil"/>
            </w:tcBorders>
          </w:tcPr>
          <w:p w:rsidR="005A381B" w:rsidRDefault="005A381B" w:rsidP="003949F4">
            <w:pPr>
              <w:pStyle w:val="TableTextRight"/>
            </w:pPr>
          </w:p>
        </w:tc>
      </w:tr>
      <w:tr w:rsidR="00736E13" w:rsidRPr="00144F8C" w:rsidTr="00285751">
        <w:trPr>
          <w:cantSplit/>
        </w:trPr>
        <w:tc>
          <w:tcPr>
            <w:tcW w:w="2472" w:type="pct"/>
            <w:tcBorders>
              <w:top w:val="nil"/>
              <w:left w:val="nil"/>
              <w:bottom w:val="nil"/>
              <w:right w:val="nil"/>
            </w:tcBorders>
          </w:tcPr>
          <w:p w:rsidR="00736E13" w:rsidRDefault="00736E13" w:rsidP="00736E13">
            <w:pPr>
              <w:pStyle w:val="TableHeadingLeft"/>
              <w:keepNext/>
              <w:rPr>
                <w:b w:val="0"/>
              </w:rPr>
            </w:pPr>
            <w:r>
              <w:t xml:space="preserve">Supply charge </w:t>
            </w:r>
            <w:r w:rsidRPr="00EF2F36">
              <w:rPr>
                <w:b w:val="0"/>
              </w:rPr>
              <w:t>($/year)</w:t>
            </w:r>
          </w:p>
        </w:tc>
        <w:tc>
          <w:tcPr>
            <w:tcW w:w="468" w:type="pct"/>
            <w:tcBorders>
              <w:left w:val="nil"/>
              <w:right w:val="nil"/>
            </w:tcBorders>
            <w:vAlign w:val="bottom"/>
          </w:tcPr>
          <w:p w:rsidR="00736E13" w:rsidRDefault="00736E13" w:rsidP="00736E13">
            <w:pPr>
              <w:pStyle w:val="TableTextRight"/>
              <w:rPr>
                <w:lang w:eastAsia="en-GB"/>
              </w:rPr>
            </w:pPr>
            <w:r>
              <w:t>230.74</w:t>
            </w:r>
          </w:p>
        </w:tc>
        <w:tc>
          <w:tcPr>
            <w:tcW w:w="485" w:type="pct"/>
            <w:tcBorders>
              <w:left w:val="nil"/>
              <w:right w:val="nil"/>
            </w:tcBorders>
            <w:vAlign w:val="bottom"/>
          </w:tcPr>
          <w:p w:rsidR="00736E13" w:rsidRDefault="00736E13" w:rsidP="00736E13">
            <w:pPr>
              <w:pStyle w:val="TableTextRight"/>
            </w:pPr>
            <w:r>
              <w:t>263.09</w:t>
            </w:r>
          </w:p>
        </w:tc>
        <w:tc>
          <w:tcPr>
            <w:tcW w:w="525" w:type="pct"/>
            <w:tcBorders>
              <w:left w:val="nil"/>
              <w:right w:val="nil"/>
            </w:tcBorders>
            <w:vAlign w:val="bottom"/>
          </w:tcPr>
          <w:p w:rsidR="00736E13" w:rsidRDefault="00736E13" w:rsidP="00736E13">
            <w:pPr>
              <w:pStyle w:val="TableTextRight"/>
            </w:pPr>
            <w:r>
              <w:t>299.98</w:t>
            </w:r>
          </w:p>
        </w:tc>
        <w:tc>
          <w:tcPr>
            <w:tcW w:w="525" w:type="pct"/>
            <w:tcBorders>
              <w:left w:val="nil"/>
              <w:right w:val="nil"/>
            </w:tcBorders>
            <w:vAlign w:val="bottom"/>
          </w:tcPr>
          <w:p w:rsidR="00736E13" w:rsidRDefault="00736E13" w:rsidP="00736E13">
            <w:pPr>
              <w:pStyle w:val="TableTextRight"/>
            </w:pPr>
            <w:r>
              <w:t>342.04</w:t>
            </w:r>
          </w:p>
        </w:tc>
        <w:tc>
          <w:tcPr>
            <w:tcW w:w="525" w:type="pct"/>
            <w:tcBorders>
              <w:left w:val="nil"/>
              <w:right w:val="nil"/>
            </w:tcBorders>
            <w:vAlign w:val="bottom"/>
          </w:tcPr>
          <w:p w:rsidR="00736E13" w:rsidRDefault="00736E13" w:rsidP="00736E13">
            <w:pPr>
              <w:pStyle w:val="TableTextRight"/>
            </w:pPr>
            <w:r>
              <w:t>390.00</w:t>
            </w:r>
          </w:p>
        </w:tc>
      </w:tr>
      <w:tr w:rsidR="00736E13" w:rsidRPr="00144F8C" w:rsidTr="00285751">
        <w:trPr>
          <w:cantSplit/>
        </w:trPr>
        <w:tc>
          <w:tcPr>
            <w:tcW w:w="2472" w:type="pct"/>
            <w:tcBorders>
              <w:top w:val="nil"/>
              <w:left w:val="nil"/>
              <w:bottom w:val="nil"/>
              <w:right w:val="nil"/>
            </w:tcBorders>
          </w:tcPr>
          <w:p w:rsidR="00736E13" w:rsidRPr="00174360" w:rsidRDefault="00736E13" w:rsidP="00736E13">
            <w:pPr>
              <w:pStyle w:val="TableHeadingLeft"/>
              <w:keepNext/>
            </w:pPr>
            <w:r>
              <w:t xml:space="preserve">Tier 1 price </w:t>
            </w:r>
            <w:r w:rsidRPr="00EF2F36">
              <w:rPr>
                <w:b w:val="0"/>
              </w:rPr>
              <w:t>($/kL)</w:t>
            </w:r>
          </w:p>
        </w:tc>
        <w:tc>
          <w:tcPr>
            <w:tcW w:w="468" w:type="pct"/>
            <w:tcBorders>
              <w:left w:val="nil"/>
              <w:right w:val="nil"/>
            </w:tcBorders>
            <w:vAlign w:val="bottom"/>
          </w:tcPr>
          <w:p w:rsidR="00736E13" w:rsidRDefault="00736E13" w:rsidP="00736E13">
            <w:pPr>
              <w:pStyle w:val="TableTextRight"/>
            </w:pPr>
            <w:r>
              <w:t>2.61</w:t>
            </w:r>
          </w:p>
        </w:tc>
        <w:tc>
          <w:tcPr>
            <w:tcW w:w="485" w:type="pct"/>
            <w:tcBorders>
              <w:left w:val="nil"/>
              <w:right w:val="nil"/>
            </w:tcBorders>
            <w:vAlign w:val="bottom"/>
          </w:tcPr>
          <w:p w:rsidR="00736E13" w:rsidRDefault="00736E13" w:rsidP="00736E13">
            <w:pPr>
              <w:pStyle w:val="TableTextRight"/>
            </w:pPr>
            <w:r>
              <w:t>2.61</w:t>
            </w:r>
          </w:p>
        </w:tc>
        <w:tc>
          <w:tcPr>
            <w:tcW w:w="525" w:type="pct"/>
            <w:tcBorders>
              <w:left w:val="nil"/>
              <w:right w:val="nil"/>
            </w:tcBorders>
            <w:vAlign w:val="bottom"/>
          </w:tcPr>
          <w:p w:rsidR="00736E13" w:rsidRDefault="00736E13" w:rsidP="00736E13">
            <w:pPr>
              <w:pStyle w:val="TableTextRight"/>
            </w:pPr>
            <w:r>
              <w:t>2.61</w:t>
            </w:r>
          </w:p>
        </w:tc>
        <w:tc>
          <w:tcPr>
            <w:tcW w:w="525" w:type="pct"/>
            <w:tcBorders>
              <w:left w:val="nil"/>
              <w:right w:val="nil"/>
            </w:tcBorders>
            <w:vAlign w:val="bottom"/>
          </w:tcPr>
          <w:p w:rsidR="00736E13" w:rsidRDefault="00736E13" w:rsidP="00736E13">
            <w:pPr>
              <w:pStyle w:val="TableTextRight"/>
            </w:pPr>
            <w:r>
              <w:t>2.61</w:t>
            </w:r>
          </w:p>
        </w:tc>
        <w:tc>
          <w:tcPr>
            <w:tcW w:w="525" w:type="pct"/>
            <w:tcBorders>
              <w:left w:val="nil"/>
              <w:right w:val="nil"/>
            </w:tcBorders>
            <w:vAlign w:val="bottom"/>
          </w:tcPr>
          <w:p w:rsidR="00736E13" w:rsidRDefault="00736E13" w:rsidP="00736E13">
            <w:pPr>
              <w:pStyle w:val="TableTextRight"/>
            </w:pPr>
            <w:r>
              <w:t>2.61</w:t>
            </w:r>
          </w:p>
        </w:tc>
      </w:tr>
      <w:tr w:rsidR="00736E13" w:rsidRPr="00144F8C" w:rsidTr="003949F4">
        <w:trPr>
          <w:cantSplit/>
        </w:trPr>
        <w:tc>
          <w:tcPr>
            <w:tcW w:w="2472" w:type="pct"/>
            <w:tcBorders>
              <w:top w:val="nil"/>
              <w:left w:val="nil"/>
              <w:bottom w:val="single" w:sz="12" w:space="0" w:color="1F497D" w:themeColor="text2"/>
              <w:right w:val="nil"/>
            </w:tcBorders>
          </w:tcPr>
          <w:p w:rsidR="00736E13" w:rsidRDefault="00736E13" w:rsidP="00736E13">
            <w:pPr>
              <w:pStyle w:val="TableHeadingLeft"/>
              <w:keepNext/>
              <w:rPr>
                <w:b w:val="0"/>
              </w:rPr>
            </w:pPr>
            <w:r w:rsidRPr="00EF2F36">
              <w:t>Tier 2 price</w:t>
            </w:r>
            <w:r>
              <w:t xml:space="preserve"> </w:t>
            </w:r>
            <w:r w:rsidRPr="00932E8D">
              <w:rPr>
                <w:b w:val="0"/>
              </w:rPr>
              <w:t>($/kL)</w:t>
            </w:r>
          </w:p>
        </w:tc>
        <w:tc>
          <w:tcPr>
            <w:tcW w:w="468" w:type="pct"/>
            <w:tcBorders>
              <w:left w:val="nil"/>
              <w:bottom w:val="single" w:sz="12" w:space="0" w:color="1F497D" w:themeColor="text2"/>
              <w:right w:val="nil"/>
            </w:tcBorders>
            <w:vAlign w:val="bottom"/>
          </w:tcPr>
          <w:p w:rsidR="00736E13" w:rsidRDefault="00736E13" w:rsidP="00736E13">
            <w:pPr>
              <w:pStyle w:val="TableTextRight"/>
            </w:pPr>
            <w:r>
              <w:t>4.04</w:t>
            </w:r>
          </w:p>
        </w:tc>
        <w:tc>
          <w:tcPr>
            <w:tcW w:w="485" w:type="pct"/>
            <w:tcBorders>
              <w:left w:val="nil"/>
              <w:bottom w:val="single" w:sz="12" w:space="0" w:color="1F497D" w:themeColor="text2"/>
              <w:right w:val="nil"/>
            </w:tcBorders>
            <w:vAlign w:val="bottom"/>
          </w:tcPr>
          <w:p w:rsidR="00736E13" w:rsidRDefault="00736E13" w:rsidP="00736E13">
            <w:pPr>
              <w:pStyle w:val="TableTextRight"/>
            </w:pPr>
            <w:r>
              <w:t>3.74</w:t>
            </w:r>
          </w:p>
        </w:tc>
        <w:tc>
          <w:tcPr>
            <w:tcW w:w="525" w:type="pct"/>
            <w:tcBorders>
              <w:left w:val="nil"/>
              <w:bottom w:val="single" w:sz="12" w:space="0" w:color="1F497D" w:themeColor="text2"/>
              <w:right w:val="nil"/>
            </w:tcBorders>
            <w:vAlign w:val="bottom"/>
          </w:tcPr>
          <w:p w:rsidR="00736E13" w:rsidRDefault="00736E13" w:rsidP="00736E13">
            <w:pPr>
              <w:pStyle w:val="TableTextRight"/>
            </w:pPr>
            <w:r>
              <w:t>3.40</w:t>
            </w:r>
          </w:p>
        </w:tc>
        <w:tc>
          <w:tcPr>
            <w:tcW w:w="525" w:type="pct"/>
            <w:tcBorders>
              <w:left w:val="nil"/>
              <w:bottom w:val="single" w:sz="12" w:space="0" w:color="1F497D" w:themeColor="text2"/>
              <w:right w:val="nil"/>
            </w:tcBorders>
            <w:vAlign w:val="bottom"/>
          </w:tcPr>
          <w:p w:rsidR="00736E13" w:rsidRDefault="00736E13" w:rsidP="00736E13">
            <w:pPr>
              <w:pStyle w:val="TableTextRight"/>
            </w:pPr>
            <w:r>
              <w:t>3.01</w:t>
            </w:r>
          </w:p>
        </w:tc>
        <w:tc>
          <w:tcPr>
            <w:tcW w:w="525" w:type="pct"/>
            <w:tcBorders>
              <w:left w:val="nil"/>
              <w:bottom w:val="single" w:sz="12" w:space="0" w:color="1F497D" w:themeColor="text2"/>
              <w:right w:val="nil"/>
            </w:tcBorders>
            <w:vAlign w:val="bottom"/>
          </w:tcPr>
          <w:p w:rsidR="00736E13" w:rsidRDefault="00736E13" w:rsidP="00736E13">
            <w:pPr>
              <w:pStyle w:val="TableTextRight"/>
            </w:pPr>
            <w:r>
              <w:t> </w:t>
            </w:r>
          </w:p>
        </w:tc>
      </w:tr>
    </w:tbl>
    <w:p w:rsidR="00C74718" w:rsidRDefault="00C74718" w:rsidP="00C74718">
      <w:pPr>
        <w:pStyle w:val="TableNotesLast0"/>
      </w:pPr>
      <w:r>
        <w:t>Source:</w:t>
      </w:r>
      <w:r>
        <w:tab/>
        <w:t>Commission’s calculations.</w:t>
      </w:r>
    </w:p>
    <w:p w:rsidR="003A065A" w:rsidRDefault="009C4BAD" w:rsidP="003949F4">
      <w:r>
        <w:t xml:space="preserve">Option A </w:t>
      </w:r>
      <w:r w:rsidR="00346512">
        <w:t>transitions over 10 years to one usage charge</w:t>
      </w:r>
      <w:r w:rsidR="008D7C6C">
        <w:t xml:space="preserve">. The aim would be for the usage charge to be eventually </w:t>
      </w:r>
      <w:r w:rsidR="00346512">
        <w:t xml:space="preserve">set </w:t>
      </w:r>
      <w:r w:rsidR="008D7C6C">
        <w:t>so that it reflects the cost of providing additional units of water (</w:t>
      </w:r>
      <w:r w:rsidR="00346512">
        <w:t>the estimated long-run marginal cost</w:t>
      </w:r>
      <w:r w:rsidR="008D7C6C">
        <w:t xml:space="preserve"> of providing more water</w:t>
      </w:r>
      <w:r w:rsidR="00CF159E">
        <w:t>)</w:t>
      </w:r>
      <w:r w:rsidR="003A065A">
        <w:t>.</w:t>
      </w:r>
      <w:r w:rsidR="00346512">
        <w:t xml:space="preserve"> </w:t>
      </w:r>
      <w:r w:rsidR="00767FDE">
        <w:t xml:space="preserve">One usage charge is </w:t>
      </w:r>
      <w:r w:rsidR="00E84F9A">
        <w:t xml:space="preserve">reached </w:t>
      </w:r>
      <w:r w:rsidR="00767FDE">
        <w:t xml:space="preserve">by year 8. </w:t>
      </w:r>
      <w:r w:rsidR="00CC5287">
        <w:t>Option B, transitions over 10 years to one usage charge set at the current</w:t>
      </w:r>
      <w:r w:rsidR="00302518">
        <w:t xml:space="preserve"> Tier 1 </w:t>
      </w:r>
      <w:r w:rsidR="00CC5287">
        <w:t>level</w:t>
      </w:r>
      <w:r w:rsidR="003A065A">
        <w:t xml:space="preserve">. </w:t>
      </w:r>
    </w:p>
    <w:p w:rsidR="00CC5287" w:rsidRDefault="003A065A" w:rsidP="003949F4">
      <w:r>
        <w:t>The level of both the usage and supply charges</w:t>
      </w:r>
      <w:r w:rsidR="00CC5287">
        <w:t xml:space="preserve"> </w:t>
      </w:r>
      <w:r>
        <w:t>would depend on the costs and the supply conditions faced at the time. For indicative purposes</w:t>
      </w:r>
      <w:r w:rsidR="00302518">
        <w:t xml:space="preserve">, </w:t>
      </w:r>
      <w:r w:rsidR="00302518">
        <w:fldChar w:fldCharType="begin"/>
      </w:r>
      <w:r w:rsidR="00302518">
        <w:instrText xml:space="preserve"> REF _Ref460312738 \h </w:instrText>
      </w:r>
      <w:r w:rsidR="00302518">
        <w:fldChar w:fldCharType="separate"/>
      </w:r>
      <w:r w:rsidR="00B80BC7" w:rsidRPr="003C3AEA">
        <w:t>Table</w:t>
      </w:r>
      <w:r w:rsidR="00B80BC7">
        <w:t xml:space="preserve"> ES.</w:t>
      </w:r>
      <w:r w:rsidR="00B80BC7">
        <w:rPr>
          <w:noProof/>
        </w:rPr>
        <w:t>1</w:t>
      </w:r>
      <w:r w:rsidR="00302518">
        <w:fldChar w:fldCharType="end"/>
      </w:r>
      <w:r w:rsidR="00F62FDE">
        <w:t xml:space="preserve"> shows the possible changes to the tariffs </w:t>
      </w:r>
      <w:r>
        <w:t>using the current costs</w:t>
      </w:r>
      <w:r w:rsidR="00F62FDE">
        <w:t xml:space="preserve"> and expected water inflows and outflows. Option A would reach one usage charge earlier than Option B. It would also move to more </w:t>
      </w:r>
      <w:r w:rsidR="00B97B7D">
        <w:t>fully reflect</w:t>
      </w:r>
      <w:r w:rsidR="00F62FDE">
        <w:t xml:space="preserve"> the marginal </w:t>
      </w:r>
      <w:r w:rsidR="00B97B7D">
        <w:t>cost</w:t>
      </w:r>
      <w:r w:rsidR="00F62FDE">
        <w:t xml:space="preserve"> of providing additional water compared to option B. As a result it would have a h</w:t>
      </w:r>
      <w:r w:rsidR="00B97B7D">
        <w:t>igher fixed charge than option B</w:t>
      </w:r>
      <w:r w:rsidR="00F62FDE">
        <w:t xml:space="preserve">. </w:t>
      </w:r>
    </w:p>
    <w:p w:rsidR="009C4BAD" w:rsidRDefault="000C7DE3" w:rsidP="003949F4">
      <w:r>
        <w:t xml:space="preserve">The analysis undertaken by the Commission for the tariff review suggests that </w:t>
      </w:r>
      <w:r w:rsidR="00CC5287">
        <w:t xml:space="preserve">option A </w:t>
      </w:r>
      <w:r>
        <w:t xml:space="preserve">would be </w:t>
      </w:r>
      <w:r w:rsidR="00B97B7D">
        <w:t>more</w:t>
      </w:r>
      <w:r>
        <w:t xml:space="preserve"> efficient</w:t>
      </w:r>
      <w:r w:rsidR="00CF159E">
        <w:t xml:space="preserve"> but would have greater distributional effects</w:t>
      </w:r>
      <w:r>
        <w:t xml:space="preserve">. The distributional impacts on low volume water users </w:t>
      </w:r>
      <w:r w:rsidR="00B97B7D">
        <w:t>could</w:t>
      </w:r>
      <w:r>
        <w:t xml:space="preserve"> be mitigated by raising the supply charge by the same annual percentage over the 10 years and by keeping the Tier</w:t>
      </w:r>
      <w:r w:rsidR="008862EF">
        <w:t> </w:t>
      </w:r>
      <w:r>
        <w:t xml:space="preserve">1 charge at the current level until it can be reduced towards the end of the transition period. </w:t>
      </w:r>
    </w:p>
    <w:p w:rsidR="00FF50BD" w:rsidRDefault="00FF50BD" w:rsidP="00E614D4">
      <w:r>
        <w:t xml:space="preserve">Having only one usage charge, option B is likely to be more efficient than the current structure, </w:t>
      </w:r>
      <w:r w:rsidR="00962B7D">
        <w:t xml:space="preserve">and </w:t>
      </w:r>
      <w:r>
        <w:t xml:space="preserve">would reduce the negative distributional impacts on low volume water customers compared to </w:t>
      </w:r>
      <w:r w:rsidR="00346512">
        <w:t xml:space="preserve">option A. </w:t>
      </w:r>
      <w:r>
        <w:t xml:space="preserve">However, the usage charge </w:t>
      </w:r>
      <w:r w:rsidR="00B97B7D">
        <w:t>would</w:t>
      </w:r>
      <w:r>
        <w:t xml:space="preserve"> still </w:t>
      </w:r>
      <w:r w:rsidR="00B97B7D">
        <w:t xml:space="preserve">be </w:t>
      </w:r>
      <w:r>
        <w:t xml:space="preserve">substantially higher than the </w:t>
      </w:r>
      <w:r w:rsidR="00B97B7D">
        <w:t xml:space="preserve">estimated </w:t>
      </w:r>
      <w:r>
        <w:t>long-run marginal cost</w:t>
      </w:r>
      <w:r w:rsidR="00CF159E">
        <w:t xml:space="preserve"> of providing additional water</w:t>
      </w:r>
      <w:r>
        <w:t xml:space="preserve"> resulting in </w:t>
      </w:r>
      <w:r w:rsidR="00547D57">
        <w:t xml:space="preserve">continued </w:t>
      </w:r>
      <w:r>
        <w:t>welfare losses for the ACT community.</w:t>
      </w:r>
    </w:p>
    <w:p w:rsidR="008862EF" w:rsidRDefault="009C4BAD" w:rsidP="000D7B3B">
      <w:r w:rsidRPr="00DE3F79">
        <w:t>The Commission’s draft position is that</w:t>
      </w:r>
      <w:r w:rsidR="00CF159E">
        <w:t xml:space="preserve"> </w:t>
      </w:r>
      <w:r w:rsidRPr="00DE3F79">
        <w:t>option A</w:t>
      </w:r>
      <w:r w:rsidR="00CF159E">
        <w:t xml:space="preserve"> should provide a long term goal for the structure of water tariffs. O</w:t>
      </w:r>
      <w:r w:rsidR="00DE3F79">
        <w:t xml:space="preserve">ver the longer-term </w:t>
      </w:r>
      <w:r w:rsidRPr="00DE3F79">
        <w:t xml:space="preserve">with </w:t>
      </w:r>
      <w:r w:rsidR="00962B7D" w:rsidRPr="00DE3F79">
        <w:t xml:space="preserve">the </w:t>
      </w:r>
      <w:r w:rsidRPr="00DE3F79">
        <w:t xml:space="preserve">transition period </w:t>
      </w:r>
      <w:r w:rsidR="00962B7D" w:rsidRPr="000D7B3B">
        <w:t xml:space="preserve">discussed above </w:t>
      </w:r>
      <w:r w:rsidRPr="000D7B3B">
        <w:t>applied to mi</w:t>
      </w:r>
      <w:r w:rsidR="00547D57" w:rsidRPr="000D7B3B">
        <w:t xml:space="preserve">tigate negative </w:t>
      </w:r>
      <w:r w:rsidRPr="000D7B3B">
        <w:t xml:space="preserve">customer impacts, </w:t>
      </w:r>
      <w:r w:rsidR="000D7B3B">
        <w:t xml:space="preserve">and subject to change as conditions change, </w:t>
      </w:r>
      <w:r w:rsidR="00547D57" w:rsidRPr="000D7B3B">
        <w:t>i</w:t>
      </w:r>
      <w:r w:rsidR="00CF159E">
        <w:t xml:space="preserve">t provides a better guide </w:t>
      </w:r>
      <w:r w:rsidRPr="000D7B3B">
        <w:t xml:space="preserve"> as it will provide the greatest efficiency benefits.</w:t>
      </w:r>
    </w:p>
    <w:p w:rsidR="00E63057" w:rsidRPr="000D7B3B" w:rsidRDefault="00C544B6" w:rsidP="000D7B3B">
      <w:r w:rsidRPr="00DE3F79">
        <w:lastRenderedPageBreak/>
        <w:fldChar w:fldCharType="begin"/>
      </w:r>
      <w:r w:rsidRPr="000D7B3B">
        <w:instrText xml:space="preserve"> REF _Ref458001579 \h </w:instrText>
      </w:r>
      <w:r w:rsidR="007C1746">
        <w:instrText xml:space="preserve"> \* MERGEFORMAT </w:instrText>
      </w:r>
      <w:r w:rsidRPr="00DE3F79">
        <w:fldChar w:fldCharType="separate"/>
      </w:r>
      <w:r w:rsidR="00B80BC7" w:rsidRPr="00E33D9E">
        <w:t xml:space="preserve">Figure </w:t>
      </w:r>
      <w:r w:rsidR="00B80BC7">
        <w:t>ES</w:t>
      </w:r>
      <w:r w:rsidR="00B80BC7" w:rsidRPr="00E33D9E">
        <w:t>.</w:t>
      </w:r>
      <w:r w:rsidR="00B80BC7">
        <w:t>6</w:t>
      </w:r>
      <w:r w:rsidRPr="00DE3F79">
        <w:fldChar w:fldCharType="end"/>
      </w:r>
      <w:r w:rsidRPr="00DE3F79">
        <w:t xml:space="preserve"> shows the </w:t>
      </w:r>
      <w:r w:rsidR="007666F7">
        <w:t xml:space="preserve">indicative </w:t>
      </w:r>
      <w:r w:rsidR="00587DEC" w:rsidRPr="00DE3F79">
        <w:t xml:space="preserve">annual </w:t>
      </w:r>
      <w:r w:rsidRPr="00DE3F79">
        <w:t xml:space="preserve">impact </w:t>
      </w:r>
      <w:r w:rsidR="00683DA8" w:rsidRPr="000D7B3B">
        <w:t xml:space="preserve">of this transition plan </w:t>
      </w:r>
      <w:r w:rsidRPr="000D7B3B">
        <w:t xml:space="preserve">on water charges and combined water and sewerage services bills </w:t>
      </w:r>
      <w:r w:rsidR="00587DEC" w:rsidRPr="000D7B3B">
        <w:t xml:space="preserve">on residential </w:t>
      </w:r>
      <w:r w:rsidRPr="000D7B3B">
        <w:t>customers in standalone houses and those in units and flats.</w:t>
      </w:r>
    </w:p>
    <w:p w:rsidR="00C544B6" w:rsidRDefault="00C544B6" w:rsidP="00C544B6">
      <w:pPr>
        <w:pStyle w:val="FigureName0"/>
      </w:pPr>
      <w:bookmarkStart w:id="29" w:name="_Ref458001579"/>
      <w:bookmarkStart w:id="30" w:name="_Toc457982055"/>
      <w:bookmarkStart w:id="31" w:name="_Toc460572265"/>
      <w:r w:rsidRPr="00E33D9E">
        <w:t xml:space="preserve">Figure </w:t>
      </w:r>
      <w:r>
        <w:t>ES</w:t>
      </w:r>
      <w:r w:rsidRPr="00E33D9E">
        <w:t>.</w:t>
      </w:r>
      <w:r w:rsidRPr="00E33D9E">
        <w:fldChar w:fldCharType="begin"/>
      </w:r>
      <w:r w:rsidRPr="00E33D9E">
        <w:instrText xml:space="preserve"> SEQ Figure \* ARABIC \s 1 </w:instrText>
      </w:r>
      <w:r w:rsidRPr="00E33D9E">
        <w:fldChar w:fldCharType="separate"/>
      </w:r>
      <w:r w:rsidR="00B80BC7">
        <w:rPr>
          <w:noProof/>
        </w:rPr>
        <w:t>6</w:t>
      </w:r>
      <w:r w:rsidRPr="00E33D9E">
        <w:fldChar w:fldCharType="end"/>
      </w:r>
      <w:bookmarkEnd w:id="29"/>
      <w:r>
        <w:tab/>
        <w:t>Year 1 impact, residential customers</w:t>
      </w:r>
      <w:bookmarkEnd w:id="30"/>
      <w:bookmarkEnd w:id="31"/>
    </w:p>
    <w:tbl>
      <w:tblPr>
        <w:tblStyle w:val="TableGrid"/>
        <w:tblW w:w="84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56"/>
        <w:gridCol w:w="222"/>
        <w:gridCol w:w="222"/>
      </w:tblGrid>
      <w:tr w:rsidR="00C544B6" w:rsidRPr="00832EEF" w:rsidTr="002E2882">
        <w:trPr>
          <w:trHeight w:val="4395"/>
        </w:trPr>
        <w:tc>
          <w:tcPr>
            <w:tcW w:w="7956" w:type="dxa"/>
          </w:tcPr>
          <w:p w:rsidR="00C544B6" w:rsidRPr="00832EEF" w:rsidRDefault="00767FDE" w:rsidP="00B1215F">
            <w:pPr>
              <w:keepNext/>
              <w:rPr>
                <w:b/>
              </w:rPr>
            </w:pPr>
            <w:r>
              <w:rPr>
                <w:noProof/>
                <w:lang w:val="en-AU" w:eastAsia="en-AU"/>
              </w:rPr>
              <w:t xml:space="preserve"> </w:t>
            </w:r>
            <w:r>
              <w:rPr>
                <w:noProof/>
                <w:lang w:val="en-AU" w:eastAsia="en-AU"/>
              </w:rPr>
              <w:drawing>
                <wp:inline distT="0" distB="0" distL="0" distR="0" wp14:anchorId="23397180" wp14:editId="6DC40274">
                  <wp:extent cx="4896485" cy="2764155"/>
                  <wp:effectExtent l="0" t="0" r="18415" b="1714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544B6" w:rsidRPr="00832EEF" w:rsidRDefault="00767FDE" w:rsidP="00B1215F">
            <w:pPr>
              <w:keepNext/>
              <w:rPr>
                <w:b/>
              </w:rPr>
            </w:pPr>
            <w:r>
              <w:rPr>
                <w:noProof/>
                <w:lang w:val="en-AU" w:eastAsia="en-AU"/>
              </w:rPr>
              <w:t xml:space="preserve"> </w:t>
            </w:r>
            <w:r w:rsidR="002E2882">
              <w:rPr>
                <w:noProof/>
                <w:lang w:val="en-AU" w:eastAsia="en-AU"/>
              </w:rPr>
              <w:drawing>
                <wp:inline distT="0" distB="0" distL="0" distR="0" wp14:anchorId="139F1CDF" wp14:editId="5A234CE2">
                  <wp:extent cx="4896485" cy="2555875"/>
                  <wp:effectExtent l="0" t="0" r="18415" b="1587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c>
          <w:tcPr>
            <w:tcW w:w="222" w:type="dxa"/>
          </w:tcPr>
          <w:p w:rsidR="00C544B6" w:rsidRPr="00832EEF" w:rsidRDefault="00C544B6" w:rsidP="00B1215F">
            <w:pPr>
              <w:keepNext/>
              <w:rPr>
                <w:b/>
                <w:noProof/>
                <w:lang w:val="en-AU" w:eastAsia="en-AU"/>
              </w:rPr>
            </w:pPr>
          </w:p>
        </w:tc>
        <w:tc>
          <w:tcPr>
            <w:tcW w:w="222" w:type="dxa"/>
          </w:tcPr>
          <w:p w:rsidR="00C544B6" w:rsidRPr="00832EEF" w:rsidRDefault="00C544B6" w:rsidP="00B1215F">
            <w:pPr>
              <w:keepNext/>
              <w:rPr>
                <w:b/>
                <w:noProof/>
                <w:lang w:val="en-AU" w:eastAsia="en-AU"/>
              </w:rPr>
            </w:pPr>
          </w:p>
        </w:tc>
      </w:tr>
    </w:tbl>
    <w:p w:rsidR="00C544B6" w:rsidRPr="00636FE1" w:rsidRDefault="00C544B6" w:rsidP="00C544B6">
      <w:pPr>
        <w:pStyle w:val="TableNotesLast0"/>
      </w:pPr>
      <w:r>
        <w:t>Source:</w:t>
      </w:r>
      <w:r>
        <w:tab/>
        <w:t>Commission’s calculations</w:t>
      </w:r>
    </w:p>
    <w:p w:rsidR="008862EF" w:rsidRDefault="008862EF" w:rsidP="008862EF">
      <w:r>
        <w:t xml:space="preserve">Charges and combined bills for low volume water users increase while those for high volume water users decrease, with the transition at the 300 kL per year level. The combined bill impact on low volume customers is lower than that of the water charge alone due to the inclusion of sewerage charges, which form a large portion of their bills and only rise by the rate of inflation. Customers consuming 200 kL per year face an </w:t>
      </w:r>
      <w:r>
        <w:lastRenderedPageBreak/>
        <w:t>annual water charge rise of 3.4 per cent, or $22, with their combined bill increasing by 3.0 per cent, or $35.</w:t>
      </w:r>
    </w:p>
    <w:p w:rsidR="00C544B6" w:rsidRDefault="00C544B6" w:rsidP="00C544B6">
      <w:r>
        <w:fldChar w:fldCharType="begin"/>
      </w:r>
      <w:r>
        <w:instrText xml:space="preserve"> REF _Ref458001715 \h </w:instrText>
      </w:r>
      <w:r>
        <w:fldChar w:fldCharType="separate"/>
      </w:r>
      <w:r w:rsidR="00B80BC7" w:rsidRPr="00E33D9E">
        <w:t xml:space="preserve">Figure </w:t>
      </w:r>
      <w:r w:rsidR="00B80BC7">
        <w:t>ES</w:t>
      </w:r>
      <w:r w:rsidR="00B80BC7" w:rsidRPr="00E33D9E">
        <w:t>.</w:t>
      </w:r>
      <w:r w:rsidR="00B80BC7">
        <w:rPr>
          <w:noProof/>
        </w:rPr>
        <w:t>7</w:t>
      </w:r>
      <w:r>
        <w:fldChar w:fldCharType="end"/>
      </w:r>
      <w:r>
        <w:t xml:space="preserve"> shows the </w:t>
      </w:r>
      <w:r w:rsidR="00587DEC">
        <w:t xml:space="preserve">annual </w:t>
      </w:r>
      <w:r>
        <w:t xml:space="preserve">water charges and combined water and sewerage services bill impacts </w:t>
      </w:r>
      <w:r w:rsidR="00587DEC">
        <w:t xml:space="preserve">for </w:t>
      </w:r>
      <w:r>
        <w:t xml:space="preserve">commercial customers. </w:t>
      </w:r>
      <w:r w:rsidR="00587DEC">
        <w:t xml:space="preserve">Once again, low volume </w:t>
      </w:r>
      <w:r>
        <w:t>commercial water customers face higher water charges with high volume water users facing lower charges.</w:t>
      </w:r>
      <w:r w:rsidR="00587DEC">
        <w:t xml:space="preserve"> </w:t>
      </w:r>
      <w:r>
        <w:t xml:space="preserve">The combined bill impacts show a slightly different story, with the effect of fixture charges limiting bill decreases to very </w:t>
      </w:r>
      <w:r w:rsidR="00587DEC">
        <w:t xml:space="preserve">much </w:t>
      </w:r>
      <w:r>
        <w:t>higher volume water users than in the residential case.</w:t>
      </w:r>
    </w:p>
    <w:p w:rsidR="00C544B6" w:rsidRDefault="00C544B6" w:rsidP="00C544B6">
      <w:pPr>
        <w:pStyle w:val="FigureName0"/>
        <w:rPr>
          <w:lang w:val="en-AU"/>
        </w:rPr>
      </w:pPr>
      <w:bookmarkStart w:id="32" w:name="_Ref458001715"/>
      <w:bookmarkStart w:id="33" w:name="_Toc457982056"/>
      <w:bookmarkStart w:id="34" w:name="_Toc460572266"/>
      <w:r w:rsidRPr="00E33D9E">
        <w:t xml:space="preserve">Figure </w:t>
      </w:r>
      <w:r>
        <w:t>ES</w:t>
      </w:r>
      <w:r w:rsidRPr="00E33D9E">
        <w:t>.</w:t>
      </w:r>
      <w:r w:rsidRPr="00E33D9E">
        <w:fldChar w:fldCharType="begin"/>
      </w:r>
      <w:r w:rsidRPr="00E33D9E">
        <w:instrText xml:space="preserve"> SEQ Figure \* ARABIC \s 1 </w:instrText>
      </w:r>
      <w:r w:rsidRPr="00E33D9E">
        <w:fldChar w:fldCharType="separate"/>
      </w:r>
      <w:r w:rsidR="00B80BC7">
        <w:rPr>
          <w:noProof/>
        </w:rPr>
        <w:t>7</w:t>
      </w:r>
      <w:r w:rsidRPr="00E33D9E">
        <w:fldChar w:fldCharType="end"/>
      </w:r>
      <w:bookmarkEnd w:id="32"/>
      <w:r>
        <w:tab/>
        <w:t>Year 1 impact, commercial customers</w:t>
      </w:r>
      <w:bookmarkEnd w:id="33"/>
      <w:bookmarkEnd w:id="34"/>
    </w:p>
    <w:p w:rsidR="00C544B6" w:rsidRPr="00C63BD3" w:rsidRDefault="00767FDE" w:rsidP="00C544B6">
      <w:pPr>
        <w:rPr>
          <w:b/>
          <w:lang w:val="en-AU"/>
        </w:rPr>
      </w:pPr>
      <w:r w:rsidRPr="00767FDE">
        <w:rPr>
          <w:noProof/>
          <w:lang w:val="en-AU" w:eastAsia="en-AU"/>
        </w:rPr>
        <w:t xml:space="preserve"> </w:t>
      </w:r>
      <w:r w:rsidR="00103B8A">
        <w:rPr>
          <w:noProof/>
          <w:lang w:val="en-AU" w:eastAsia="en-AU"/>
        </w:rPr>
        <w:drawing>
          <wp:inline distT="0" distB="0" distL="0" distR="0" wp14:anchorId="17496AF2" wp14:editId="76988E84">
            <wp:extent cx="4896485" cy="2574290"/>
            <wp:effectExtent l="0" t="0" r="18415" b="1651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544B6" w:rsidRPr="00636FE1" w:rsidRDefault="00C544B6" w:rsidP="00C544B6">
      <w:pPr>
        <w:pStyle w:val="TableNotesLast0"/>
        <w:keepNext/>
      </w:pPr>
      <w:r>
        <w:t>Source:</w:t>
      </w:r>
      <w:r>
        <w:tab/>
        <w:t>Commission’s calculations</w:t>
      </w:r>
    </w:p>
    <w:p w:rsidR="00DB3488" w:rsidRPr="00DB3488" w:rsidRDefault="00DB3488" w:rsidP="00DB3488">
      <w:r w:rsidRPr="00DB3488">
        <w:t xml:space="preserve">It </w:t>
      </w:r>
      <w:r>
        <w:t xml:space="preserve">should be noted </w:t>
      </w:r>
      <w:r w:rsidRPr="00DB3488">
        <w:t>that the cost estimate underpinning this analysis</w:t>
      </w:r>
      <w:r w:rsidR="00B97B7D">
        <w:t xml:space="preserve"> </w:t>
      </w:r>
      <w:r w:rsidRPr="00DB3488">
        <w:t xml:space="preserve">is likely to change over the transition period. </w:t>
      </w:r>
      <w:r w:rsidR="007666F7">
        <w:t>The cost of providing additional water (the m</w:t>
      </w:r>
      <w:r w:rsidRPr="00DB3488">
        <w:t>arginal cost</w:t>
      </w:r>
      <w:r w:rsidR="007666F7">
        <w:t>)</w:t>
      </w:r>
      <w:r w:rsidRPr="00DB3488">
        <w:t xml:space="preserve"> is a dynamic concept in that any estimate is dependent on the circumstance prevailing at the time it is estimated, and will be different as conditions change. For example, the short-run marginal operating cost for water will be dependent on dam levels and source of supply at the time. Demand requirements can also change significantly from one estimation point to the next.</w:t>
      </w:r>
    </w:p>
    <w:p w:rsidR="00D83474" w:rsidRDefault="00D83474" w:rsidP="00D83474">
      <w:pPr>
        <w:pStyle w:val="Heading4"/>
      </w:pPr>
      <w:r>
        <w:t>Sewerage services</w:t>
      </w:r>
    </w:p>
    <w:p w:rsidR="00D83474" w:rsidRDefault="00D83474" w:rsidP="00D83474">
      <w:r>
        <w:t>Icon Water’s current sewerage services tariff structure comprises a</w:t>
      </w:r>
      <w:r w:rsidR="00B14BFA">
        <w:t>n</w:t>
      </w:r>
      <w:r>
        <w:t xml:space="preserve"> annual supply charge for residential premises, and the same supply charge plus an annual charge per flushing fixture (in excess of two) for non-residential premises. Icon Water does not currently have a trade waste tariff.</w:t>
      </w:r>
    </w:p>
    <w:p w:rsidR="00D83474" w:rsidRPr="00B84135" w:rsidRDefault="00D83474" w:rsidP="00D83474">
      <w:r>
        <w:t xml:space="preserve">The Commission’s draft position is that, particularly in the absence of a reliable measure of actual discharge volumes, it is unlikely that any potential economic efficiency benefits of introducing a sewage usage charge will outweigh the costs. The </w:t>
      </w:r>
      <w:r>
        <w:lastRenderedPageBreak/>
        <w:t xml:space="preserve">Commission therefore recommends that the current </w:t>
      </w:r>
      <w:r w:rsidR="00B14BFA">
        <w:t xml:space="preserve">supply </w:t>
      </w:r>
      <w:r>
        <w:t>charge tariff structure should be retained.</w:t>
      </w:r>
    </w:p>
    <w:p w:rsidR="00D83474" w:rsidRPr="00EF2F36" w:rsidRDefault="00D83474" w:rsidP="00EF2F36">
      <w:r w:rsidRPr="000F5232">
        <w:t xml:space="preserve">Consistent with cost-reflective pricing, </w:t>
      </w:r>
      <w:r w:rsidRPr="00EF2F36">
        <w:t>the Commission has in the past noted that where Icon Water incurs material trade waste–related increased costs, these higher costs should be passed on to the relevant customers. The Commission welcomes Icon Water’s commitment to introducing a trade waste pricing regime in the forthcoming regulatory period.</w:t>
      </w:r>
    </w:p>
    <w:p w:rsidR="00403D22" w:rsidRDefault="00C86AA4" w:rsidP="00C86AA4">
      <w:pPr>
        <w:pStyle w:val="Heading4"/>
      </w:pPr>
      <w:r>
        <w:t xml:space="preserve">The </w:t>
      </w:r>
      <w:r w:rsidR="009A4EB6">
        <w:t xml:space="preserve">draft </w:t>
      </w:r>
      <w:r>
        <w:t>assessment framework</w:t>
      </w:r>
    </w:p>
    <w:p w:rsidR="00F401C8" w:rsidRDefault="009A4EB6" w:rsidP="00FC3C6F">
      <w:r>
        <w:t xml:space="preserve">In coming to the main conclusions </w:t>
      </w:r>
      <w:r w:rsidR="002B48F1">
        <w:t xml:space="preserve">reported </w:t>
      </w:r>
      <w:r>
        <w:t>above, the Commission applied an assessment framework, comprising an overarching economic efficiency objective and a number of pricing principles</w:t>
      </w:r>
      <w:r w:rsidR="002B48F1">
        <w:t xml:space="preserve"> (see </w:t>
      </w:r>
      <w:r w:rsidR="002B48F1" w:rsidRPr="00222917">
        <w:fldChar w:fldCharType="begin"/>
      </w:r>
      <w:r w:rsidR="002B48F1" w:rsidRPr="00222917">
        <w:instrText xml:space="preserve"> REF _Ref457995762 \h </w:instrText>
      </w:r>
      <w:r w:rsidR="002B48F1">
        <w:instrText xml:space="preserve"> \* MERGEFORMAT </w:instrText>
      </w:r>
      <w:r w:rsidR="002B48F1" w:rsidRPr="00222917">
        <w:fldChar w:fldCharType="separate"/>
      </w:r>
      <w:r w:rsidR="00B80BC7" w:rsidRPr="00B40AA3">
        <w:t>Table </w:t>
      </w:r>
      <w:r w:rsidR="00B80BC7">
        <w:t>ES</w:t>
      </w:r>
      <w:r w:rsidR="00B80BC7" w:rsidRPr="00B40AA3">
        <w:t>.</w:t>
      </w:r>
      <w:r w:rsidR="00B80BC7">
        <w:t>2</w:t>
      </w:r>
      <w:r w:rsidR="002B48F1" w:rsidRPr="00222917">
        <w:fldChar w:fldCharType="end"/>
      </w:r>
      <w:r>
        <w:t>.</w:t>
      </w:r>
      <w:r w:rsidR="002B48F1">
        <w:t>)</w:t>
      </w:r>
    </w:p>
    <w:p w:rsidR="00FC3C6F" w:rsidRPr="00B40AA3" w:rsidRDefault="00FC3C6F" w:rsidP="00FC3C6F">
      <w:pPr>
        <w:pStyle w:val="FigureName"/>
        <w:keepNext/>
      </w:pPr>
      <w:bookmarkStart w:id="35" w:name="_Ref457995762"/>
      <w:bookmarkStart w:id="36" w:name="_Toc460572244"/>
      <w:r w:rsidRPr="00B40AA3">
        <w:t>Table </w:t>
      </w:r>
      <w:r>
        <w:t>ES</w:t>
      </w:r>
      <w:r w:rsidRPr="00B40AA3">
        <w:t>.</w:t>
      </w:r>
      <w:r w:rsidRPr="00B40AA3">
        <w:fldChar w:fldCharType="begin"/>
      </w:r>
      <w:r w:rsidRPr="00B40AA3">
        <w:instrText xml:space="preserve"> SEQ Table \* ARABIC \s 1 </w:instrText>
      </w:r>
      <w:r w:rsidRPr="00B40AA3">
        <w:fldChar w:fldCharType="separate"/>
      </w:r>
      <w:r w:rsidR="00B80BC7">
        <w:rPr>
          <w:noProof/>
        </w:rPr>
        <w:t>2</w:t>
      </w:r>
      <w:r w:rsidRPr="00B40AA3">
        <w:fldChar w:fldCharType="end"/>
      </w:r>
      <w:bookmarkEnd w:id="35"/>
      <w:r w:rsidRPr="00B40AA3">
        <w:tab/>
      </w:r>
      <w:r>
        <w:t>Draft assessment framework</w:t>
      </w:r>
      <w:bookmarkEnd w:id="36"/>
    </w:p>
    <w:tbl>
      <w:tblPr>
        <w:tblW w:w="5588" w:type="pct"/>
        <w:tblBorders>
          <w:top w:val="single" w:sz="12" w:space="0" w:color="333399"/>
          <w:bottom w:val="single" w:sz="12" w:space="0" w:color="333399"/>
        </w:tblBorders>
        <w:tblCellMar>
          <w:left w:w="115" w:type="dxa"/>
          <w:right w:w="115" w:type="dxa"/>
        </w:tblCellMar>
        <w:tblLook w:val="0000" w:firstRow="0" w:lastRow="0" w:firstColumn="0" w:lastColumn="0" w:noHBand="0" w:noVBand="0"/>
      </w:tblPr>
      <w:tblGrid>
        <w:gridCol w:w="1592"/>
        <w:gridCol w:w="1741"/>
        <w:gridCol w:w="5285"/>
      </w:tblGrid>
      <w:tr w:rsidR="00FC3C6F" w:rsidRPr="00144F8C" w:rsidTr="00F10F50">
        <w:trPr>
          <w:cantSplit/>
        </w:trPr>
        <w:tc>
          <w:tcPr>
            <w:tcW w:w="924" w:type="pct"/>
            <w:tcBorders>
              <w:top w:val="single" w:sz="12" w:space="0" w:color="1F497D" w:themeColor="text2"/>
              <w:left w:val="nil"/>
              <w:bottom w:val="single" w:sz="8" w:space="0" w:color="1F497D" w:themeColor="text2"/>
              <w:right w:val="nil"/>
            </w:tcBorders>
            <w:shd w:val="clear" w:color="auto" w:fill="DBE5F1" w:themeFill="accent1" w:themeFillTint="33"/>
            <w:vAlign w:val="bottom"/>
          </w:tcPr>
          <w:p w:rsidR="00FC3C6F" w:rsidRPr="00B40AA3" w:rsidRDefault="00FC3C6F" w:rsidP="00F10F50">
            <w:pPr>
              <w:pStyle w:val="TableHeadingLeft"/>
              <w:keepNext/>
            </w:pPr>
            <w:r>
              <w:t>Category</w:t>
            </w:r>
          </w:p>
        </w:tc>
        <w:tc>
          <w:tcPr>
            <w:tcW w:w="1010" w:type="pct"/>
            <w:tcBorders>
              <w:top w:val="single" w:sz="12" w:space="0" w:color="1F497D" w:themeColor="text2"/>
              <w:left w:val="nil"/>
              <w:bottom w:val="single" w:sz="8" w:space="0" w:color="1F497D" w:themeColor="text2"/>
              <w:right w:val="nil"/>
            </w:tcBorders>
            <w:shd w:val="clear" w:color="auto" w:fill="DBE5F1" w:themeFill="accent1" w:themeFillTint="33"/>
          </w:tcPr>
          <w:p w:rsidR="00FC3C6F" w:rsidRPr="00B40AA3" w:rsidRDefault="00FC3C6F" w:rsidP="00F10F50">
            <w:pPr>
              <w:pStyle w:val="TableHeadingLeft"/>
              <w:keepNext/>
            </w:pPr>
            <w:r>
              <w:t>Stream</w:t>
            </w:r>
          </w:p>
        </w:tc>
        <w:tc>
          <w:tcPr>
            <w:tcW w:w="3067" w:type="pct"/>
            <w:tcBorders>
              <w:top w:val="single" w:sz="12" w:space="0" w:color="1F497D" w:themeColor="text2"/>
              <w:left w:val="nil"/>
              <w:bottom w:val="single" w:sz="8" w:space="0" w:color="1F497D" w:themeColor="text2"/>
              <w:right w:val="nil"/>
            </w:tcBorders>
            <w:shd w:val="clear" w:color="auto" w:fill="DBE5F1" w:themeFill="accent1" w:themeFillTint="33"/>
            <w:vAlign w:val="bottom"/>
          </w:tcPr>
          <w:p w:rsidR="00FC3C6F" w:rsidRPr="00B40AA3" w:rsidRDefault="00FC3C6F" w:rsidP="00F10F50">
            <w:pPr>
              <w:pStyle w:val="TableHeadingLeft"/>
              <w:keepNext/>
            </w:pPr>
            <w:r>
              <w:t>Detail</w:t>
            </w:r>
          </w:p>
        </w:tc>
      </w:tr>
      <w:tr w:rsidR="00FC3C6F" w:rsidRPr="00144F8C" w:rsidTr="00F10F50">
        <w:trPr>
          <w:cantSplit/>
        </w:trPr>
        <w:tc>
          <w:tcPr>
            <w:tcW w:w="924" w:type="pct"/>
            <w:tcBorders>
              <w:top w:val="nil"/>
              <w:left w:val="nil"/>
              <w:bottom w:val="nil"/>
              <w:right w:val="nil"/>
            </w:tcBorders>
            <w:shd w:val="clear" w:color="auto" w:fill="F2F2F2" w:themeFill="background1" w:themeFillShade="F2"/>
          </w:tcPr>
          <w:p w:rsidR="00FC3C6F" w:rsidRPr="00A658D0" w:rsidRDefault="00FC3C6F" w:rsidP="00F10F50">
            <w:pPr>
              <w:pStyle w:val="TableTextLeft"/>
              <w:keepNext/>
              <w:rPr>
                <w:b/>
              </w:rPr>
            </w:pPr>
            <w:r w:rsidRPr="00A658D0">
              <w:rPr>
                <w:b/>
              </w:rPr>
              <w:t>Objective</w:t>
            </w:r>
          </w:p>
        </w:tc>
        <w:tc>
          <w:tcPr>
            <w:tcW w:w="1010" w:type="pct"/>
            <w:tcBorders>
              <w:top w:val="nil"/>
              <w:left w:val="nil"/>
              <w:bottom w:val="nil"/>
              <w:right w:val="nil"/>
            </w:tcBorders>
            <w:shd w:val="clear" w:color="auto" w:fill="F2F2F2" w:themeFill="background1" w:themeFillShade="F2"/>
          </w:tcPr>
          <w:p w:rsidR="00FC3C6F" w:rsidRPr="00A658D0" w:rsidRDefault="00FC3C6F" w:rsidP="00F10F50">
            <w:pPr>
              <w:pStyle w:val="TableTextLeft"/>
              <w:keepNext/>
            </w:pPr>
          </w:p>
        </w:tc>
        <w:tc>
          <w:tcPr>
            <w:tcW w:w="3067" w:type="pct"/>
            <w:tcBorders>
              <w:top w:val="nil"/>
              <w:left w:val="nil"/>
              <w:bottom w:val="nil"/>
              <w:right w:val="nil"/>
            </w:tcBorders>
            <w:shd w:val="clear" w:color="auto" w:fill="F2F2F2" w:themeFill="background1" w:themeFillShade="F2"/>
          </w:tcPr>
          <w:p w:rsidR="00FC3C6F" w:rsidRPr="00EC68F3" w:rsidRDefault="00FC3C6F" w:rsidP="00F10F50">
            <w:pPr>
              <w:pStyle w:val="TableTextLeft"/>
              <w:keepNext/>
            </w:pPr>
            <w:r w:rsidRPr="00A658D0">
              <w:t>To promote the efficient investment in, and efficient operation and use of regulated services for the long term interests of consumers in relation to the price, quality, safety, reliability and security of the service.</w:t>
            </w:r>
          </w:p>
        </w:tc>
      </w:tr>
      <w:tr w:rsidR="00FC3C6F" w:rsidRPr="00144F8C" w:rsidTr="00F10F50">
        <w:trPr>
          <w:cantSplit/>
        </w:trPr>
        <w:tc>
          <w:tcPr>
            <w:tcW w:w="924" w:type="pct"/>
            <w:tcBorders>
              <w:top w:val="nil"/>
              <w:left w:val="nil"/>
              <w:bottom w:val="nil"/>
              <w:right w:val="nil"/>
            </w:tcBorders>
            <w:shd w:val="clear" w:color="auto" w:fill="DDD9C3" w:themeFill="background2" w:themeFillShade="E6"/>
          </w:tcPr>
          <w:p w:rsidR="00FC3C6F" w:rsidRPr="000B08E5" w:rsidRDefault="00FC3C6F" w:rsidP="00F10F50">
            <w:pPr>
              <w:pStyle w:val="TableTextLeft"/>
              <w:keepNext/>
              <w:rPr>
                <w:b/>
              </w:rPr>
            </w:pPr>
            <w:r>
              <w:rPr>
                <w:b/>
              </w:rPr>
              <w:t>Pricing p</w:t>
            </w:r>
            <w:r w:rsidRPr="000B08E5">
              <w:rPr>
                <w:b/>
              </w:rPr>
              <w:t>rinciple 1</w:t>
            </w:r>
          </w:p>
        </w:tc>
        <w:tc>
          <w:tcPr>
            <w:tcW w:w="1010" w:type="pct"/>
            <w:tcBorders>
              <w:top w:val="nil"/>
              <w:left w:val="nil"/>
              <w:bottom w:val="nil"/>
              <w:right w:val="nil"/>
            </w:tcBorders>
            <w:shd w:val="clear" w:color="auto" w:fill="DDD9C3" w:themeFill="background2" w:themeFillShade="E6"/>
          </w:tcPr>
          <w:p w:rsidR="00FC3C6F" w:rsidRPr="001E56D3" w:rsidRDefault="00FC3C6F" w:rsidP="00F10F50">
            <w:pPr>
              <w:pStyle w:val="TableTextLeft"/>
              <w:keepNext/>
              <w:rPr>
                <w:b/>
              </w:rPr>
            </w:pPr>
            <w:r w:rsidRPr="001E56D3">
              <w:rPr>
                <w:b/>
              </w:rPr>
              <w:t>Economic efficiency</w:t>
            </w:r>
          </w:p>
          <w:p w:rsidR="00FC3C6F" w:rsidRPr="0051604C" w:rsidRDefault="00FC3C6F" w:rsidP="00F10F50">
            <w:pPr>
              <w:pStyle w:val="TableTextLeft"/>
              <w:keepNext/>
            </w:pPr>
          </w:p>
        </w:tc>
        <w:tc>
          <w:tcPr>
            <w:tcW w:w="3067" w:type="pct"/>
            <w:tcBorders>
              <w:top w:val="nil"/>
              <w:left w:val="nil"/>
              <w:bottom w:val="nil"/>
              <w:right w:val="nil"/>
            </w:tcBorders>
            <w:shd w:val="clear" w:color="auto" w:fill="DDD9C3" w:themeFill="background2" w:themeFillShade="E6"/>
          </w:tcPr>
          <w:p w:rsidR="00FC3C6F" w:rsidRPr="00B40AA3" w:rsidRDefault="00FC3C6F" w:rsidP="00F10F50">
            <w:pPr>
              <w:pStyle w:val="TableTextLeft"/>
              <w:keepNext/>
            </w:pPr>
            <w:r w:rsidRPr="0051604C">
              <w:t xml:space="preserve">Tariff structures and prices should promote the economically efficient use of Icon Water’s water and sewerage services infrastructure, and in the case of water should also encourage economically efficient use of the water resource. </w:t>
            </w:r>
          </w:p>
        </w:tc>
      </w:tr>
      <w:tr w:rsidR="00FC3C6F" w:rsidRPr="00144F8C" w:rsidTr="00F10F50">
        <w:trPr>
          <w:cantSplit/>
        </w:trPr>
        <w:tc>
          <w:tcPr>
            <w:tcW w:w="924" w:type="pct"/>
            <w:tcBorders>
              <w:top w:val="nil"/>
              <w:left w:val="nil"/>
              <w:bottom w:val="nil"/>
              <w:right w:val="nil"/>
            </w:tcBorders>
            <w:shd w:val="clear" w:color="auto" w:fill="DDD9C3" w:themeFill="background2" w:themeFillShade="E6"/>
          </w:tcPr>
          <w:p w:rsidR="00FC3C6F" w:rsidRPr="000B2173" w:rsidRDefault="00FC3C6F" w:rsidP="00F10F50">
            <w:pPr>
              <w:pStyle w:val="TableTextLeft"/>
              <w:keepNext/>
              <w:jc w:val="right"/>
              <w:rPr>
                <w:b/>
              </w:rPr>
            </w:pPr>
            <w:r w:rsidRPr="000B2173">
              <w:rPr>
                <w:b/>
              </w:rPr>
              <w:t>2</w:t>
            </w:r>
          </w:p>
        </w:tc>
        <w:tc>
          <w:tcPr>
            <w:tcW w:w="1010" w:type="pct"/>
            <w:tcBorders>
              <w:top w:val="nil"/>
              <w:left w:val="nil"/>
              <w:bottom w:val="nil"/>
              <w:right w:val="nil"/>
            </w:tcBorders>
            <w:shd w:val="clear" w:color="auto" w:fill="DDD9C3" w:themeFill="background2" w:themeFillShade="E6"/>
          </w:tcPr>
          <w:p w:rsidR="00FC3C6F" w:rsidRPr="001E56D3" w:rsidRDefault="00FC3C6F" w:rsidP="00F10F50">
            <w:pPr>
              <w:pStyle w:val="TableTextLeft"/>
              <w:keepNext/>
              <w:rPr>
                <w:b/>
              </w:rPr>
            </w:pPr>
          </w:p>
        </w:tc>
        <w:tc>
          <w:tcPr>
            <w:tcW w:w="3067" w:type="pct"/>
            <w:tcBorders>
              <w:top w:val="nil"/>
              <w:left w:val="nil"/>
              <w:bottom w:val="nil"/>
              <w:right w:val="nil"/>
            </w:tcBorders>
            <w:shd w:val="clear" w:color="auto" w:fill="DDD9C3" w:themeFill="background2" w:themeFillShade="E6"/>
          </w:tcPr>
          <w:p w:rsidR="00FC3C6F" w:rsidRPr="0051604C" w:rsidRDefault="00FC3C6F" w:rsidP="00F10F50">
            <w:pPr>
              <w:pStyle w:val="TableTextLeft"/>
              <w:keepNext/>
            </w:pPr>
            <w:r w:rsidRPr="0051604C">
              <w:t>Any change from an existing to a more efficient tariff structure should only be undertaken if the efficiency benefits are greater than the costs of the change.</w:t>
            </w:r>
          </w:p>
        </w:tc>
      </w:tr>
      <w:tr w:rsidR="00FC3C6F" w:rsidRPr="00144F8C" w:rsidTr="00F10F50">
        <w:trPr>
          <w:cantSplit/>
        </w:trPr>
        <w:tc>
          <w:tcPr>
            <w:tcW w:w="924" w:type="pct"/>
            <w:tcBorders>
              <w:top w:val="nil"/>
              <w:left w:val="nil"/>
              <w:bottom w:val="nil"/>
              <w:right w:val="nil"/>
            </w:tcBorders>
            <w:shd w:val="clear" w:color="auto" w:fill="DDD9C3" w:themeFill="background2" w:themeFillShade="E6"/>
          </w:tcPr>
          <w:p w:rsidR="00FC3C6F" w:rsidRPr="000B2173" w:rsidRDefault="00FC3C6F" w:rsidP="00F10F50">
            <w:pPr>
              <w:pStyle w:val="TableTextLeft"/>
              <w:keepNext/>
              <w:jc w:val="right"/>
              <w:rPr>
                <w:b/>
              </w:rPr>
            </w:pPr>
            <w:r w:rsidRPr="000B2173">
              <w:rPr>
                <w:b/>
              </w:rPr>
              <w:t>3</w:t>
            </w:r>
          </w:p>
        </w:tc>
        <w:tc>
          <w:tcPr>
            <w:tcW w:w="1010" w:type="pct"/>
            <w:tcBorders>
              <w:top w:val="nil"/>
              <w:left w:val="nil"/>
              <w:bottom w:val="nil"/>
              <w:right w:val="nil"/>
            </w:tcBorders>
            <w:shd w:val="clear" w:color="auto" w:fill="DDD9C3" w:themeFill="background2" w:themeFillShade="E6"/>
          </w:tcPr>
          <w:p w:rsidR="00FC3C6F" w:rsidRPr="0051604C" w:rsidRDefault="00FC3C6F" w:rsidP="00F10F50">
            <w:pPr>
              <w:pStyle w:val="TableTextLeft"/>
              <w:keepNext/>
            </w:pPr>
          </w:p>
        </w:tc>
        <w:tc>
          <w:tcPr>
            <w:tcW w:w="3067" w:type="pct"/>
            <w:tcBorders>
              <w:top w:val="nil"/>
              <w:left w:val="nil"/>
              <w:bottom w:val="nil"/>
              <w:right w:val="nil"/>
            </w:tcBorders>
            <w:shd w:val="clear" w:color="auto" w:fill="DDD9C3" w:themeFill="background2" w:themeFillShade="E6"/>
          </w:tcPr>
          <w:p w:rsidR="00FC3C6F" w:rsidRPr="00B40AA3" w:rsidRDefault="00FC3C6F" w:rsidP="00F10F50">
            <w:pPr>
              <w:pStyle w:val="TableTextLeft"/>
              <w:keepNext/>
            </w:pPr>
            <w:r w:rsidRPr="006172C7">
              <w:t>For each tariff class, prices should lie on or between an upper bound reflecting the stand-alone cost of serving customers in that class and a lower bound reflecting the avoidable cost of not serving those customers.</w:t>
            </w:r>
          </w:p>
        </w:tc>
      </w:tr>
      <w:tr w:rsidR="00FC3C6F" w:rsidRPr="00144F8C" w:rsidTr="00F10F50">
        <w:trPr>
          <w:cantSplit/>
        </w:trPr>
        <w:tc>
          <w:tcPr>
            <w:tcW w:w="924" w:type="pct"/>
            <w:tcBorders>
              <w:top w:val="nil"/>
              <w:left w:val="nil"/>
              <w:bottom w:val="nil"/>
              <w:right w:val="nil"/>
            </w:tcBorders>
            <w:shd w:val="clear" w:color="auto" w:fill="F2DBDB" w:themeFill="accent2" w:themeFillTint="33"/>
          </w:tcPr>
          <w:p w:rsidR="00FC3C6F" w:rsidRPr="000B2173" w:rsidRDefault="00FC3C6F" w:rsidP="00F10F50">
            <w:pPr>
              <w:pStyle w:val="TableTextLeft"/>
              <w:keepNext/>
              <w:jc w:val="right"/>
              <w:rPr>
                <w:b/>
              </w:rPr>
            </w:pPr>
            <w:r w:rsidRPr="000B2173">
              <w:rPr>
                <w:b/>
              </w:rPr>
              <w:t>4</w:t>
            </w:r>
          </w:p>
        </w:tc>
        <w:tc>
          <w:tcPr>
            <w:tcW w:w="1010" w:type="pct"/>
            <w:tcBorders>
              <w:top w:val="nil"/>
              <w:left w:val="nil"/>
              <w:bottom w:val="nil"/>
              <w:right w:val="nil"/>
            </w:tcBorders>
            <w:shd w:val="clear" w:color="auto" w:fill="F2DBDB" w:themeFill="accent2" w:themeFillTint="33"/>
          </w:tcPr>
          <w:p w:rsidR="00FC3C6F" w:rsidRPr="001E56D3" w:rsidRDefault="00FC3C6F" w:rsidP="00F10F50">
            <w:pPr>
              <w:pStyle w:val="TableTextLeft"/>
              <w:keepNext/>
              <w:rPr>
                <w:b/>
              </w:rPr>
            </w:pPr>
            <w:r w:rsidRPr="001E56D3">
              <w:rPr>
                <w:b/>
              </w:rPr>
              <w:t>Financial viability</w:t>
            </w:r>
          </w:p>
        </w:tc>
        <w:tc>
          <w:tcPr>
            <w:tcW w:w="3067" w:type="pct"/>
            <w:tcBorders>
              <w:top w:val="nil"/>
              <w:left w:val="nil"/>
              <w:bottom w:val="nil"/>
              <w:right w:val="nil"/>
            </w:tcBorders>
            <w:shd w:val="clear" w:color="auto" w:fill="F2DBDB" w:themeFill="accent2" w:themeFillTint="33"/>
          </w:tcPr>
          <w:p w:rsidR="00FC3C6F" w:rsidRPr="00B40AA3" w:rsidRDefault="00FC3C6F" w:rsidP="00F10F50">
            <w:pPr>
              <w:pStyle w:val="TableTextLeft"/>
              <w:keepNext/>
            </w:pPr>
            <w:r w:rsidRPr="00C159FF">
              <w:t>Tariff structures and prices should reflect the full recovery of the prudent and efficient costs of providing regulated water and sewerage services to ensure business viability.</w:t>
            </w:r>
          </w:p>
        </w:tc>
      </w:tr>
      <w:tr w:rsidR="00FC3C6F" w:rsidRPr="00144F8C" w:rsidTr="00F10F50">
        <w:trPr>
          <w:cantSplit/>
        </w:trPr>
        <w:tc>
          <w:tcPr>
            <w:tcW w:w="924" w:type="pct"/>
            <w:tcBorders>
              <w:top w:val="nil"/>
              <w:left w:val="nil"/>
              <w:bottom w:val="nil"/>
              <w:right w:val="nil"/>
            </w:tcBorders>
            <w:shd w:val="clear" w:color="auto" w:fill="F2DBDB" w:themeFill="accent2" w:themeFillTint="33"/>
          </w:tcPr>
          <w:p w:rsidR="00FC3C6F" w:rsidRPr="000B2173" w:rsidRDefault="00FC3C6F" w:rsidP="00F10F50">
            <w:pPr>
              <w:pStyle w:val="TableTextLeft"/>
              <w:keepNext/>
              <w:jc w:val="right"/>
              <w:rPr>
                <w:b/>
              </w:rPr>
            </w:pPr>
            <w:r w:rsidRPr="000B2173">
              <w:rPr>
                <w:b/>
              </w:rPr>
              <w:t>5</w:t>
            </w:r>
          </w:p>
        </w:tc>
        <w:tc>
          <w:tcPr>
            <w:tcW w:w="1010" w:type="pct"/>
            <w:tcBorders>
              <w:top w:val="nil"/>
              <w:left w:val="nil"/>
              <w:bottom w:val="nil"/>
              <w:right w:val="nil"/>
            </w:tcBorders>
            <w:shd w:val="clear" w:color="auto" w:fill="F2DBDB" w:themeFill="accent2" w:themeFillTint="33"/>
          </w:tcPr>
          <w:p w:rsidR="00FC3C6F" w:rsidRPr="00C159FF" w:rsidRDefault="00FC3C6F" w:rsidP="00F10F50">
            <w:pPr>
              <w:pStyle w:val="TableTextLeft"/>
              <w:keepNext/>
            </w:pPr>
          </w:p>
        </w:tc>
        <w:tc>
          <w:tcPr>
            <w:tcW w:w="3067" w:type="pct"/>
            <w:tcBorders>
              <w:top w:val="nil"/>
              <w:left w:val="nil"/>
              <w:bottom w:val="nil"/>
              <w:right w:val="nil"/>
            </w:tcBorders>
            <w:shd w:val="clear" w:color="auto" w:fill="F2DBDB" w:themeFill="accent2" w:themeFillTint="33"/>
          </w:tcPr>
          <w:p w:rsidR="00FC3C6F" w:rsidRPr="00B40AA3" w:rsidRDefault="00FC3C6F" w:rsidP="00F10F50">
            <w:pPr>
              <w:pStyle w:val="TableTextLeft"/>
              <w:keepNext/>
            </w:pPr>
            <w:r w:rsidRPr="00C159FF">
              <w:t>Tariff structures and prices should facilitate the recovery of Icon Water’s allowed revenue over the regulatory period.</w:t>
            </w:r>
          </w:p>
        </w:tc>
      </w:tr>
      <w:tr w:rsidR="00FC3C6F" w:rsidRPr="00144F8C" w:rsidTr="00F10F50">
        <w:trPr>
          <w:cantSplit/>
        </w:trPr>
        <w:tc>
          <w:tcPr>
            <w:tcW w:w="924" w:type="pct"/>
            <w:tcBorders>
              <w:top w:val="nil"/>
              <w:left w:val="nil"/>
              <w:bottom w:val="nil"/>
              <w:right w:val="nil"/>
            </w:tcBorders>
            <w:shd w:val="clear" w:color="auto" w:fill="DAEEF3" w:themeFill="accent5" w:themeFillTint="33"/>
          </w:tcPr>
          <w:p w:rsidR="00FC3C6F" w:rsidRPr="000B2173" w:rsidRDefault="00FC3C6F" w:rsidP="00F10F50">
            <w:pPr>
              <w:pStyle w:val="TableTextLeft"/>
              <w:keepNext/>
              <w:jc w:val="right"/>
              <w:rPr>
                <w:b/>
              </w:rPr>
            </w:pPr>
            <w:r>
              <w:rPr>
                <w:b/>
              </w:rPr>
              <w:t>6</w:t>
            </w:r>
          </w:p>
        </w:tc>
        <w:tc>
          <w:tcPr>
            <w:tcW w:w="1010" w:type="pct"/>
            <w:tcBorders>
              <w:top w:val="nil"/>
              <w:left w:val="nil"/>
              <w:bottom w:val="nil"/>
              <w:right w:val="nil"/>
            </w:tcBorders>
            <w:shd w:val="clear" w:color="auto" w:fill="DAEEF3" w:themeFill="accent5" w:themeFillTint="33"/>
          </w:tcPr>
          <w:p w:rsidR="00FC3C6F" w:rsidRPr="001E56D3" w:rsidRDefault="00FC3C6F" w:rsidP="00F10F50">
            <w:pPr>
              <w:pStyle w:val="TableTextLeft"/>
              <w:keepNext/>
              <w:rPr>
                <w:b/>
              </w:rPr>
            </w:pPr>
            <w:r w:rsidRPr="001E56D3">
              <w:rPr>
                <w:b/>
              </w:rPr>
              <w:t>Community impact</w:t>
            </w:r>
          </w:p>
        </w:tc>
        <w:tc>
          <w:tcPr>
            <w:tcW w:w="3067" w:type="pct"/>
            <w:tcBorders>
              <w:top w:val="nil"/>
              <w:left w:val="nil"/>
              <w:bottom w:val="nil"/>
              <w:right w:val="nil"/>
            </w:tcBorders>
            <w:shd w:val="clear" w:color="auto" w:fill="DAEEF3" w:themeFill="accent5" w:themeFillTint="33"/>
          </w:tcPr>
          <w:p w:rsidR="00FC3C6F" w:rsidRPr="00B40AA3" w:rsidRDefault="00FC3C6F" w:rsidP="00F10F50">
            <w:pPr>
              <w:pStyle w:val="TableTextLeft"/>
              <w:keepNext/>
            </w:pPr>
            <w:r>
              <w:t>Tariff structures should be robust enough to promote the economically efficient use of Icon Water’s water and sewerage services infrastructure over a reasonable period of time.</w:t>
            </w:r>
          </w:p>
        </w:tc>
      </w:tr>
      <w:tr w:rsidR="00FC3C6F" w:rsidRPr="00144F8C" w:rsidTr="00F10F50">
        <w:trPr>
          <w:cantSplit/>
        </w:trPr>
        <w:tc>
          <w:tcPr>
            <w:tcW w:w="924" w:type="pct"/>
            <w:tcBorders>
              <w:top w:val="nil"/>
              <w:left w:val="nil"/>
              <w:bottom w:val="nil"/>
              <w:right w:val="nil"/>
            </w:tcBorders>
            <w:shd w:val="clear" w:color="auto" w:fill="DAEEF3" w:themeFill="accent5" w:themeFillTint="33"/>
          </w:tcPr>
          <w:p w:rsidR="00FC3C6F" w:rsidRPr="000B2173" w:rsidRDefault="00FC3C6F" w:rsidP="00F10F50">
            <w:pPr>
              <w:pStyle w:val="TableTextLeft"/>
              <w:keepNext/>
              <w:jc w:val="right"/>
              <w:rPr>
                <w:b/>
              </w:rPr>
            </w:pPr>
            <w:r>
              <w:rPr>
                <w:b/>
              </w:rPr>
              <w:t>7</w:t>
            </w:r>
          </w:p>
        </w:tc>
        <w:tc>
          <w:tcPr>
            <w:tcW w:w="1010" w:type="pct"/>
            <w:tcBorders>
              <w:top w:val="nil"/>
              <w:left w:val="nil"/>
              <w:bottom w:val="nil"/>
              <w:right w:val="nil"/>
            </w:tcBorders>
            <w:shd w:val="clear" w:color="auto" w:fill="DAEEF3" w:themeFill="accent5" w:themeFillTint="33"/>
          </w:tcPr>
          <w:p w:rsidR="00FC3C6F" w:rsidRPr="00B40AA3" w:rsidRDefault="00FC3C6F" w:rsidP="00F10F50">
            <w:pPr>
              <w:pStyle w:val="TableTextLeft"/>
              <w:keepNext/>
            </w:pPr>
          </w:p>
        </w:tc>
        <w:tc>
          <w:tcPr>
            <w:tcW w:w="3067" w:type="pct"/>
            <w:tcBorders>
              <w:top w:val="nil"/>
              <w:left w:val="nil"/>
              <w:bottom w:val="nil"/>
              <w:right w:val="nil"/>
            </w:tcBorders>
            <w:shd w:val="clear" w:color="auto" w:fill="DAEEF3" w:themeFill="accent5" w:themeFillTint="33"/>
          </w:tcPr>
          <w:p w:rsidR="00FC3C6F" w:rsidRPr="00B40AA3" w:rsidRDefault="00FC3C6F" w:rsidP="00F10F50">
            <w:pPr>
              <w:pStyle w:val="TableTextLeft"/>
              <w:keepNext/>
            </w:pPr>
            <w:r>
              <w:t>Any change to the structure of tariffs and prices that will have substantial customer impacts should be phased in over a transition period to allow customers reasonable time to adjust to the change.</w:t>
            </w:r>
          </w:p>
        </w:tc>
      </w:tr>
      <w:tr w:rsidR="00FC3C6F" w:rsidRPr="00144F8C" w:rsidTr="00F10F50">
        <w:trPr>
          <w:cantSplit/>
        </w:trPr>
        <w:tc>
          <w:tcPr>
            <w:tcW w:w="924" w:type="pct"/>
            <w:tcBorders>
              <w:top w:val="nil"/>
              <w:left w:val="nil"/>
              <w:bottom w:val="nil"/>
              <w:right w:val="nil"/>
            </w:tcBorders>
            <w:shd w:val="clear" w:color="auto" w:fill="DAEEF3" w:themeFill="accent5" w:themeFillTint="33"/>
          </w:tcPr>
          <w:p w:rsidR="00FC3C6F" w:rsidRPr="000B2173" w:rsidRDefault="00FC3C6F" w:rsidP="00F10F50">
            <w:pPr>
              <w:pStyle w:val="TableTextLeft"/>
              <w:keepNext/>
              <w:jc w:val="right"/>
              <w:rPr>
                <w:b/>
              </w:rPr>
            </w:pPr>
            <w:r>
              <w:rPr>
                <w:b/>
              </w:rPr>
              <w:t>8</w:t>
            </w:r>
          </w:p>
        </w:tc>
        <w:tc>
          <w:tcPr>
            <w:tcW w:w="1010" w:type="pct"/>
            <w:tcBorders>
              <w:top w:val="nil"/>
              <w:left w:val="nil"/>
              <w:bottom w:val="nil"/>
              <w:right w:val="nil"/>
            </w:tcBorders>
            <w:shd w:val="clear" w:color="auto" w:fill="DAEEF3" w:themeFill="accent5" w:themeFillTint="33"/>
          </w:tcPr>
          <w:p w:rsidR="00FC3C6F" w:rsidRPr="00B40AA3" w:rsidRDefault="00FC3C6F" w:rsidP="00F10F50">
            <w:pPr>
              <w:pStyle w:val="TableTextLeft"/>
              <w:keepNext/>
            </w:pPr>
          </w:p>
        </w:tc>
        <w:tc>
          <w:tcPr>
            <w:tcW w:w="3067" w:type="pct"/>
            <w:tcBorders>
              <w:top w:val="nil"/>
              <w:left w:val="nil"/>
              <w:bottom w:val="nil"/>
              <w:right w:val="nil"/>
            </w:tcBorders>
            <w:shd w:val="clear" w:color="auto" w:fill="DAEEF3" w:themeFill="accent5" w:themeFillTint="33"/>
          </w:tcPr>
          <w:p w:rsidR="00FC3C6F" w:rsidRPr="00B40AA3" w:rsidRDefault="00FC3C6F" w:rsidP="00F10F50">
            <w:pPr>
              <w:pStyle w:val="TableTextLeft"/>
              <w:keepNext/>
            </w:pPr>
            <w:r>
              <w:t>Tariff structures should be simple for customers to understand and straightforward for the utility to implement.</w:t>
            </w:r>
          </w:p>
        </w:tc>
      </w:tr>
      <w:tr w:rsidR="00FC3C6F" w:rsidRPr="00144F8C" w:rsidTr="00F10F50">
        <w:trPr>
          <w:cantSplit/>
        </w:trPr>
        <w:tc>
          <w:tcPr>
            <w:tcW w:w="924" w:type="pct"/>
            <w:tcBorders>
              <w:top w:val="nil"/>
              <w:left w:val="nil"/>
              <w:bottom w:val="single" w:sz="12" w:space="0" w:color="1F497D" w:themeColor="text2"/>
              <w:right w:val="nil"/>
            </w:tcBorders>
            <w:shd w:val="clear" w:color="auto" w:fill="DAEEF3" w:themeFill="accent5" w:themeFillTint="33"/>
          </w:tcPr>
          <w:p w:rsidR="00FC3C6F" w:rsidRPr="000B2173" w:rsidRDefault="00FC3C6F" w:rsidP="00F10F50">
            <w:pPr>
              <w:pStyle w:val="TableTextLeft"/>
              <w:keepNext/>
              <w:jc w:val="right"/>
              <w:rPr>
                <w:b/>
              </w:rPr>
            </w:pPr>
            <w:r>
              <w:rPr>
                <w:b/>
              </w:rPr>
              <w:t>9</w:t>
            </w:r>
          </w:p>
        </w:tc>
        <w:tc>
          <w:tcPr>
            <w:tcW w:w="1010" w:type="pct"/>
            <w:tcBorders>
              <w:top w:val="nil"/>
              <w:left w:val="nil"/>
              <w:bottom w:val="single" w:sz="12" w:space="0" w:color="1F497D" w:themeColor="text2"/>
              <w:right w:val="nil"/>
            </w:tcBorders>
            <w:shd w:val="clear" w:color="auto" w:fill="DAEEF3" w:themeFill="accent5" w:themeFillTint="33"/>
          </w:tcPr>
          <w:p w:rsidR="00FC3C6F" w:rsidRPr="00B40AA3" w:rsidRDefault="00FC3C6F" w:rsidP="00F10F50">
            <w:pPr>
              <w:pStyle w:val="TableTextLeft"/>
              <w:keepNext/>
            </w:pPr>
          </w:p>
        </w:tc>
        <w:tc>
          <w:tcPr>
            <w:tcW w:w="3067" w:type="pct"/>
            <w:tcBorders>
              <w:top w:val="nil"/>
              <w:left w:val="nil"/>
              <w:bottom w:val="single" w:sz="12" w:space="0" w:color="1F497D" w:themeColor="text2"/>
              <w:right w:val="nil"/>
            </w:tcBorders>
            <w:shd w:val="clear" w:color="auto" w:fill="DAEEF3" w:themeFill="accent5" w:themeFillTint="33"/>
          </w:tcPr>
          <w:p w:rsidR="00FC3C6F" w:rsidRPr="00B40AA3" w:rsidRDefault="00FC3C6F" w:rsidP="00F10F50">
            <w:pPr>
              <w:pStyle w:val="TableTextLeft"/>
              <w:keepNext/>
            </w:pPr>
            <w:r>
              <w:t>Tariffs should be set using a transparent methodology and subject to public consultation and scrutiny.</w:t>
            </w:r>
          </w:p>
        </w:tc>
      </w:tr>
    </w:tbl>
    <w:p w:rsidR="00FC3C6F" w:rsidRDefault="00FC3C6F" w:rsidP="00142DCF">
      <w:pPr>
        <w:pStyle w:val="TableNotesLast0"/>
      </w:pPr>
    </w:p>
    <w:p w:rsidR="002B48F1" w:rsidRDefault="002B48F1" w:rsidP="002B48F1">
      <w:r>
        <w:t>Three changes have been made to the initial framework that was proposed in the November 2015 issues paper that launched the tariff review:</w:t>
      </w:r>
    </w:p>
    <w:p w:rsidR="002B48F1" w:rsidRDefault="002B48F1" w:rsidP="002B48F1">
      <w:pPr>
        <w:pStyle w:val="Bullet"/>
      </w:pPr>
      <w:r>
        <w:lastRenderedPageBreak/>
        <w:t xml:space="preserve">the new the economic efficiency objective set out in section 19L of the </w:t>
      </w:r>
      <w:r w:rsidRPr="00FC3C6F">
        <w:rPr>
          <w:i/>
        </w:rPr>
        <w:t>Independent Competition and Regulatory Commission Act 1997</w:t>
      </w:r>
      <w:r>
        <w:t xml:space="preserve"> replaces the objective proposed in the issues paper;</w:t>
      </w:r>
    </w:p>
    <w:p w:rsidR="002B48F1" w:rsidRDefault="002B48F1" w:rsidP="002B48F1">
      <w:pPr>
        <w:pStyle w:val="Bullet"/>
      </w:pPr>
      <w:r>
        <w:t>a cost-benefit pricing principle was added under the economic efficiency stream to make it abundantly clear that the efficiency benefits of any tariff restructure should outweigh the costs of implementing the change; and</w:t>
      </w:r>
    </w:p>
    <w:p w:rsidR="002B48F1" w:rsidRDefault="002B48F1" w:rsidP="002B48F1">
      <w:pPr>
        <w:pStyle w:val="BulletLast"/>
      </w:pPr>
      <w:r>
        <w:t xml:space="preserve">a tariff differentiation pricing principle was added under the economic efficiency stream to make it clear that tariff differentiation between customer classes is acceptable as long as there is no economic cross-subsidy. </w:t>
      </w:r>
    </w:p>
    <w:p w:rsidR="002B48F1" w:rsidRPr="00EF2F36" w:rsidRDefault="002B48F1" w:rsidP="00EF2F36">
      <w:r w:rsidRPr="000F5232">
        <w:t>The draft framework</w:t>
      </w:r>
      <w:r>
        <w:t xml:space="preserve"> </w:t>
      </w:r>
      <w:r w:rsidRPr="000F5232">
        <w:t>has a clear focus on achieving an economically efficient outcome</w:t>
      </w:r>
      <w:r w:rsidRPr="00EF2F36">
        <w:sym w:font="Symbol" w:char="F02D"/>
      </w:r>
      <w:r w:rsidRPr="00EF2F36">
        <w:t>or an outcome which maximises the social welfare of the ACT community, while at the same time being consistent with the Commission’s broader legislative requirements.</w:t>
      </w:r>
    </w:p>
    <w:p w:rsidR="00C77668" w:rsidRDefault="00C77668" w:rsidP="00C77668">
      <w:pPr>
        <w:pStyle w:val="Heading4"/>
      </w:pPr>
      <w:r>
        <w:t xml:space="preserve">Potential dual role of the </w:t>
      </w:r>
      <w:r w:rsidR="007D3470">
        <w:t xml:space="preserve">assessment </w:t>
      </w:r>
      <w:r>
        <w:t>framework</w:t>
      </w:r>
    </w:p>
    <w:p w:rsidR="00C77668" w:rsidRDefault="0005672C" w:rsidP="00C77668">
      <w:r>
        <w:t>Regulators have various methods to control the prices charged by regulated utility service providers</w:t>
      </w:r>
      <w:r w:rsidR="009A7D79">
        <w:t xml:space="preserve">. The methods differ in the degree of </w:t>
      </w:r>
      <w:r w:rsidR="00782F41">
        <w:t xml:space="preserve">direct </w:t>
      </w:r>
      <w:r w:rsidR="009A7D79">
        <w:t xml:space="preserve">control </w:t>
      </w:r>
      <w:r w:rsidR="00782F41">
        <w:t>exercised</w:t>
      </w:r>
      <w:r w:rsidR="009A7D79">
        <w:t xml:space="preserve"> over tariff structures and prices by the regulator. At one end of the spectrum, the regulator directly </w:t>
      </w:r>
      <w:r w:rsidR="00D75BB9">
        <w:t xml:space="preserve">caps </w:t>
      </w:r>
      <w:r>
        <w:t>individual price</w:t>
      </w:r>
      <w:r w:rsidR="009A7D79">
        <w:t xml:space="preserve">s. At the other end, the utility takes control under a </w:t>
      </w:r>
      <w:r>
        <w:t>pure revenue cap</w:t>
      </w:r>
      <w:r w:rsidR="00782F41">
        <w:t>, often subject to a set of pricing principles</w:t>
      </w:r>
      <w:r>
        <w:t>.</w:t>
      </w:r>
      <w:r w:rsidR="009A7D79">
        <w:t xml:space="preserve"> </w:t>
      </w:r>
      <w:r w:rsidR="00C77668">
        <w:t>The form of price control</w:t>
      </w:r>
      <w:r>
        <w:t xml:space="preserve"> </w:t>
      </w:r>
      <w:r w:rsidR="00C77668">
        <w:t>that will apply to Icon Water during the next regulatory period will be determined as part of the broader price investigation process that will commence at about the time this tariff review concludes.</w:t>
      </w:r>
    </w:p>
    <w:p w:rsidR="00FC3C6F" w:rsidRDefault="00C77668" w:rsidP="00403D22">
      <w:r>
        <w:t>The Commission</w:t>
      </w:r>
      <w:r w:rsidR="00F03AFA">
        <w:t xml:space="preserve">’s view is </w:t>
      </w:r>
      <w:r>
        <w:t xml:space="preserve">that </w:t>
      </w:r>
      <w:r w:rsidR="00E331ED">
        <w:t xml:space="preserve">it </w:t>
      </w:r>
      <w:r>
        <w:t xml:space="preserve">is sensible for the tariff review to remain open to the possibility of either the Commission, under </w:t>
      </w:r>
      <w:r w:rsidR="00225333">
        <w:t xml:space="preserve">some form of </w:t>
      </w:r>
      <w:r>
        <w:t xml:space="preserve">price cap, or Icon Water under </w:t>
      </w:r>
      <w:r w:rsidR="00225333">
        <w:t xml:space="preserve">some form of </w:t>
      </w:r>
      <w:r>
        <w:t>revenue cap, being responsible for the structure of tariffs and the level of constituent prices from 1 July 2018.</w:t>
      </w:r>
      <w:r w:rsidR="00266D1F">
        <w:t xml:space="preserve"> Under the former, the </w:t>
      </w:r>
      <w:r w:rsidR="00F03AFA">
        <w:t xml:space="preserve">assessment </w:t>
      </w:r>
      <w:r>
        <w:t>framework</w:t>
      </w:r>
      <w:r w:rsidR="00266D1F">
        <w:t xml:space="preserve"> would be used directly by the Commission to determine the best tariff structure and constituent price levels</w:t>
      </w:r>
      <w:r>
        <w:t>.</w:t>
      </w:r>
      <w:r w:rsidR="00266D1F">
        <w:t xml:space="preserve"> Under the latter, Icon Water would assume responsibility for tariffs, subject to consistency with the assessment framework</w:t>
      </w:r>
      <w:r w:rsidR="000D7B3B">
        <w:t xml:space="preserve"> and the revenue cap, and would be subject to final approval by the Commission. </w:t>
      </w:r>
    </w:p>
    <w:p w:rsidR="00566F25" w:rsidRDefault="00F03AFA" w:rsidP="00403D22">
      <w:r>
        <w:t xml:space="preserve">The Commission’s preference is for Icon Water to take </w:t>
      </w:r>
      <w:r w:rsidR="00EB1DC2">
        <w:t xml:space="preserve">more </w:t>
      </w:r>
      <w:r>
        <w:t xml:space="preserve">responsibility </w:t>
      </w:r>
      <w:r w:rsidR="007D7D23">
        <w:t>for tariff structures and price levels moving forward. Icon Water is best placed to engage with its customers on tariff reform and pricing more generally, and has already started a discussion on these ma</w:t>
      </w:r>
      <w:r w:rsidR="00EB1DC2">
        <w:t>tters with customers.</w:t>
      </w:r>
      <w:r w:rsidR="00F944D5">
        <w:t xml:space="preserve"> </w:t>
      </w:r>
      <w:r w:rsidR="00566F25">
        <w:t xml:space="preserve">In this scenario, Icon Water would consult with its customers, including particular customer groups, in developing its preferred water tariff structure and constituent prices, consistent with the assessment framework, for presentation to the Commission in its main submission to the price investigation leading up to </w:t>
      </w:r>
      <w:r w:rsidR="008862EF">
        <w:t>1</w:t>
      </w:r>
      <w:r w:rsidR="00566F25">
        <w:t xml:space="preserve"> July 2018. </w:t>
      </w:r>
    </w:p>
    <w:p w:rsidR="009A4EB6" w:rsidRDefault="009A4EB6" w:rsidP="009A4EB6">
      <w:pPr>
        <w:pStyle w:val="Heading4"/>
      </w:pPr>
      <w:r>
        <w:lastRenderedPageBreak/>
        <w:t>Submissions to the tariff review</w:t>
      </w:r>
    </w:p>
    <w:p w:rsidR="009A4EB6" w:rsidRDefault="009A4EB6" w:rsidP="009A4EB6">
      <w:r>
        <w:t>The Commission received 9 submissions on the tariff review papers published to date.</w:t>
      </w:r>
      <w:r w:rsidR="00755B07">
        <w:rPr>
          <w:rStyle w:val="FootnoteReference"/>
        </w:rPr>
        <w:footnoteReference w:id="9"/>
      </w:r>
      <w:r>
        <w:t xml:space="preserve"> Two submissions were received from Icon Water, one from the ACT Civil and Administrative Tribunal, one from ClubsACT, one from the Federal Golf Club and four from members of the ACT community. Submissions are considered in the relevant chapters of the draft report.</w:t>
      </w:r>
    </w:p>
    <w:p w:rsidR="005A40B3" w:rsidRDefault="005A40B3" w:rsidP="005A40B3">
      <w:pPr>
        <w:pStyle w:val="Heading4"/>
      </w:pPr>
      <w:r>
        <w:t>Implementation</w:t>
      </w:r>
    </w:p>
    <w:p w:rsidR="00DF4FA1" w:rsidRDefault="00DF4FA1" w:rsidP="00DF4FA1">
      <w:r>
        <w:t xml:space="preserve">The Commission’s draft position is that the transition to the alternative water tariff structure, and the introduction of trade waste pricing, </w:t>
      </w:r>
      <w:r w:rsidR="00676BFD">
        <w:t xml:space="preserve">will </w:t>
      </w:r>
      <w:r>
        <w:t>commence from 1 July 2018.</w:t>
      </w:r>
    </w:p>
    <w:p w:rsidR="0085042B" w:rsidRDefault="005A40B3" w:rsidP="003165CC">
      <w:pPr>
        <w:pStyle w:val="Heading4"/>
      </w:pPr>
      <w:r>
        <w:t>Next steps</w:t>
      </w:r>
    </w:p>
    <w:p w:rsidR="0085042B" w:rsidRDefault="006D4575" w:rsidP="00440F18">
      <w:r>
        <w:t xml:space="preserve">The Commission welcomes submissions from stakeholders on the draft report by the </w:t>
      </w:r>
      <w:r w:rsidRPr="005662AB">
        <w:t xml:space="preserve">closing date </w:t>
      </w:r>
      <w:r>
        <w:t xml:space="preserve">of </w:t>
      </w:r>
      <w:r w:rsidR="00B248DE" w:rsidRPr="003949F4">
        <w:rPr>
          <w:b/>
        </w:rPr>
        <w:t>30 November 2016</w:t>
      </w:r>
      <w:r w:rsidR="00B248DE">
        <w:t>.</w:t>
      </w:r>
      <w:r>
        <w:t xml:space="preserve"> The Commission is also intending to hold a public forum to discuss the draft report findings in </w:t>
      </w:r>
      <w:r w:rsidR="00702B38">
        <w:t>November</w:t>
      </w:r>
      <w:r>
        <w:t xml:space="preserve"> 2016. The Commission will advertise details of the timing and location of the forum once finalised.</w:t>
      </w:r>
    </w:p>
    <w:p w:rsidR="00440F18" w:rsidRDefault="00440F18" w:rsidP="00440F18">
      <w:pPr>
        <w:sectPr w:rsidR="00440F18" w:rsidSect="00183F7B">
          <w:headerReference w:type="even" r:id="rId37"/>
          <w:headerReference w:type="default" r:id="rId38"/>
          <w:endnotePr>
            <w:numFmt w:val="decimal"/>
          </w:endnotePr>
          <w:type w:val="continuous"/>
          <w:pgSz w:w="11907" w:h="16840" w:code="9"/>
          <w:pgMar w:top="2268" w:right="2098" w:bottom="1701" w:left="2098" w:header="578" w:footer="578" w:gutter="0"/>
          <w:pgNumType w:fmt="lowerRoman"/>
          <w:cols w:space="720"/>
          <w:titlePg/>
          <w:docGrid w:linePitch="299"/>
        </w:sectPr>
      </w:pPr>
    </w:p>
    <w:p w:rsidR="00B1692C" w:rsidRDefault="00B1692C" w:rsidP="008A1C91">
      <w:pPr>
        <w:pStyle w:val="References"/>
        <w:sectPr w:rsidR="00B1692C" w:rsidSect="00174668">
          <w:headerReference w:type="even" r:id="rId39"/>
          <w:headerReference w:type="default" r:id="rId40"/>
          <w:endnotePr>
            <w:numFmt w:val="decimal"/>
          </w:endnotePr>
          <w:type w:val="continuous"/>
          <w:pgSz w:w="11907" w:h="16840" w:code="9"/>
          <w:pgMar w:top="2268" w:right="2098" w:bottom="1701" w:left="2098" w:header="578" w:footer="578" w:gutter="0"/>
          <w:pgNumType w:fmt="lowerRoman"/>
          <w:cols w:space="720"/>
          <w:docGrid w:linePitch="299"/>
        </w:sectPr>
      </w:pPr>
    </w:p>
    <w:p w:rsidR="00E2786A" w:rsidRDefault="00DC784F" w:rsidP="007176CC">
      <w:pPr>
        <w:pStyle w:val="Heading1"/>
        <w:sectPr w:rsidR="00E2786A" w:rsidSect="00FD0141">
          <w:headerReference w:type="even" r:id="rId41"/>
          <w:headerReference w:type="default" r:id="rId42"/>
          <w:endnotePr>
            <w:numFmt w:val="decimal"/>
          </w:endnotePr>
          <w:type w:val="oddPage"/>
          <w:pgSz w:w="11907" w:h="16840" w:code="9"/>
          <w:pgMar w:top="2268" w:right="2098" w:bottom="1701" w:left="2098" w:header="578" w:footer="578" w:gutter="0"/>
          <w:pgNumType w:start="1"/>
          <w:cols w:space="720"/>
          <w:docGrid w:linePitch="299"/>
        </w:sectPr>
      </w:pPr>
      <w:bookmarkStart w:id="37" w:name="Chap1"/>
      <w:bookmarkStart w:id="38" w:name="_Ref364695177"/>
      <w:bookmarkStart w:id="39" w:name="_Toc200251148"/>
      <w:bookmarkStart w:id="40" w:name="_Toc264971521"/>
      <w:bookmarkStart w:id="41" w:name="_Toc460572202"/>
      <w:bookmarkEnd w:id="11"/>
      <w:bookmarkEnd w:id="12"/>
      <w:bookmarkEnd w:id="13"/>
      <w:bookmarkEnd w:id="14"/>
      <w:bookmarkEnd w:id="37"/>
      <w:r>
        <w:lastRenderedPageBreak/>
        <w:t>Introduction</w:t>
      </w:r>
      <w:bookmarkStart w:id="42" w:name="_Ref349552218"/>
      <w:bookmarkStart w:id="43" w:name="_Toc349563150"/>
      <w:bookmarkStart w:id="44" w:name="_Toc349563312"/>
      <w:bookmarkStart w:id="45" w:name="_Toc349563390"/>
      <w:bookmarkStart w:id="46" w:name="_Toc349571506"/>
      <w:bookmarkEnd w:id="38"/>
      <w:bookmarkEnd w:id="39"/>
      <w:bookmarkEnd w:id="40"/>
      <w:bookmarkEnd w:id="41"/>
    </w:p>
    <w:p w:rsidR="007D4436" w:rsidRDefault="00B92427" w:rsidP="002B6726">
      <w:pPr>
        <w:pStyle w:val="Heading2"/>
      </w:pPr>
      <w:bookmarkStart w:id="47" w:name="Tariffs_vs_prices"/>
      <w:bookmarkStart w:id="48" w:name="_Toc460572203"/>
      <w:bookmarkStart w:id="49" w:name="_Toc368572032"/>
      <w:bookmarkStart w:id="50" w:name="_Ref429400976"/>
      <w:bookmarkStart w:id="51" w:name="_Toc378334065"/>
      <w:bookmarkStart w:id="52" w:name="_Toc389642362"/>
      <w:bookmarkEnd w:id="42"/>
      <w:bookmarkEnd w:id="43"/>
      <w:bookmarkEnd w:id="44"/>
      <w:bookmarkEnd w:id="45"/>
      <w:bookmarkEnd w:id="46"/>
      <w:bookmarkEnd w:id="47"/>
      <w:r>
        <w:t>Background</w:t>
      </w:r>
      <w:bookmarkEnd w:id="48"/>
    </w:p>
    <w:p w:rsidR="006209AF" w:rsidRDefault="006209AF" w:rsidP="006209AF">
      <w:r>
        <w:t xml:space="preserve">The current structure of Icon Water’s water and sewerage services tariffs has served the ACT community well over the last 15 or so years. Nonetheless, in recent years a number of questions have been raised about whether improvements could be made to the way tariffs are structured. In the 2013 price investigation process </w:t>
      </w:r>
      <w:r w:rsidR="00F8257F">
        <w:t xml:space="preserve">for example, </w:t>
      </w:r>
      <w:r>
        <w:t>the Commission received a number of submissions from stakeholders in this regard.</w:t>
      </w:r>
    </w:p>
    <w:p w:rsidR="006209AF" w:rsidRDefault="006209AF" w:rsidP="006209AF">
      <w:r w:rsidRPr="00EB23F3">
        <w:t>In its 2013 determination, the</w:t>
      </w:r>
      <w:r>
        <w:t xml:space="preserve"> </w:t>
      </w:r>
      <w:r w:rsidRPr="00EB23F3">
        <w:t xml:space="preserve">Commission </w:t>
      </w:r>
      <w:r>
        <w:t xml:space="preserve">chose </w:t>
      </w:r>
      <w:r w:rsidRPr="00EB23F3">
        <w:t>to maintain the existing tariff structures for water and sewerage services for the regulatory period commencing 1</w:t>
      </w:r>
      <w:r w:rsidR="00315F81">
        <w:t> </w:t>
      </w:r>
      <w:r w:rsidRPr="00EB23F3">
        <w:t>July</w:t>
      </w:r>
      <w:r w:rsidR="00315F81">
        <w:t> </w:t>
      </w:r>
      <w:r w:rsidRPr="00EB23F3">
        <w:t>2013 (the current regulatory period).</w:t>
      </w:r>
      <w:r>
        <w:rPr>
          <w:rStyle w:val="FootnoteReference"/>
        </w:rPr>
        <w:footnoteReference w:id="10"/>
      </w:r>
      <w:r>
        <w:t xml:space="preserve"> Notwithstanding this decision, the</w:t>
      </w:r>
      <w:r w:rsidRPr="00EB23F3">
        <w:t xml:space="preserve"> Commission </w:t>
      </w:r>
      <w:r>
        <w:t xml:space="preserve">stated that it </w:t>
      </w:r>
      <w:r w:rsidRPr="00EB23F3">
        <w:t>recognise</w:t>
      </w:r>
      <w:r>
        <w:t>d</w:t>
      </w:r>
      <w:r w:rsidRPr="00EB23F3">
        <w:t xml:space="preserve"> the value in further reviewing alternative price structures and price-setting arrangements over the course of th</w:t>
      </w:r>
      <w:r>
        <w:t xml:space="preserve">e current regulatory </w:t>
      </w:r>
      <w:r w:rsidRPr="00EB23F3">
        <w:t>period.</w:t>
      </w:r>
    </w:p>
    <w:p w:rsidR="006209AF" w:rsidRDefault="006209AF" w:rsidP="006209AF">
      <w:r>
        <w:t>This view was</w:t>
      </w:r>
      <w:r w:rsidRPr="00EB23F3">
        <w:t xml:space="preserve"> reflected as a future reset principle in the </w:t>
      </w:r>
      <w:r w:rsidRPr="009611D0">
        <w:rPr>
          <w:rStyle w:val="Italic"/>
        </w:rPr>
        <w:t xml:space="preserve">Price Direction: Regulated Water and Sewerage Services </w:t>
      </w:r>
      <w:r>
        <w:rPr>
          <w:rStyle w:val="Italic"/>
        </w:rPr>
        <w:t xml:space="preserve">– </w:t>
      </w:r>
      <w:r w:rsidRPr="009611D0">
        <w:rPr>
          <w:rStyle w:val="Italic"/>
        </w:rPr>
        <w:t>1 July 2013 to 30 June 2019</w:t>
      </w:r>
      <w:r>
        <w:rPr>
          <w:rStyle w:val="Italic"/>
        </w:rPr>
        <w:t xml:space="preserve"> </w:t>
      </w:r>
      <w:r w:rsidRPr="00AF0076">
        <w:t>(the price direction)</w:t>
      </w:r>
      <w:r w:rsidR="00960E93">
        <w:t>.</w:t>
      </w:r>
      <w:r>
        <w:rPr>
          <w:rStyle w:val="FootnoteReference"/>
        </w:rPr>
        <w:footnoteReference w:id="11"/>
      </w:r>
      <w:r>
        <w:t xml:space="preserve"> Clause 11(b) of the </w:t>
      </w:r>
      <w:r w:rsidRPr="002E7857">
        <w:rPr>
          <w:i/>
        </w:rPr>
        <w:t xml:space="preserve">Substituted Price Direction: Regulated Water and Sewerage Services </w:t>
      </w:r>
      <w:r>
        <w:rPr>
          <w:i/>
        </w:rPr>
        <w:t xml:space="preserve">– </w:t>
      </w:r>
      <w:r w:rsidRPr="002E7857">
        <w:rPr>
          <w:i/>
        </w:rPr>
        <w:t>1 July 2013 to 30 June 2018</w:t>
      </w:r>
      <w:r>
        <w:t xml:space="preserve"> (the substitute price direction) maintained this reset principle requiring the Commission to undertake a review of Icon Water’s water and sewerage services tariff structures (the tariff review) during the current regulatory period.</w:t>
      </w:r>
      <w:r>
        <w:rPr>
          <w:rStyle w:val="FootnoteReference"/>
        </w:rPr>
        <w:footnoteReference w:id="12"/>
      </w:r>
    </w:p>
    <w:p w:rsidR="00615707" w:rsidRDefault="005567AC" w:rsidP="00615707">
      <w:pPr>
        <w:pStyle w:val="Heading2"/>
      </w:pPr>
      <w:bookmarkStart w:id="53" w:name="_Toc460572204"/>
      <w:r>
        <w:t>The t</w:t>
      </w:r>
      <w:r w:rsidR="00615707">
        <w:t xml:space="preserve">ariff review </w:t>
      </w:r>
      <w:r>
        <w:t xml:space="preserve">story </w:t>
      </w:r>
      <w:r w:rsidR="00D4211F">
        <w:t>leading up to the draft report</w:t>
      </w:r>
      <w:bookmarkEnd w:id="53"/>
    </w:p>
    <w:p w:rsidR="00615707" w:rsidRDefault="00D4211F" w:rsidP="00D870F2">
      <w:r>
        <w:t xml:space="preserve">The </w:t>
      </w:r>
      <w:r w:rsidR="00615707">
        <w:t>review of Icon Water's water and sewerage services tariff structures</w:t>
      </w:r>
      <w:r>
        <w:t xml:space="preserve"> commenced with the </w:t>
      </w:r>
      <w:r w:rsidR="00615707">
        <w:t xml:space="preserve">publication </w:t>
      </w:r>
      <w:r>
        <w:t xml:space="preserve">of </w:t>
      </w:r>
      <w:r w:rsidR="00615707">
        <w:t xml:space="preserve">an issues paper </w:t>
      </w:r>
      <w:r>
        <w:t xml:space="preserve">in </w:t>
      </w:r>
      <w:r w:rsidR="00615707">
        <w:t>November 2015.</w:t>
      </w:r>
      <w:r w:rsidR="00615707">
        <w:rPr>
          <w:rStyle w:val="FootnoteReference"/>
        </w:rPr>
        <w:footnoteReference w:id="13"/>
      </w:r>
      <w:r w:rsidR="00615707">
        <w:t xml:space="preserve"> Th</w:t>
      </w:r>
      <w:r>
        <w:t xml:space="preserve">is was followed by </w:t>
      </w:r>
      <w:r w:rsidR="00615707">
        <w:t>a technical paper on the elasticity of demand for water in the ACT released in February</w:t>
      </w:r>
      <w:r w:rsidR="007F32D5">
        <w:t> </w:t>
      </w:r>
      <w:r w:rsidR="00615707">
        <w:t>2016.</w:t>
      </w:r>
      <w:r w:rsidR="00615707">
        <w:rPr>
          <w:rStyle w:val="FootnoteReference"/>
        </w:rPr>
        <w:footnoteReference w:id="14"/>
      </w:r>
      <w:r w:rsidR="00615707">
        <w:t xml:space="preserve"> </w:t>
      </w:r>
      <w:r>
        <w:t>A</w:t>
      </w:r>
      <w:r w:rsidR="00615707">
        <w:t xml:space="preserve"> technical paper on marginal cost pricing in the ACT </w:t>
      </w:r>
      <w:r>
        <w:t xml:space="preserve">was then </w:t>
      </w:r>
      <w:r w:rsidR="00542166">
        <w:t xml:space="preserve">published </w:t>
      </w:r>
      <w:r w:rsidR="00615707">
        <w:t>in June 2016.</w:t>
      </w:r>
      <w:r w:rsidR="00615707">
        <w:rPr>
          <w:rStyle w:val="FootnoteReference"/>
        </w:rPr>
        <w:footnoteReference w:id="15"/>
      </w:r>
    </w:p>
    <w:p w:rsidR="006B1762" w:rsidRDefault="006B1762" w:rsidP="00F22E2F">
      <w:pPr>
        <w:pStyle w:val="Heading3"/>
      </w:pPr>
      <w:r>
        <w:lastRenderedPageBreak/>
        <w:t>Issues paper</w:t>
      </w:r>
    </w:p>
    <w:p w:rsidR="008946B5" w:rsidRDefault="00B92427" w:rsidP="00D870F2">
      <w:r>
        <w:t>The issues paper</w:t>
      </w:r>
      <w:r w:rsidR="00D870F2">
        <w:t xml:space="preserve"> proposed </w:t>
      </w:r>
      <w:r w:rsidR="0045120F">
        <w:t xml:space="preserve">a frame of reference to guide the Commission’s evaluation of Icon Water’s existing tariff structures and potential alternatives. The framework comprises </w:t>
      </w:r>
      <w:r w:rsidR="00D870F2">
        <w:t>an overarching economic regulation objective and set of pricing principles</w:t>
      </w:r>
      <w:r w:rsidR="00B74C83">
        <w:t xml:space="preserve"> (see </w:t>
      </w:r>
      <w:r w:rsidR="00B74C83">
        <w:fldChar w:fldCharType="begin"/>
      </w:r>
      <w:r w:rsidR="00B74C83">
        <w:instrText xml:space="preserve"> REF _Ref456858519 \h </w:instrText>
      </w:r>
      <w:r w:rsidR="00B74C83">
        <w:fldChar w:fldCharType="separate"/>
      </w:r>
      <w:r w:rsidR="00B80BC7" w:rsidRPr="00B40AA3">
        <w:t>Table </w:t>
      </w:r>
      <w:r w:rsidR="00B80BC7">
        <w:rPr>
          <w:noProof/>
        </w:rPr>
        <w:t>1</w:t>
      </w:r>
      <w:r w:rsidR="00B80BC7" w:rsidRPr="00B40AA3">
        <w:t>.</w:t>
      </w:r>
      <w:r w:rsidR="00B80BC7">
        <w:rPr>
          <w:noProof/>
        </w:rPr>
        <w:t>1</w:t>
      </w:r>
      <w:r w:rsidR="00B74C83">
        <w:fldChar w:fldCharType="end"/>
      </w:r>
      <w:r w:rsidR="00B74C83">
        <w:t>)</w:t>
      </w:r>
      <w:r w:rsidR="00812B86">
        <w:t>.</w:t>
      </w:r>
    </w:p>
    <w:p w:rsidR="00E416DD" w:rsidRPr="00B40AA3" w:rsidRDefault="00E416DD" w:rsidP="00E416DD">
      <w:pPr>
        <w:pStyle w:val="FigureName"/>
      </w:pPr>
      <w:bookmarkStart w:id="54" w:name="_Ref456858519"/>
      <w:bookmarkStart w:id="55" w:name="_Toc460572245"/>
      <w:r w:rsidRPr="00B40AA3">
        <w:t>Table </w:t>
      </w:r>
      <w:r>
        <w:fldChar w:fldCharType="begin"/>
      </w:r>
      <w:r>
        <w:instrText xml:space="preserve"> STYLEREF 1 \s </w:instrText>
      </w:r>
      <w:r>
        <w:fldChar w:fldCharType="separate"/>
      </w:r>
      <w:r w:rsidR="00B80BC7">
        <w:rPr>
          <w:noProof/>
        </w:rPr>
        <w:t>1</w:t>
      </w:r>
      <w:r>
        <w:fldChar w:fldCharType="end"/>
      </w:r>
      <w:r w:rsidRPr="00B40AA3">
        <w:t>.</w:t>
      </w:r>
      <w:r w:rsidRPr="00B40AA3">
        <w:fldChar w:fldCharType="begin"/>
      </w:r>
      <w:r w:rsidRPr="00B40AA3">
        <w:instrText xml:space="preserve"> SEQ Table \* ARABIC \s 1 </w:instrText>
      </w:r>
      <w:r w:rsidRPr="00B40AA3">
        <w:fldChar w:fldCharType="separate"/>
      </w:r>
      <w:r w:rsidR="00B80BC7">
        <w:rPr>
          <w:noProof/>
        </w:rPr>
        <w:t>1</w:t>
      </w:r>
      <w:r w:rsidRPr="00B40AA3">
        <w:fldChar w:fldCharType="end"/>
      </w:r>
      <w:bookmarkEnd w:id="54"/>
      <w:r w:rsidRPr="00B40AA3">
        <w:tab/>
      </w:r>
      <w:r>
        <w:t>Issues paper proposed assessment framework</w:t>
      </w:r>
      <w:bookmarkEnd w:id="55"/>
    </w:p>
    <w:tbl>
      <w:tblPr>
        <w:tblW w:w="5588" w:type="pct"/>
        <w:tblBorders>
          <w:top w:val="single" w:sz="12" w:space="0" w:color="333399"/>
          <w:bottom w:val="single" w:sz="12" w:space="0" w:color="333399"/>
        </w:tblBorders>
        <w:tblCellMar>
          <w:left w:w="115" w:type="dxa"/>
          <w:right w:w="115" w:type="dxa"/>
        </w:tblCellMar>
        <w:tblLook w:val="0000" w:firstRow="0" w:lastRow="0" w:firstColumn="0" w:lastColumn="0" w:noHBand="0" w:noVBand="0"/>
      </w:tblPr>
      <w:tblGrid>
        <w:gridCol w:w="1592"/>
        <w:gridCol w:w="1741"/>
        <w:gridCol w:w="5285"/>
      </w:tblGrid>
      <w:tr w:rsidR="00E416DD" w:rsidRPr="00144F8C" w:rsidTr="00E416DD">
        <w:trPr>
          <w:cantSplit/>
        </w:trPr>
        <w:tc>
          <w:tcPr>
            <w:tcW w:w="924" w:type="pct"/>
            <w:tcBorders>
              <w:top w:val="single" w:sz="12" w:space="0" w:color="1F497D" w:themeColor="text2"/>
              <w:left w:val="nil"/>
              <w:bottom w:val="single" w:sz="8" w:space="0" w:color="1F497D" w:themeColor="text2"/>
              <w:right w:val="nil"/>
            </w:tcBorders>
            <w:shd w:val="clear" w:color="auto" w:fill="DBE5F1" w:themeFill="accent1" w:themeFillTint="33"/>
            <w:vAlign w:val="bottom"/>
          </w:tcPr>
          <w:p w:rsidR="00E416DD" w:rsidRPr="00B40AA3" w:rsidRDefault="00E416DD" w:rsidP="00697FCF">
            <w:pPr>
              <w:pStyle w:val="TableHeadingLeft"/>
            </w:pPr>
            <w:r>
              <w:t>Category</w:t>
            </w:r>
          </w:p>
        </w:tc>
        <w:tc>
          <w:tcPr>
            <w:tcW w:w="1010" w:type="pct"/>
            <w:tcBorders>
              <w:top w:val="single" w:sz="12" w:space="0" w:color="1F497D" w:themeColor="text2"/>
              <w:left w:val="nil"/>
              <w:bottom w:val="single" w:sz="8" w:space="0" w:color="1F497D" w:themeColor="text2"/>
              <w:right w:val="nil"/>
            </w:tcBorders>
            <w:shd w:val="clear" w:color="auto" w:fill="DBE5F1" w:themeFill="accent1" w:themeFillTint="33"/>
          </w:tcPr>
          <w:p w:rsidR="00E416DD" w:rsidRPr="00B40AA3" w:rsidRDefault="00E416DD" w:rsidP="00697FCF">
            <w:pPr>
              <w:pStyle w:val="TableHeadingLeft"/>
            </w:pPr>
            <w:r>
              <w:t>Stream</w:t>
            </w:r>
          </w:p>
        </w:tc>
        <w:tc>
          <w:tcPr>
            <w:tcW w:w="3066" w:type="pct"/>
            <w:tcBorders>
              <w:top w:val="single" w:sz="12" w:space="0" w:color="1F497D" w:themeColor="text2"/>
              <w:left w:val="nil"/>
              <w:bottom w:val="single" w:sz="8" w:space="0" w:color="1F497D" w:themeColor="text2"/>
              <w:right w:val="nil"/>
            </w:tcBorders>
            <w:shd w:val="clear" w:color="auto" w:fill="DBE5F1" w:themeFill="accent1" w:themeFillTint="33"/>
            <w:vAlign w:val="bottom"/>
          </w:tcPr>
          <w:p w:rsidR="00E416DD" w:rsidRPr="00B40AA3" w:rsidRDefault="00E416DD" w:rsidP="00697FCF">
            <w:pPr>
              <w:pStyle w:val="TableHeadingLeft"/>
            </w:pPr>
            <w:r>
              <w:t>Detail</w:t>
            </w:r>
          </w:p>
        </w:tc>
      </w:tr>
      <w:tr w:rsidR="00E416DD" w:rsidRPr="00144F8C" w:rsidTr="00E416DD">
        <w:trPr>
          <w:cantSplit/>
        </w:trPr>
        <w:tc>
          <w:tcPr>
            <w:tcW w:w="924" w:type="pct"/>
            <w:tcBorders>
              <w:top w:val="nil"/>
              <w:left w:val="nil"/>
              <w:bottom w:val="nil"/>
              <w:right w:val="nil"/>
            </w:tcBorders>
            <w:shd w:val="clear" w:color="auto" w:fill="F2F2F2" w:themeFill="background1" w:themeFillShade="F2"/>
          </w:tcPr>
          <w:p w:rsidR="00E416DD" w:rsidRPr="00A658D0" w:rsidRDefault="00E416DD" w:rsidP="00697FCF">
            <w:pPr>
              <w:pStyle w:val="TableTextLeft"/>
              <w:rPr>
                <w:b/>
              </w:rPr>
            </w:pPr>
            <w:r w:rsidRPr="00A658D0">
              <w:rPr>
                <w:b/>
              </w:rPr>
              <w:t>Objective</w:t>
            </w:r>
          </w:p>
        </w:tc>
        <w:tc>
          <w:tcPr>
            <w:tcW w:w="1010" w:type="pct"/>
            <w:tcBorders>
              <w:top w:val="nil"/>
              <w:left w:val="nil"/>
              <w:bottom w:val="nil"/>
              <w:right w:val="nil"/>
            </w:tcBorders>
            <w:shd w:val="clear" w:color="auto" w:fill="F2F2F2" w:themeFill="background1" w:themeFillShade="F2"/>
          </w:tcPr>
          <w:p w:rsidR="00E416DD" w:rsidRPr="00A658D0" w:rsidRDefault="00E416DD" w:rsidP="00697FCF">
            <w:pPr>
              <w:pStyle w:val="TableTextLeft"/>
            </w:pPr>
          </w:p>
        </w:tc>
        <w:tc>
          <w:tcPr>
            <w:tcW w:w="3066" w:type="pct"/>
            <w:tcBorders>
              <w:top w:val="nil"/>
              <w:left w:val="nil"/>
              <w:bottom w:val="nil"/>
              <w:right w:val="nil"/>
            </w:tcBorders>
            <w:shd w:val="clear" w:color="auto" w:fill="F2F2F2" w:themeFill="background1" w:themeFillShade="F2"/>
          </w:tcPr>
          <w:p w:rsidR="00E416DD" w:rsidRPr="00EC68F3" w:rsidRDefault="00C04CA7" w:rsidP="00697FCF">
            <w:pPr>
              <w:pStyle w:val="TableTextLeft"/>
            </w:pPr>
            <w:r w:rsidRPr="00C04CA7">
              <w:t>To promote the efficient investment in, and efficient operation and use of, Icon Water’s regulated water and sewerage services to maximise the social welfare of the community over the long term.</w:t>
            </w:r>
          </w:p>
        </w:tc>
      </w:tr>
      <w:tr w:rsidR="00E416DD" w:rsidRPr="00144F8C" w:rsidTr="00E416DD">
        <w:trPr>
          <w:cantSplit/>
        </w:trPr>
        <w:tc>
          <w:tcPr>
            <w:tcW w:w="924" w:type="pct"/>
            <w:tcBorders>
              <w:top w:val="nil"/>
              <w:left w:val="nil"/>
              <w:bottom w:val="nil"/>
              <w:right w:val="nil"/>
            </w:tcBorders>
            <w:shd w:val="clear" w:color="auto" w:fill="DDD9C3" w:themeFill="background2" w:themeFillShade="E6"/>
          </w:tcPr>
          <w:p w:rsidR="00E416DD" w:rsidRPr="000B08E5" w:rsidRDefault="00E416DD" w:rsidP="00697FCF">
            <w:pPr>
              <w:pStyle w:val="TableTextLeft"/>
              <w:rPr>
                <w:b/>
              </w:rPr>
            </w:pPr>
            <w:r>
              <w:rPr>
                <w:b/>
              </w:rPr>
              <w:t>Pricing p</w:t>
            </w:r>
            <w:r w:rsidRPr="000B08E5">
              <w:rPr>
                <w:b/>
              </w:rPr>
              <w:t>rinciple 1</w:t>
            </w:r>
          </w:p>
        </w:tc>
        <w:tc>
          <w:tcPr>
            <w:tcW w:w="1010" w:type="pct"/>
            <w:tcBorders>
              <w:top w:val="nil"/>
              <w:left w:val="nil"/>
              <w:bottom w:val="nil"/>
              <w:right w:val="nil"/>
            </w:tcBorders>
            <w:shd w:val="clear" w:color="auto" w:fill="DDD9C3" w:themeFill="background2" w:themeFillShade="E6"/>
          </w:tcPr>
          <w:p w:rsidR="00E416DD" w:rsidRPr="001E56D3" w:rsidRDefault="00E416DD" w:rsidP="00697FCF">
            <w:pPr>
              <w:pStyle w:val="TableTextLeft"/>
              <w:rPr>
                <w:b/>
              </w:rPr>
            </w:pPr>
            <w:r w:rsidRPr="001E56D3">
              <w:rPr>
                <w:b/>
              </w:rPr>
              <w:t>Economic efficiency</w:t>
            </w:r>
          </w:p>
          <w:p w:rsidR="00E416DD" w:rsidRPr="0051604C" w:rsidRDefault="00E416DD" w:rsidP="00697FCF">
            <w:pPr>
              <w:pStyle w:val="TableTextLeft"/>
            </w:pPr>
          </w:p>
        </w:tc>
        <w:tc>
          <w:tcPr>
            <w:tcW w:w="3066" w:type="pct"/>
            <w:tcBorders>
              <w:top w:val="nil"/>
              <w:left w:val="nil"/>
              <w:bottom w:val="nil"/>
              <w:right w:val="nil"/>
            </w:tcBorders>
            <w:shd w:val="clear" w:color="auto" w:fill="DDD9C3" w:themeFill="background2" w:themeFillShade="E6"/>
          </w:tcPr>
          <w:p w:rsidR="00E416DD" w:rsidRPr="00B40AA3" w:rsidRDefault="00E416DD" w:rsidP="00E416DD">
            <w:pPr>
              <w:pStyle w:val="TableTextLeft"/>
            </w:pPr>
            <w:r w:rsidRPr="0051604C">
              <w:t>Tariff structures and prices should promote the economically efficient use of Icon Water’s water and sewerage services infrastructure, and in the case of water should also encourage economically efficient use of the water resource.</w:t>
            </w:r>
          </w:p>
        </w:tc>
      </w:tr>
      <w:tr w:rsidR="00E416DD" w:rsidRPr="00144F8C" w:rsidTr="00E416DD">
        <w:trPr>
          <w:cantSplit/>
        </w:trPr>
        <w:tc>
          <w:tcPr>
            <w:tcW w:w="924" w:type="pct"/>
            <w:tcBorders>
              <w:top w:val="nil"/>
              <w:left w:val="nil"/>
              <w:bottom w:val="nil"/>
              <w:right w:val="nil"/>
            </w:tcBorders>
            <w:shd w:val="clear" w:color="auto" w:fill="F2DBDB" w:themeFill="accent2" w:themeFillTint="33"/>
          </w:tcPr>
          <w:p w:rsidR="00E416DD" w:rsidRPr="00E416DD" w:rsidRDefault="00E416DD" w:rsidP="00697FCF">
            <w:pPr>
              <w:pStyle w:val="TableTextLeft"/>
              <w:jc w:val="right"/>
              <w:rPr>
                <w:b/>
              </w:rPr>
            </w:pPr>
            <w:r w:rsidRPr="00E416DD">
              <w:rPr>
                <w:b/>
              </w:rPr>
              <w:t>2</w:t>
            </w:r>
          </w:p>
        </w:tc>
        <w:tc>
          <w:tcPr>
            <w:tcW w:w="1010" w:type="pct"/>
            <w:tcBorders>
              <w:top w:val="nil"/>
              <w:left w:val="nil"/>
              <w:bottom w:val="nil"/>
              <w:right w:val="nil"/>
            </w:tcBorders>
            <w:shd w:val="clear" w:color="auto" w:fill="F2DBDB" w:themeFill="accent2" w:themeFillTint="33"/>
          </w:tcPr>
          <w:p w:rsidR="00E416DD" w:rsidRPr="001E56D3" w:rsidRDefault="00E416DD" w:rsidP="00697FCF">
            <w:pPr>
              <w:pStyle w:val="TableTextLeft"/>
              <w:rPr>
                <w:b/>
              </w:rPr>
            </w:pPr>
            <w:r w:rsidRPr="001E56D3">
              <w:rPr>
                <w:b/>
              </w:rPr>
              <w:t>Financial viability</w:t>
            </w:r>
          </w:p>
        </w:tc>
        <w:tc>
          <w:tcPr>
            <w:tcW w:w="3066" w:type="pct"/>
            <w:tcBorders>
              <w:top w:val="nil"/>
              <w:left w:val="nil"/>
              <w:bottom w:val="nil"/>
              <w:right w:val="nil"/>
            </w:tcBorders>
            <w:shd w:val="clear" w:color="auto" w:fill="F2DBDB" w:themeFill="accent2" w:themeFillTint="33"/>
          </w:tcPr>
          <w:p w:rsidR="00E416DD" w:rsidRPr="00B40AA3" w:rsidRDefault="00E416DD" w:rsidP="00697FCF">
            <w:pPr>
              <w:pStyle w:val="TableTextLeft"/>
            </w:pPr>
            <w:r w:rsidRPr="00C159FF">
              <w:t>Tariff structures and prices should reflect the full recovery of the prudent and efficient costs of providing regulated water and sewerage services to ensure business viability.</w:t>
            </w:r>
          </w:p>
        </w:tc>
      </w:tr>
      <w:tr w:rsidR="00E416DD" w:rsidRPr="00144F8C" w:rsidTr="00E416DD">
        <w:trPr>
          <w:cantSplit/>
        </w:trPr>
        <w:tc>
          <w:tcPr>
            <w:tcW w:w="924" w:type="pct"/>
            <w:tcBorders>
              <w:top w:val="nil"/>
              <w:left w:val="nil"/>
              <w:bottom w:val="nil"/>
              <w:right w:val="nil"/>
            </w:tcBorders>
            <w:shd w:val="clear" w:color="auto" w:fill="F2DBDB" w:themeFill="accent2" w:themeFillTint="33"/>
          </w:tcPr>
          <w:p w:rsidR="00E416DD" w:rsidRPr="00E416DD" w:rsidRDefault="00E416DD" w:rsidP="00697FCF">
            <w:pPr>
              <w:pStyle w:val="TableTextLeft"/>
              <w:jc w:val="right"/>
              <w:rPr>
                <w:b/>
              </w:rPr>
            </w:pPr>
            <w:r w:rsidRPr="00E416DD">
              <w:rPr>
                <w:b/>
              </w:rPr>
              <w:t>3</w:t>
            </w:r>
          </w:p>
        </w:tc>
        <w:tc>
          <w:tcPr>
            <w:tcW w:w="1010" w:type="pct"/>
            <w:tcBorders>
              <w:top w:val="nil"/>
              <w:left w:val="nil"/>
              <w:bottom w:val="nil"/>
              <w:right w:val="nil"/>
            </w:tcBorders>
            <w:shd w:val="clear" w:color="auto" w:fill="F2DBDB" w:themeFill="accent2" w:themeFillTint="33"/>
          </w:tcPr>
          <w:p w:rsidR="00E416DD" w:rsidRPr="00C159FF" w:rsidRDefault="00E416DD" w:rsidP="00697FCF">
            <w:pPr>
              <w:pStyle w:val="TableTextLeft"/>
            </w:pPr>
          </w:p>
        </w:tc>
        <w:tc>
          <w:tcPr>
            <w:tcW w:w="3066" w:type="pct"/>
            <w:tcBorders>
              <w:top w:val="nil"/>
              <w:left w:val="nil"/>
              <w:bottom w:val="nil"/>
              <w:right w:val="nil"/>
            </w:tcBorders>
            <w:shd w:val="clear" w:color="auto" w:fill="F2DBDB" w:themeFill="accent2" w:themeFillTint="33"/>
          </w:tcPr>
          <w:p w:rsidR="00E416DD" w:rsidRPr="00B40AA3" w:rsidRDefault="00E416DD" w:rsidP="00697FCF">
            <w:pPr>
              <w:pStyle w:val="TableTextLeft"/>
            </w:pPr>
            <w:r w:rsidRPr="00C159FF">
              <w:t>Tariff structures and prices should facilitate the recovery of Icon Water’s allowed revenue over the regulatory period.</w:t>
            </w:r>
          </w:p>
        </w:tc>
      </w:tr>
      <w:tr w:rsidR="00E416DD" w:rsidRPr="00144F8C" w:rsidTr="00E416DD">
        <w:trPr>
          <w:cantSplit/>
        </w:trPr>
        <w:tc>
          <w:tcPr>
            <w:tcW w:w="924" w:type="pct"/>
            <w:tcBorders>
              <w:top w:val="nil"/>
              <w:left w:val="nil"/>
              <w:bottom w:val="nil"/>
              <w:right w:val="nil"/>
            </w:tcBorders>
            <w:shd w:val="clear" w:color="auto" w:fill="DAEEF3" w:themeFill="accent5" w:themeFillTint="33"/>
          </w:tcPr>
          <w:p w:rsidR="00E416DD" w:rsidRPr="00E416DD" w:rsidRDefault="00E416DD" w:rsidP="00697FCF">
            <w:pPr>
              <w:pStyle w:val="TableTextLeft"/>
              <w:jc w:val="right"/>
              <w:rPr>
                <w:b/>
              </w:rPr>
            </w:pPr>
            <w:r w:rsidRPr="00E416DD">
              <w:rPr>
                <w:b/>
              </w:rPr>
              <w:t>4</w:t>
            </w:r>
          </w:p>
        </w:tc>
        <w:tc>
          <w:tcPr>
            <w:tcW w:w="1010" w:type="pct"/>
            <w:tcBorders>
              <w:top w:val="nil"/>
              <w:left w:val="nil"/>
              <w:bottom w:val="nil"/>
              <w:right w:val="nil"/>
            </w:tcBorders>
            <w:shd w:val="clear" w:color="auto" w:fill="DAEEF3" w:themeFill="accent5" w:themeFillTint="33"/>
          </w:tcPr>
          <w:p w:rsidR="00E416DD" w:rsidRPr="001E56D3" w:rsidRDefault="00E416DD" w:rsidP="00697FCF">
            <w:pPr>
              <w:pStyle w:val="TableTextLeft"/>
              <w:rPr>
                <w:b/>
              </w:rPr>
            </w:pPr>
            <w:r w:rsidRPr="001E56D3">
              <w:rPr>
                <w:b/>
              </w:rPr>
              <w:t>Community impact</w:t>
            </w:r>
          </w:p>
        </w:tc>
        <w:tc>
          <w:tcPr>
            <w:tcW w:w="3066" w:type="pct"/>
            <w:tcBorders>
              <w:top w:val="nil"/>
              <w:left w:val="nil"/>
              <w:bottom w:val="nil"/>
              <w:right w:val="nil"/>
            </w:tcBorders>
            <w:shd w:val="clear" w:color="auto" w:fill="DAEEF3" w:themeFill="accent5" w:themeFillTint="33"/>
          </w:tcPr>
          <w:p w:rsidR="00E416DD" w:rsidRPr="00B40AA3" w:rsidRDefault="00E416DD" w:rsidP="00697FCF">
            <w:pPr>
              <w:pStyle w:val="TableTextLeft"/>
            </w:pPr>
            <w:r>
              <w:t>Tariff structures should be robust enough to promote the economically efficient use of Icon Water’s water and sewerage services infrastructure over a reasonable period of time.</w:t>
            </w:r>
          </w:p>
        </w:tc>
      </w:tr>
      <w:tr w:rsidR="00E416DD" w:rsidRPr="00144F8C" w:rsidTr="00E416DD">
        <w:trPr>
          <w:cantSplit/>
        </w:trPr>
        <w:tc>
          <w:tcPr>
            <w:tcW w:w="924" w:type="pct"/>
            <w:tcBorders>
              <w:top w:val="nil"/>
              <w:left w:val="nil"/>
              <w:bottom w:val="nil"/>
              <w:right w:val="nil"/>
            </w:tcBorders>
            <w:shd w:val="clear" w:color="auto" w:fill="DAEEF3" w:themeFill="accent5" w:themeFillTint="33"/>
          </w:tcPr>
          <w:p w:rsidR="00E416DD" w:rsidRPr="00E416DD" w:rsidRDefault="00E416DD" w:rsidP="00697FCF">
            <w:pPr>
              <w:pStyle w:val="TableTextLeft"/>
              <w:jc w:val="right"/>
              <w:rPr>
                <w:b/>
              </w:rPr>
            </w:pPr>
            <w:r w:rsidRPr="00E416DD">
              <w:rPr>
                <w:b/>
              </w:rPr>
              <w:t>5</w:t>
            </w:r>
          </w:p>
        </w:tc>
        <w:tc>
          <w:tcPr>
            <w:tcW w:w="1010" w:type="pct"/>
            <w:tcBorders>
              <w:top w:val="nil"/>
              <w:left w:val="nil"/>
              <w:bottom w:val="nil"/>
              <w:right w:val="nil"/>
            </w:tcBorders>
            <w:shd w:val="clear" w:color="auto" w:fill="DAEEF3" w:themeFill="accent5" w:themeFillTint="33"/>
          </w:tcPr>
          <w:p w:rsidR="00E416DD" w:rsidRPr="00B40AA3" w:rsidRDefault="00E416DD" w:rsidP="00697FCF">
            <w:pPr>
              <w:pStyle w:val="TableTextLeft"/>
            </w:pPr>
          </w:p>
        </w:tc>
        <w:tc>
          <w:tcPr>
            <w:tcW w:w="3066" w:type="pct"/>
            <w:tcBorders>
              <w:top w:val="nil"/>
              <w:left w:val="nil"/>
              <w:bottom w:val="nil"/>
              <w:right w:val="nil"/>
            </w:tcBorders>
            <w:shd w:val="clear" w:color="auto" w:fill="DAEEF3" w:themeFill="accent5" w:themeFillTint="33"/>
          </w:tcPr>
          <w:p w:rsidR="00E416DD" w:rsidRPr="00B40AA3" w:rsidRDefault="00E416DD" w:rsidP="00697FCF">
            <w:pPr>
              <w:pStyle w:val="TableTextLeft"/>
            </w:pPr>
            <w:r>
              <w:t>Any change to the structure of tariffs and prices that will have substantial customer impacts should be phased in over a transition period to allow customers reasonable time to adjust to the change.</w:t>
            </w:r>
          </w:p>
        </w:tc>
      </w:tr>
      <w:tr w:rsidR="00E416DD" w:rsidRPr="00144F8C" w:rsidTr="00E416DD">
        <w:trPr>
          <w:cantSplit/>
        </w:trPr>
        <w:tc>
          <w:tcPr>
            <w:tcW w:w="924" w:type="pct"/>
            <w:tcBorders>
              <w:top w:val="nil"/>
              <w:left w:val="nil"/>
              <w:bottom w:val="nil"/>
              <w:right w:val="nil"/>
            </w:tcBorders>
            <w:shd w:val="clear" w:color="auto" w:fill="DAEEF3" w:themeFill="accent5" w:themeFillTint="33"/>
          </w:tcPr>
          <w:p w:rsidR="00E416DD" w:rsidRPr="00E416DD" w:rsidRDefault="00E416DD" w:rsidP="00697FCF">
            <w:pPr>
              <w:pStyle w:val="TableTextLeft"/>
              <w:jc w:val="right"/>
              <w:rPr>
                <w:b/>
              </w:rPr>
            </w:pPr>
            <w:r w:rsidRPr="00E416DD">
              <w:rPr>
                <w:b/>
              </w:rPr>
              <w:t>6</w:t>
            </w:r>
          </w:p>
        </w:tc>
        <w:tc>
          <w:tcPr>
            <w:tcW w:w="1010" w:type="pct"/>
            <w:tcBorders>
              <w:top w:val="nil"/>
              <w:left w:val="nil"/>
              <w:bottom w:val="nil"/>
              <w:right w:val="nil"/>
            </w:tcBorders>
            <w:shd w:val="clear" w:color="auto" w:fill="DAEEF3" w:themeFill="accent5" w:themeFillTint="33"/>
          </w:tcPr>
          <w:p w:rsidR="00E416DD" w:rsidRPr="00B40AA3" w:rsidRDefault="00E416DD" w:rsidP="00697FCF">
            <w:pPr>
              <w:pStyle w:val="TableTextLeft"/>
            </w:pPr>
          </w:p>
        </w:tc>
        <w:tc>
          <w:tcPr>
            <w:tcW w:w="3066" w:type="pct"/>
            <w:tcBorders>
              <w:top w:val="nil"/>
              <w:left w:val="nil"/>
              <w:bottom w:val="nil"/>
              <w:right w:val="nil"/>
            </w:tcBorders>
            <w:shd w:val="clear" w:color="auto" w:fill="DAEEF3" w:themeFill="accent5" w:themeFillTint="33"/>
          </w:tcPr>
          <w:p w:rsidR="00E416DD" w:rsidRPr="00B40AA3" w:rsidRDefault="00E416DD" w:rsidP="00697FCF">
            <w:pPr>
              <w:pStyle w:val="TableTextLeft"/>
            </w:pPr>
            <w:r>
              <w:t>Tariff structures should be simple for customers to understand and straightforward for the utility to implement.</w:t>
            </w:r>
          </w:p>
        </w:tc>
      </w:tr>
      <w:tr w:rsidR="00E416DD" w:rsidRPr="00144F8C" w:rsidTr="00E416DD">
        <w:trPr>
          <w:cantSplit/>
        </w:trPr>
        <w:tc>
          <w:tcPr>
            <w:tcW w:w="924" w:type="pct"/>
            <w:tcBorders>
              <w:top w:val="nil"/>
              <w:left w:val="nil"/>
              <w:bottom w:val="single" w:sz="12" w:space="0" w:color="1F497D" w:themeColor="text2"/>
              <w:right w:val="nil"/>
            </w:tcBorders>
            <w:shd w:val="clear" w:color="auto" w:fill="DAEEF3" w:themeFill="accent5" w:themeFillTint="33"/>
          </w:tcPr>
          <w:p w:rsidR="00E416DD" w:rsidRPr="00E416DD" w:rsidRDefault="00E416DD" w:rsidP="00697FCF">
            <w:pPr>
              <w:pStyle w:val="TableTextLeft"/>
              <w:jc w:val="right"/>
              <w:rPr>
                <w:b/>
              </w:rPr>
            </w:pPr>
            <w:r w:rsidRPr="00E416DD">
              <w:rPr>
                <w:b/>
              </w:rPr>
              <w:t>7</w:t>
            </w:r>
          </w:p>
        </w:tc>
        <w:tc>
          <w:tcPr>
            <w:tcW w:w="1010" w:type="pct"/>
            <w:tcBorders>
              <w:top w:val="nil"/>
              <w:left w:val="nil"/>
              <w:bottom w:val="single" w:sz="12" w:space="0" w:color="1F497D" w:themeColor="text2"/>
              <w:right w:val="nil"/>
            </w:tcBorders>
            <w:shd w:val="clear" w:color="auto" w:fill="DAEEF3" w:themeFill="accent5" w:themeFillTint="33"/>
          </w:tcPr>
          <w:p w:rsidR="00E416DD" w:rsidRPr="00B40AA3" w:rsidRDefault="00E416DD" w:rsidP="00697FCF">
            <w:pPr>
              <w:pStyle w:val="TableTextLeft"/>
            </w:pPr>
          </w:p>
        </w:tc>
        <w:tc>
          <w:tcPr>
            <w:tcW w:w="3066" w:type="pct"/>
            <w:tcBorders>
              <w:top w:val="nil"/>
              <w:left w:val="nil"/>
              <w:bottom w:val="single" w:sz="12" w:space="0" w:color="1F497D" w:themeColor="text2"/>
              <w:right w:val="nil"/>
            </w:tcBorders>
            <w:shd w:val="clear" w:color="auto" w:fill="DAEEF3" w:themeFill="accent5" w:themeFillTint="33"/>
          </w:tcPr>
          <w:p w:rsidR="00E416DD" w:rsidRPr="00B40AA3" w:rsidRDefault="00E416DD" w:rsidP="00697FCF">
            <w:pPr>
              <w:pStyle w:val="TableTextLeft"/>
            </w:pPr>
            <w:r>
              <w:t>Tariffs should be set using a transparent methodology and subject to public consultation and scrutiny.</w:t>
            </w:r>
          </w:p>
        </w:tc>
      </w:tr>
    </w:tbl>
    <w:p w:rsidR="00E416DD" w:rsidRDefault="00B43A33" w:rsidP="00B43A33">
      <w:pPr>
        <w:pStyle w:val="TableNotesLast0"/>
      </w:pPr>
      <w:r>
        <w:t>Source:</w:t>
      </w:r>
      <w:r>
        <w:tab/>
      </w:r>
      <w:r>
        <w:fldChar w:fldCharType="begin"/>
      </w:r>
      <w:r w:rsidR="003D2B45">
        <w:instrText xml:space="preserve"> ADDIN EN.CITE &lt;EndNote&gt;&lt;Cite&gt;&lt;Author&gt;ICRC&lt;/Author&gt;&lt;Year&gt;2015&lt;/Year&gt;&lt;RecNum&gt;630&lt;/RecNum&gt;&lt;DisplayText&gt;ICRC (2015a)&lt;/DisplayText&gt;&lt;record&gt;&lt;rec-number&gt;630&lt;/rec-number&gt;&lt;foreign-keys&gt;&lt;key app="EN" db-id="5xwt9zxa6r5fesevwr5xzp97r95ev9wx9zpw" timestamp="1445552628"&gt;630&lt;/key&gt;&lt;/foreign-keys&gt;&lt;ref-type name="AAA ICRC Water References"&gt;40&lt;/ref-type&gt;&lt;contributors&gt;&lt;authors&gt;&lt;author&gt;ICRC,&lt;/author&gt;&lt;/authors&gt;&lt;/contributors&gt;&lt;titles&gt;&lt;title&gt;Issues Paper: Tariff Review 2016 - Regulated Water and Sewerage Services&lt;/title&gt;&lt;/titles&gt;&lt;volume&gt;Report 7 of 2015&lt;/volume&gt;&lt;dates&gt;&lt;year&gt;2015&lt;/year&gt;&lt;pub-dates&gt;&lt;date&gt;November 2015&lt;/date&gt;&lt;/pub-dates&gt;&lt;/dates&gt;&lt;pub-location&gt;Canberra&lt;/pub-location&gt;&lt;publisher&gt;ICRC&lt;/publisher&gt;&lt;urls&gt;&lt;/urls&gt;&lt;/record&gt;&lt;/Cite&gt;&lt;/EndNote&gt;</w:instrText>
      </w:r>
      <w:r>
        <w:fldChar w:fldCharType="separate"/>
      </w:r>
      <w:hyperlink w:anchor="_ENREF_22" w:tooltip="ICRC, 2015 #630" w:history="1">
        <w:r w:rsidR="00A2488A">
          <w:rPr>
            <w:noProof/>
          </w:rPr>
          <w:t>ICRC (2015a</w:t>
        </w:r>
      </w:hyperlink>
      <w:r w:rsidR="003D2B45">
        <w:rPr>
          <w:noProof/>
        </w:rPr>
        <w:t>)</w:t>
      </w:r>
      <w:r>
        <w:fldChar w:fldCharType="end"/>
      </w:r>
      <w:r>
        <w:t>: 46.</w:t>
      </w:r>
    </w:p>
    <w:p w:rsidR="008946B5" w:rsidRDefault="008946B5" w:rsidP="008946B5">
      <w:r>
        <w:t>The overarching objective seeks to promote the efficient investment in, and efficient operation and use of, Icon Water’s regulated water and sewerage services to maximise the social welfare of the community over the long term. Social welfare is maximised at the point at which it is impossible to make some individuals better off without making some other individuals worse off. Such an outcome is termed Pareto-optimal or Pareto-efficient.</w:t>
      </w:r>
    </w:p>
    <w:p w:rsidR="008946B5" w:rsidRDefault="008946B5" w:rsidP="008946B5">
      <w:r>
        <w:t>Pareto optimality addresses the organisation of production and the allocation of resulting commodities among consumers. The ‘organisation of production’ part deals with what is commonly termed productive or technical efficiency and is concerned with the allocation of factors of production to ensure goods and services are produced at the lowest possible resource cost. The ‘allocation of resulting commodities among consumers’ part deals with what is often called ‘allocative efficiency’ and is concerned with the efficient allocation of resources and commodities between competing uses. A Pareto optimal outcome is one where the commodities, or services in this particular case, are produced at least cost and allocated efficiently between consumers.</w:t>
      </w:r>
    </w:p>
    <w:p w:rsidR="008946B5" w:rsidRDefault="008946B5" w:rsidP="008946B5">
      <w:r>
        <w:lastRenderedPageBreak/>
        <w:t>The p</w:t>
      </w:r>
      <w:r w:rsidRPr="007E7C9C">
        <w:t>roductive efficiency</w:t>
      </w:r>
      <w:r>
        <w:t xml:space="preserve"> of the delivery of water and sewerage services is a key consideration in the Commission’s review of the prudence and efficiency of Icon Water’s operating and capital costs as part of a price investigation process leading up to a new regulatory period. In considering the design of water and sewerage services tariffs in this review, it is the allocative efficiency aspect of Pareto optimality which is of primary relevance</w:t>
      </w:r>
      <w:r>
        <w:sym w:font="Symbol" w:char="F02D"/>
      </w:r>
      <w:r>
        <w:t>that is, the efficient allocation of water and sewerage services to Icon Water customers.</w:t>
      </w:r>
      <w:r>
        <w:rPr>
          <w:rStyle w:val="FootnoteReference"/>
        </w:rPr>
        <w:footnoteReference w:id="16"/>
      </w:r>
    </w:p>
    <w:p w:rsidR="008946B5" w:rsidRDefault="008946B5" w:rsidP="008946B5">
      <w:r>
        <w:t>The set of proposed pricing principles has been categorised into three streams: economic efficiency, financial viability and community impacts.</w:t>
      </w:r>
    </w:p>
    <w:p w:rsidR="008946B5" w:rsidRDefault="008946B5" w:rsidP="008946B5">
      <w:r>
        <w:t xml:space="preserve">The </w:t>
      </w:r>
      <w:r w:rsidR="000F1FA6">
        <w:t xml:space="preserve">economic efficiency principle </w:t>
      </w:r>
      <w:r>
        <w:t>follows directly from the overarching objective and deals with the efficient allocation of water and sewerage services to Icon Water customers. An economically efficient (to the extent possible given the natural monopoly situation and a revenue constraint) tariff structure will assist in achieving the objective of maximising social welfare by providing price signals</w:t>
      </w:r>
      <w:r>
        <w:sym w:font="Symbol" w:char="F02D"/>
      </w:r>
      <w:r>
        <w:t>often called cost-reflective pricing</w:t>
      </w:r>
      <w:r>
        <w:sym w:font="Symbol" w:char="F02D"/>
      </w:r>
      <w:r>
        <w:t>to Icon Water customers about the efficient costs and therefore the efficient use of the service infrastructure and water resource.</w:t>
      </w:r>
      <w:r>
        <w:rPr>
          <w:rStyle w:val="FootnoteReference"/>
        </w:rPr>
        <w:footnoteReference w:id="17"/>
      </w:r>
      <w:r>
        <w:t xml:space="preserve"> Marginal cost pricing is an approach commonly advocated to give effect to this proposed principle when regulating monopoly utility prices.</w:t>
      </w:r>
    </w:p>
    <w:p w:rsidR="008946B5" w:rsidRDefault="008946B5" w:rsidP="008946B5">
      <w:r w:rsidRPr="00A1723E">
        <w:t>In its simplest form, marginal cost pricing involves setting price equal to the marginal cost of providing water and sewerage service</w:t>
      </w:r>
      <w:r>
        <w:t>s</w:t>
      </w:r>
      <w:r w:rsidRPr="00A1723E">
        <w:t xml:space="preserve">. Marginal cost, </w:t>
      </w:r>
      <w:r>
        <w:t xml:space="preserve">as defined by </w:t>
      </w:r>
      <w:r>
        <w:fldChar w:fldCharType="begin"/>
      </w:r>
      <w:r>
        <w:instrText xml:space="preserve"> ADDIN EN.CITE &lt;EndNote&gt;&lt;Cite&gt;&lt;Author&gt;Turvey&lt;/Author&gt;&lt;Year&gt;1976&lt;/Year&gt;&lt;RecNum&gt;519&lt;/RecNum&gt;&lt;DisplayText&gt;Turvey (1976)&lt;/DisplayText&gt;&lt;record&gt;&lt;rec-number&gt;519&lt;/rec-number&gt;&lt;foreign-keys&gt;&lt;key app="EN" db-id="5xwt9zxa6r5fesevwr5xzp97r95ev9wx9zpw" timestamp="1439945729"&gt;519&lt;/key&gt;&lt;/foreign-keys&gt;&lt;ref-type name="Journal Article"&gt;17&lt;/ref-type&gt;&lt;contributors&gt;&lt;authors&gt;&lt;author&gt;Turvey, Ralph&lt;/author&gt;&lt;/authors&gt;&lt;/contributors&gt;&lt;titles&gt;&lt;title&gt;Analyzing the Marginal Cost of Water Supply&lt;/title&gt;&lt;secondary-title&gt;Land Economics&lt;/secondary-title&gt;&lt;/titles&gt;&lt;periodical&gt;&lt;full-title&gt;Land Economics&lt;/full-title&gt;&lt;/periodical&gt;&lt;pages&gt;158-168&lt;/pages&gt;&lt;volume&gt;52&lt;/volume&gt;&lt;keywords&gt;&lt;keyword&gt;Water Supply&lt;/keyword&gt;&lt;keyword&gt;Marginal Cost of Water&lt;/keyword&gt;&lt;/keywords&gt;&lt;dates&gt;&lt;year&gt;1976&lt;/year&gt;&lt;/dates&gt;&lt;urls&gt;&lt;/urls&gt;&lt;/record&gt;&lt;/Cite&gt;&lt;/EndNote&gt;</w:instrText>
      </w:r>
      <w:r>
        <w:fldChar w:fldCharType="separate"/>
      </w:r>
      <w:hyperlink w:anchor="_ENREF_40" w:tooltip="Turvey, 1976 #519" w:history="1">
        <w:r w:rsidR="00A2488A">
          <w:rPr>
            <w:noProof/>
          </w:rPr>
          <w:t>Turvey (1976</w:t>
        </w:r>
      </w:hyperlink>
      <w:r>
        <w:rPr>
          <w:noProof/>
        </w:rPr>
        <w:t>)</w:t>
      </w:r>
      <w:r>
        <w:fldChar w:fldCharType="end"/>
      </w:r>
      <w:r>
        <w:t>:</w:t>
      </w:r>
    </w:p>
    <w:p w:rsidR="008946B5" w:rsidRDefault="008946B5" w:rsidP="008946B5">
      <w:pPr>
        <w:pStyle w:val="Quote"/>
      </w:pPr>
      <w:r w:rsidRPr="00A1723E">
        <w:t>is the effect upon future system costs of a small increment or decrement to the projected growth of demand</w:t>
      </w:r>
      <w:r>
        <w:t>.</w:t>
      </w:r>
      <w:r>
        <w:rPr>
          <w:rStyle w:val="FootnoteReference"/>
        </w:rPr>
        <w:footnoteReference w:id="18"/>
      </w:r>
    </w:p>
    <w:p w:rsidR="008946B5" w:rsidRPr="00470428" w:rsidRDefault="008946B5" w:rsidP="008946B5">
      <w:r w:rsidRPr="00470428">
        <w:t xml:space="preserve">As such, marginal cost is a forward-looking concept. This differs from the Commission’s current approach to setting Icon Water’s prices which can be characterised as </w:t>
      </w:r>
      <w:r>
        <w:t>backward-looking as, in the case of water for example, prices are ‘</w:t>
      </w:r>
      <w:r w:rsidRPr="00470428">
        <w:t>based on the annualized cost of providing the most recent realized supply augmentation</w:t>
      </w:r>
      <w:r>
        <w:t>’</w:t>
      </w:r>
      <w:r w:rsidRPr="00470428">
        <w:t>.</w:t>
      </w:r>
      <w:r>
        <w:rPr>
          <w:rStyle w:val="FootnoteReference"/>
        </w:rPr>
        <w:footnoteReference w:id="19"/>
      </w:r>
    </w:p>
    <w:p w:rsidR="008946B5" w:rsidRDefault="008946B5" w:rsidP="008946B5">
      <w:r>
        <w:t>The pricing principles relating to full cost recovery, price path stability and the transition to a new tariff structure, are also relevant to marginal cost pricing, albeit from the perspective of the Commission’s recommendation at the conclusion of this tariff review on whether or not to implement such a pricing approach in the ACT.</w:t>
      </w:r>
    </w:p>
    <w:p w:rsidR="000A20FC" w:rsidRDefault="00A161B8" w:rsidP="00D870F2">
      <w:r>
        <w:lastRenderedPageBreak/>
        <w:t xml:space="preserve">The issues paper also </w:t>
      </w:r>
      <w:r w:rsidR="000A20FC">
        <w:t xml:space="preserve">canvassed </w:t>
      </w:r>
      <w:r>
        <w:t xml:space="preserve">a range of </w:t>
      </w:r>
      <w:r w:rsidRPr="00A161B8">
        <w:t>theoretical and practical pricing matters</w:t>
      </w:r>
      <w:r>
        <w:t xml:space="preserve"> that are directly relevant to the review.</w:t>
      </w:r>
      <w:r w:rsidR="000A20FC">
        <w:t xml:space="preserve"> </w:t>
      </w:r>
      <w:r>
        <w:t>Th</w:t>
      </w:r>
      <w:r w:rsidR="0084466F">
        <w:t>ese</w:t>
      </w:r>
      <w:r>
        <w:t xml:space="preserve"> included marginal cost pricing in a monopoly situation, using price to manage demand and different</w:t>
      </w:r>
      <w:r w:rsidR="00C341B0">
        <w:t>ial</w:t>
      </w:r>
      <w:r>
        <w:t xml:space="preserve"> pric</w:t>
      </w:r>
      <w:r w:rsidR="0084466F">
        <w:t>ing</w:t>
      </w:r>
      <w:r>
        <w:t xml:space="preserve"> </w:t>
      </w:r>
      <w:r w:rsidR="0084466F">
        <w:t xml:space="preserve">for </w:t>
      </w:r>
      <w:r>
        <w:t>customer groups.</w:t>
      </w:r>
      <w:r w:rsidR="007F32D5">
        <w:t xml:space="preserve"> </w:t>
      </w:r>
    </w:p>
    <w:p w:rsidR="00F01ECA" w:rsidRDefault="00F01ECA" w:rsidP="00D870F2">
      <w:r>
        <w:t xml:space="preserve">The issues paper </w:t>
      </w:r>
      <w:r w:rsidR="007F32D5">
        <w:t xml:space="preserve">further </w:t>
      </w:r>
      <w:r>
        <w:t>flagged that the Commission would publish two technical papers</w:t>
      </w:r>
      <w:r>
        <w:sym w:font="Symbol" w:char="F02D"/>
      </w:r>
      <w:r>
        <w:t>one on the price elasticity of demand for water in the ACT and the other on marginal cost pricing</w:t>
      </w:r>
      <w:r>
        <w:sym w:font="Symbol" w:char="F02D"/>
      </w:r>
      <w:r>
        <w:t>in order to provide the necessary evidence base for informed decision-making on the tariff structure</w:t>
      </w:r>
      <w:r w:rsidR="00765E2F">
        <w:t xml:space="preserve"> at the draft and final report stages of the review</w:t>
      </w:r>
      <w:r>
        <w:t xml:space="preserve">.    </w:t>
      </w:r>
    </w:p>
    <w:p w:rsidR="006B1762" w:rsidRDefault="00765E2F" w:rsidP="00F22E2F">
      <w:pPr>
        <w:pStyle w:val="Heading3"/>
      </w:pPr>
      <w:r>
        <w:t>Technical paper 1: E</w:t>
      </w:r>
      <w:r w:rsidR="006B1762">
        <w:t>lasticity</w:t>
      </w:r>
      <w:r>
        <w:t xml:space="preserve"> of water demand</w:t>
      </w:r>
    </w:p>
    <w:p w:rsidR="00C8548E" w:rsidRDefault="006209AF" w:rsidP="00C341B0">
      <w:r>
        <w:t xml:space="preserve">The </w:t>
      </w:r>
      <w:r w:rsidR="00C341B0">
        <w:t xml:space="preserve">first </w:t>
      </w:r>
      <w:r w:rsidR="00A8355A">
        <w:t xml:space="preserve">technical </w:t>
      </w:r>
      <w:r w:rsidR="00C341B0">
        <w:t xml:space="preserve">paper provided an estimate of the price </w:t>
      </w:r>
      <w:r>
        <w:t xml:space="preserve">elasticity </w:t>
      </w:r>
      <w:r w:rsidR="00A8355A">
        <w:t>of demand for water in the ACT</w:t>
      </w:r>
      <w:r w:rsidR="003F2EEE">
        <w:t>, information necessary to evaluate the merits of u</w:t>
      </w:r>
      <w:r w:rsidR="00C341B0">
        <w:t>sing price to manage demand</w:t>
      </w:r>
      <w:r w:rsidR="00AB34A7">
        <w:t xml:space="preserve"> rather than solely relying on quantity restrictions</w:t>
      </w:r>
      <w:r w:rsidR="003F2EEE">
        <w:t xml:space="preserve">, </w:t>
      </w:r>
      <w:r w:rsidR="00C341B0">
        <w:t xml:space="preserve">and </w:t>
      </w:r>
      <w:r w:rsidR="00C13128">
        <w:t xml:space="preserve">required for the practical </w:t>
      </w:r>
      <w:r w:rsidR="00C341B0">
        <w:t>application of Ramsey pricing.</w:t>
      </w:r>
    </w:p>
    <w:p w:rsidR="001B4485" w:rsidRDefault="0030681A" w:rsidP="00C341B0">
      <w:r>
        <w:t>The Commission found that the price elasticity of demand for residential water in the ACT whi</w:t>
      </w:r>
      <w:r w:rsidR="00C16CC6">
        <w:t xml:space="preserve">le not zero is relatively small with a </w:t>
      </w:r>
      <w:r w:rsidR="001B4485">
        <w:t>point estimate of -0.14 across the 1999 to 2015 period</w:t>
      </w:r>
      <w:r w:rsidR="00C16CC6">
        <w:t>.</w:t>
      </w:r>
    </w:p>
    <w:p w:rsidR="00BA33B4" w:rsidRDefault="00AB34A7" w:rsidP="00C341B0">
      <w:r>
        <w:t xml:space="preserve">Under the current ACT temporary water restrictions scheme, Stage 3 restrictions target a 35 per cent reduction in water use relative to permanent water conservation measures. Given the elasticity estimate above, to achieve this reduction in demand would require a 250 per cent increase in the average </w:t>
      </w:r>
      <w:r w:rsidR="00535E01">
        <w:t>usage</w:t>
      </w:r>
      <w:r>
        <w:t xml:space="preserve"> price. Applying the more elastic summer estimate of -0.19 implies a price increase in excess of 180 per cent to meet the water reduction objective. Furthermore, prices of this magnitude are well outside the data used for this analysis, and therefore the demand response would be uncertain.</w:t>
      </w:r>
    </w:p>
    <w:p w:rsidR="00F55FB5" w:rsidRDefault="00BA33B4" w:rsidP="00C341B0">
      <w:r>
        <w:t>The Commission</w:t>
      </w:r>
      <w:r w:rsidR="006040F0">
        <w:t xml:space="preserve">’s primary conclusion </w:t>
      </w:r>
      <w:r w:rsidR="00EB240C">
        <w:t>wa</w:t>
      </w:r>
      <w:r w:rsidR="001660D9">
        <w:t xml:space="preserve">s </w:t>
      </w:r>
      <w:r w:rsidR="006040F0">
        <w:t xml:space="preserve">that </w:t>
      </w:r>
      <w:r>
        <w:t>t</w:t>
      </w:r>
      <w:r w:rsidR="00AB34A7">
        <w:t xml:space="preserve">his finding mitigates against the </w:t>
      </w:r>
      <w:r w:rsidR="00B976AF">
        <w:t xml:space="preserve">sole </w:t>
      </w:r>
      <w:r w:rsidR="00AB34A7">
        <w:t>use of price as a tool to manage water demand in the ACT. The finding that the residential price response is less elastic in the sub-period after the 2006 structural break than over the entire 1999 to 2015 period further supports this conclusion.</w:t>
      </w:r>
    </w:p>
    <w:p w:rsidR="006B1762" w:rsidRDefault="00765E2F" w:rsidP="00F22E2F">
      <w:pPr>
        <w:pStyle w:val="Heading3"/>
      </w:pPr>
      <w:r>
        <w:t xml:space="preserve">Technical paper 2: </w:t>
      </w:r>
      <w:r w:rsidR="006B1762">
        <w:t>Marginal cost pricing</w:t>
      </w:r>
    </w:p>
    <w:p w:rsidR="001D622E" w:rsidRDefault="00C8548E" w:rsidP="001D622E">
      <w:r>
        <w:t xml:space="preserve">The second technical paper </w:t>
      </w:r>
      <w:r w:rsidR="0018029C">
        <w:t xml:space="preserve">assessed the theory and practice of marginal cost pricing in a natural monopoly industry, and provided current estimates of the marginal cost of providing regulated water and sewerage services in the ACT. </w:t>
      </w:r>
      <w:r w:rsidR="001D622E">
        <w:t>More specifically, the paper sought to answer two questions:</w:t>
      </w:r>
    </w:p>
    <w:p w:rsidR="001D622E" w:rsidRDefault="001D622E" w:rsidP="001D622E">
      <w:pPr>
        <w:pStyle w:val="ListNumber"/>
      </w:pPr>
      <w:r>
        <w:t>Is Icon Water’s current tariff structure providing suitable price signals to its customers about the efficient costs of water and sewerage services?</w:t>
      </w:r>
    </w:p>
    <w:p w:rsidR="00A8355A" w:rsidRDefault="001D622E" w:rsidP="001D622E">
      <w:pPr>
        <w:pStyle w:val="ListNumber"/>
      </w:pPr>
      <w:r>
        <w:t>If not, what would a more efficient tariff structure look like?</w:t>
      </w:r>
    </w:p>
    <w:p w:rsidR="00F76366" w:rsidRDefault="00F76366" w:rsidP="00FA7722">
      <w:r>
        <w:t>The a</w:t>
      </w:r>
      <w:r w:rsidR="00FA7722">
        <w:t>nalysis show</w:t>
      </w:r>
      <w:r w:rsidR="009C4526">
        <w:t>ed</w:t>
      </w:r>
      <w:r w:rsidR="00FA7722">
        <w:t xml:space="preserve"> that all the </w:t>
      </w:r>
      <w:r>
        <w:t xml:space="preserve">water </w:t>
      </w:r>
      <w:r w:rsidR="00FA7722">
        <w:t>marginal cost estimates calculated</w:t>
      </w:r>
      <w:r>
        <w:t xml:space="preserve"> for the purposes of this paper</w:t>
      </w:r>
      <w:r w:rsidR="00FA7722">
        <w:t>, short- and long-run, are well below even the first tier current water price of $2.6</w:t>
      </w:r>
      <w:r w:rsidR="0052543C">
        <w:t>1</w:t>
      </w:r>
      <w:r w:rsidR="00FA7722">
        <w:t xml:space="preserve"> per kL. The paper concluded that Icon Water’s current water tariff </w:t>
      </w:r>
      <w:r w:rsidR="00FA7722">
        <w:lastRenderedPageBreak/>
        <w:t xml:space="preserve">structure does </w:t>
      </w:r>
      <w:r w:rsidR="00FA7722" w:rsidRPr="00FA7722">
        <w:t>not appear to be providing suitable price signals to customers about the efficient use of the service infrastructure and water resource.</w:t>
      </w:r>
    </w:p>
    <w:p w:rsidR="002943DF" w:rsidRDefault="00F76366" w:rsidP="002943DF">
      <w:r>
        <w:t xml:space="preserve">As to the second question about what a more efficient water tariff structure would look like, the paper </w:t>
      </w:r>
      <w:r w:rsidR="00D676D8">
        <w:t xml:space="preserve">concluded </w:t>
      </w:r>
      <w:r>
        <w:t xml:space="preserve">that the pursuit of economic efficiency would dictate a move towards one </w:t>
      </w:r>
      <w:r w:rsidR="00535E01">
        <w:t>usage</w:t>
      </w:r>
      <w:r>
        <w:t xml:space="preserve"> price, set with reference to marginal cost.</w:t>
      </w:r>
      <w:r w:rsidR="002943DF">
        <w:t xml:space="preserve"> The paper noted that moving from the current inclining block structure and price levels to a new, more efficient, single </w:t>
      </w:r>
      <w:r w:rsidR="00535E01">
        <w:t>usage</w:t>
      </w:r>
      <w:r w:rsidR="002943DF">
        <w:t xml:space="preserve"> charge structure with the price set with reference to marginal cost w</w:t>
      </w:r>
      <w:r w:rsidR="00B976AF">
        <w:t xml:space="preserve">ould </w:t>
      </w:r>
      <w:r w:rsidR="002943DF">
        <w:t xml:space="preserve">require </w:t>
      </w:r>
      <w:r w:rsidR="002D5C01">
        <w:t xml:space="preserve">a </w:t>
      </w:r>
      <w:r w:rsidR="00B976AF">
        <w:t>rebalancing of the supply and usage charge</w:t>
      </w:r>
      <w:r w:rsidR="00B976AF">
        <w:softHyphen/>
      </w:r>
      <w:r w:rsidR="00B976AF">
        <w:softHyphen/>
      </w:r>
      <w:r w:rsidR="00AE41FC">
        <w:t xml:space="preserve">—with a </w:t>
      </w:r>
      <w:r w:rsidR="002943DF">
        <w:t>significant adjustment in the level of the supply charge.</w:t>
      </w:r>
    </w:p>
    <w:p w:rsidR="00FA7722" w:rsidRDefault="00560FEA" w:rsidP="00327ABE">
      <w:r>
        <w:t>With regard to sewerage services, t</w:t>
      </w:r>
      <w:r w:rsidR="00327ABE">
        <w:t xml:space="preserve">he paper noted that the fact that the current tariff is based entirely on </w:t>
      </w:r>
      <w:r w:rsidR="00B14BFA">
        <w:t>supply</w:t>
      </w:r>
      <w:r w:rsidR="00327ABE">
        <w:t xml:space="preserve"> charges implies that it is incapable of providing suitable price signals to customers about the efficient costs of sewerage services in the ACT.</w:t>
      </w:r>
    </w:p>
    <w:p w:rsidR="004939C0" w:rsidRDefault="004939C0" w:rsidP="00F22E2F">
      <w:pPr>
        <w:pStyle w:val="Heading3"/>
      </w:pPr>
      <w:r>
        <w:t>Submissions received</w:t>
      </w:r>
    </w:p>
    <w:p w:rsidR="004939C0" w:rsidRDefault="004939C0" w:rsidP="004939C0">
      <w:r>
        <w:t xml:space="preserve">The Commission has received </w:t>
      </w:r>
      <w:r w:rsidR="00497ABF">
        <w:t>9</w:t>
      </w:r>
      <w:r>
        <w:t xml:space="preserve"> submissions on the tariff review papers published to date. Two submissions were received from Icon Water, one from the ACT Civil and Administrative Tribunal (ACAT), one from Clubs ACT</w:t>
      </w:r>
      <w:r w:rsidR="00537AAD">
        <w:t>, one from the Federal Golf Club</w:t>
      </w:r>
      <w:r>
        <w:t xml:space="preserve"> and </w:t>
      </w:r>
      <w:r w:rsidR="00C365C2">
        <w:t>four</w:t>
      </w:r>
      <w:r>
        <w:t xml:space="preserve"> from members of the ACT community. A summary of the submissions is provided in </w:t>
      </w:r>
      <w:r>
        <w:fldChar w:fldCharType="begin"/>
      </w:r>
      <w:r>
        <w:instrText xml:space="preserve"> REF _Ref454880637 \r \h </w:instrText>
      </w:r>
      <w:r>
        <w:fldChar w:fldCharType="separate"/>
      </w:r>
      <w:r w:rsidR="00B80BC7">
        <w:t>Appendix 1</w:t>
      </w:r>
      <w:r>
        <w:fldChar w:fldCharType="end"/>
      </w:r>
      <w:r>
        <w:t>. Submissions are considered in the relevant chapters of the draft report.</w:t>
      </w:r>
    </w:p>
    <w:p w:rsidR="006209AF" w:rsidRDefault="006209AF" w:rsidP="006209AF">
      <w:pPr>
        <w:pStyle w:val="Heading2"/>
      </w:pPr>
      <w:bookmarkStart w:id="56" w:name="_Toc460572205"/>
      <w:r>
        <w:t>Purpose of the draft report</w:t>
      </w:r>
      <w:bookmarkEnd w:id="56"/>
    </w:p>
    <w:p w:rsidR="00ED498F" w:rsidRDefault="00ED498F" w:rsidP="001E315F">
      <w:r>
        <w:t>The purpose of the tariff review is to determine whether the current water and sewerage services tariff structure will continue to deliver the best outcome for the ACT community, or whether changes are required.</w:t>
      </w:r>
    </w:p>
    <w:p w:rsidR="008E1AE8" w:rsidRDefault="0033104C" w:rsidP="001E315F">
      <w:r>
        <w:t xml:space="preserve">The purpose of the draft report is </w:t>
      </w:r>
      <w:r w:rsidR="004B0ECF">
        <w:t xml:space="preserve">to </w:t>
      </w:r>
      <w:r w:rsidR="001E315F">
        <w:t>set out</w:t>
      </w:r>
      <w:r w:rsidR="00507EC0">
        <w:t>, for public consideration,</w:t>
      </w:r>
      <w:r w:rsidR="001E315F">
        <w:t xml:space="preserve"> the Commission’s initial </w:t>
      </w:r>
      <w:r w:rsidR="005963DD">
        <w:t xml:space="preserve">position on </w:t>
      </w:r>
      <w:r w:rsidR="001E315F">
        <w:t xml:space="preserve">whether the current water and sewerage services tariff structure will continue to deliver the best outcome for the ACT community, </w:t>
      </w:r>
      <w:r w:rsidR="004B0ECF">
        <w:t xml:space="preserve">and if not, </w:t>
      </w:r>
      <w:r w:rsidR="00791FA0">
        <w:t xml:space="preserve">present </w:t>
      </w:r>
      <w:r w:rsidR="004B0ECF">
        <w:t xml:space="preserve">an alternative structure that </w:t>
      </w:r>
      <w:r w:rsidR="00E231EB">
        <w:t xml:space="preserve">the Commission </w:t>
      </w:r>
      <w:r w:rsidR="00627AAE">
        <w:t xml:space="preserve">believes </w:t>
      </w:r>
      <w:r w:rsidR="004B0ECF">
        <w:t xml:space="preserve">will deliver </w:t>
      </w:r>
      <w:r w:rsidR="00791FA0">
        <w:t xml:space="preserve">a </w:t>
      </w:r>
      <w:r w:rsidR="004B0ECF">
        <w:t>be</w:t>
      </w:r>
      <w:r w:rsidR="00791FA0">
        <w:t xml:space="preserve">tter </w:t>
      </w:r>
      <w:r w:rsidR="004B0ECF">
        <w:t>outcome</w:t>
      </w:r>
      <w:r w:rsidR="001E315F">
        <w:t>.</w:t>
      </w:r>
      <w:r w:rsidR="008E1AE8">
        <w:t xml:space="preserve"> This process involves the following steps.</w:t>
      </w:r>
    </w:p>
    <w:p w:rsidR="00096BB5" w:rsidRDefault="008E1AE8" w:rsidP="001E315F">
      <w:r>
        <w:t xml:space="preserve">First, </w:t>
      </w:r>
      <w:r w:rsidR="00AA25E0">
        <w:t xml:space="preserve">in Chapter </w:t>
      </w:r>
      <w:r w:rsidR="00AA25E0">
        <w:fldChar w:fldCharType="begin"/>
      </w:r>
      <w:r w:rsidR="00AA25E0">
        <w:instrText xml:space="preserve"> REF _Ref448923205 \r \h </w:instrText>
      </w:r>
      <w:r w:rsidR="00AA25E0">
        <w:fldChar w:fldCharType="separate"/>
      </w:r>
      <w:r w:rsidR="00B80BC7">
        <w:t>2</w:t>
      </w:r>
      <w:r w:rsidR="00AA25E0">
        <w:fldChar w:fldCharType="end"/>
      </w:r>
      <w:r w:rsidR="00096BB5">
        <w:t>,</w:t>
      </w:r>
      <w:r w:rsidR="00AA25E0">
        <w:t xml:space="preserve"> </w:t>
      </w:r>
      <w:r>
        <w:t xml:space="preserve">the </w:t>
      </w:r>
      <w:r w:rsidR="007C7292">
        <w:t xml:space="preserve">tariff </w:t>
      </w:r>
      <w:r>
        <w:t xml:space="preserve">assessment framework </w:t>
      </w:r>
      <w:r w:rsidR="007C7292">
        <w:t xml:space="preserve">proposed in the issues paper is reviewed </w:t>
      </w:r>
      <w:r w:rsidR="00627AAE">
        <w:t xml:space="preserve">and refined </w:t>
      </w:r>
      <w:r w:rsidR="007C7292">
        <w:t xml:space="preserve">in light of </w:t>
      </w:r>
      <w:r w:rsidR="00096BB5">
        <w:t xml:space="preserve">recent legislative changes, </w:t>
      </w:r>
      <w:r w:rsidR="007C7292">
        <w:t>stakeholder submissions and further Commission analysis.</w:t>
      </w:r>
    </w:p>
    <w:p w:rsidR="00EA08E9" w:rsidRDefault="00096BB5" w:rsidP="001E315F">
      <w:r>
        <w:t xml:space="preserve">Second, in Chapters </w:t>
      </w:r>
      <w:r>
        <w:fldChar w:fldCharType="begin"/>
      </w:r>
      <w:r>
        <w:instrText xml:space="preserve"> REF _Ref433615233 \r \h </w:instrText>
      </w:r>
      <w:r>
        <w:fldChar w:fldCharType="separate"/>
      </w:r>
      <w:r w:rsidR="00B80BC7">
        <w:t>3</w:t>
      </w:r>
      <w:r>
        <w:fldChar w:fldCharType="end"/>
      </w:r>
      <w:r>
        <w:t xml:space="preserve"> and </w:t>
      </w:r>
      <w:r>
        <w:fldChar w:fldCharType="begin"/>
      </w:r>
      <w:r>
        <w:instrText xml:space="preserve"> REF _Ref456854830 \r \h </w:instrText>
      </w:r>
      <w:r>
        <w:fldChar w:fldCharType="separate"/>
      </w:r>
      <w:r w:rsidR="00B80BC7">
        <w:t>4</w:t>
      </w:r>
      <w:r>
        <w:fldChar w:fldCharType="end"/>
      </w:r>
      <w:r>
        <w:t xml:space="preserve">, </w:t>
      </w:r>
      <w:r w:rsidR="009219A0">
        <w:t xml:space="preserve">using </w:t>
      </w:r>
      <w:r w:rsidR="009A7A73">
        <w:t>the refined framework</w:t>
      </w:r>
      <w:r w:rsidR="009219A0">
        <w:t>, and the evidence base from the two technical papers,</w:t>
      </w:r>
      <w:r w:rsidR="009A7A73">
        <w:t xml:space="preserve"> </w:t>
      </w:r>
      <w:r w:rsidR="009219A0">
        <w:t xml:space="preserve">Icon Water’s current water and sewerage tariff structures </w:t>
      </w:r>
      <w:r w:rsidR="000C0FAD">
        <w:t xml:space="preserve">and potential alternatives </w:t>
      </w:r>
      <w:r w:rsidR="009219A0">
        <w:t>are evaluated</w:t>
      </w:r>
      <w:r w:rsidR="00FE1673">
        <w:t>.</w:t>
      </w:r>
    </w:p>
    <w:p w:rsidR="001E315F" w:rsidRDefault="00EA08E9" w:rsidP="001E315F">
      <w:r>
        <w:lastRenderedPageBreak/>
        <w:t>Third</w:t>
      </w:r>
      <w:r w:rsidR="00B95430">
        <w:t xml:space="preserve"> and finally</w:t>
      </w:r>
      <w:r>
        <w:t xml:space="preserve">, in Chapter </w:t>
      </w:r>
      <w:r>
        <w:fldChar w:fldCharType="begin"/>
      </w:r>
      <w:r>
        <w:instrText xml:space="preserve"> REF _Ref454886877 \r \h </w:instrText>
      </w:r>
      <w:r>
        <w:fldChar w:fldCharType="separate"/>
      </w:r>
      <w:r w:rsidR="00B80BC7">
        <w:t>5</w:t>
      </w:r>
      <w:r>
        <w:fldChar w:fldCharType="end"/>
      </w:r>
      <w:r>
        <w:t xml:space="preserve">, </w:t>
      </w:r>
      <w:r w:rsidR="00F57F8F">
        <w:t>matters related to the implementation of any recommended changes to current tariff structures</w:t>
      </w:r>
      <w:r w:rsidR="00652ED0">
        <w:t>, such as transition periods,</w:t>
      </w:r>
      <w:r w:rsidR="00F57F8F">
        <w:t xml:space="preserve"> are discussed</w:t>
      </w:r>
      <w:r w:rsidR="008118C9">
        <w:t>.</w:t>
      </w:r>
      <w:r w:rsidR="00F57F8F">
        <w:t xml:space="preserve"> </w:t>
      </w:r>
      <w:r>
        <w:t xml:space="preserve"> </w:t>
      </w:r>
      <w:r w:rsidR="009219A0">
        <w:t xml:space="preserve">  </w:t>
      </w:r>
      <w:r w:rsidR="009A7A73">
        <w:t xml:space="preserve"> </w:t>
      </w:r>
    </w:p>
    <w:p w:rsidR="00BF6EE5" w:rsidRDefault="00C11776" w:rsidP="002B6726">
      <w:pPr>
        <w:pStyle w:val="Heading2"/>
      </w:pPr>
      <w:bookmarkStart w:id="57" w:name="Scope"/>
      <w:bookmarkStart w:id="58" w:name="Timeline"/>
      <w:bookmarkStart w:id="59" w:name="_Toc368572036"/>
      <w:bookmarkStart w:id="60" w:name="_Toc460572206"/>
      <w:bookmarkEnd w:id="49"/>
      <w:bookmarkEnd w:id="50"/>
      <w:bookmarkEnd w:id="57"/>
      <w:bookmarkEnd w:id="58"/>
      <w:r>
        <w:t>Tariff r</w:t>
      </w:r>
      <w:r w:rsidR="00FE15B4">
        <w:t xml:space="preserve">eview </w:t>
      </w:r>
      <w:r w:rsidR="00BF6EE5">
        <w:t>timeline</w:t>
      </w:r>
      <w:bookmarkEnd w:id="59"/>
      <w:r w:rsidR="00DE7432">
        <w:t xml:space="preserve"> and submission process</w:t>
      </w:r>
      <w:bookmarkEnd w:id="60"/>
    </w:p>
    <w:p w:rsidR="00BF6EE5" w:rsidRPr="00AE2809" w:rsidRDefault="00BF6EE5" w:rsidP="00117078">
      <w:r w:rsidRPr="00AE2809">
        <w:t xml:space="preserve">The </w:t>
      </w:r>
      <w:r w:rsidR="00E10B52">
        <w:t xml:space="preserve">indicative </w:t>
      </w:r>
      <w:r w:rsidRPr="00AE2809">
        <w:t xml:space="preserve">timeline </w:t>
      </w:r>
      <w:r w:rsidR="00251890">
        <w:t xml:space="preserve">for the remainder of the review is </w:t>
      </w:r>
      <w:r>
        <w:t xml:space="preserve">set out in </w:t>
      </w:r>
      <w:r w:rsidR="004D435F">
        <w:fldChar w:fldCharType="begin"/>
      </w:r>
      <w:r w:rsidR="004D435F">
        <w:instrText xml:space="preserve"> REF _Ref366755611 \h  \* MERGEFORMAT </w:instrText>
      </w:r>
      <w:r w:rsidR="004D435F">
        <w:fldChar w:fldCharType="separate"/>
      </w:r>
      <w:r w:rsidR="00B80BC7" w:rsidRPr="003C3AEA">
        <w:t>Table</w:t>
      </w:r>
      <w:r w:rsidR="00B80BC7">
        <w:t xml:space="preserve"> </w:t>
      </w:r>
      <w:r w:rsidR="00B80BC7">
        <w:rPr>
          <w:noProof/>
        </w:rPr>
        <w:t>1.2</w:t>
      </w:r>
      <w:r w:rsidR="004D435F">
        <w:fldChar w:fldCharType="end"/>
      </w:r>
      <w:r w:rsidRPr="00AE2809">
        <w:t>.</w:t>
      </w:r>
    </w:p>
    <w:p w:rsidR="00BF6EE5" w:rsidRDefault="00BF6EE5" w:rsidP="00953B98">
      <w:pPr>
        <w:pStyle w:val="FigureName"/>
        <w:keepNext/>
      </w:pPr>
      <w:bookmarkStart w:id="61" w:name="_Ref366755611"/>
      <w:bookmarkStart w:id="62" w:name="_Toc367181957"/>
      <w:bookmarkStart w:id="63" w:name="_Toc368572051"/>
      <w:bookmarkStart w:id="64" w:name="_Toc460572246"/>
      <w:r w:rsidRPr="003C3AEA">
        <w:t>Table</w:t>
      </w:r>
      <w:r>
        <w:t xml:space="preserve"> </w:t>
      </w:r>
      <w:r w:rsidR="00A51443">
        <w:fldChar w:fldCharType="begin"/>
      </w:r>
      <w:r>
        <w:instrText xml:space="preserve"> STYLEREF 1 \s </w:instrText>
      </w:r>
      <w:r w:rsidR="00A51443">
        <w:fldChar w:fldCharType="separate"/>
      </w:r>
      <w:r w:rsidR="00B80BC7">
        <w:rPr>
          <w:noProof/>
        </w:rPr>
        <w:t>1</w:t>
      </w:r>
      <w:r w:rsidR="00A51443">
        <w:fldChar w:fldCharType="end"/>
      </w:r>
      <w:r>
        <w:t>.</w:t>
      </w:r>
      <w:r w:rsidR="00A51443">
        <w:fldChar w:fldCharType="begin"/>
      </w:r>
      <w:r>
        <w:instrText xml:space="preserve"> SEQ Table \* ARABIC \s 1 </w:instrText>
      </w:r>
      <w:r w:rsidR="00A51443">
        <w:fldChar w:fldCharType="separate"/>
      </w:r>
      <w:r w:rsidR="00B80BC7">
        <w:rPr>
          <w:noProof/>
        </w:rPr>
        <w:t>2</w:t>
      </w:r>
      <w:r w:rsidR="00A51443">
        <w:fldChar w:fldCharType="end"/>
      </w:r>
      <w:bookmarkEnd w:id="61"/>
      <w:r>
        <w:tab/>
        <w:t xml:space="preserve">Indicative timeline for the </w:t>
      </w:r>
      <w:bookmarkEnd w:id="62"/>
      <w:bookmarkEnd w:id="63"/>
      <w:r w:rsidR="003218A9">
        <w:t>tariff review</w:t>
      </w:r>
      <w:bookmarkEnd w:id="64"/>
    </w:p>
    <w:tbl>
      <w:tblPr>
        <w:tblW w:w="4232" w:type="pct"/>
        <w:tblBorders>
          <w:top w:val="single" w:sz="12" w:space="0" w:color="333399"/>
          <w:bottom w:val="single" w:sz="12" w:space="0" w:color="333399"/>
        </w:tblBorders>
        <w:tblCellMar>
          <w:left w:w="115" w:type="dxa"/>
          <w:right w:w="115" w:type="dxa"/>
        </w:tblCellMar>
        <w:tblLook w:val="0000" w:firstRow="0" w:lastRow="0" w:firstColumn="0" w:lastColumn="0" w:noHBand="0" w:noVBand="0"/>
      </w:tblPr>
      <w:tblGrid>
        <w:gridCol w:w="4368"/>
        <w:gridCol w:w="2159"/>
      </w:tblGrid>
      <w:tr w:rsidR="00BF6EE5" w:rsidRPr="00144F8C" w:rsidTr="004C4CC6">
        <w:trPr>
          <w:cantSplit/>
        </w:trPr>
        <w:tc>
          <w:tcPr>
            <w:tcW w:w="3346" w:type="pct"/>
            <w:tcBorders>
              <w:top w:val="single" w:sz="12" w:space="0" w:color="1F497D" w:themeColor="text2"/>
              <w:left w:val="nil"/>
              <w:bottom w:val="single" w:sz="8" w:space="0" w:color="1F497D" w:themeColor="text2"/>
              <w:right w:val="nil"/>
            </w:tcBorders>
            <w:shd w:val="clear" w:color="auto" w:fill="DBE5F1" w:themeFill="accent1" w:themeFillTint="33"/>
            <w:vAlign w:val="bottom"/>
          </w:tcPr>
          <w:p w:rsidR="00BF6EE5" w:rsidRPr="00347ADB" w:rsidRDefault="00BF6EE5" w:rsidP="00953B98">
            <w:pPr>
              <w:pStyle w:val="TableHeadingLeft"/>
              <w:keepNext/>
            </w:pPr>
            <w:r w:rsidRPr="00901DA4">
              <w:t>Task</w:t>
            </w:r>
          </w:p>
        </w:tc>
        <w:tc>
          <w:tcPr>
            <w:tcW w:w="1654" w:type="pct"/>
            <w:tcBorders>
              <w:top w:val="single" w:sz="12" w:space="0" w:color="1F497D" w:themeColor="text2"/>
              <w:left w:val="nil"/>
              <w:bottom w:val="single" w:sz="8" w:space="0" w:color="1F497D" w:themeColor="text2"/>
              <w:right w:val="nil"/>
            </w:tcBorders>
            <w:shd w:val="clear" w:color="auto" w:fill="DBE5F1" w:themeFill="accent1" w:themeFillTint="33"/>
            <w:vAlign w:val="bottom"/>
          </w:tcPr>
          <w:p w:rsidR="00BF6EE5" w:rsidRPr="00347ADB" w:rsidRDefault="00BF6EE5" w:rsidP="00953B98">
            <w:pPr>
              <w:pStyle w:val="TableHeadingLeft"/>
              <w:keepNext/>
            </w:pPr>
            <w:r w:rsidRPr="00901DA4">
              <w:t>Date</w:t>
            </w:r>
          </w:p>
        </w:tc>
      </w:tr>
      <w:tr w:rsidR="00DF26F0" w:rsidRPr="00144F8C" w:rsidTr="004C4CC6">
        <w:trPr>
          <w:cantSplit/>
        </w:trPr>
        <w:tc>
          <w:tcPr>
            <w:tcW w:w="3346" w:type="pct"/>
            <w:tcBorders>
              <w:top w:val="nil"/>
              <w:left w:val="nil"/>
              <w:bottom w:val="nil"/>
              <w:right w:val="nil"/>
            </w:tcBorders>
          </w:tcPr>
          <w:p w:rsidR="00DF26F0" w:rsidRPr="00DD58D7" w:rsidRDefault="00DF26F0" w:rsidP="00953B98">
            <w:pPr>
              <w:pStyle w:val="TableHeadingLeft"/>
              <w:keepNext/>
            </w:pPr>
            <w:r>
              <w:t>Release of i</w:t>
            </w:r>
            <w:r w:rsidRPr="00DD58D7">
              <w:t>ssues paper</w:t>
            </w:r>
          </w:p>
        </w:tc>
        <w:tc>
          <w:tcPr>
            <w:tcW w:w="1654" w:type="pct"/>
            <w:tcBorders>
              <w:top w:val="nil"/>
              <w:left w:val="nil"/>
              <w:bottom w:val="nil"/>
              <w:right w:val="nil"/>
            </w:tcBorders>
          </w:tcPr>
          <w:p w:rsidR="00DF26F0" w:rsidRPr="00DD58D7" w:rsidRDefault="00971FED" w:rsidP="00953B98">
            <w:pPr>
              <w:pStyle w:val="TableHeadingLeft"/>
              <w:keepNext/>
            </w:pPr>
            <w:r>
              <w:t>23</w:t>
            </w:r>
            <w:r w:rsidR="00FA7B0F">
              <w:t xml:space="preserve"> </w:t>
            </w:r>
            <w:r w:rsidR="00DF26F0" w:rsidRPr="00DD58D7">
              <w:t>Nov</w:t>
            </w:r>
            <w:r w:rsidR="00DF26F0">
              <w:t>ember</w:t>
            </w:r>
            <w:r w:rsidR="00DF26F0" w:rsidRPr="00DD58D7">
              <w:t xml:space="preserve"> 2015</w:t>
            </w:r>
          </w:p>
        </w:tc>
      </w:tr>
      <w:tr w:rsidR="00DF26F0" w:rsidRPr="00144F8C" w:rsidTr="004C4CC6">
        <w:trPr>
          <w:cantSplit/>
        </w:trPr>
        <w:tc>
          <w:tcPr>
            <w:tcW w:w="3346" w:type="pct"/>
            <w:tcBorders>
              <w:top w:val="nil"/>
              <w:left w:val="nil"/>
              <w:bottom w:val="nil"/>
              <w:right w:val="nil"/>
            </w:tcBorders>
          </w:tcPr>
          <w:p w:rsidR="00DF26F0" w:rsidRPr="00DD58D7" w:rsidRDefault="00DF26F0" w:rsidP="00C97171">
            <w:pPr>
              <w:pStyle w:val="TableHeadingLeft"/>
              <w:keepNext/>
            </w:pPr>
            <w:r>
              <w:t xml:space="preserve">Release of </w:t>
            </w:r>
            <w:r w:rsidR="00C97171">
              <w:t>t</w:t>
            </w:r>
            <w:r w:rsidRPr="00DD58D7">
              <w:t>echnical paper 1</w:t>
            </w:r>
            <w:r>
              <w:t xml:space="preserve">: </w:t>
            </w:r>
            <w:r w:rsidR="00166016">
              <w:t>Water d</w:t>
            </w:r>
            <w:r>
              <w:t>emand elasticity</w:t>
            </w:r>
          </w:p>
        </w:tc>
        <w:tc>
          <w:tcPr>
            <w:tcW w:w="1654" w:type="pct"/>
            <w:tcBorders>
              <w:top w:val="nil"/>
              <w:left w:val="nil"/>
              <w:bottom w:val="nil"/>
              <w:right w:val="nil"/>
            </w:tcBorders>
          </w:tcPr>
          <w:p w:rsidR="00DF26F0" w:rsidRPr="00DD58D7" w:rsidRDefault="004F12E3" w:rsidP="00C95EE9">
            <w:pPr>
              <w:pStyle w:val="TableHeadingLeft"/>
              <w:keepNext/>
            </w:pPr>
            <w:r>
              <w:t>29</w:t>
            </w:r>
            <w:r w:rsidR="00424F26">
              <w:t xml:space="preserve"> </w:t>
            </w:r>
            <w:r w:rsidR="00DF26F0" w:rsidRPr="00DD58D7">
              <w:t>Feb</w:t>
            </w:r>
            <w:r w:rsidR="00DF26F0">
              <w:t>ruary</w:t>
            </w:r>
            <w:r w:rsidR="00DF26F0" w:rsidRPr="00DD58D7">
              <w:t xml:space="preserve"> 2016</w:t>
            </w:r>
          </w:p>
        </w:tc>
      </w:tr>
      <w:tr w:rsidR="00DF26F0" w:rsidRPr="00144F8C" w:rsidTr="004C4CC6">
        <w:trPr>
          <w:cantSplit/>
        </w:trPr>
        <w:tc>
          <w:tcPr>
            <w:tcW w:w="3346" w:type="pct"/>
            <w:tcBorders>
              <w:top w:val="nil"/>
              <w:left w:val="nil"/>
              <w:bottom w:val="nil"/>
              <w:right w:val="nil"/>
            </w:tcBorders>
          </w:tcPr>
          <w:p w:rsidR="00DF26F0" w:rsidRPr="00C148FE" w:rsidRDefault="00DF26F0" w:rsidP="00C97171">
            <w:pPr>
              <w:pStyle w:val="TableTextLeft"/>
              <w:keepNext/>
              <w:rPr>
                <w:b/>
              </w:rPr>
            </w:pPr>
            <w:r w:rsidRPr="00C148FE">
              <w:rPr>
                <w:b/>
              </w:rPr>
              <w:t xml:space="preserve">Release of </w:t>
            </w:r>
            <w:r w:rsidR="00C97171">
              <w:rPr>
                <w:b/>
              </w:rPr>
              <w:t>t</w:t>
            </w:r>
            <w:r w:rsidRPr="00C148FE">
              <w:rPr>
                <w:b/>
              </w:rPr>
              <w:t>echnical paper 2: Marginal cost pricing</w:t>
            </w:r>
          </w:p>
        </w:tc>
        <w:tc>
          <w:tcPr>
            <w:tcW w:w="1654" w:type="pct"/>
            <w:tcBorders>
              <w:top w:val="nil"/>
              <w:left w:val="nil"/>
              <w:bottom w:val="nil"/>
              <w:right w:val="nil"/>
            </w:tcBorders>
          </w:tcPr>
          <w:p w:rsidR="00DF26F0" w:rsidRPr="00C148FE" w:rsidRDefault="00824641" w:rsidP="000F1FF7">
            <w:pPr>
              <w:pStyle w:val="TableTextLeft"/>
              <w:keepNext/>
              <w:rPr>
                <w:b/>
              </w:rPr>
            </w:pPr>
            <w:r>
              <w:rPr>
                <w:b/>
              </w:rPr>
              <w:t>17</w:t>
            </w:r>
            <w:r w:rsidR="00FA041B">
              <w:rPr>
                <w:b/>
              </w:rPr>
              <w:t xml:space="preserve"> </w:t>
            </w:r>
            <w:r w:rsidR="000F1FF7">
              <w:rPr>
                <w:b/>
              </w:rPr>
              <w:t>June</w:t>
            </w:r>
            <w:r w:rsidR="00DF26F0" w:rsidRPr="00C148FE">
              <w:rPr>
                <w:b/>
              </w:rPr>
              <w:t xml:space="preserve"> 2016</w:t>
            </w:r>
          </w:p>
        </w:tc>
      </w:tr>
      <w:tr w:rsidR="00A40501" w:rsidRPr="00144F8C" w:rsidTr="004C4CC6">
        <w:trPr>
          <w:cantSplit/>
          <w:trHeight w:val="318"/>
        </w:trPr>
        <w:tc>
          <w:tcPr>
            <w:tcW w:w="3346" w:type="pct"/>
            <w:tcBorders>
              <w:top w:val="nil"/>
              <w:left w:val="nil"/>
              <w:bottom w:val="nil"/>
              <w:right w:val="nil"/>
            </w:tcBorders>
          </w:tcPr>
          <w:p w:rsidR="00A40501" w:rsidRPr="00A40501" w:rsidRDefault="00A40501" w:rsidP="00953B98">
            <w:pPr>
              <w:pStyle w:val="TableTextLeft"/>
              <w:keepNext/>
            </w:pPr>
            <w:r>
              <w:t>Release of d</w:t>
            </w:r>
            <w:r w:rsidRPr="00A40501">
              <w:t>raft report</w:t>
            </w:r>
          </w:p>
        </w:tc>
        <w:tc>
          <w:tcPr>
            <w:tcW w:w="1654" w:type="pct"/>
            <w:tcBorders>
              <w:top w:val="nil"/>
              <w:left w:val="nil"/>
              <w:bottom w:val="nil"/>
              <w:right w:val="nil"/>
            </w:tcBorders>
          </w:tcPr>
          <w:p w:rsidR="00A40501" w:rsidRPr="00A40501" w:rsidRDefault="00AA198A">
            <w:pPr>
              <w:pStyle w:val="TableTextLeft"/>
              <w:keepNext/>
            </w:pPr>
            <w:r>
              <w:t>6</w:t>
            </w:r>
            <w:r w:rsidR="001A5BAD">
              <w:t xml:space="preserve"> </w:t>
            </w:r>
            <w:r w:rsidR="0052021E">
              <w:t xml:space="preserve">September </w:t>
            </w:r>
            <w:r w:rsidR="00A40501" w:rsidRPr="00A40501">
              <w:t>2016</w:t>
            </w:r>
          </w:p>
        </w:tc>
      </w:tr>
      <w:tr w:rsidR="00837392" w:rsidRPr="00144F8C" w:rsidTr="004C4CC6">
        <w:trPr>
          <w:cantSplit/>
          <w:trHeight w:val="200"/>
        </w:trPr>
        <w:tc>
          <w:tcPr>
            <w:tcW w:w="3346" w:type="pct"/>
            <w:tcBorders>
              <w:top w:val="nil"/>
              <w:left w:val="nil"/>
              <w:bottom w:val="nil"/>
              <w:right w:val="nil"/>
            </w:tcBorders>
          </w:tcPr>
          <w:p w:rsidR="00837392" w:rsidRPr="00A40501" w:rsidRDefault="00837392" w:rsidP="00953B98">
            <w:pPr>
              <w:pStyle w:val="TableTextLeft"/>
              <w:keepNext/>
            </w:pPr>
            <w:r w:rsidRPr="00DD58D7">
              <w:t>Public forum</w:t>
            </w:r>
          </w:p>
        </w:tc>
        <w:tc>
          <w:tcPr>
            <w:tcW w:w="1654" w:type="pct"/>
            <w:tcBorders>
              <w:top w:val="nil"/>
              <w:left w:val="nil"/>
              <w:bottom w:val="nil"/>
              <w:right w:val="nil"/>
            </w:tcBorders>
          </w:tcPr>
          <w:p w:rsidR="00837392" w:rsidRPr="00A40501" w:rsidRDefault="00AA198A">
            <w:pPr>
              <w:pStyle w:val="TableTextLeft"/>
              <w:keepNext/>
            </w:pPr>
            <w:r>
              <w:t>November</w:t>
            </w:r>
            <w:r w:rsidR="009A7093">
              <w:t xml:space="preserve"> </w:t>
            </w:r>
            <w:r w:rsidR="00837392" w:rsidRPr="00A40501">
              <w:t>2016</w:t>
            </w:r>
          </w:p>
        </w:tc>
      </w:tr>
      <w:tr w:rsidR="00837392" w:rsidRPr="00144F8C" w:rsidTr="004C4CC6">
        <w:trPr>
          <w:cantSplit/>
        </w:trPr>
        <w:tc>
          <w:tcPr>
            <w:tcW w:w="3346" w:type="pct"/>
            <w:tcBorders>
              <w:top w:val="nil"/>
              <w:left w:val="nil"/>
              <w:bottom w:val="nil"/>
              <w:right w:val="nil"/>
            </w:tcBorders>
          </w:tcPr>
          <w:p w:rsidR="00837392" w:rsidRPr="00A40501" w:rsidRDefault="00837392" w:rsidP="00953B98">
            <w:pPr>
              <w:pStyle w:val="TableTextLeft"/>
              <w:keepNext/>
            </w:pPr>
            <w:r>
              <w:t>Submissions on draft report close</w:t>
            </w:r>
          </w:p>
        </w:tc>
        <w:tc>
          <w:tcPr>
            <w:tcW w:w="1654" w:type="pct"/>
            <w:tcBorders>
              <w:top w:val="nil"/>
              <w:left w:val="nil"/>
              <w:bottom w:val="nil"/>
              <w:right w:val="nil"/>
            </w:tcBorders>
          </w:tcPr>
          <w:p w:rsidR="00837392" w:rsidRPr="00A40501" w:rsidRDefault="00AA198A">
            <w:pPr>
              <w:pStyle w:val="TableTextLeft"/>
              <w:keepNext/>
            </w:pPr>
            <w:r>
              <w:t>30</w:t>
            </w:r>
            <w:r w:rsidR="001A5BAD">
              <w:t xml:space="preserve"> </w:t>
            </w:r>
            <w:r>
              <w:t>November</w:t>
            </w:r>
            <w:r w:rsidR="001C726A">
              <w:t xml:space="preserve"> </w:t>
            </w:r>
            <w:r w:rsidR="00837392">
              <w:t>2016</w:t>
            </w:r>
          </w:p>
        </w:tc>
      </w:tr>
      <w:tr w:rsidR="00837392" w:rsidRPr="00144F8C" w:rsidTr="004C4CC6">
        <w:trPr>
          <w:cantSplit/>
        </w:trPr>
        <w:tc>
          <w:tcPr>
            <w:tcW w:w="3346" w:type="pct"/>
            <w:tcBorders>
              <w:top w:val="nil"/>
              <w:left w:val="nil"/>
              <w:bottom w:val="single" w:sz="12" w:space="0" w:color="1F497D" w:themeColor="text2"/>
              <w:right w:val="nil"/>
            </w:tcBorders>
          </w:tcPr>
          <w:p w:rsidR="00837392" w:rsidRPr="00A40501" w:rsidRDefault="00837392" w:rsidP="00953B98">
            <w:pPr>
              <w:pStyle w:val="TableTextLeft"/>
              <w:keepNext/>
            </w:pPr>
            <w:r w:rsidRPr="00DD58D7">
              <w:t>Final report</w:t>
            </w:r>
          </w:p>
        </w:tc>
        <w:tc>
          <w:tcPr>
            <w:tcW w:w="1654" w:type="pct"/>
            <w:tcBorders>
              <w:top w:val="nil"/>
              <w:left w:val="nil"/>
              <w:bottom w:val="single" w:sz="12" w:space="0" w:color="1F497D" w:themeColor="text2"/>
              <w:right w:val="nil"/>
            </w:tcBorders>
          </w:tcPr>
          <w:p w:rsidR="00837392" w:rsidRPr="00A40501" w:rsidRDefault="002F46E7" w:rsidP="00A610E0">
            <w:pPr>
              <w:pStyle w:val="TableTextLeft"/>
              <w:keepNext/>
            </w:pPr>
            <w:r>
              <w:t xml:space="preserve">January </w:t>
            </w:r>
            <w:r w:rsidR="00837392" w:rsidRPr="00A40501">
              <w:t>201</w:t>
            </w:r>
            <w:r w:rsidR="00A610E0">
              <w:t>7</w:t>
            </w:r>
          </w:p>
        </w:tc>
      </w:tr>
    </w:tbl>
    <w:p w:rsidR="00BA796C" w:rsidRDefault="00BA796C" w:rsidP="00ED7FC0">
      <w:pPr>
        <w:pStyle w:val="TableNotesLast0"/>
      </w:pPr>
    </w:p>
    <w:p w:rsidR="005662AB" w:rsidRDefault="005662AB" w:rsidP="00117078">
      <w:r w:rsidRPr="005662AB">
        <w:t xml:space="preserve">The closing date for submissions on </w:t>
      </w:r>
      <w:r w:rsidR="005E6059">
        <w:t xml:space="preserve">the </w:t>
      </w:r>
      <w:r w:rsidR="00CA2E35">
        <w:t>draft report</w:t>
      </w:r>
      <w:r>
        <w:t xml:space="preserve"> </w:t>
      </w:r>
      <w:r w:rsidRPr="00F971F5">
        <w:t xml:space="preserve">is </w:t>
      </w:r>
      <w:r w:rsidR="00F971F5" w:rsidRPr="00AE41FC">
        <w:rPr>
          <w:b/>
        </w:rPr>
        <w:t>30</w:t>
      </w:r>
      <w:r w:rsidRPr="00AE41FC">
        <w:rPr>
          <w:b/>
        </w:rPr>
        <w:t xml:space="preserve"> </w:t>
      </w:r>
      <w:r w:rsidR="00F971F5" w:rsidRPr="00AE41FC">
        <w:rPr>
          <w:b/>
        </w:rPr>
        <w:t xml:space="preserve">November </w:t>
      </w:r>
      <w:r w:rsidRPr="00AE41FC">
        <w:rPr>
          <w:b/>
        </w:rPr>
        <w:t>2016</w:t>
      </w:r>
      <w:r w:rsidRPr="00F971F5">
        <w:t>. Details</w:t>
      </w:r>
      <w:r w:rsidRPr="005662AB">
        <w:t xml:space="preserve"> on how to make a submission are shown in the </w:t>
      </w:r>
      <w:r w:rsidRPr="005662AB">
        <w:rPr>
          <w:rStyle w:val="Bold"/>
        </w:rPr>
        <w:t>How to make a submission</w:t>
      </w:r>
      <w:r w:rsidRPr="005662AB">
        <w:t xml:space="preserve"> section at the front of this </w:t>
      </w:r>
      <w:r w:rsidR="00E3117A">
        <w:t>draft report</w:t>
      </w:r>
      <w:r w:rsidRPr="005662AB">
        <w:t xml:space="preserve">. </w:t>
      </w:r>
      <w:r w:rsidR="00CA2E35">
        <w:t>W</w:t>
      </w:r>
      <w:r w:rsidRPr="005662AB">
        <w:t xml:space="preserve">ritten submissions received by the closing date will be considered in the development of the </w:t>
      </w:r>
      <w:r w:rsidR="00CA2E35">
        <w:t xml:space="preserve">final </w:t>
      </w:r>
      <w:r w:rsidRPr="005662AB">
        <w:t>report.</w:t>
      </w:r>
    </w:p>
    <w:p w:rsidR="00AE2910" w:rsidRPr="00AE2910" w:rsidRDefault="00CA2E35" w:rsidP="002B6726">
      <w:pPr>
        <w:pStyle w:val="Heading2"/>
      </w:pPr>
      <w:bookmarkStart w:id="65" w:name="What_happens_next"/>
      <w:bookmarkStart w:id="66" w:name="_Toc368572035"/>
      <w:bookmarkStart w:id="67" w:name="_Toc460572207"/>
      <w:bookmarkEnd w:id="65"/>
      <w:r>
        <w:t xml:space="preserve">Draft report </w:t>
      </w:r>
      <w:r w:rsidR="00BA796C">
        <w:t>s</w:t>
      </w:r>
      <w:r w:rsidR="00AE2910" w:rsidRPr="00AE2910">
        <w:t>tructure</w:t>
      </w:r>
      <w:bookmarkEnd w:id="66"/>
      <w:bookmarkEnd w:id="67"/>
    </w:p>
    <w:p w:rsidR="00AE2910" w:rsidRPr="00AE2910" w:rsidRDefault="00AE2910" w:rsidP="00117078">
      <w:r w:rsidRPr="00AE2910">
        <w:t>The remainder of th</w:t>
      </w:r>
      <w:r w:rsidR="002D20FD">
        <w:t>is</w:t>
      </w:r>
      <w:r w:rsidRPr="00AE2910">
        <w:t xml:space="preserve"> paper is structured as follows:</w:t>
      </w:r>
    </w:p>
    <w:p w:rsidR="000F1FF7" w:rsidRDefault="00AE2910" w:rsidP="00693E55">
      <w:pPr>
        <w:pStyle w:val="Bullet"/>
      </w:pPr>
      <w:r w:rsidRPr="00AE2910">
        <w:t xml:space="preserve">Chapter </w:t>
      </w:r>
      <w:r w:rsidR="006D7458">
        <w:fldChar w:fldCharType="begin"/>
      </w:r>
      <w:r w:rsidR="006D7458">
        <w:instrText xml:space="preserve"> REF _Ref448923205 \r \h </w:instrText>
      </w:r>
      <w:r w:rsidR="006D7458">
        <w:fldChar w:fldCharType="separate"/>
      </w:r>
      <w:r w:rsidR="00B80BC7">
        <w:t>2</w:t>
      </w:r>
      <w:r w:rsidR="006D7458">
        <w:fldChar w:fldCharType="end"/>
      </w:r>
      <w:r w:rsidR="006D7458">
        <w:t xml:space="preserve"> </w:t>
      </w:r>
      <w:r w:rsidR="005B0D7E">
        <w:t>reviews and refines the assessment framework for the tariff review in light of recent legislative changes, stakeholder submissions and further Commission analysis.</w:t>
      </w:r>
    </w:p>
    <w:p w:rsidR="00AE2910" w:rsidRDefault="00AE2910" w:rsidP="00693E55">
      <w:pPr>
        <w:pStyle w:val="Bullet"/>
      </w:pPr>
      <w:r w:rsidRPr="00AE2910">
        <w:t>Chapter</w:t>
      </w:r>
      <w:r w:rsidR="005B2A8E">
        <w:t xml:space="preserve"> </w:t>
      </w:r>
      <w:r w:rsidR="004D435F">
        <w:fldChar w:fldCharType="begin"/>
      </w:r>
      <w:r w:rsidR="004D435F">
        <w:instrText xml:space="preserve"> REF _Ref433615233 \r \h  \* MERGEFORMAT </w:instrText>
      </w:r>
      <w:r w:rsidR="004D435F">
        <w:fldChar w:fldCharType="separate"/>
      </w:r>
      <w:r w:rsidR="00B80BC7">
        <w:t>3</w:t>
      </w:r>
      <w:r w:rsidR="004D435F">
        <w:fldChar w:fldCharType="end"/>
      </w:r>
      <w:r w:rsidR="00757402">
        <w:t xml:space="preserve"> </w:t>
      </w:r>
      <w:r w:rsidR="008118C9">
        <w:t>evaluates the current water tariff structure and potential alternatives.</w:t>
      </w:r>
    </w:p>
    <w:p w:rsidR="00191E6D" w:rsidRDefault="00191E6D" w:rsidP="00191E6D">
      <w:pPr>
        <w:pStyle w:val="Bullet"/>
      </w:pPr>
      <w:r w:rsidRPr="00AE2910">
        <w:t>Chapter</w:t>
      </w:r>
      <w:r>
        <w:t xml:space="preserve"> </w:t>
      </w:r>
      <w:r>
        <w:fldChar w:fldCharType="begin"/>
      </w:r>
      <w:r>
        <w:instrText xml:space="preserve"> REF _Ref448321716 \r \h </w:instrText>
      </w:r>
      <w:r>
        <w:fldChar w:fldCharType="separate"/>
      </w:r>
      <w:r w:rsidR="00B80BC7">
        <w:t>4</w:t>
      </w:r>
      <w:r>
        <w:fldChar w:fldCharType="end"/>
      </w:r>
      <w:r>
        <w:t xml:space="preserve"> </w:t>
      </w:r>
      <w:r w:rsidR="008118C9">
        <w:t>evaluates the current sewerage services tariff structure and potential alternatives.</w:t>
      </w:r>
    </w:p>
    <w:p w:rsidR="00581D2D" w:rsidRDefault="00581D2D" w:rsidP="00191E6D">
      <w:pPr>
        <w:pStyle w:val="Bullet"/>
      </w:pPr>
      <w:r>
        <w:t xml:space="preserve">Chapter </w:t>
      </w:r>
      <w:r>
        <w:fldChar w:fldCharType="begin"/>
      </w:r>
      <w:r>
        <w:instrText xml:space="preserve"> REF _Ref454886877 \r \h </w:instrText>
      </w:r>
      <w:r>
        <w:fldChar w:fldCharType="separate"/>
      </w:r>
      <w:r w:rsidR="00B80BC7">
        <w:t>5</w:t>
      </w:r>
      <w:r>
        <w:fldChar w:fldCharType="end"/>
      </w:r>
      <w:r>
        <w:t xml:space="preserve"> </w:t>
      </w:r>
      <w:r w:rsidR="008118C9">
        <w:t>considers matters related to the implementation of any recommended changes to current tariff structures.</w:t>
      </w:r>
    </w:p>
    <w:p w:rsidR="00E119EA" w:rsidRDefault="00581D2D" w:rsidP="002461FE">
      <w:pPr>
        <w:pStyle w:val="Bullet"/>
      </w:pPr>
      <w:r>
        <w:fldChar w:fldCharType="begin"/>
      </w:r>
      <w:r>
        <w:instrText xml:space="preserve"> REF _Ref454880637 \r \h </w:instrText>
      </w:r>
      <w:r>
        <w:fldChar w:fldCharType="separate"/>
      </w:r>
      <w:r w:rsidR="00B80BC7">
        <w:t>Appendix 1</w:t>
      </w:r>
      <w:r>
        <w:fldChar w:fldCharType="end"/>
      </w:r>
      <w:r>
        <w:t xml:space="preserve"> </w:t>
      </w:r>
      <w:r w:rsidR="00E119EA">
        <w:t>provides</w:t>
      </w:r>
      <w:r w:rsidR="00291CB4">
        <w:t xml:space="preserve"> </w:t>
      </w:r>
      <w:r w:rsidR="00191E6D">
        <w:t>a summary</w:t>
      </w:r>
      <w:r w:rsidR="00FB6BB7">
        <w:t xml:space="preserve"> submissions received on the tariff review papers published to date</w:t>
      </w:r>
      <w:r w:rsidR="00191E6D">
        <w:t>.</w:t>
      </w:r>
    </w:p>
    <w:p w:rsidR="002461FE" w:rsidRDefault="002461FE" w:rsidP="00A50A1E">
      <w:pPr>
        <w:pStyle w:val="Bullet"/>
      </w:pPr>
      <w:r>
        <w:fldChar w:fldCharType="begin"/>
      </w:r>
      <w:r>
        <w:instrText xml:space="preserve"> REF _Ref456688407 \r \h </w:instrText>
      </w:r>
      <w:r>
        <w:fldChar w:fldCharType="separate"/>
      </w:r>
      <w:r w:rsidR="00B80BC7">
        <w:t>Appendix 2</w:t>
      </w:r>
      <w:r>
        <w:fldChar w:fldCharType="end"/>
      </w:r>
      <w:r>
        <w:t xml:space="preserve"> provides details of other legislative and national considerations relevant to the tariff review.</w:t>
      </w:r>
    </w:p>
    <w:p w:rsidR="00CC7972" w:rsidRDefault="00A50A1E" w:rsidP="004937B5">
      <w:pPr>
        <w:pStyle w:val="Bullet"/>
      </w:pPr>
      <w:r>
        <w:fldChar w:fldCharType="begin"/>
      </w:r>
      <w:r>
        <w:instrText xml:space="preserve"> REF _Ref459984914 \r \h </w:instrText>
      </w:r>
      <w:r>
        <w:fldChar w:fldCharType="separate"/>
      </w:r>
      <w:r w:rsidR="00B80BC7">
        <w:t>Appendix 3</w:t>
      </w:r>
      <w:r>
        <w:fldChar w:fldCharType="end"/>
      </w:r>
      <w:r>
        <w:t xml:space="preserve"> provides a summary of water tariffs in other jurisdictions.</w:t>
      </w:r>
      <w:bookmarkEnd w:id="51"/>
      <w:bookmarkEnd w:id="52"/>
    </w:p>
    <w:p w:rsidR="002461FE" w:rsidRPr="002461FE" w:rsidRDefault="002461FE" w:rsidP="002461FE">
      <w:pPr>
        <w:pStyle w:val="BulletLast"/>
        <w:sectPr w:rsidR="002461FE" w:rsidRPr="002461FE" w:rsidSect="00E12A27">
          <w:headerReference w:type="even" r:id="rId43"/>
          <w:headerReference w:type="default" r:id="rId44"/>
          <w:endnotePr>
            <w:numFmt w:val="decimal"/>
          </w:endnotePr>
          <w:type w:val="continuous"/>
          <w:pgSz w:w="11907" w:h="16840" w:code="9"/>
          <w:pgMar w:top="2268" w:right="2098" w:bottom="1701" w:left="2098" w:header="578" w:footer="578" w:gutter="0"/>
          <w:cols w:space="720"/>
          <w:docGrid w:linePitch="299"/>
        </w:sectPr>
      </w:pPr>
    </w:p>
    <w:p w:rsidR="00915BF6" w:rsidRDefault="0056036A" w:rsidP="00915BF6">
      <w:pPr>
        <w:pStyle w:val="Heading1"/>
        <w:sectPr w:rsidR="00915BF6" w:rsidSect="00FD0141">
          <w:headerReference w:type="even" r:id="rId45"/>
          <w:headerReference w:type="default" r:id="rId46"/>
          <w:endnotePr>
            <w:numFmt w:val="decimal"/>
          </w:endnotePr>
          <w:type w:val="oddPage"/>
          <w:pgSz w:w="11907" w:h="16840" w:code="9"/>
          <w:pgMar w:top="2268" w:right="2098" w:bottom="1701" w:left="2098" w:header="578" w:footer="578" w:gutter="0"/>
          <w:cols w:space="720"/>
          <w:noEndnote/>
          <w:docGrid w:linePitch="299"/>
        </w:sectPr>
      </w:pPr>
      <w:bookmarkStart w:id="68" w:name="_Ref448923205"/>
      <w:bookmarkStart w:id="69" w:name="_Toc460572208"/>
      <w:r>
        <w:lastRenderedPageBreak/>
        <w:t>The assessment framework</w:t>
      </w:r>
      <w:bookmarkEnd w:id="68"/>
      <w:bookmarkEnd w:id="69"/>
    </w:p>
    <w:p w:rsidR="00915BF6" w:rsidRDefault="00915BF6" w:rsidP="002B6726">
      <w:pPr>
        <w:pStyle w:val="Heading2"/>
      </w:pPr>
      <w:bookmarkStart w:id="70" w:name="_Toc460572209"/>
      <w:r>
        <w:t>Introduction</w:t>
      </w:r>
      <w:bookmarkEnd w:id="70"/>
    </w:p>
    <w:p w:rsidR="00AD520A" w:rsidRDefault="00E05F97" w:rsidP="00E05F97">
      <w:r>
        <w:t>Any changes to Icon Water’s tariff structures recommended at the conclusion of this tariff review w</w:t>
      </w:r>
      <w:r w:rsidR="0054421D">
        <w:t>ill</w:t>
      </w:r>
      <w:r>
        <w:t xml:space="preserve"> be given effect through a </w:t>
      </w:r>
      <w:r w:rsidR="00351BB0">
        <w:t xml:space="preserve">variation of the current </w:t>
      </w:r>
      <w:r>
        <w:t>price direction</w:t>
      </w:r>
      <w:r w:rsidR="00351BB0">
        <w:t xml:space="preserve"> or a new price direction</w:t>
      </w:r>
      <w:r>
        <w:t>.</w:t>
      </w:r>
      <w:r w:rsidR="0022535D">
        <w:t xml:space="preserve"> W</w:t>
      </w:r>
      <w:r w:rsidR="00351BB0">
        <w:t xml:space="preserve">hen varying or making a price direction, the Commission is required to </w:t>
      </w:r>
      <w:r>
        <w:t xml:space="preserve">have regard to </w:t>
      </w:r>
      <w:r w:rsidR="00351BB0">
        <w:t xml:space="preserve">a number of </w:t>
      </w:r>
      <w:r>
        <w:t xml:space="preserve">legislative requirements </w:t>
      </w:r>
      <w:r w:rsidR="00A43D31">
        <w:t xml:space="preserve">set out in </w:t>
      </w:r>
      <w:r>
        <w:t xml:space="preserve">the </w:t>
      </w:r>
      <w:r w:rsidRPr="0057477E">
        <w:rPr>
          <w:i/>
        </w:rPr>
        <w:t>Independent Competition and Regulatory Commission Act</w:t>
      </w:r>
      <w:r>
        <w:t xml:space="preserve"> (the ICRC Act).</w:t>
      </w:r>
      <w:r w:rsidR="00AD520A">
        <w:t xml:space="preserve"> </w:t>
      </w:r>
    </w:p>
    <w:p w:rsidR="00D9254C" w:rsidRDefault="00AD520A" w:rsidP="00E05F97">
      <w:r>
        <w:t xml:space="preserve">The issues paper proposed a frame of reference to guide the Commission’s evaluation of Icon Water’s existing tariff structures and potential alternatives. </w:t>
      </w:r>
      <w:r w:rsidR="00D9254C">
        <w:t>The framework comprises an overarching economic regulation objective and set of pricing principles, the application of which will help achieve that objective. In other words, given the objective, the principles postulate the general characteristics that any tariff structure should exhibit if it is to achieve that objective.</w:t>
      </w:r>
    </w:p>
    <w:p w:rsidR="00A43D31" w:rsidRDefault="00AD520A" w:rsidP="00E05F97">
      <w:r>
        <w:t xml:space="preserve">The framework is designed to be consistent with the Commission’s legislative price direction requirements, </w:t>
      </w:r>
      <w:r w:rsidR="00FF3F83">
        <w:t xml:space="preserve">and </w:t>
      </w:r>
      <w:r>
        <w:t xml:space="preserve">in particular the </w:t>
      </w:r>
      <w:r w:rsidR="009806E7">
        <w:t xml:space="preserve">new </w:t>
      </w:r>
      <w:r>
        <w:t xml:space="preserve">overarching economic efficiency objective in section 19L and </w:t>
      </w:r>
      <w:r w:rsidR="0022535D">
        <w:t xml:space="preserve">a number of </w:t>
      </w:r>
      <w:r w:rsidR="005354EB">
        <w:t xml:space="preserve">other </w:t>
      </w:r>
      <w:r>
        <w:t xml:space="preserve">considerations </w:t>
      </w:r>
      <w:r w:rsidR="0022535D">
        <w:t xml:space="preserve">listed </w:t>
      </w:r>
      <w:r>
        <w:t>in section 20(2).</w:t>
      </w:r>
    </w:p>
    <w:p w:rsidR="00076AB6" w:rsidRDefault="007B74EE" w:rsidP="00A6361C">
      <w:r>
        <w:t xml:space="preserve">This chapter first </w:t>
      </w:r>
      <w:r w:rsidR="002540C3">
        <w:t xml:space="preserve">reviews and refines the proposed overarching objective and pricing principles in light of recent legislative changes, submissions received and further Commission analysis before </w:t>
      </w:r>
      <w:r>
        <w:t>consider</w:t>
      </w:r>
      <w:r w:rsidR="002540C3">
        <w:t>ing</w:t>
      </w:r>
      <w:r>
        <w:t xml:space="preserve"> the potential dual role of the assessment framework</w:t>
      </w:r>
      <w:r w:rsidR="00164391">
        <w:t>.</w:t>
      </w:r>
    </w:p>
    <w:p w:rsidR="00513305" w:rsidRDefault="00AF27EC" w:rsidP="00513305">
      <w:pPr>
        <w:pStyle w:val="Heading2"/>
      </w:pPr>
      <w:bookmarkStart w:id="71" w:name="_Toc460572210"/>
      <w:r>
        <w:t>Refining the a</w:t>
      </w:r>
      <w:r w:rsidR="00513305">
        <w:t>ssessment framework</w:t>
      </w:r>
      <w:bookmarkEnd w:id="71"/>
    </w:p>
    <w:p w:rsidR="00903D61" w:rsidRDefault="00903D61" w:rsidP="00F22E2F">
      <w:pPr>
        <w:pStyle w:val="Heading3"/>
      </w:pPr>
      <w:r>
        <w:t>Overarching objective</w:t>
      </w:r>
    </w:p>
    <w:p w:rsidR="0056036A" w:rsidRDefault="00132C41" w:rsidP="0056036A">
      <w:r>
        <w:t>In the absence of an overarching objective in the ICRC Act</w:t>
      </w:r>
      <w:r w:rsidR="00041261">
        <w:t xml:space="preserve"> </w:t>
      </w:r>
      <w:r w:rsidR="001D512F">
        <w:t xml:space="preserve">at the time of publication of </w:t>
      </w:r>
      <w:r w:rsidR="00041261">
        <w:t xml:space="preserve">the issues paper in November 2015, </w:t>
      </w:r>
      <w:r>
        <w:t xml:space="preserve">the Commission proposed an </w:t>
      </w:r>
      <w:r w:rsidR="0056036A">
        <w:t xml:space="preserve">overarching objective </w:t>
      </w:r>
      <w:r w:rsidR="00B33E4F">
        <w:t>with a focus on efficiency, a</w:t>
      </w:r>
      <w:r w:rsidR="0056036A">
        <w:t xml:space="preserve">s </w:t>
      </w:r>
      <w:r w:rsidR="00F16B7F">
        <w:t>shown in Box 2.1.</w:t>
      </w:r>
    </w:p>
    <w:p w:rsidR="006D0F62" w:rsidRDefault="006D0F62" w:rsidP="000B6D30">
      <w:pPr>
        <w:pStyle w:val="FigureName"/>
        <w:keepNext/>
        <w:widowControl w:val="0"/>
      </w:pPr>
      <w:bookmarkStart w:id="72" w:name="_Toc460572282"/>
      <w:r w:rsidRPr="00425D02">
        <w:t xml:space="preserve">Box </w:t>
      </w:r>
      <w:r>
        <w:fldChar w:fldCharType="begin"/>
      </w:r>
      <w:r>
        <w:instrText xml:space="preserve"> STYLEREF 1 \s </w:instrText>
      </w:r>
      <w:r>
        <w:fldChar w:fldCharType="separate"/>
      </w:r>
      <w:r w:rsidR="00B80BC7">
        <w:rPr>
          <w:noProof/>
        </w:rPr>
        <w:t>2</w:t>
      </w:r>
      <w:r>
        <w:fldChar w:fldCharType="end"/>
      </w:r>
      <w:r w:rsidRPr="00425D02">
        <w:t>.</w:t>
      </w:r>
      <w:r>
        <w:fldChar w:fldCharType="begin"/>
      </w:r>
      <w:r>
        <w:instrText xml:space="preserve"> SEQ Box \* ARABIC \s 1 </w:instrText>
      </w:r>
      <w:r>
        <w:fldChar w:fldCharType="separate"/>
      </w:r>
      <w:r w:rsidR="00B80BC7">
        <w:rPr>
          <w:noProof/>
        </w:rPr>
        <w:t>1</w:t>
      </w:r>
      <w:r>
        <w:fldChar w:fldCharType="end"/>
      </w:r>
      <w:r w:rsidRPr="00425D02">
        <w:tab/>
      </w:r>
      <w:r w:rsidR="0034147E">
        <w:t>Issues paper p</w:t>
      </w:r>
      <w:r>
        <w:t xml:space="preserve">roposed </w:t>
      </w:r>
      <w:r w:rsidR="0034147E">
        <w:t xml:space="preserve">overarching efficiency </w:t>
      </w:r>
      <w:r>
        <w:t>objective</w:t>
      </w:r>
      <w:bookmarkEnd w:id="72"/>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shd w:val="clear" w:color="auto" w:fill="DBE5F1"/>
        <w:tblLook w:val="04A0" w:firstRow="1" w:lastRow="0" w:firstColumn="1" w:lastColumn="0" w:noHBand="0" w:noVBand="1"/>
      </w:tblPr>
      <w:tblGrid>
        <w:gridCol w:w="7701"/>
      </w:tblGrid>
      <w:tr w:rsidR="006D0F62" w:rsidTr="00E963DB">
        <w:trPr>
          <w:cantSplit/>
          <w:trHeight w:val="979"/>
        </w:trPr>
        <w:tc>
          <w:tcPr>
            <w:tcW w:w="7701" w:type="dxa"/>
            <w:shd w:val="clear" w:color="auto" w:fill="DBE5F1"/>
          </w:tcPr>
          <w:p w:rsidR="006D0F62" w:rsidRPr="00493F53" w:rsidRDefault="006D0F62" w:rsidP="000B6D30">
            <w:pPr>
              <w:keepNext/>
            </w:pPr>
            <w:r w:rsidRPr="008B6707">
              <w:rPr>
                <w:rStyle w:val="Italic"/>
                <w:i w:val="0"/>
              </w:rPr>
              <w:t>To promote the efficient investment in, and efficient operation and use of, Icon Water’s regulated water and sewerage services to maximise the social welfare of t</w:t>
            </w:r>
            <w:r>
              <w:rPr>
                <w:rStyle w:val="Italic"/>
                <w:i w:val="0"/>
              </w:rPr>
              <w:t>he community over the long term.</w:t>
            </w:r>
          </w:p>
        </w:tc>
      </w:tr>
    </w:tbl>
    <w:p w:rsidR="006D0F62" w:rsidRDefault="006D0F62" w:rsidP="000B6D30">
      <w:pPr>
        <w:pStyle w:val="TableNotesLast0"/>
        <w:keepNext/>
      </w:pPr>
      <w:r>
        <w:t>Source:</w:t>
      </w:r>
      <w:r>
        <w:tab/>
        <w:t>ICRC, 2015: 46.</w:t>
      </w:r>
    </w:p>
    <w:p w:rsidR="00E01039" w:rsidRDefault="00E01039" w:rsidP="00E01039">
      <w:pPr>
        <w:pStyle w:val="Heading4"/>
      </w:pPr>
      <w:r>
        <w:t>Submissions</w:t>
      </w:r>
    </w:p>
    <w:p w:rsidR="00E01039" w:rsidRDefault="009E5BBB" w:rsidP="0056036A">
      <w:r>
        <w:t>Icon Water supports the proposed overarching</w:t>
      </w:r>
      <w:r w:rsidR="00054C38">
        <w:t xml:space="preserve"> economic efficiency </w:t>
      </w:r>
      <w:r>
        <w:t>objective, but note</w:t>
      </w:r>
      <w:r w:rsidR="00784412">
        <w:t>d</w:t>
      </w:r>
      <w:r>
        <w:t xml:space="preserve"> that the amendments to the ICRC Act from 1 July 2015 need to be taken into </w:t>
      </w:r>
      <w:r>
        <w:lastRenderedPageBreak/>
        <w:t>consideration.</w:t>
      </w:r>
      <w:r>
        <w:rPr>
          <w:rStyle w:val="FootnoteReference"/>
        </w:rPr>
        <w:footnoteReference w:id="20"/>
      </w:r>
      <w:r w:rsidR="00054C38">
        <w:t xml:space="preserve"> </w:t>
      </w:r>
      <w:r w:rsidR="00E40015">
        <w:t>D</w:t>
      </w:r>
      <w:r w:rsidR="00054C38">
        <w:t>r David Denham also support</w:t>
      </w:r>
      <w:r w:rsidR="00784412">
        <w:t>ed</w:t>
      </w:r>
      <w:r w:rsidR="00054C38">
        <w:t xml:space="preserve"> the proposed objective as a </w:t>
      </w:r>
      <w:r w:rsidR="00054C38" w:rsidRPr="007B586A">
        <w:t>sound basis for developing a tariff structure</w:t>
      </w:r>
      <w:r w:rsidR="00054C38">
        <w:t>, but argues that social welfare cannot be maximised ‘</w:t>
      </w:r>
      <w:r w:rsidR="00054C38" w:rsidRPr="00C25CCE">
        <w:t>because the fixed charge component is far too high and does not appropriately reward customers for conserving water</w:t>
      </w:r>
      <w:r w:rsidR="00054C38">
        <w:t>.’</w:t>
      </w:r>
      <w:r w:rsidR="00054C38">
        <w:rPr>
          <w:rStyle w:val="FootnoteReference"/>
        </w:rPr>
        <w:footnoteReference w:id="21"/>
      </w:r>
    </w:p>
    <w:p w:rsidR="00E01039" w:rsidRDefault="00E01039" w:rsidP="00E01039">
      <w:pPr>
        <w:pStyle w:val="Heading4"/>
      </w:pPr>
      <w:r>
        <w:t>Commission’s consideration</w:t>
      </w:r>
    </w:p>
    <w:p w:rsidR="007D3EAE" w:rsidRDefault="007D3EAE" w:rsidP="007D3EAE">
      <w:r>
        <w:t>On 1 July 2016 the ICRC Act was amended to incorporate an overarching objective specific to the making of a price direction. Part 4 of the ICRC Act now includes a section 19L that states:</w:t>
      </w:r>
      <w:r>
        <w:rPr>
          <w:rStyle w:val="FootnoteReference"/>
        </w:rPr>
        <w:footnoteReference w:id="22"/>
      </w:r>
    </w:p>
    <w:p w:rsidR="007D3EAE" w:rsidRDefault="007D3EAE" w:rsidP="007D3EAE">
      <w:pPr>
        <w:pStyle w:val="Quote"/>
      </w:pPr>
      <w:r>
        <w:t>The objective of the commission, when making a price direction in a regulated industry, is to promote the efficient investment in, and efficient operation and use of regulated services for the long term interests of consumers in relation to the price, quality, safety, reliability and security of the service.</w:t>
      </w:r>
      <w:r>
        <w:rPr>
          <w:rStyle w:val="FootnoteReference"/>
        </w:rPr>
        <w:footnoteReference w:id="23"/>
      </w:r>
      <w:r>
        <w:t xml:space="preserve"> </w:t>
      </w:r>
    </w:p>
    <w:p w:rsidR="004B79E1" w:rsidRDefault="00BF02AE" w:rsidP="00A2488A">
      <w:r>
        <w:t>In order to apply this new objective in practice, t</w:t>
      </w:r>
      <w:r w:rsidR="004B79E1">
        <w:t>he Commission</w:t>
      </w:r>
      <w:r>
        <w:t>’s</w:t>
      </w:r>
      <w:r w:rsidR="004B79E1">
        <w:t xml:space="preserve"> preference </w:t>
      </w:r>
      <w:r>
        <w:t xml:space="preserve">is to adopt a </w:t>
      </w:r>
      <w:r w:rsidR="004B79E1">
        <w:t xml:space="preserve">social welfare </w:t>
      </w:r>
      <w:r>
        <w:t>approach</w:t>
      </w:r>
      <w:r w:rsidR="00A2488A">
        <w:t xml:space="preserve">, using the concept of Pareto optimality. </w:t>
      </w:r>
      <w:r w:rsidR="004B79E1">
        <w:t>An economic outcome is Pareto-efficient if it is impossible to make some individuals better off without making some other individuals worse off. When examining a single market using the tools of partial equilibrium analysis, embodied in the familiar supply and demand curves, the concept of Marshallian aggregate surplus provides a ready means of judging whether a change in market outcomes increases or decreases social welfare.</w:t>
      </w:r>
      <w:r w:rsidR="004B79E1">
        <w:rPr>
          <w:rStyle w:val="FootnoteReference"/>
        </w:rPr>
        <w:footnoteReference w:id="24"/>
      </w:r>
    </w:p>
    <w:p w:rsidR="007D3EAE" w:rsidRDefault="00C02CF8" w:rsidP="007D3EAE">
      <w:r>
        <w:t xml:space="preserve">As to the interpretation of the phrase </w:t>
      </w:r>
      <w:r w:rsidR="004B79E1">
        <w:t>‘long</w:t>
      </w:r>
      <w:r w:rsidR="00671CDE">
        <w:t xml:space="preserve"> </w:t>
      </w:r>
      <w:r w:rsidR="004B79E1">
        <w:t>term’</w:t>
      </w:r>
      <w:r>
        <w:t xml:space="preserve">, the Commission’s preference is </w:t>
      </w:r>
      <w:r w:rsidR="004B79E1">
        <w:t xml:space="preserve">to </w:t>
      </w:r>
      <w:r w:rsidR="004B79E1" w:rsidRPr="00665900">
        <w:t xml:space="preserve">adopt an </w:t>
      </w:r>
      <w:r w:rsidR="00365DF1">
        <w:t>approach</w:t>
      </w:r>
      <w:r w:rsidR="004B79E1" w:rsidRPr="00665900">
        <w:t xml:space="preserve"> that recognises that a </w:t>
      </w:r>
      <w:r w:rsidR="004B79E1">
        <w:t xml:space="preserve">particular </w:t>
      </w:r>
      <w:r w:rsidR="004B79E1" w:rsidRPr="00665900">
        <w:t xml:space="preserve">measure </w:t>
      </w:r>
      <w:r w:rsidR="004B79E1">
        <w:t xml:space="preserve">or decision </w:t>
      </w:r>
      <w:r w:rsidR="004B79E1" w:rsidRPr="00665900">
        <w:t>might reduce welfare in the immediate future but confer benefits at some later point. In recognising this possibility, the Commission w</w:t>
      </w:r>
      <w:r w:rsidR="004B79E1">
        <w:t>ould</w:t>
      </w:r>
      <w:r w:rsidR="004B79E1" w:rsidRPr="00665900">
        <w:t xml:space="preserve">, however, expect that the benefits of the measure should outweigh its costs, where more distant costs and benefits </w:t>
      </w:r>
      <w:r w:rsidR="004B79E1">
        <w:t>may be</w:t>
      </w:r>
      <w:r w:rsidR="004B79E1" w:rsidRPr="00665900">
        <w:t xml:space="preserve"> given less weight in the assessment than those accruing earlier.</w:t>
      </w:r>
    </w:p>
    <w:p w:rsidR="007D3EAE" w:rsidRDefault="007D3EAE" w:rsidP="007D3EAE">
      <w:pPr>
        <w:pStyle w:val="Heading4"/>
      </w:pPr>
      <w:r>
        <w:t>Draft position</w:t>
      </w:r>
    </w:p>
    <w:p w:rsidR="007D3EAE" w:rsidRDefault="007D3EAE" w:rsidP="004B79E1">
      <w:r>
        <w:t xml:space="preserve">For the purposes of the </w:t>
      </w:r>
      <w:r w:rsidR="00951DA7">
        <w:t xml:space="preserve">draft </w:t>
      </w:r>
      <w:r>
        <w:t>assessment framework, the legislated economic efficiency objective set out in section 19L of the ICRC Act replaces the objective proposed in the issues paper (see Box 2.2).</w:t>
      </w:r>
    </w:p>
    <w:p w:rsidR="00FD6435" w:rsidRDefault="00FD6435" w:rsidP="00FD6435">
      <w:pPr>
        <w:pStyle w:val="FigureName"/>
        <w:keepNext/>
        <w:widowControl w:val="0"/>
      </w:pPr>
      <w:bookmarkStart w:id="73" w:name="_Toc460572283"/>
      <w:r w:rsidRPr="00425D02">
        <w:lastRenderedPageBreak/>
        <w:t xml:space="preserve">Box </w:t>
      </w:r>
      <w:r>
        <w:fldChar w:fldCharType="begin"/>
      </w:r>
      <w:r>
        <w:instrText xml:space="preserve"> STYLEREF 1 \s </w:instrText>
      </w:r>
      <w:r>
        <w:fldChar w:fldCharType="separate"/>
      </w:r>
      <w:r w:rsidR="00B80BC7">
        <w:rPr>
          <w:noProof/>
        </w:rPr>
        <w:t>2</w:t>
      </w:r>
      <w:r>
        <w:fldChar w:fldCharType="end"/>
      </w:r>
      <w:r w:rsidRPr="00425D02">
        <w:t>.</w:t>
      </w:r>
      <w:r>
        <w:fldChar w:fldCharType="begin"/>
      </w:r>
      <w:r>
        <w:instrText xml:space="preserve"> SEQ Box \* ARABIC \s 1 </w:instrText>
      </w:r>
      <w:r>
        <w:fldChar w:fldCharType="separate"/>
      </w:r>
      <w:r w:rsidR="00B80BC7">
        <w:rPr>
          <w:noProof/>
        </w:rPr>
        <w:t>2</w:t>
      </w:r>
      <w:r>
        <w:fldChar w:fldCharType="end"/>
      </w:r>
      <w:r w:rsidRPr="00425D02">
        <w:tab/>
      </w:r>
      <w:r w:rsidR="0034147E">
        <w:t>Draft o</w:t>
      </w:r>
      <w:r>
        <w:t>verarching efficiency objective</w:t>
      </w:r>
      <w:bookmarkEnd w:id="73"/>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shd w:val="clear" w:color="auto" w:fill="DBE5F1"/>
        <w:tblLook w:val="04A0" w:firstRow="1" w:lastRow="0" w:firstColumn="1" w:lastColumn="0" w:noHBand="0" w:noVBand="1"/>
      </w:tblPr>
      <w:tblGrid>
        <w:gridCol w:w="7701"/>
      </w:tblGrid>
      <w:tr w:rsidR="00FD6435" w:rsidTr="009B5988">
        <w:trPr>
          <w:cantSplit/>
          <w:trHeight w:val="979"/>
        </w:trPr>
        <w:tc>
          <w:tcPr>
            <w:tcW w:w="7701" w:type="dxa"/>
            <w:shd w:val="clear" w:color="auto" w:fill="DBE5F1"/>
          </w:tcPr>
          <w:p w:rsidR="00FD6435" w:rsidRPr="00493F53" w:rsidRDefault="00FD6435" w:rsidP="009B5988">
            <w:pPr>
              <w:keepNext/>
            </w:pPr>
            <w:r>
              <w:rPr>
                <w:rStyle w:val="Italic"/>
                <w:i w:val="0"/>
              </w:rPr>
              <w:t>T</w:t>
            </w:r>
            <w:r w:rsidRPr="00FD6435">
              <w:rPr>
                <w:rStyle w:val="Italic"/>
                <w:i w:val="0"/>
              </w:rPr>
              <w:t>o promote the efficient investment in, and efficient operation and use of regulated services for the long term interests of consumers in relation to the price, quality, safety, reliability and security of the service</w:t>
            </w:r>
            <w:r w:rsidR="0026183F">
              <w:rPr>
                <w:rStyle w:val="Italic"/>
                <w:i w:val="0"/>
              </w:rPr>
              <w:t>.</w:t>
            </w:r>
          </w:p>
        </w:tc>
      </w:tr>
    </w:tbl>
    <w:p w:rsidR="00E963DB" w:rsidRDefault="00903D61" w:rsidP="00F22E2F">
      <w:pPr>
        <w:pStyle w:val="Heading3"/>
      </w:pPr>
      <w:bookmarkStart w:id="74" w:name="_Ref456961356"/>
      <w:r>
        <w:t>Pricing principles</w:t>
      </w:r>
      <w:bookmarkEnd w:id="74"/>
    </w:p>
    <w:p w:rsidR="005C5B5E" w:rsidRDefault="00BA6189" w:rsidP="006024C7">
      <w:r>
        <w:t>In addition to the overarching efficiency objective discussed above, when</w:t>
      </w:r>
      <w:r w:rsidR="005C5B5E">
        <w:t xml:space="preserve"> </w:t>
      </w:r>
      <w:r>
        <w:t xml:space="preserve">varying or </w:t>
      </w:r>
      <w:r w:rsidR="005C5B5E">
        <w:t xml:space="preserve">making a price direction the Commission is </w:t>
      </w:r>
      <w:r>
        <w:t xml:space="preserve">also </w:t>
      </w:r>
      <w:r w:rsidR="005C5B5E">
        <w:t xml:space="preserve">required to have regard </w:t>
      </w:r>
      <w:r w:rsidR="00D014EE">
        <w:t xml:space="preserve">to the </w:t>
      </w:r>
      <w:r w:rsidR="005C5B5E">
        <w:t xml:space="preserve">provisions set out in </w:t>
      </w:r>
      <w:r w:rsidR="005C5B5E" w:rsidRPr="00F523C4">
        <w:t>section 20</w:t>
      </w:r>
      <w:r w:rsidR="005C5B5E">
        <w:t>(2)</w:t>
      </w:r>
      <w:r w:rsidR="00D014EE">
        <w:t xml:space="preserve"> of the ICRC Act</w:t>
      </w:r>
      <w:r w:rsidR="004E20ED">
        <w:t xml:space="preserve"> (see </w:t>
      </w:r>
      <w:r w:rsidR="004E20ED">
        <w:fldChar w:fldCharType="begin"/>
      </w:r>
      <w:r w:rsidR="004E20ED">
        <w:instrText xml:space="preserve"> REF _Ref456688407 \r \h </w:instrText>
      </w:r>
      <w:r w:rsidR="004E20ED">
        <w:fldChar w:fldCharType="separate"/>
      </w:r>
      <w:r w:rsidR="00B80BC7">
        <w:t>Appendix 2</w:t>
      </w:r>
      <w:r w:rsidR="004E20ED">
        <w:fldChar w:fldCharType="end"/>
      </w:r>
      <w:r w:rsidR="004E20ED">
        <w:t>).</w:t>
      </w:r>
    </w:p>
    <w:p w:rsidR="00682B9D" w:rsidRDefault="00A21539" w:rsidP="00D014EE">
      <w:r>
        <w:t xml:space="preserve">In addition to </w:t>
      </w:r>
      <w:r w:rsidR="00D014EE">
        <w:t>economic efficiency</w:t>
      </w:r>
      <w:r w:rsidR="007D3A69">
        <w:t xml:space="preserve">, </w:t>
      </w:r>
      <w:r>
        <w:t xml:space="preserve">these provisions include </w:t>
      </w:r>
      <w:r w:rsidR="00682B9D" w:rsidRPr="00682B9D">
        <w:t>social</w:t>
      </w:r>
      <w:r w:rsidR="00682B9D">
        <w:t xml:space="preserve">, </w:t>
      </w:r>
      <w:r w:rsidR="00682B9D" w:rsidRPr="00682B9D">
        <w:t>environmental</w:t>
      </w:r>
      <w:r w:rsidR="00682B9D">
        <w:t xml:space="preserve"> and financial viability considerations</w:t>
      </w:r>
      <w:r w:rsidR="00682B9D" w:rsidRPr="00682B9D">
        <w:t>.</w:t>
      </w:r>
    </w:p>
    <w:p w:rsidR="00943E2B" w:rsidRDefault="00E90F2C" w:rsidP="00686400">
      <w:r>
        <w:t>While income distribution questions are more efficiently dealt with by the general government tax and transfer system,</w:t>
      </w:r>
      <w:r w:rsidR="00943E2B">
        <w:t xml:space="preserve"> the </w:t>
      </w:r>
      <w:r w:rsidR="00686400">
        <w:t>social or community impact requirements cannot be overlooked when considering alternative tariff designs.</w:t>
      </w:r>
    </w:p>
    <w:p w:rsidR="00943E2B" w:rsidRDefault="00686400" w:rsidP="00686400">
      <w:r>
        <w:t xml:space="preserve">The environmental requirements </w:t>
      </w:r>
      <w:r w:rsidR="00E244C4">
        <w:t xml:space="preserve">can also be </w:t>
      </w:r>
      <w:r>
        <w:t>considered within the rubric of economic efficiency.</w:t>
      </w:r>
      <w:r w:rsidR="00371D41">
        <w:t xml:space="preserve"> In this regard, t</w:t>
      </w:r>
      <w:r w:rsidR="00473AE6">
        <w:t>he scarcity value of the water resource</w:t>
      </w:r>
      <w:r w:rsidR="00371D41">
        <w:t xml:space="preserve"> itself</w:t>
      </w:r>
      <w:r w:rsidR="00473AE6">
        <w:t xml:space="preserve"> </w:t>
      </w:r>
      <w:r w:rsidR="006868D3">
        <w:t xml:space="preserve">can </w:t>
      </w:r>
      <w:r w:rsidR="00473AE6">
        <w:t xml:space="preserve">be </w:t>
      </w:r>
      <w:r w:rsidR="00371D41">
        <w:t xml:space="preserve">considered in addition to marginal infrastructure costs, when </w:t>
      </w:r>
      <w:r w:rsidR="00473AE6">
        <w:t>estimating marginal cost</w:t>
      </w:r>
      <w:r w:rsidR="00371D41">
        <w:t xml:space="preserve"> for the purposes of setting </w:t>
      </w:r>
      <w:r w:rsidR="006868D3">
        <w:t>economically efficient</w:t>
      </w:r>
      <w:r w:rsidR="006868D3">
        <w:sym w:font="Symbol" w:char="F02D"/>
      </w:r>
      <w:r w:rsidR="006868D3">
        <w:t xml:space="preserve">or </w:t>
      </w:r>
      <w:r w:rsidR="00371D41">
        <w:t>cost-reflective</w:t>
      </w:r>
      <w:r w:rsidR="006868D3">
        <w:sym w:font="Symbol" w:char="F02D"/>
      </w:r>
      <w:r w:rsidR="00371D41">
        <w:t>prices.</w:t>
      </w:r>
    </w:p>
    <w:p w:rsidR="00686400" w:rsidRDefault="00943E2B" w:rsidP="00686400">
      <w:r>
        <w:t xml:space="preserve">The financial viability requirements </w:t>
      </w:r>
      <w:r w:rsidR="00371D41">
        <w:t xml:space="preserve">for Icon Water </w:t>
      </w:r>
      <w:r>
        <w:t>cannot be avoided and can be considered as a constraint in the exercise of maximising social welfare. That is, we are dealing with a constrained maximisation problem, with social welfare maximised subject to a revenue constraint.</w:t>
      </w:r>
    </w:p>
    <w:p w:rsidR="00151055" w:rsidRDefault="00CC23DE" w:rsidP="00151055">
      <w:r>
        <w:t xml:space="preserve">In addition to </w:t>
      </w:r>
      <w:r w:rsidR="00151055">
        <w:t>legislative requirements, as the ACT Government is a signatory to the National Water Initiative and the Initiative’s pricing principles</w:t>
      </w:r>
      <w:r w:rsidR="00A36F20">
        <w:t xml:space="preserve"> (see </w:t>
      </w:r>
      <w:r w:rsidR="004D0DCC">
        <w:fldChar w:fldCharType="begin"/>
      </w:r>
      <w:r w:rsidR="004D0DCC">
        <w:instrText xml:space="preserve"> REF _Ref456688407 \r \h </w:instrText>
      </w:r>
      <w:r w:rsidR="004D0DCC">
        <w:fldChar w:fldCharType="separate"/>
      </w:r>
      <w:r w:rsidR="00B80BC7">
        <w:t>Appendix 2</w:t>
      </w:r>
      <w:r w:rsidR="004D0DCC">
        <w:fldChar w:fldCharType="end"/>
      </w:r>
      <w:r w:rsidR="00A36F20">
        <w:t>)</w:t>
      </w:r>
      <w:r w:rsidR="00151055">
        <w:t xml:space="preserve">, the Commission is </w:t>
      </w:r>
      <w:r w:rsidR="00A36F20">
        <w:t xml:space="preserve">also </w:t>
      </w:r>
      <w:r w:rsidR="00151055">
        <w:t>required to ensure, to the extent possible, that Icon Water’s water tariff structure is consistent with both.</w:t>
      </w:r>
    </w:p>
    <w:p w:rsidR="00950671" w:rsidRDefault="00A36F20" w:rsidP="0056036A">
      <w:r>
        <w:t xml:space="preserve">The set of proposed principles has been </w:t>
      </w:r>
      <w:r w:rsidR="004D0DCC">
        <w:t>designed to take into account the overarching economic efficiency objective, section 20(2) considerations and National Water Initiative pricing principles. The principles</w:t>
      </w:r>
      <w:r w:rsidR="00733B81">
        <w:t xml:space="preserve"> proposed in the issues paper</w:t>
      </w:r>
      <w:r w:rsidR="004D0DCC">
        <w:t xml:space="preserve">, </w:t>
      </w:r>
      <w:r>
        <w:t>categorised into</w:t>
      </w:r>
      <w:r w:rsidR="00CC23DE">
        <w:t xml:space="preserve"> </w:t>
      </w:r>
      <w:r>
        <w:t>economic efficiency, financial viability an</w:t>
      </w:r>
      <w:r w:rsidR="00CC23DE">
        <w:t>d community impact streams</w:t>
      </w:r>
      <w:r w:rsidR="004D0DCC">
        <w:t>, are shown in</w:t>
      </w:r>
      <w:r>
        <w:t xml:space="preserve"> Box 2.</w:t>
      </w:r>
      <w:r w:rsidR="00011667">
        <w:t>3</w:t>
      </w:r>
      <w:r w:rsidR="004D0DCC">
        <w:t>.</w:t>
      </w:r>
    </w:p>
    <w:p w:rsidR="0056036A" w:rsidRDefault="0056036A" w:rsidP="00571E28">
      <w:pPr>
        <w:pStyle w:val="FigureName"/>
        <w:keepNext/>
        <w:widowControl w:val="0"/>
      </w:pPr>
      <w:bookmarkStart w:id="75" w:name="_Toc450562754"/>
      <w:bookmarkStart w:id="76" w:name="_Toc453920919"/>
      <w:bookmarkStart w:id="77" w:name="_Toc460572284"/>
      <w:r w:rsidRPr="00425D02">
        <w:lastRenderedPageBreak/>
        <w:t xml:space="preserve">Box </w:t>
      </w:r>
      <w:r>
        <w:fldChar w:fldCharType="begin"/>
      </w:r>
      <w:r>
        <w:instrText xml:space="preserve"> STYLEREF 1 \s </w:instrText>
      </w:r>
      <w:r>
        <w:fldChar w:fldCharType="separate"/>
      </w:r>
      <w:r w:rsidR="00B80BC7">
        <w:rPr>
          <w:noProof/>
        </w:rPr>
        <w:t>2</w:t>
      </w:r>
      <w:r>
        <w:fldChar w:fldCharType="end"/>
      </w:r>
      <w:r w:rsidRPr="00425D02">
        <w:t>.</w:t>
      </w:r>
      <w:r>
        <w:fldChar w:fldCharType="begin"/>
      </w:r>
      <w:r>
        <w:instrText xml:space="preserve"> SEQ Box \* ARABIC \s 1 </w:instrText>
      </w:r>
      <w:r>
        <w:fldChar w:fldCharType="separate"/>
      </w:r>
      <w:r w:rsidR="00B80BC7">
        <w:rPr>
          <w:noProof/>
        </w:rPr>
        <w:t>3</w:t>
      </w:r>
      <w:r>
        <w:fldChar w:fldCharType="end"/>
      </w:r>
      <w:r w:rsidRPr="00425D02">
        <w:tab/>
      </w:r>
      <w:r w:rsidR="00AF30C7">
        <w:t>Issues paper p</w:t>
      </w:r>
      <w:r>
        <w:t>roposed pricing principles</w:t>
      </w:r>
      <w:bookmarkEnd w:id="75"/>
      <w:bookmarkEnd w:id="76"/>
      <w:bookmarkEnd w:id="77"/>
    </w:p>
    <w:tbl>
      <w:tblPr>
        <w:tblW w:w="5588" w:type="pct"/>
        <w:tblBorders>
          <w:top w:val="single" w:sz="12" w:space="0" w:color="333399"/>
          <w:bottom w:val="single" w:sz="12" w:space="0" w:color="333399"/>
        </w:tblBorders>
        <w:tblCellMar>
          <w:left w:w="115" w:type="dxa"/>
          <w:right w:w="115" w:type="dxa"/>
        </w:tblCellMar>
        <w:tblLook w:val="0000" w:firstRow="0" w:lastRow="0" w:firstColumn="0" w:lastColumn="0" w:noHBand="0" w:noVBand="0"/>
      </w:tblPr>
      <w:tblGrid>
        <w:gridCol w:w="1592"/>
        <w:gridCol w:w="1741"/>
        <w:gridCol w:w="5285"/>
      </w:tblGrid>
      <w:tr w:rsidR="00571E28" w:rsidRPr="00144F8C" w:rsidTr="00FE0167">
        <w:trPr>
          <w:cantSplit/>
        </w:trPr>
        <w:tc>
          <w:tcPr>
            <w:tcW w:w="924" w:type="pct"/>
            <w:tcBorders>
              <w:top w:val="single" w:sz="12" w:space="0" w:color="1F497D" w:themeColor="text2"/>
              <w:left w:val="nil"/>
              <w:bottom w:val="single" w:sz="8" w:space="0" w:color="1F497D" w:themeColor="text2"/>
              <w:right w:val="nil"/>
            </w:tcBorders>
            <w:shd w:val="clear" w:color="auto" w:fill="DBE5F1" w:themeFill="accent1" w:themeFillTint="33"/>
            <w:vAlign w:val="bottom"/>
          </w:tcPr>
          <w:p w:rsidR="00571E28" w:rsidRPr="00B40AA3" w:rsidRDefault="00571E28" w:rsidP="00571E28">
            <w:pPr>
              <w:pStyle w:val="TableHeadingLeft"/>
              <w:keepNext/>
            </w:pPr>
            <w:r>
              <w:t>Category</w:t>
            </w:r>
          </w:p>
        </w:tc>
        <w:tc>
          <w:tcPr>
            <w:tcW w:w="1010" w:type="pct"/>
            <w:tcBorders>
              <w:top w:val="single" w:sz="12" w:space="0" w:color="1F497D" w:themeColor="text2"/>
              <w:left w:val="nil"/>
              <w:bottom w:val="single" w:sz="8" w:space="0" w:color="1F497D" w:themeColor="text2"/>
              <w:right w:val="nil"/>
            </w:tcBorders>
            <w:shd w:val="clear" w:color="auto" w:fill="DBE5F1" w:themeFill="accent1" w:themeFillTint="33"/>
          </w:tcPr>
          <w:p w:rsidR="00571E28" w:rsidRPr="00B40AA3" w:rsidRDefault="00571E28" w:rsidP="00571E28">
            <w:pPr>
              <w:pStyle w:val="TableHeadingLeft"/>
              <w:keepNext/>
            </w:pPr>
            <w:r>
              <w:t>Stream</w:t>
            </w:r>
          </w:p>
        </w:tc>
        <w:tc>
          <w:tcPr>
            <w:tcW w:w="3066" w:type="pct"/>
            <w:tcBorders>
              <w:top w:val="single" w:sz="12" w:space="0" w:color="1F497D" w:themeColor="text2"/>
              <w:left w:val="nil"/>
              <w:bottom w:val="single" w:sz="8" w:space="0" w:color="1F497D" w:themeColor="text2"/>
              <w:right w:val="nil"/>
            </w:tcBorders>
            <w:shd w:val="clear" w:color="auto" w:fill="DBE5F1" w:themeFill="accent1" w:themeFillTint="33"/>
            <w:vAlign w:val="bottom"/>
          </w:tcPr>
          <w:p w:rsidR="00571E28" w:rsidRPr="00B40AA3" w:rsidRDefault="00571E28" w:rsidP="00571E28">
            <w:pPr>
              <w:pStyle w:val="TableHeadingLeft"/>
              <w:keepNext/>
            </w:pPr>
            <w:r>
              <w:t>Detail</w:t>
            </w:r>
          </w:p>
        </w:tc>
      </w:tr>
      <w:tr w:rsidR="00571E28" w:rsidRPr="00144F8C" w:rsidTr="00FE0167">
        <w:trPr>
          <w:cantSplit/>
        </w:trPr>
        <w:tc>
          <w:tcPr>
            <w:tcW w:w="924" w:type="pct"/>
            <w:tcBorders>
              <w:top w:val="nil"/>
              <w:left w:val="nil"/>
              <w:bottom w:val="nil"/>
              <w:right w:val="nil"/>
            </w:tcBorders>
            <w:shd w:val="clear" w:color="auto" w:fill="DDD9C3" w:themeFill="background2" w:themeFillShade="E6"/>
          </w:tcPr>
          <w:p w:rsidR="00571E28" w:rsidRPr="000B08E5" w:rsidRDefault="00571E28" w:rsidP="00571E28">
            <w:pPr>
              <w:pStyle w:val="TableTextLeft"/>
              <w:keepNext/>
              <w:rPr>
                <w:b/>
              </w:rPr>
            </w:pPr>
            <w:r>
              <w:rPr>
                <w:b/>
              </w:rPr>
              <w:t>Pricing p</w:t>
            </w:r>
            <w:r w:rsidRPr="000B08E5">
              <w:rPr>
                <w:b/>
              </w:rPr>
              <w:t>rinciple 1</w:t>
            </w:r>
          </w:p>
        </w:tc>
        <w:tc>
          <w:tcPr>
            <w:tcW w:w="1010" w:type="pct"/>
            <w:tcBorders>
              <w:top w:val="nil"/>
              <w:left w:val="nil"/>
              <w:bottom w:val="nil"/>
              <w:right w:val="nil"/>
            </w:tcBorders>
            <w:shd w:val="clear" w:color="auto" w:fill="DDD9C3" w:themeFill="background2" w:themeFillShade="E6"/>
          </w:tcPr>
          <w:p w:rsidR="00571E28" w:rsidRPr="001E56D3" w:rsidRDefault="00571E28" w:rsidP="00571E28">
            <w:pPr>
              <w:pStyle w:val="TableTextLeft"/>
              <w:keepNext/>
              <w:rPr>
                <w:b/>
              </w:rPr>
            </w:pPr>
            <w:r w:rsidRPr="001E56D3">
              <w:rPr>
                <w:b/>
              </w:rPr>
              <w:t>Economic efficiency</w:t>
            </w:r>
          </w:p>
          <w:p w:rsidR="00571E28" w:rsidRPr="0051604C" w:rsidRDefault="00571E28" w:rsidP="00571E28">
            <w:pPr>
              <w:pStyle w:val="TableTextLeft"/>
              <w:keepNext/>
            </w:pPr>
          </w:p>
        </w:tc>
        <w:tc>
          <w:tcPr>
            <w:tcW w:w="3066" w:type="pct"/>
            <w:tcBorders>
              <w:top w:val="nil"/>
              <w:left w:val="nil"/>
              <w:bottom w:val="nil"/>
              <w:right w:val="nil"/>
            </w:tcBorders>
            <w:shd w:val="clear" w:color="auto" w:fill="DDD9C3" w:themeFill="background2" w:themeFillShade="E6"/>
          </w:tcPr>
          <w:p w:rsidR="00571E28" w:rsidRPr="00B40AA3" w:rsidRDefault="00571E28" w:rsidP="00571E28">
            <w:pPr>
              <w:pStyle w:val="TableTextLeft"/>
              <w:keepNext/>
            </w:pPr>
            <w:r w:rsidRPr="0051604C">
              <w:t>Tariff structures and prices should promote the economically efficient use of Icon Water’s water and sewerage services infrastructure, and in the case of water should also encourage economically efficient use of the water resource.</w:t>
            </w:r>
          </w:p>
        </w:tc>
      </w:tr>
      <w:tr w:rsidR="00571E28" w:rsidRPr="00144F8C" w:rsidTr="00FE0167">
        <w:trPr>
          <w:cantSplit/>
        </w:trPr>
        <w:tc>
          <w:tcPr>
            <w:tcW w:w="924" w:type="pct"/>
            <w:tcBorders>
              <w:top w:val="nil"/>
              <w:left w:val="nil"/>
              <w:bottom w:val="nil"/>
              <w:right w:val="nil"/>
            </w:tcBorders>
            <w:shd w:val="clear" w:color="auto" w:fill="F2DBDB" w:themeFill="accent2" w:themeFillTint="33"/>
          </w:tcPr>
          <w:p w:rsidR="00571E28" w:rsidRPr="00E416DD" w:rsidRDefault="00571E28" w:rsidP="00571E28">
            <w:pPr>
              <w:pStyle w:val="TableTextLeft"/>
              <w:keepNext/>
              <w:jc w:val="right"/>
              <w:rPr>
                <w:b/>
              </w:rPr>
            </w:pPr>
            <w:r w:rsidRPr="00E416DD">
              <w:rPr>
                <w:b/>
              </w:rPr>
              <w:t>2</w:t>
            </w:r>
          </w:p>
        </w:tc>
        <w:tc>
          <w:tcPr>
            <w:tcW w:w="1010" w:type="pct"/>
            <w:tcBorders>
              <w:top w:val="nil"/>
              <w:left w:val="nil"/>
              <w:bottom w:val="nil"/>
              <w:right w:val="nil"/>
            </w:tcBorders>
            <w:shd w:val="clear" w:color="auto" w:fill="F2DBDB" w:themeFill="accent2" w:themeFillTint="33"/>
          </w:tcPr>
          <w:p w:rsidR="00571E28" w:rsidRPr="001E56D3" w:rsidRDefault="00571E28" w:rsidP="00571E28">
            <w:pPr>
              <w:pStyle w:val="TableTextLeft"/>
              <w:keepNext/>
              <w:rPr>
                <w:b/>
              </w:rPr>
            </w:pPr>
            <w:r w:rsidRPr="001E56D3">
              <w:rPr>
                <w:b/>
              </w:rPr>
              <w:t>Financial viability</w:t>
            </w:r>
          </w:p>
        </w:tc>
        <w:tc>
          <w:tcPr>
            <w:tcW w:w="3066" w:type="pct"/>
            <w:tcBorders>
              <w:top w:val="nil"/>
              <w:left w:val="nil"/>
              <w:bottom w:val="nil"/>
              <w:right w:val="nil"/>
            </w:tcBorders>
            <w:shd w:val="clear" w:color="auto" w:fill="F2DBDB" w:themeFill="accent2" w:themeFillTint="33"/>
          </w:tcPr>
          <w:p w:rsidR="00571E28" w:rsidRPr="00B40AA3" w:rsidRDefault="00571E28" w:rsidP="00571E28">
            <w:pPr>
              <w:pStyle w:val="TableTextLeft"/>
              <w:keepNext/>
            </w:pPr>
            <w:r w:rsidRPr="00C159FF">
              <w:t>Tariff structures and prices should reflect the full recovery of the prudent and efficient costs of providing regulated water and sewerage services to ensure business viability.</w:t>
            </w:r>
          </w:p>
        </w:tc>
      </w:tr>
      <w:tr w:rsidR="00571E28" w:rsidRPr="00144F8C" w:rsidTr="00FE0167">
        <w:trPr>
          <w:cantSplit/>
        </w:trPr>
        <w:tc>
          <w:tcPr>
            <w:tcW w:w="924" w:type="pct"/>
            <w:tcBorders>
              <w:top w:val="nil"/>
              <w:left w:val="nil"/>
              <w:bottom w:val="nil"/>
              <w:right w:val="nil"/>
            </w:tcBorders>
            <w:shd w:val="clear" w:color="auto" w:fill="F2DBDB" w:themeFill="accent2" w:themeFillTint="33"/>
          </w:tcPr>
          <w:p w:rsidR="00571E28" w:rsidRPr="00E416DD" w:rsidRDefault="00571E28" w:rsidP="00571E28">
            <w:pPr>
              <w:pStyle w:val="TableTextLeft"/>
              <w:keepNext/>
              <w:jc w:val="right"/>
              <w:rPr>
                <w:b/>
              </w:rPr>
            </w:pPr>
            <w:r w:rsidRPr="00E416DD">
              <w:rPr>
                <w:b/>
              </w:rPr>
              <w:t>3</w:t>
            </w:r>
          </w:p>
        </w:tc>
        <w:tc>
          <w:tcPr>
            <w:tcW w:w="1010" w:type="pct"/>
            <w:tcBorders>
              <w:top w:val="nil"/>
              <w:left w:val="nil"/>
              <w:bottom w:val="nil"/>
              <w:right w:val="nil"/>
            </w:tcBorders>
            <w:shd w:val="clear" w:color="auto" w:fill="F2DBDB" w:themeFill="accent2" w:themeFillTint="33"/>
          </w:tcPr>
          <w:p w:rsidR="00571E28" w:rsidRPr="00C159FF" w:rsidRDefault="00571E28" w:rsidP="00571E28">
            <w:pPr>
              <w:pStyle w:val="TableTextLeft"/>
              <w:keepNext/>
            </w:pPr>
          </w:p>
        </w:tc>
        <w:tc>
          <w:tcPr>
            <w:tcW w:w="3066" w:type="pct"/>
            <w:tcBorders>
              <w:top w:val="nil"/>
              <w:left w:val="nil"/>
              <w:bottom w:val="nil"/>
              <w:right w:val="nil"/>
            </w:tcBorders>
            <w:shd w:val="clear" w:color="auto" w:fill="F2DBDB" w:themeFill="accent2" w:themeFillTint="33"/>
          </w:tcPr>
          <w:p w:rsidR="00571E28" w:rsidRPr="00B40AA3" w:rsidRDefault="00571E28" w:rsidP="00571E28">
            <w:pPr>
              <w:pStyle w:val="TableTextLeft"/>
              <w:keepNext/>
            </w:pPr>
            <w:r w:rsidRPr="00C159FF">
              <w:t>Tariff structures and prices should facilitate the recovery of Icon Water’s allowed revenue over the regulatory period.</w:t>
            </w:r>
          </w:p>
        </w:tc>
      </w:tr>
      <w:tr w:rsidR="00571E28" w:rsidRPr="00144F8C" w:rsidTr="00FE0167">
        <w:trPr>
          <w:cantSplit/>
        </w:trPr>
        <w:tc>
          <w:tcPr>
            <w:tcW w:w="924" w:type="pct"/>
            <w:tcBorders>
              <w:top w:val="nil"/>
              <w:left w:val="nil"/>
              <w:bottom w:val="nil"/>
              <w:right w:val="nil"/>
            </w:tcBorders>
            <w:shd w:val="clear" w:color="auto" w:fill="DAEEF3" w:themeFill="accent5" w:themeFillTint="33"/>
          </w:tcPr>
          <w:p w:rsidR="00571E28" w:rsidRPr="00E416DD" w:rsidRDefault="00571E28" w:rsidP="00571E28">
            <w:pPr>
              <w:pStyle w:val="TableTextLeft"/>
              <w:keepNext/>
              <w:jc w:val="right"/>
              <w:rPr>
                <w:b/>
              </w:rPr>
            </w:pPr>
            <w:r w:rsidRPr="00E416DD">
              <w:rPr>
                <w:b/>
              </w:rPr>
              <w:t>4</w:t>
            </w:r>
          </w:p>
        </w:tc>
        <w:tc>
          <w:tcPr>
            <w:tcW w:w="1010" w:type="pct"/>
            <w:tcBorders>
              <w:top w:val="nil"/>
              <w:left w:val="nil"/>
              <w:bottom w:val="nil"/>
              <w:right w:val="nil"/>
            </w:tcBorders>
            <w:shd w:val="clear" w:color="auto" w:fill="DAEEF3" w:themeFill="accent5" w:themeFillTint="33"/>
          </w:tcPr>
          <w:p w:rsidR="00571E28" w:rsidRPr="001E56D3" w:rsidRDefault="00571E28" w:rsidP="00571E28">
            <w:pPr>
              <w:pStyle w:val="TableTextLeft"/>
              <w:keepNext/>
              <w:rPr>
                <w:b/>
              </w:rPr>
            </w:pPr>
            <w:r w:rsidRPr="001E56D3">
              <w:rPr>
                <w:b/>
              </w:rPr>
              <w:t>Community impact</w:t>
            </w:r>
          </w:p>
        </w:tc>
        <w:tc>
          <w:tcPr>
            <w:tcW w:w="3066" w:type="pct"/>
            <w:tcBorders>
              <w:top w:val="nil"/>
              <w:left w:val="nil"/>
              <w:bottom w:val="nil"/>
              <w:right w:val="nil"/>
            </w:tcBorders>
            <w:shd w:val="clear" w:color="auto" w:fill="DAEEF3" w:themeFill="accent5" w:themeFillTint="33"/>
          </w:tcPr>
          <w:p w:rsidR="00571E28" w:rsidRPr="00B40AA3" w:rsidRDefault="00571E28" w:rsidP="00571E28">
            <w:pPr>
              <w:pStyle w:val="TableTextLeft"/>
              <w:keepNext/>
            </w:pPr>
            <w:r>
              <w:t>Tariff structures should be robust enough to promote the economically efficient use of Icon Water’s water and sewerage services infrastructure over a reasonable period of time.</w:t>
            </w:r>
          </w:p>
        </w:tc>
      </w:tr>
      <w:tr w:rsidR="00571E28" w:rsidRPr="00144F8C" w:rsidTr="00FE0167">
        <w:trPr>
          <w:cantSplit/>
        </w:trPr>
        <w:tc>
          <w:tcPr>
            <w:tcW w:w="924" w:type="pct"/>
            <w:tcBorders>
              <w:top w:val="nil"/>
              <w:left w:val="nil"/>
              <w:bottom w:val="nil"/>
              <w:right w:val="nil"/>
            </w:tcBorders>
            <w:shd w:val="clear" w:color="auto" w:fill="DAEEF3" w:themeFill="accent5" w:themeFillTint="33"/>
          </w:tcPr>
          <w:p w:rsidR="00571E28" w:rsidRPr="00E416DD" w:rsidRDefault="00571E28" w:rsidP="00571E28">
            <w:pPr>
              <w:pStyle w:val="TableTextLeft"/>
              <w:keepNext/>
              <w:jc w:val="right"/>
              <w:rPr>
                <w:b/>
              </w:rPr>
            </w:pPr>
            <w:r w:rsidRPr="00E416DD">
              <w:rPr>
                <w:b/>
              </w:rPr>
              <w:t>5</w:t>
            </w:r>
          </w:p>
        </w:tc>
        <w:tc>
          <w:tcPr>
            <w:tcW w:w="1010" w:type="pct"/>
            <w:tcBorders>
              <w:top w:val="nil"/>
              <w:left w:val="nil"/>
              <w:bottom w:val="nil"/>
              <w:right w:val="nil"/>
            </w:tcBorders>
            <w:shd w:val="clear" w:color="auto" w:fill="DAEEF3" w:themeFill="accent5" w:themeFillTint="33"/>
          </w:tcPr>
          <w:p w:rsidR="00571E28" w:rsidRPr="00B40AA3" w:rsidRDefault="00571E28" w:rsidP="00571E28">
            <w:pPr>
              <w:pStyle w:val="TableTextLeft"/>
              <w:keepNext/>
            </w:pPr>
          </w:p>
        </w:tc>
        <w:tc>
          <w:tcPr>
            <w:tcW w:w="3066" w:type="pct"/>
            <w:tcBorders>
              <w:top w:val="nil"/>
              <w:left w:val="nil"/>
              <w:bottom w:val="nil"/>
              <w:right w:val="nil"/>
            </w:tcBorders>
            <w:shd w:val="clear" w:color="auto" w:fill="DAEEF3" w:themeFill="accent5" w:themeFillTint="33"/>
          </w:tcPr>
          <w:p w:rsidR="00571E28" w:rsidRPr="00B40AA3" w:rsidRDefault="00571E28" w:rsidP="00571E28">
            <w:pPr>
              <w:pStyle w:val="TableTextLeft"/>
              <w:keepNext/>
            </w:pPr>
            <w:r>
              <w:t>Any change to the structure of tariffs and prices that will have substantial customer impacts should be phased in over a transition period to allow customers reasonable time to adjust to the change.</w:t>
            </w:r>
          </w:p>
        </w:tc>
      </w:tr>
      <w:tr w:rsidR="00571E28" w:rsidRPr="00144F8C" w:rsidTr="00FE0167">
        <w:trPr>
          <w:cantSplit/>
        </w:trPr>
        <w:tc>
          <w:tcPr>
            <w:tcW w:w="924" w:type="pct"/>
            <w:tcBorders>
              <w:top w:val="nil"/>
              <w:left w:val="nil"/>
              <w:bottom w:val="nil"/>
              <w:right w:val="nil"/>
            </w:tcBorders>
            <w:shd w:val="clear" w:color="auto" w:fill="DAEEF3" w:themeFill="accent5" w:themeFillTint="33"/>
          </w:tcPr>
          <w:p w:rsidR="00571E28" w:rsidRPr="00E416DD" w:rsidRDefault="00571E28" w:rsidP="00571E28">
            <w:pPr>
              <w:pStyle w:val="TableTextLeft"/>
              <w:keepNext/>
              <w:jc w:val="right"/>
              <w:rPr>
                <w:b/>
              </w:rPr>
            </w:pPr>
            <w:r w:rsidRPr="00E416DD">
              <w:rPr>
                <w:b/>
              </w:rPr>
              <w:t>6</w:t>
            </w:r>
          </w:p>
        </w:tc>
        <w:tc>
          <w:tcPr>
            <w:tcW w:w="1010" w:type="pct"/>
            <w:tcBorders>
              <w:top w:val="nil"/>
              <w:left w:val="nil"/>
              <w:bottom w:val="nil"/>
              <w:right w:val="nil"/>
            </w:tcBorders>
            <w:shd w:val="clear" w:color="auto" w:fill="DAEEF3" w:themeFill="accent5" w:themeFillTint="33"/>
          </w:tcPr>
          <w:p w:rsidR="00571E28" w:rsidRPr="00B40AA3" w:rsidRDefault="00571E28" w:rsidP="00571E28">
            <w:pPr>
              <w:pStyle w:val="TableTextLeft"/>
              <w:keepNext/>
            </w:pPr>
          </w:p>
        </w:tc>
        <w:tc>
          <w:tcPr>
            <w:tcW w:w="3066" w:type="pct"/>
            <w:tcBorders>
              <w:top w:val="nil"/>
              <w:left w:val="nil"/>
              <w:bottom w:val="nil"/>
              <w:right w:val="nil"/>
            </w:tcBorders>
            <w:shd w:val="clear" w:color="auto" w:fill="DAEEF3" w:themeFill="accent5" w:themeFillTint="33"/>
          </w:tcPr>
          <w:p w:rsidR="00571E28" w:rsidRPr="00B40AA3" w:rsidRDefault="00571E28" w:rsidP="00571E28">
            <w:pPr>
              <w:pStyle w:val="TableTextLeft"/>
              <w:keepNext/>
            </w:pPr>
            <w:r>
              <w:t>Tariff structures should be simple for customers to understand and straightforward for the utility to implement.</w:t>
            </w:r>
          </w:p>
        </w:tc>
      </w:tr>
      <w:tr w:rsidR="00571E28" w:rsidRPr="00144F8C" w:rsidTr="00FE0167">
        <w:trPr>
          <w:cantSplit/>
        </w:trPr>
        <w:tc>
          <w:tcPr>
            <w:tcW w:w="924" w:type="pct"/>
            <w:tcBorders>
              <w:top w:val="nil"/>
              <w:left w:val="nil"/>
              <w:bottom w:val="single" w:sz="12" w:space="0" w:color="1F497D" w:themeColor="text2"/>
              <w:right w:val="nil"/>
            </w:tcBorders>
            <w:shd w:val="clear" w:color="auto" w:fill="DAEEF3" w:themeFill="accent5" w:themeFillTint="33"/>
          </w:tcPr>
          <w:p w:rsidR="00571E28" w:rsidRPr="00E416DD" w:rsidRDefault="00571E28" w:rsidP="00571E28">
            <w:pPr>
              <w:pStyle w:val="TableTextLeft"/>
              <w:keepNext/>
              <w:jc w:val="right"/>
              <w:rPr>
                <w:b/>
              </w:rPr>
            </w:pPr>
            <w:r w:rsidRPr="00E416DD">
              <w:rPr>
                <w:b/>
              </w:rPr>
              <w:t>7</w:t>
            </w:r>
          </w:p>
        </w:tc>
        <w:tc>
          <w:tcPr>
            <w:tcW w:w="1010" w:type="pct"/>
            <w:tcBorders>
              <w:top w:val="nil"/>
              <w:left w:val="nil"/>
              <w:bottom w:val="single" w:sz="12" w:space="0" w:color="1F497D" w:themeColor="text2"/>
              <w:right w:val="nil"/>
            </w:tcBorders>
            <w:shd w:val="clear" w:color="auto" w:fill="DAEEF3" w:themeFill="accent5" w:themeFillTint="33"/>
          </w:tcPr>
          <w:p w:rsidR="00571E28" w:rsidRPr="00B40AA3" w:rsidRDefault="00571E28" w:rsidP="00571E28">
            <w:pPr>
              <w:pStyle w:val="TableTextLeft"/>
              <w:keepNext/>
            </w:pPr>
          </w:p>
        </w:tc>
        <w:tc>
          <w:tcPr>
            <w:tcW w:w="3066" w:type="pct"/>
            <w:tcBorders>
              <w:top w:val="nil"/>
              <w:left w:val="nil"/>
              <w:bottom w:val="single" w:sz="12" w:space="0" w:color="1F497D" w:themeColor="text2"/>
              <w:right w:val="nil"/>
            </w:tcBorders>
            <w:shd w:val="clear" w:color="auto" w:fill="DAEEF3" w:themeFill="accent5" w:themeFillTint="33"/>
          </w:tcPr>
          <w:p w:rsidR="00571E28" w:rsidRPr="00B40AA3" w:rsidRDefault="00571E28" w:rsidP="00571E28">
            <w:pPr>
              <w:pStyle w:val="TableTextLeft"/>
              <w:keepNext/>
            </w:pPr>
            <w:r>
              <w:t>Tariffs should be set using a transparent methodology and subject to public consultation and scrutiny.</w:t>
            </w:r>
          </w:p>
        </w:tc>
      </w:tr>
    </w:tbl>
    <w:p w:rsidR="0056036A" w:rsidRDefault="0056036A" w:rsidP="0056036A">
      <w:pPr>
        <w:pStyle w:val="TableNotesLast"/>
      </w:pPr>
      <w:r>
        <w:t>Source:</w:t>
      </w:r>
      <w:r>
        <w:tab/>
      </w:r>
      <w:r w:rsidR="002E0BE7">
        <w:fldChar w:fldCharType="begin"/>
      </w:r>
      <w:r w:rsidR="003D2B45">
        <w:instrText xml:space="preserve"> ADDIN EN.CITE &lt;EndNote&gt;&lt;Cite&gt;&lt;Author&gt;ICRC&lt;/Author&gt;&lt;Year&gt;2015&lt;/Year&gt;&lt;RecNum&gt;630&lt;/RecNum&gt;&lt;DisplayText&gt;ICRC (2015a)&lt;/DisplayText&gt;&lt;record&gt;&lt;rec-number&gt;630&lt;/rec-number&gt;&lt;foreign-keys&gt;&lt;key app="EN" db-id="5xwt9zxa6r5fesevwr5xzp97r95ev9wx9zpw" timestamp="1445552628"&gt;630&lt;/key&gt;&lt;/foreign-keys&gt;&lt;ref-type name="AAA ICRC Water References"&gt;40&lt;/ref-type&gt;&lt;contributors&gt;&lt;authors&gt;&lt;author&gt;ICRC,&lt;/author&gt;&lt;/authors&gt;&lt;/contributors&gt;&lt;titles&gt;&lt;title&gt;Issues Paper: Tariff Review 2016 - Regulated Water and Sewerage Services&lt;/title&gt;&lt;/titles&gt;&lt;volume&gt;Report 7 of 2015&lt;/volume&gt;&lt;dates&gt;&lt;year&gt;2015&lt;/year&gt;&lt;pub-dates&gt;&lt;date&gt;November 2015&lt;/date&gt;&lt;/pub-dates&gt;&lt;/dates&gt;&lt;pub-location&gt;Canberra&lt;/pub-location&gt;&lt;publisher&gt;ICRC&lt;/publisher&gt;&lt;urls&gt;&lt;/urls&gt;&lt;/record&gt;&lt;/Cite&gt;&lt;/EndNote&gt;</w:instrText>
      </w:r>
      <w:r w:rsidR="002E0BE7">
        <w:fldChar w:fldCharType="separate"/>
      </w:r>
      <w:hyperlink w:anchor="_ENREF_22" w:tooltip="ICRC, 2015 #630" w:history="1">
        <w:r w:rsidR="00A2488A">
          <w:rPr>
            <w:noProof/>
          </w:rPr>
          <w:t>ICRC (2015a</w:t>
        </w:r>
      </w:hyperlink>
      <w:r w:rsidR="003D2B45">
        <w:rPr>
          <w:noProof/>
        </w:rPr>
        <w:t>)</w:t>
      </w:r>
      <w:r w:rsidR="002E0BE7">
        <w:fldChar w:fldCharType="end"/>
      </w:r>
      <w:r>
        <w:t>: 46.</w:t>
      </w:r>
    </w:p>
    <w:p w:rsidR="00CA2E35" w:rsidRDefault="00653942" w:rsidP="00653942">
      <w:pPr>
        <w:pStyle w:val="Heading4"/>
      </w:pPr>
      <w:r>
        <w:t>Submissions</w:t>
      </w:r>
    </w:p>
    <w:p w:rsidR="00BF34E3" w:rsidRDefault="003A074D" w:rsidP="00BF34E3">
      <w:r>
        <w:t>In its first submission to the tariff review, Icon Water expressed support for the proposed pricing principles</w:t>
      </w:r>
      <w:r w:rsidR="009B3514">
        <w:t>, noting</w:t>
      </w:r>
      <w:r w:rsidR="00731E58">
        <w:t xml:space="preserve"> in particular that</w:t>
      </w:r>
      <w:r w:rsidR="009B3514">
        <w:t>:</w:t>
      </w:r>
      <w:r w:rsidR="00C27289">
        <w:rPr>
          <w:rStyle w:val="FootnoteReference"/>
        </w:rPr>
        <w:footnoteReference w:id="25"/>
      </w:r>
    </w:p>
    <w:p w:rsidR="009B3514" w:rsidRDefault="00731E58" w:rsidP="00731E58">
      <w:pPr>
        <w:pStyle w:val="Bullet"/>
      </w:pPr>
      <w:r>
        <w:t>d</w:t>
      </w:r>
      <w:r w:rsidR="009B3514">
        <w:t xml:space="preserve">rought pricing arrangements that would improve economic efficiency (principle 1) and full cost recovery (principle 2) </w:t>
      </w:r>
      <w:r>
        <w:t xml:space="preserve">should </w:t>
      </w:r>
      <w:r w:rsidR="009B3514">
        <w:t xml:space="preserve">not </w:t>
      </w:r>
      <w:r>
        <w:t xml:space="preserve">be </w:t>
      </w:r>
      <w:r w:rsidR="009B3514">
        <w:t>precluded on the basis that they would make prices less stable (principles 4 and 5)</w:t>
      </w:r>
      <w:r>
        <w:t>;</w:t>
      </w:r>
    </w:p>
    <w:p w:rsidR="009B3514" w:rsidRDefault="00731E58" w:rsidP="00731E58">
      <w:pPr>
        <w:pStyle w:val="Bullet"/>
      </w:pPr>
      <w:r>
        <w:t>p</w:t>
      </w:r>
      <w:r w:rsidR="009B3514">
        <w:t>romoting the use of existing infrastructure where it is valued above marginal cost, in accordance with principle 1, will be critical to achieving the objective</w:t>
      </w:r>
      <w:r>
        <w:t>;</w:t>
      </w:r>
    </w:p>
    <w:p w:rsidR="009B3514" w:rsidRDefault="00731E58" w:rsidP="00731E58">
      <w:pPr>
        <w:pStyle w:val="Bullet"/>
      </w:pPr>
      <w:r>
        <w:t>i</w:t>
      </w:r>
      <w:r w:rsidR="009B3514">
        <w:t xml:space="preserve">t is appropriate that </w:t>
      </w:r>
      <w:r>
        <w:t xml:space="preserve">full cost recovery and revenue sustainability </w:t>
      </w:r>
      <w:r w:rsidR="009B3514">
        <w:t xml:space="preserve">principles have been included </w:t>
      </w:r>
      <w:r>
        <w:t>not just to</w:t>
      </w:r>
      <w:r w:rsidR="009B3514">
        <w:t xml:space="preserve"> safeguard the viability of Icon Water</w:t>
      </w:r>
      <w:r>
        <w:t xml:space="preserve"> but also to </w:t>
      </w:r>
      <w:r w:rsidR="009B3514">
        <w:t xml:space="preserve">safeguard incentives to make purpose-specific investments in infrastructure when they are required to deliver the services that customers want over </w:t>
      </w:r>
      <w:r>
        <w:t>the long term; and</w:t>
      </w:r>
    </w:p>
    <w:p w:rsidR="00653942" w:rsidRDefault="00731E58" w:rsidP="00731E58">
      <w:pPr>
        <w:pStyle w:val="BulletLast"/>
      </w:pPr>
      <w:r>
        <w:t>i</w:t>
      </w:r>
      <w:r w:rsidR="009B3514">
        <w:t>t is appropriate that the influence of customer impact considerations be limited mainly to the decision on the length of any transition period</w:t>
      </w:r>
      <w:r>
        <w:t xml:space="preserve"> (</w:t>
      </w:r>
      <w:r w:rsidR="009B3514">
        <w:t>principle 5</w:t>
      </w:r>
      <w:r>
        <w:t>)</w:t>
      </w:r>
      <w:r w:rsidR="009B3514">
        <w:t>, without compromising the ultimate goal of a welfare-maximising tariff structure.</w:t>
      </w:r>
    </w:p>
    <w:p w:rsidR="00EF61FD" w:rsidRDefault="00EF61FD" w:rsidP="003D113F">
      <w:r>
        <w:lastRenderedPageBreak/>
        <w:t xml:space="preserve">In its second submission, Icon Water reiterated its support for the </w:t>
      </w:r>
      <w:r w:rsidR="00993283">
        <w:t xml:space="preserve">proposed </w:t>
      </w:r>
      <w:r>
        <w:t xml:space="preserve">pricing principles, </w:t>
      </w:r>
      <w:r w:rsidR="001E178D">
        <w:t xml:space="preserve">and </w:t>
      </w:r>
      <w:r>
        <w:t>added:</w:t>
      </w:r>
    </w:p>
    <w:p w:rsidR="00EF61FD" w:rsidRDefault="00EF61FD" w:rsidP="00EF61FD">
      <w:pPr>
        <w:pStyle w:val="Quote"/>
      </w:pPr>
      <w:r w:rsidRPr="00EF61FD">
        <w:t>Icon Water is also committed to listening to its customers on this issue and refining our proposals to ensure tariff structures take account of community views appropriately.</w:t>
      </w:r>
      <w:r>
        <w:rPr>
          <w:rStyle w:val="FootnoteReference"/>
        </w:rPr>
        <w:footnoteReference w:id="26"/>
      </w:r>
    </w:p>
    <w:p w:rsidR="003D113F" w:rsidRDefault="00A62B18" w:rsidP="003D113F">
      <w:r>
        <w:t>Dr David Denham submitted that the proposed principles were good.</w:t>
      </w:r>
      <w:r>
        <w:rPr>
          <w:rStyle w:val="FootnoteReference"/>
        </w:rPr>
        <w:footnoteReference w:id="27"/>
      </w:r>
    </w:p>
    <w:p w:rsidR="004C1405" w:rsidRDefault="004C1405" w:rsidP="004C1405">
      <w:pPr>
        <w:pStyle w:val="Heading4"/>
      </w:pPr>
      <w:r>
        <w:t>Costs versus benefits</w:t>
      </w:r>
    </w:p>
    <w:p w:rsidR="00653942" w:rsidRPr="00B97A5F" w:rsidRDefault="00653942" w:rsidP="004C1405">
      <w:pPr>
        <w:pStyle w:val="Heading5"/>
      </w:pPr>
      <w:r>
        <w:t>Commission’s consideration</w:t>
      </w:r>
    </w:p>
    <w:p w:rsidR="00207022" w:rsidRDefault="003B5255" w:rsidP="00207022">
      <w:r>
        <w:t xml:space="preserve">In its second submission, Icon Water noted that as </w:t>
      </w:r>
      <w:r w:rsidRPr="00B72E23">
        <w:t xml:space="preserve">the marginal cost of sewage discharge represents </w:t>
      </w:r>
      <w:r>
        <w:t xml:space="preserve">only </w:t>
      </w:r>
      <w:r w:rsidRPr="00B72E23">
        <w:t>seven per cent of the total amount that needs to be recovered in tariffs, which is mostly fixed or sunk expenditure</w:t>
      </w:r>
      <w:r>
        <w:t xml:space="preserve">, there would be limited economic efficiency benefits from introducing a sewerage </w:t>
      </w:r>
      <w:r w:rsidR="00535E01">
        <w:t xml:space="preserve">usage </w:t>
      </w:r>
      <w:r>
        <w:t xml:space="preserve">charge, but there may be </w:t>
      </w:r>
      <w:r w:rsidRPr="005C346E">
        <w:t>significant impacts on individual customer bills.</w:t>
      </w:r>
      <w:r>
        <w:rPr>
          <w:rStyle w:val="FootnoteReference"/>
        </w:rPr>
        <w:footnoteReference w:id="28"/>
      </w:r>
    </w:p>
    <w:p w:rsidR="008E5D7E" w:rsidRDefault="009E3497" w:rsidP="00207022">
      <w:r>
        <w:t xml:space="preserve">Although the weighing of </w:t>
      </w:r>
      <w:r w:rsidR="00DA0A07">
        <w:t xml:space="preserve">costs and </w:t>
      </w:r>
      <w:r>
        <w:t xml:space="preserve">benefits is an integral part of the welfare maximisation approach underpinning principle 1, for clarity it </w:t>
      </w:r>
      <w:r w:rsidR="008A0F2E">
        <w:t xml:space="preserve">could </w:t>
      </w:r>
      <w:r w:rsidR="00C34129">
        <w:t xml:space="preserve">be </w:t>
      </w:r>
      <w:r w:rsidR="008A0F2E">
        <w:t xml:space="preserve">separately </w:t>
      </w:r>
      <w:r w:rsidR="00C34129">
        <w:t xml:space="preserve">specified </w:t>
      </w:r>
      <w:r>
        <w:t xml:space="preserve">that </w:t>
      </w:r>
      <w:r w:rsidR="00B91856">
        <w:t>any change from an existing to a more efficient tariff structure should only be undertaken if the efficiency benefits are greater than the costs of the change.</w:t>
      </w:r>
      <w:r w:rsidR="008E5D7E">
        <w:t xml:space="preserve"> In the case of a change to the sewerage tariff structure for example, in addition to the social costs associated with distributional impacts, the administrative costs of introducing a </w:t>
      </w:r>
      <w:r w:rsidR="00535E01">
        <w:t>usage</w:t>
      </w:r>
      <w:r w:rsidR="008E5D7E">
        <w:t xml:space="preserve"> charge would need to be </w:t>
      </w:r>
      <w:r w:rsidR="00D66B7C">
        <w:t>considered</w:t>
      </w:r>
      <w:r w:rsidR="008E5D7E">
        <w:t>.</w:t>
      </w:r>
    </w:p>
    <w:p w:rsidR="00856CE5" w:rsidRDefault="00856CE5" w:rsidP="004C1405">
      <w:pPr>
        <w:pStyle w:val="Heading5"/>
      </w:pPr>
      <w:r>
        <w:t>Draft position</w:t>
      </w:r>
    </w:p>
    <w:p w:rsidR="003B5255" w:rsidRDefault="00B91856" w:rsidP="00207022">
      <w:r>
        <w:t xml:space="preserve">The Commission considers </w:t>
      </w:r>
      <w:r w:rsidR="003B5255">
        <w:t xml:space="preserve">there is merit in </w:t>
      </w:r>
      <w:r w:rsidR="003A65E5">
        <w:t>inserting an additional</w:t>
      </w:r>
      <w:r w:rsidR="005A48DC">
        <w:t xml:space="preserve"> </w:t>
      </w:r>
      <w:r w:rsidR="003B5255">
        <w:t xml:space="preserve">principle </w:t>
      </w:r>
      <w:r w:rsidR="00856CE5">
        <w:t xml:space="preserve">under the economic efficiency stream </w:t>
      </w:r>
      <w:r w:rsidR="003B5255">
        <w:t xml:space="preserve">to make it </w:t>
      </w:r>
      <w:r w:rsidR="00D46778">
        <w:t xml:space="preserve">abundantly </w:t>
      </w:r>
      <w:r w:rsidR="003B5255">
        <w:t xml:space="preserve">clear that </w:t>
      </w:r>
      <w:r>
        <w:t xml:space="preserve">the efficiency benefits of any tariff restructure should outweigh the costs </w:t>
      </w:r>
      <w:r w:rsidR="009F62B1">
        <w:t>of impl</w:t>
      </w:r>
      <w:r w:rsidR="00BF25BE">
        <w:t>eme</w:t>
      </w:r>
      <w:r w:rsidR="009F62B1">
        <w:t xml:space="preserve">nting the change </w:t>
      </w:r>
      <w:r w:rsidR="0044376E">
        <w:t>(see Box</w:t>
      </w:r>
      <w:r>
        <w:t> </w:t>
      </w:r>
      <w:r w:rsidR="0044376E">
        <w:t>2.4)</w:t>
      </w:r>
      <w:r w:rsidR="003B5255">
        <w:t>.</w:t>
      </w:r>
    </w:p>
    <w:p w:rsidR="0044376E" w:rsidRDefault="0044376E" w:rsidP="0044376E">
      <w:pPr>
        <w:pStyle w:val="FigureName"/>
        <w:keepNext/>
        <w:widowControl w:val="0"/>
      </w:pPr>
      <w:bookmarkStart w:id="78" w:name="_Toc460572285"/>
      <w:r w:rsidRPr="00425D02">
        <w:t xml:space="preserve">Box </w:t>
      </w:r>
      <w:r>
        <w:fldChar w:fldCharType="begin"/>
      </w:r>
      <w:r>
        <w:instrText xml:space="preserve"> STYLEREF 1 \s </w:instrText>
      </w:r>
      <w:r>
        <w:fldChar w:fldCharType="separate"/>
      </w:r>
      <w:r w:rsidR="00B80BC7">
        <w:rPr>
          <w:noProof/>
        </w:rPr>
        <w:t>2</w:t>
      </w:r>
      <w:r>
        <w:fldChar w:fldCharType="end"/>
      </w:r>
      <w:r w:rsidRPr="00425D02">
        <w:t>.</w:t>
      </w:r>
      <w:r>
        <w:fldChar w:fldCharType="begin"/>
      </w:r>
      <w:r>
        <w:instrText xml:space="preserve"> SEQ Box \* ARABIC \s 1 </w:instrText>
      </w:r>
      <w:r>
        <w:fldChar w:fldCharType="separate"/>
      </w:r>
      <w:r w:rsidR="00B80BC7">
        <w:rPr>
          <w:noProof/>
        </w:rPr>
        <w:t>4</w:t>
      </w:r>
      <w:r>
        <w:fldChar w:fldCharType="end"/>
      </w:r>
      <w:r w:rsidRPr="00425D02">
        <w:tab/>
      </w:r>
      <w:r w:rsidR="003A65E5">
        <w:t xml:space="preserve">New cost-benefit pricing </w:t>
      </w:r>
      <w:r>
        <w:t>principl</w:t>
      </w:r>
      <w:r w:rsidR="003A65E5">
        <w:t>e</w:t>
      </w:r>
      <w:bookmarkEnd w:id="78"/>
      <w:r w:rsidR="003A65E5">
        <w:t xml:space="preserve"> </w:t>
      </w: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shd w:val="clear" w:color="auto" w:fill="DBE5F1"/>
        <w:tblLook w:val="04A0" w:firstRow="1" w:lastRow="0" w:firstColumn="1" w:lastColumn="0" w:noHBand="0" w:noVBand="1"/>
      </w:tblPr>
      <w:tblGrid>
        <w:gridCol w:w="7701"/>
      </w:tblGrid>
      <w:tr w:rsidR="0044376E" w:rsidTr="003A65E5">
        <w:trPr>
          <w:cantSplit/>
          <w:trHeight w:val="619"/>
        </w:trPr>
        <w:tc>
          <w:tcPr>
            <w:tcW w:w="7927" w:type="dxa"/>
            <w:shd w:val="clear" w:color="auto" w:fill="DBE5F1"/>
          </w:tcPr>
          <w:p w:rsidR="0044376E" w:rsidRDefault="00F74D78" w:rsidP="00F74D78">
            <w:r>
              <w:rPr>
                <w:rStyle w:val="Italic"/>
                <w:b/>
                <w:i w:val="0"/>
              </w:rPr>
              <w:t>New p</w:t>
            </w:r>
            <w:r w:rsidR="0044376E" w:rsidRPr="008B6707">
              <w:rPr>
                <w:rStyle w:val="Italic"/>
                <w:b/>
                <w:i w:val="0"/>
              </w:rPr>
              <w:t xml:space="preserve">rinciple </w:t>
            </w:r>
            <w:r w:rsidR="003A65E5">
              <w:rPr>
                <w:rStyle w:val="Italic"/>
                <w:b/>
                <w:i w:val="0"/>
              </w:rPr>
              <w:t>2</w:t>
            </w:r>
            <w:r w:rsidR="0044376E" w:rsidRPr="008B6707">
              <w:rPr>
                <w:rStyle w:val="Italic"/>
                <w:b/>
                <w:i w:val="0"/>
              </w:rPr>
              <w:t>:</w:t>
            </w:r>
            <w:r w:rsidR="0044376E" w:rsidRPr="008B6707">
              <w:rPr>
                <w:rStyle w:val="Italic"/>
                <w:i w:val="0"/>
              </w:rPr>
              <w:t xml:space="preserve"> </w:t>
            </w:r>
            <w:r w:rsidR="00415986">
              <w:rPr>
                <w:rStyle w:val="Italic"/>
                <w:i w:val="0"/>
              </w:rPr>
              <w:t>A</w:t>
            </w:r>
            <w:r w:rsidR="00415986">
              <w:t>ny change from an existing to a more efficient tariff structure should only be undertaken if the efficiency benefits are greater than the costs of the change.</w:t>
            </w:r>
          </w:p>
        </w:tc>
      </w:tr>
    </w:tbl>
    <w:p w:rsidR="00F74D78" w:rsidRPr="00F74D78" w:rsidRDefault="00F74D78" w:rsidP="00F74D78">
      <w:pPr>
        <w:pStyle w:val="TableNotesLast0"/>
      </w:pPr>
    </w:p>
    <w:p w:rsidR="009E479E" w:rsidRDefault="0013733B" w:rsidP="004C1405">
      <w:pPr>
        <w:pStyle w:val="Heading4"/>
      </w:pPr>
      <w:r>
        <w:t xml:space="preserve">Differential </w:t>
      </w:r>
      <w:r w:rsidR="00F20D75">
        <w:t xml:space="preserve">tariffs </w:t>
      </w:r>
      <w:r>
        <w:sym w:font="Symbol" w:char="F02D"/>
      </w:r>
      <w:r>
        <w:t xml:space="preserve"> s</w:t>
      </w:r>
      <w:r w:rsidR="009E479E">
        <w:t>ubsidy-free pricing and uneconomic bypass</w:t>
      </w:r>
    </w:p>
    <w:p w:rsidR="004C1405" w:rsidRDefault="004C1405" w:rsidP="004C1405">
      <w:pPr>
        <w:pStyle w:val="Heading5"/>
      </w:pPr>
      <w:r>
        <w:t>Commission’s consideration</w:t>
      </w:r>
    </w:p>
    <w:p w:rsidR="002A638E" w:rsidRDefault="00F20D75" w:rsidP="00101F59">
      <w:r>
        <w:t>Applying different tariffs to customer classes</w:t>
      </w:r>
      <w:r w:rsidR="002A638E">
        <w:t xml:space="preserve"> provides a means to deal with two issues, the first related to economic efficiency and the second to social or community impact.</w:t>
      </w:r>
    </w:p>
    <w:p w:rsidR="00101F59" w:rsidRDefault="002A638E" w:rsidP="00101F59">
      <w:r>
        <w:lastRenderedPageBreak/>
        <w:t xml:space="preserve">The first </w:t>
      </w:r>
      <w:r w:rsidR="006B54BD">
        <w:t xml:space="preserve">involves </w:t>
      </w:r>
      <w:r w:rsidR="00702F57">
        <w:t xml:space="preserve">applying differential tariffs to respond to </w:t>
      </w:r>
      <w:r>
        <w:t>uneconomic bypass of the primary water system</w:t>
      </w:r>
      <w:r w:rsidR="00EE6D23">
        <w:t xml:space="preserve"> in a bid to avoid welfare losses</w:t>
      </w:r>
      <w:r>
        <w:t xml:space="preserve">. </w:t>
      </w:r>
      <w:r w:rsidR="00101F59">
        <w:t xml:space="preserve">Icon Water </w:t>
      </w:r>
      <w:r w:rsidR="007B7BF3">
        <w:t xml:space="preserve">noted </w:t>
      </w:r>
      <w:r w:rsidR="00101F59">
        <w:t xml:space="preserve">the potential for </w:t>
      </w:r>
      <w:r w:rsidR="00702F57">
        <w:t xml:space="preserve">uneconomic bypass </w:t>
      </w:r>
      <w:r w:rsidR="00101F59">
        <w:t xml:space="preserve">due to the level of the second tier </w:t>
      </w:r>
      <w:r w:rsidR="00535E01">
        <w:t>usage</w:t>
      </w:r>
      <w:r w:rsidR="00101F59">
        <w:t xml:space="preserve"> price:</w:t>
      </w:r>
    </w:p>
    <w:p w:rsidR="007B7BF3" w:rsidRPr="00572FEA" w:rsidRDefault="007B7BF3" w:rsidP="007B7BF3">
      <w:pPr>
        <w:pStyle w:val="Quote"/>
      </w:pPr>
      <w:r w:rsidRPr="00572FEA">
        <w:t>The Tier 2 water usage price, in particular, is dramatically higher th</w:t>
      </w:r>
      <w:r>
        <w:t>an the marginal cost of supply.</w:t>
      </w:r>
    </w:p>
    <w:p w:rsidR="007B7BF3" w:rsidRDefault="007B7BF3" w:rsidP="007B7BF3">
      <w:pPr>
        <w:pStyle w:val="Quote"/>
      </w:pPr>
      <w:r w:rsidRPr="00572FEA">
        <w:t xml:space="preserve">This mismatch </w:t>
      </w:r>
      <w:r>
        <w:t>….</w:t>
      </w:r>
      <w:r w:rsidRPr="00572FEA">
        <w:t xml:space="preserve"> leads to large customers considering investments in alternative supply arrangements that are considerably more expensive than Icon Water’s marginal cost of supply. This type of investment is known as uneconomic bypass. Uneconomic bypass makes all customers worse off because it means prices need to increase to spread Icon Water’s predominantly fixed costs across les</w:t>
      </w:r>
      <w:r>
        <w:t>s usage and/or fewer customers.</w:t>
      </w:r>
      <w:r>
        <w:rPr>
          <w:rStyle w:val="FootnoteReference"/>
          <w:color w:val="000000"/>
        </w:rPr>
        <w:footnoteReference w:id="29"/>
      </w:r>
    </w:p>
    <w:p w:rsidR="007B7BF3" w:rsidRDefault="007B7BF3" w:rsidP="00101F59">
      <w:r>
        <w:t xml:space="preserve">As a potential solution, Icon Water submitted that: </w:t>
      </w:r>
    </w:p>
    <w:p w:rsidR="007B7BF3" w:rsidRDefault="007B7BF3" w:rsidP="007B7BF3">
      <w:pPr>
        <w:pStyle w:val="Quote"/>
      </w:pPr>
      <w:r>
        <w:t>Significant welfare losses would be avoided by reducing the Tier 2 price, at least for non-residential customers, in order to prevent uneconomic bypass of the primary water network and better utilise the water supply security in which Icon Water on behalf of customers has already invested.</w:t>
      </w:r>
      <w:r>
        <w:rPr>
          <w:rStyle w:val="FootnoteReference"/>
        </w:rPr>
        <w:footnoteReference w:id="30"/>
      </w:r>
    </w:p>
    <w:p w:rsidR="007B7BF3" w:rsidRDefault="002A638E" w:rsidP="007B7BF3">
      <w:r>
        <w:t xml:space="preserve">The second issue </w:t>
      </w:r>
      <w:r w:rsidR="00E514C6">
        <w:t xml:space="preserve">is using differential tariffs </w:t>
      </w:r>
      <w:r w:rsidR="00557A47">
        <w:t xml:space="preserve">to help manage residential customer impacts associated with any substantial change in the water tariff structure. In its second submission, </w:t>
      </w:r>
      <w:r w:rsidR="007B7BF3">
        <w:t xml:space="preserve">Icon Water indicated that </w:t>
      </w:r>
      <w:r w:rsidR="00557A47">
        <w:t xml:space="preserve">it is planning to discuss with its customers the </w:t>
      </w:r>
      <w:r w:rsidR="007B7BF3">
        <w:t>introduc</w:t>
      </w:r>
      <w:r w:rsidR="00557A47">
        <w:t>tion of</w:t>
      </w:r>
      <w:r w:rsidR="007B7BF3">
        <w:t xml:space="preserve"> different tariffs for residential and non-residential customers, with a higher supply charge for the latter.</w:t>
      </w:r>
    </w:p>
    <w:p w:rsidR="00F52E0D" w:rsidRDefault="00F52E0D" w:rsidP="00F52E0D">
      <w:pPr>
        <w:pStyle w:val="Quote"/>
      </w:pPr>
      <w:r>
        <w:t>This approach would help manage customer impacts by limiting increases in residential customer bills, consistent with the ICRC principle relating to transition arrangements.</w:t>
      </w:r>
      <w:r>
        <w:rPr>
          <w:rStyle w:val="FootnoteReference"/>
        </w:rPr>
        <w:footnoteReference w:id="31"/>
      </w:r>
    </w:p>
    <w:p w:rsidR="0027005E" w:rsidRDefault="001A3F35" w:rsidP="00101F59">
      <w:r>
        <w:t>The k</w:t>
      </w:r>
      <w:r w:rsidR="0080448B">
        <w:t xml:space="preserve">ey issue here is </w:t>
      </w:r>
      <w:r>
        <w:t xml:space="preserve">that of </w:t>
      </w:r>
      <w:r w:rsidR="0080448B">
        <w:t>cross-subsidisation</w:t>
      </w:r>
      <w:r>
        <w:t xml:space="preserve">. The economic efficiency principle precludes the cross-subsidisation of one tariff class by another. </w:t>
      </w:r>
      <w:r w:rsidR="0022187B">
        <w:t>Icon Water, i</w:t>
      </w:r>
      <w:r w:rsidR="009A3302">
        <w:t xml:space="preserve">n </w:t>
      </w:r>
      <w:r w:rsidR="0022187B">
        <w:t xml:space="preserve">its second submission, submits that there </w:t>
      </w:r>
      <w:r w:rsidR="00F83CF5">
        <w:t xml:space="preserve">is </w:t>
      </w:r>
      <w:r w:rsidR="0022187B">
        <w:t xml:space="preserve">no </w:t>
      </w:r>
      <w:r w:rsidR="0022187B" w:rsidRPr="0022187B">
        <w:t>substantial differenc</w:t>
      </w:r>
      <w:r w:rsidR="00F83CF5">
        <w:t>e</w:t>
      </w:r>
      <w:r w:rsidR="0022187B" w:rsidRPr="0022187B">
        <w:t xml:space="preserve"> in the forward-looking costs of providing water and sewerage services across different customer types.</w:t>
      </w:r>
      <w:r w:rsidR="0022187B">
        <w:rPr>
          <w:rStyle w:val="FootnoteReference"/>
        </w:rPr>
        <w:footnoteReference w:id="32"/>
      </w:r>
    </w:p>
    <w:p w:rsidR="00757430" w:rsidRDefault="0027005E" w:rsidP="00101F59">
      <w:r>
        <w:t>At face value therefore, it may seem that differential charging between two customer classes that face the same cost service provision will mean one class is subsidising the other. However, there is no economic cross-subsidy as long as the charges lie between the avoidable and stand-alone cost of providing the service to each customer class.</w:t>
      </w:r>
    </w:p>
    <w:p w:rsidR="001A3F35" w:rsidRDefault="005504C2" w:rsidP="00101F59">
      <w:r>
        <w:t>This is best explained with reference to an example</w:t>
      </w:r>
      <w:r w:rsidR="00EF1580">
        <w:t xml:space="preserve">. </w:t>
      </w:r>
      <w:r w:rsidR="00D65BEE">
        <w:t xml:space="preserve">Assume </w:t>
      </w:r>
      <w:r w:rsidR="00EF1580">
        <w:t xml:space="preserve">that a golf course </w:t>
      </w:r>
      <w:r w:rsidR="00F83CF5">
        <w:t xml:space="preserve">operator </w:t>
      </w:r>
      <w:r w:rsidR="00EF1580">
        <w:t xml:space="preserve">can </w:t>
      </w:r>
      <w:r w:rsidR="00013DB4">
        <w:t xml:space="preserve">install a stand-alone stormwater system that provides irrigation water at a cost of </w:t>
      </w:r>
      <w:r w:rsidR="00013DB4">
        <w:lastRenderedPageBreak/>
        <w:t>$4.00 per kilolitre (kL), lower than the current top-tier Icon Water price of $5.24</w:t>
      </w:r>
      <w:r w:rsidR="00F83CF5">
        <w:t> </w:t>
      </w:r>
      <w:r w:rsidR="00013DB4">
        <w:t>per</w:t>
      </w:r>
      <w:r w:rsidR="00F83CF5">
        <w:t> </w:t>
      </w:r>
      <w:r w:rsidR="00013DB4">
        <w:t xml:space="preserve">kL. The </w:t>
      </w:r>
      <w:r>
        <w:t xml:space="preserve">short-run marginal </w:t>
      </w:r>
      <w:r w:rsidRPr="00C53ABB">
        <w:t xml:space="preserve">cost of water from the </w:t>
      </w:r>
      <w:r>
        <w:t xml:space="preserve">Icon Water primary </w:t>
      </w:r>
      <w:r w:rsidRPr="00C53ABB">
        <w:t xml:space="preserve">supply </w:t>
      </w:r>
      <w:r w:rsidR="00013DB4">
        <w:t>is estimated at $0.72 per kL</w:t>
      </w:r>
      <w:r>
        <w:t>.</w:t>
      </w:r>
      <w:r w:rsidR="00013DB4">
        <w:t xml:space="preserve"> As long as the differential price is set between the </w:t>
      </w:r>
      <w:r w:rsidR="00EF1580">
        <w:t xml:space="preserve">stand-alone cost </w:t>
      </w:r>
      <w:r w:rsidR="00013DB4">
        <w:t xml:space="preserve">of </w:t>
      </w:r>
      <w:r>
        <w:t>$</w:t>
      </w:r>
      <w:r w:rsidR="00774E6D">
        <w:t>4</w:t>
      </w:r>
      <w:r>
        <w:t>.</w:t>
      </w:r>
      <w:r w:rsidR="00013DB4">
        <w:t>00</w:t>
      </w:r>
      <w:r w:rsidR="00EF1580">
        <w:t xml:space="preserve"> per </w:t>
      </w:r>
      <w:r>
        <w:t>kL</w:t>
      </w:r>
      <w:r w:rsidR="00EF1580">
        <w:t xml:space="preserve"> </w:t>
      </w:r>
      <w:r w:rsidR="00013DB4">
        <w:t xml:space="preserve">and the </w:t>
      </w:r>
      <w:r>
        <w:t xml:space="preserve">avoidable cost of Icon Water not servicing these customers </w:t>
      </w:r>
      <w:r w:rsidR="00013DB4">
        <w:t xml:space="preserve">of </w:t>
      </w:r>
      <w:r>
        <w:t>$0.</w:t>
      </w:r>
      <w:r w:rsidR="00013DB4">
        <w:t>72</w:t>
      </w:r>
      <w:r w:rsidR="00EF1580">
        <w:t xml:space="preserve"> per </w:t>
      </w:r>
      <w:r>
        <w:t>kL</w:t>
      </w:r>
      <w:r w:rsidR="00D65BEE">
        <w:t>, there is no economic cross-subsidy</w:t>
      </w:r>
      <w:r>
        <w:t>.</w:t>
      </w:r>
    </w:p>
    <w:p w:rsidR="00A27A1C" w:rsidRDefault="00207022" w:rsidP="004C1405">
      <w:pPr>
        <w:pStyle w:val="Heading5"/>
      </w:pPr>
      <w:r>
        <w:t>Draft position</w:t>
      </w:r>
    </w:p>
    <w:p w:rsidR="00221BBF" w:rsidRPr="006C311D" w:rsidRDefault="00221BBF" w:rsidP="00221BBF">
      <w:r>
        <w:t>The Commission’s view is that it is necessary, for clarification purposes, to make it obvious that the economic efficiency principle is not compromised under these circumstances. To this end, the Commission proposes a</w:t>
      </w:r>
      <w:r w:rsidR="00F74D78">
        <w:t xml:space="preserve"> further </w:t>
      </w:r>
      <w:r>
        <w:t xml:space="preserve">additional principle under the economic efficiency </w:t>
      </w:r>
      <w:r w:rsidR="00021229">
        <w:t>stream (</w:t>
      </w:r>
      <w:r w:rsidR="00D634D2">
        <w:t>see Box 2.5)</w:t>
      </w:r>
      <w:r w:rsidR="00F74D78">
        <w:t>.</w:t>
      </w:r>
    </w:p>
    <w:p w:rsidR="00A562F8" w:rsidRDefault="00A562F8" w:rsidP="00A562F8">
      <w:pPr>
        <w:pStyle w:val="FigureName"/>
        <w:keepNext/>
        <w:widowControl w:val="0"/>
      </w:pPr>
      <w:bookmarkStart w:id="79" w:name="_Toc460572286"/>
      <w:r w:rsidRPr="00425D02">
        <w:t xml:space="preserve">Box </w:t>
      </w:r>
      <w:r>
        <w:fldChar w:fldCharType="begin"/>
      </w:r>
      <w:r>
        <w:instrText xml:space="preserve"> STYLEREF 1 \s </w:instrText>
      </w:r>
      <w:r>
        <w:fldChar w:fldCharType="separate"/>
      </w:r>
      <w:r w:rsidR="00B80BC7">
        <w:rPr>
          <w:noProof/>
        </w:rPr>
        <w:t>2</w:t>
      </w:r>
      <w:r>
        <w:fldChar w:fldCharType="end"/>
      </w:r>
      <w:r w:rsidRPr="00425D02">
        <w:t>.</w:t>
      </w:r>
      <w:r>
        <w:fldChar w:fldCharType="begin"/>
      </w:r>
      <w:r>
        <w:instrText xml:space="preserve"> SEQ Box \* ARABIC \s 1 </w:instrText>
      </w:r>
      <w:r>
        <w:fldChar w:fldCharType="separate"/>
      </w:r>
      <w:r w:rsidR="00B80BC7">
        <w:rPr>
          <w:noProof/>
        </w:rPr>
        <w:t>5</w:t>
      </w:r>
      <w:r>
        <w:fldChar w:fldCharType="end"/>
      </w:r>
      <w:r w:rsidRPr="00425D02">
        <w:tab/>
      </w:r>
      <w:r>
        <w:t xml:space="preserve">Additional </w:t>
      </w:r>
      <w:r w:rsidR="00856CE5">
        <w:t xml:space="preserve">tariff differentiation </w:t>
      </w:r>
      <w:r>
        <w:t>principle</w:t>
      </w:r>
      <w:bookmarkEnd w:id="79"/>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shd w:val="clear" w:color="auto" w:fill="DBE5F1"/>
        <w:tblLook w:val="04A0" w:firstRow="1" w:lastRow="0" w:firstColumn="1" w:lastColumn="0" w:noHBand="0" w:noVBand="1"/>
      </w:tblPr>
      <w:tblGrid>
        <w:gridCol w:w="7701"/>
      </w:tblGrid>
      <w:tr w:rsidR="00A562F8" w:rsidTr="00753BE5">
        <w:trPr>
          <w:cantSplit/>
          <w:trHeight w:val="981"/>
        </w:trPr>
        <w:tc>
          <w:tcPr>
            <w:tcW w:w="7927" w:type="dxa"/>
            <w:shd w:val="clear" w:color="auto" w:fill="DBE5F1"/>
          </w:tcPr>
          <w:p w:rsidR="00A562F8" w:rsidRDefault="00607905" w:rsidP="00F74D78">
            <w:r>
              <w:rPr>
                <w:rStyle w:val="Italic"/>
                <w:b/>
                <w:i w:val="0"/>
              </w:rPr>
              <w:t>New p</w:t>
            </w:r>
            <w:r w:rsidR="00A562F8" w:rsidRPr="008B6707">
              <w:rPr>
                <w:rStyle w:val="Italic"/>
                <w:b/>
                <w:i w:val="0"/>
              </w:rPr>
              <w:t xml:space="preserve">rinciple </w:t>
            </w:r>
            <w:r w:rsidR="00F74D78">
              <w:rPr>
                <w:rStyle w:val="Italic"/>
                <w:b/>
                <w:i w:val="0"/>
              </w:rPr>
              <w:t>3</w:t>
            </w:r>
            <w:r w:rsidR="00A562F8" w:rsidRPr="008B6707">
              <w:rPr>
                <w:rStyle w:val="Italic"/>
                <w:b/>
                <w:i w:val="0"/>
              </w:rPr>
              <w:t>:</w:t>
            </w:r>
            <w:r w:rsidR="00A562F8">
              <w:rPr>
                <w:rStyle w:val="Italic"/>
                <w:b/>
                <w:i w:val="0"/>
              </w:rPr>
              <w:t xml:space="preserve"> </w:t>
            </w:r>
            <w:r w:rsidRPr="00607905">
              <w:rPr>
                <w:rStyle w:val="Italic"/>
                <w:i w:val="0"/>
              </w:rPr>
              <w:t xml:space="preserve">For each tariff class, </w:t>
            </w:r>
            <w:r>
              <w:rPr>
                <w:rStyle w:val="Italic"/>
                <w:i w:val="0"/>
              </w:rPr>
              <w:t xml:space="preserve">prices </w:t>
            </w:r>
            <w:r w:rsidRPr="00607905">
              <w:rPr>
                <w:rStyle w:val="Italic"/>
                <w:i w:val="0"/>
              </w:rPr>
              <w:t>should lie on or between an upper bound re</w:t>
            </w:r>
            <w:r w:rsidR="008B4B26">
              <w:rPr>
                <w:rStyle w:val="Italic"/>
                <w:i w:val="0"/>
              </w:rPr>
              <w:t xml:space="preserve">flecting </w:t>
            </w:r>
            <w:r w:rsidRPr="00607905">
              <w:rPr>
                <w:rStyle w:val="Italic"/>
                <w:i w:val="0"/>
              </w:rPr>
              <w:t>the stand-alone cost of serving customers in that class and a lower bound re</w:t>
            </w:r>
            <w:r w:rsidR="008B4B26">
              <w:rPr>
                <w:rStyle w:val="Italic"/>
                <w:i w:val="0"/>
              </w:rPr>
              <w:t xml:space="preserve">flecting </w:t>
            </w:r>
            <w:r w:rsidRPr="00607905">
              <w:rPr>
                <w:rStyle w:val="Italic"/>
                <w:i w:val="0"/>
              </w:rPr>
              <w:t>the avoidable cost of not serving those customers.</w:t>
            </w:r>
          </w:p>
        </w:tc>
      </w:tr>
    </w:tbl>
    <w:p w:rsidR="00207022" w:rsidRDefault="006D5DD8" w:rsidP="007901D0">
      <w:pPr>
        <w:pStyle w:val="Heading2"/>
      </w:pPr>
      <w:bookmarkStart w:id="80" w:name="_Toc460572211"/>
      <w:r>
        <w:t>Summary</w:t>
      </w:r>
      <w:bookmarkEnd w:id="80"/>
    </w:p>
    <w:p w:rsidR="00A658D0" w:rsidRDefault="00EE010B" w:rsidP="00EE010B">
      <w:r>
        <w:t xml:space="preserve">The </w:t>
      </w:r>
      <w:r w:rsidR="00DE7641">
        <w:t>draft framework</w:t>
      </w:r>
      <w:r w:rsidR="00AC6BDC">
        <w:t xml:space="preserve">, incorporating the changes discussed above, </w:t>
      </w:r>
      <w:r w:rsidR="0002351B">
        <w:t xml:space="preserve">which </w:t>
      </w:r>
      <w:r w:rsidR="00362386">
        <w:t xml:space="preserve">is </w:t>
      </w:r>
      <w:r w:rsidR="005D3BD5">
        <w:t xml:space="preserve">applied </w:t>
      </w:r>
      <w:r w:rsidR="00362386">
        <w:t>to assess current and alternative tariff options in the followin</w:t>
      </w:r>
      <w:r w:rsidR="00AC6BDC">
        <w:t xml:space="preserve">g chapters of this draft report, </w:t>
      </w:r>
      <w:r w:rsidR="00362386">
        <w:t xml:space="preserve">is </w:t>
      </w:r>
      <w:r>
        <w:t xml:space="preserve">summarised in </w:t>
      </w:r>
      <w:r w:rsidR="00997034">
        <w:fldChar w:fldCharType="begin"/>
      </w:r>
      <w:r w:rsidR="00997034">
        <w:instrText xml:space="preserve"> REF _Ref430594165 \h </w:instrText>
      </w:r>
      <w:r w:rsidR="00997034">
        <w:fldChar w:fldCharType="separate"/>
      </w:r>
      <w:r w:rsidR="00B80BC7" w:rsidRPr="00B40AA3">
        <w:t>Table </w:t>
      </w:r>
      <w:r w:rsidR="00B80BC7">
        <w:rPr>
          <w:noProof/>
        </w:rPr>
        <w:t>2</w:t>
      </w:r>
      <w:r w:rsidR="00B80BC7" w:rsidRPr="00B40AA3">
        <w:t>.</w:t>
      </w:r>
      <w:r w:rsidR="00B80BC7">
        <w:rPr>
          <w:noProof/>
        </w:rPr>
        <w:t>1</w:t>
      </w:r>
      <w:r w:rsidR="00997034">
        <w:fldChar w:fldCharType="end"/>
      </w:r>
      <w:r w:rsidR="00997034">
        <w:t>.</w:t>
      </w:r>
    </w:p>
    <w:p w:rsidR="00A658D0" w:rsidRPr="00B40AA3" w:rsidRDefault="00A658D0" w:rsidP="006C5403">
      <w:pPr>
        <w:pStyle w:val="FigureName"/>
        <w:keepNext/>
      </w:pPr>
      <w:bookmarkStart w:id="81" w:name="_Ref430594165"/>
      <w:bookmarkStart w:id="82" w:name="_Toc435700183"/>
      <w:bookmarkStart w:id="83" w:name="_Toc460572247"/>
      <w:r w:rsidRPr="00B40AA3">
        <w:lastRenderedPageBreak/>
        <w:t>Table </w:t>
      </w:r>
      <w:r>
        <w:fldChar w:fldCharType="begin"/>
      </w:r>
      <w:r>
        <w:instrText xml:space="preserve"> STYLEREF 1 \s </w:instrText>
      </w:r>
      <w:r>
        <w:fldChar w:fldCharType="separate"/>
      </w:r>
      <w:r w:rsidR="00B80BC7">
        <w:rPr>
          <w:noProof/>
        </w:rPr>
        <w:t>2</w:t>
      </w:r>
      <w:r>
        <w:fldChar w:fldCharType="end"/>
      </w:r>
      <w:r w:rsidRPr="00B40AA3">
        <w:t>.</w:t>
      </w:r>
      <w:r w:rsidRPr="00B40AA3">
        <w:fldChar w:fldCharType="begin"/>
      </w:r>
      <w:r w:rsidRPr="00B40AA3">
        <w:instrText xml:space="preserve"> SEQ Table \* ARABIC \s 1 </w:instrText>
      </w:r>
      <w:r w:rsidRPr="00B40AA3">
        <w:fldChar w:fldCharType="separate"/>
      </w:r>
      <w:r w:rsidR="00B80BC7">
        <w:rPr>
          <w:noProof/>
        </w:rPr>
        <w:t>1</w:t>
      </w:r>
      <w:r w:rsidRPr="00B40AA3">
        <w:fldChar w:fldCharType="end"/>
      </w:r>
      <w:bookmarkEnd w:id="81"/>
      <w:r w:rsidRPr="00B40AA3">
        <w:tab/>
      </w:r>
      <w:bookmarkEnd w:id="82"/>
      <w:r w:rsidR="00997034">
        <w:t>Draft assessment framework</w:t>
      </w:r>
      <w:bookmarkEnd w:id="83"/>
    </w:p>
    <w:tbl>
      <w:tblPr>
        <w:tblW w:w="5588" w:type="pct"/>
        <w:tblBorders>
          <w:top w:val="single" w:sz="12" w:space="0" w:color="333399"/>
          <w:bottom w:val="single" w:sz="12" w:space="0" w:color="333399"/>
        </w:tblBorders>
        <w:tblCellMar>
          <w:left w:w="115" w:type="dxa"/>
          <w:right w:w="115" w:type="dxa"/>
        </w:tblCellMar>
        <w:tblLook w:val="0000" w:firstRow="0" w:lastRow="0" w:firstColumn="0" w:lastColumn="0" w:noHBand="0" w:noVBand="0"/>
      </w:tblPr>
      <w:tblGrid>
        <w:gridCol w:w="1592"/>
        <w:gridCol w:w="1741"/>
        <w:gridCol w:w="5285"/>
      </w:tblGrid>
      <w:tr w:rsidR="0051604C" w:rsidRPr="00144F8C" w:rsidTr="001E56D3">
        <w:trPr>
          <w:cantSplit/>
        </w:trPr>
        <w:tc>
          <w:tcPr>
            <w:tcW w:w="924" w:type="pct"/>
            <w:tcBorders>
              <w:top w:val="single" w:sz="12" w:space="0" w:color="1F497D" w:themeColor="text2"/>
              <w:left w:val="nil"/>
              <w:bottom w:val="single" w:sz="8" w:space="0" w:color="1F497D" w:themeColor="text2"/>
              <w:right w:val="nil"/>
            </w:tcBorders>
            <w:shd w:val="clear" w:color="auto" w:fill="DBE5F1" w:themeFill="accent1" w:themeFillTint="33"/>
            <w:vAlign w:val="bottom"/>
          </w:tcPr>
          <w:p w:rsidR="0051604C" w:rsidRPr="00B40AA3" w:rsidRDefault="00164738" w:rsidP="006C5403">
            <w:pPr>
              <w:pStyle w:val="TableHeadingLeft"/>
              <w:keepNext/>
            </w:pPr>
            <w:r>
              <w:t>Category</w:t>
            </w:r>
          </w:p>
        </w:tc>
        <w:tc>
          <w:tcPr>
            <w:tcW w:w="1010" w:type="pct"/>
            <w:tcBorders>
              <w:top w:val="single" w:sz="12" w:space="0" w:color="1F497D" w:themeColor="text2"/>
              <w:left w:val="nil"/>
              <w:bottom w:val="single" w:sz="8" w:space="0" w:color="1F497D" w:themeColor="text2"/>
              <w:right w:val="nil"/>
            </w:tcBorders>
            <w:shd w:val="clear" w:color="auto" w:fill="DBE5F1" w:themeFill="accent1" w:themeFillTint="33"/>
          </w:tcPr>
          <w:p w:rsidR="0051604C" w:rsidRPr="00B40AA3" w:rsidRDefault="000B08E5" w:rsidP="006C5403">
            <w:pPr>
              <w:pStyle w:val="TableHeadingLeft"/>
              <w:keepNext/>
            </w:pPr>
            <w:r>
              <w:t>Stream</w:t>
            </w:r>
          </w:p>
        </w:tc>
        <w:tc>
          <w:tcPr>
            <w:tcW w:w="3067" w:type="pct"/>
            <w:tcBorders>
              <w:top w:val="single" w:sz="12" w:space="0" w:color="1F497D" w:themeColor="text2"/>
              <w:left w:val="nil"/>
              <w:bottom w:val="single" w:sz="8" w:space="0" w:color="1F497D" w:themeColor="text2"/>
              <w:right w:val="nil"/>
            </w:tcBorders>
            <w:shd w:val="clear" w:color="auto" w:fill="DBE5F1" w:themeFill="accent1" w:themeFillTint="33"/>
            <w:vAlign w:val="bottom"/>
          </w:tcPr>
          <w:p w:rsidR="0051604C" w:rsidRPr="00B40AA3" w:rsidRDefault="0051604C" w:rsidP="006C5403">
            <w:pPr>
              <w:pStyle w:val="TableHeadingLeft"/>
              <w:keepNext/>
            </w:pPr>
            <w:r>
              <w:t>Detail</w:t>
            </w:r>
          </w:p>
        </w:tc>
      </w:tr>
      <w:tr w:rsidR="0051604C" w:rsidRPr="00144F8C" w:rsidTr="001E56D3">
        <w:trPr>
          <w:cantSplit/>
        </w:trPr>
        <w:tc>
          <w:tcPr>
            <w:tcW w:w="924" w:type="pct"/>
            <w:tcBorders>
              <w:top w:val="nil"/>
              <w:left w:val="nil"/>
              <w:bottom w:val="nil"/>
              <w:right w:val="nil"/>
            </w:tcBorders>
            <w:shd w:val="clear" w:color="auto" w:fill="F2F2F2" w:themeFill="background1" w:themeFillShade="F2"/>
          </w:tcPr>
          <w:p w:rsidR="0051604C" w:rsidRPr="00A658D0" w:rsidRDefault="0051604C" w:rsidP="006C5403">
            <w:pPr>
              <w:pStyle w:val="TableTextLeft"/>
              <w:keepNext/>
              <w:rPr>
                <w:b/>
              </w:rPr>
            </w:pPr>
            <w:r w:rsidRPr="00A658D0">
              <w:rPr>
                <w:b/>
              </w:rPr>
              <w:t>Objective</w:t>
            </w:r>
          </w:p>
        </w:tc>
        <w:tc>
          <w:tcPr>
            <w:tcW w:w="1010" w:type="pct"/>
            <w:tcBorders>
              <w:top w:val="nil"/>
              <w:left w:val="nil"/>
              <w:bottom w:val="nil"/>
              <w:right w:val="nil"/>
            </w:tcBorders>
            <w:shd w:val="clear" w:color="auto" w:fill="F2F2F2" w:themeFill="background1" w:themeFillShade="F2"/>
          </w:tcPr>
          <w:p w:rsidR="0051604C" w:rsidRPr="00A658D0" w:rsidRDefault="0051604C" w:rsidP="006C5403">
            <w:pPr>
              <w:pStyle w:val="TableTextLeft"/>
              <w:keepNext/>
            </w:pPr>
          </w:p>
        </w:tc>
        <w:tc>
          <w:tcPr>
            <w:tcW w:w="3067" w:type="pct"/>
            <w:tcBorders>
              <w:top w:val="nil"/>
              <w:left w:val="nil"/>
              <w:bottom w:val="nil"/>
              <w:right w:val="nil"/>
            </w:tcBorders>
            <w:shd w:val="clear" w:color="auto" w:fill="F2F2F2" w:themeFill="background1" w:themeFillShade="F2"/>
          </w:tcPr>
          <w:p w:rsidR="0051604C" w:rsidRPr="00EC68F3" w:rsidRDefault="0051604C" w:rsidP="006C5403">
            <w:pPr>
              <w:pStyle w:val="TableTextLeft"/>
              <w:keepNext/>
            </w:pPr>
            <w:r w:rsidRPr="00A658D0">
              <w:t>To promote the efficient investment in, and efficient operation and use of regulated services for the long term interests of consumers in relation to the price, quality, safety, reliability and security of the service.</w:t>
            </w:r>
          </w:p>
        </w:tc>
      </w:tr>
      <w:tr w:rsidR="0051604C" w:rsidRPr="00144F8C" w:rsidTr="001E56D3">
        <w:trPr>
          <w:cantSplit/>
        </w:trPr>
        <w:tc>
          <w:tcPr>
            <w:tcW w:w="924" w:type="pct"/>
            <w:tcBorders>
              <w:top w:val="nil"/>
              <w:left w:val="nil"/>
              <w:bottom w:val="nil"/>
              <w:right w:val="nil"/>
            </w:tcBorders>
            <w:shd w:val="clear" w:color="auto" w:fill="DDD9C3" w:themeFill="background2" w:themeFillShade="E6"/>
          </w:tcPr>
          <w:p w:rsidR="0051604C" w:rsidRPr="000B08E5" w:rsidRDefault="006172C7" w:rsidP="006C5403">
            <w:pPr>
              <w:pStyle w:val="TableTextLeft"/>
              <w:keepNext/>
              <w:rPr>
                <w:b/>
              </w:rPr>
            </w:pPr>
            <w:r>
              <w:rPr>
                <w:b/>
              </w:rPr>
              <w:t>Pricing p</w:t>
            </w:r>
            <w:r w:rsidR="0051604C" w:rsidRPr="000B08E5">
              <w:rPr>
                <w:b/>
              </w:rPr>
              <w:t>rinciple 1</w:t>
            </w:r>
          </w:p>
        </w:tc>
        <w:tc>
          <w:tcPr>
            <w:tcW w:w="1010" w:type="pct"/>
            <w:tcBorders>
              <w:top w:val="nil"/>
              <w:left w:val="nil"/>
              <w:bottom w:val="nil"/>
              <w:right w:val="nil"/>
            </w:tcBorders>
            <w:shd w:val="clear" w:color="auto" w:fill="DDD9C3" w:themeFill="background2" w:themeFillShade="E6"/>
          </w:tcPr>
          <w:p w:rsidR="004F7DD9" w:rsidRPr="001E56D3" w:rsidRDefault="004F7DD9" w:rsidP="006C5403">
            <w:pPr>
              <w:pStyle w:val="TableTextLeft"/>
              <w:keepNext/>
              <w:rPr>
                <w:b/>
              </w:rPr>
            </w:pPr>
            <w:r w:rsidRPr="001E56D3">
              <w:rPr>
                <w:b/>
              </w:rPr>
              <w:t>Economic efficiency</w:t>
            </w:r>
          </w:p>
          <w:p w:rsidR="0051604C" w:rsidRPr="0051604C" w:rsidRDefault="0051604C" w:rsidP="006C5403">
            <w:pPr>
              <w:pStyle w:val="TableTextLeft"/>
              <w:keepNext/>
            </w:pPr>
          </w:p>
        </w:tc>
        <w:tc>
          <w:tcPr>
            <w:tcW w:w="3067" w:type="pct"/>
            <w:tcBorders>
              <w:top w:val="nil"/>
              <w:left w:val="nil"/>
              <w:bottom w:val="nil"/>
              <w:right w:val="nil"/>
            </w:tcBorders>
            <w:shd w:val="clear" w:color="auto" w:fill="DDD9C3" w:themeFill="background2" w:themeFillShade="E6"/>
          </w:tcPr>
          <w:p w:rsidR="0051604C" w:rsidRPr="00B40AA3" w:rsidRDefault="0051604C" w:rsidP="000B2173">
            <w:pPr>
              <w:pStyle w:val="TableTextLeft"/>
              <w:keepNext/>
            </w:pPr>
            <w:r w:rsidRPr="0051604C">
              <w:t xml:space="preserve">Tariff structures and prices should promote the economically efficient use of Icon Water’s water and sewerage services infrastructure, and in the case of water should also encourage economically efficient use of the water resource. </w:t>
            </w:r>
          </w:p>
        </w:tc>
      </w:tr>
      <w:tr w:rsidR="000B2173" w:rsidRPr="00144F8C" w:rsidTr="001E56D3">
        <w:trPr>
          <w:cantSplit/>
        </w:trPr>
        <w:tc>
          <w:tcPr>
            <w:tcW w:w="924" w:type="pct"/>
            <w:tcBorders>
              <w:top w:val="nil"/>
              <w:left w:val="nil"/>
              <w:bottom w:val="nil"/>
              <w:right w:val="nil"/>
            </w:tcBorders>
            <w:shd w:val="clear" w:color="auto" w:fill="DDD9C3" w:themeFill="background2" w:themeFillShade="E6"/>
          </w:tcPr>
          <w:p w:rsidR="000B2173" w:rsidRPr="000B2173" w:rsidRDefault="000B2173" w:rsidP="000B2173">
            <w:pPr>
              <w:pStyle w:val="TableTextLeft"/>
              <w:keepNext/>
              <w:jc w:val="right"/>
              <w:rPr>
                <w:b/>
              </w:rPr>
            </w:pPr>
            <w:r w:rsidRPr="000B2173">
              <w:rPr>
                <w:b/>
              </w:rPr>
              <w:t>2</w:t>
            </w:r>
          </w:p>
        </w:tc>
        <w:tc>
          <w:tcPr>
            <w:tcW w:w="1010" w:type="pct"/>
            <w:tcBorders>
              <w:top w:val="nil"/>
              <w:left w:val="nil"/>
              <w:bottom w:val="nil"/>
              <w:right w:val="nil"/>
            </w:tcBorders>
            <w:shd w:val="clear" w:color="auto" w:fill="DDD9C3" w:themeFill="background2" w:themeFillShade="E6"/>
          </w:tcPr>
          <w:p w:rsidR="000B2173" w:rsidRPr="001E56D3" w:rsidRDefault="000B2173" w:rsidP="006C5403">
            <w:pPr>
              <w:pStyle w:val="TableTextLeft"/>
              <w:keepNext/>
              <w:rPr>
                <w:b/>
              </w:rPr>
            </w:pPr>
          </w:p>
        </w:tc>
        <w:tc>
          <w:tcPr>
            <w:tcW w:w="3067" w:type="pct"/>
            <w:tcBorders>
              <w:top w:val="nil"/>
              <w:left w:val="nil"/>
              <w:bottom w:val="nil"/>
              <w:right w:val="nil"/>
            </w:tcBorders>
            <w:shd w:val="clear" w:color="auto" w:fill="DDD9C3" w:themeFill="background2" w:themeFillShade="E6"/>
          </w:tcPr>
          <w:p w:rsidR="000B2173" w:rsidRPr="0051604C" w:rsidRDefault="000B2173" w:rsidP="006C5403">
            <w:pPr>
              <w:pStyle w:val="TableTextLeft"/>
              <w:keepNext/>
            </w:pPr>
            <w:r w:rsidRPr="0051604C">
              <w:t>Any change from an existing to a more efficient tariff structure should only be undertaken if the efficiency benefits are greater than the costs of the change.</w:t>
            </w:r>
          </w:p>
        </w:tc>
      </w:tr>
      <w:tr w:rsidR="00887B92" w:rsidRPr="00144F8C" w:rsidTr="001E56D3">
        <w:trPr>
          <w:cantSplit/>
        </w:trPr>
        <w:tc>
          <w:tcPr>
            <w:tcW w:w="924" w:type="pct"/>
            <w:tcBorders>
              <w:top w:val="nil"/>
              <w:left w:val="nil"/>
              <w:bottom w:val="nil"/>
              <w:right w:val="nil"/>
            </w:tcBorders>
            <w:shd w:val="clear" w:color="auto" w:fill="DDD9C3" w:themeFill="background2" w:themeFillShade="E6"/>
          </w:tcPr>
          <w:p w:rsidR="00887B92" w:rsidRPr="000B2173" w:rsidRDefault="000B2173" w:rsidP="006C5403">
            <w:pPr>
              <w:pStyle w:val="TableTextLeft"/>
              <w:keepNext/>
              <w:jc w:val="right"/>
              <w:rPr>
                <w:b/>
              </w:rPr>
            </w:pPr>
            <w:r w:rsidRPr="000B2173">
              <w:rPr>
                <w:b/>
              </w:rPr>
              <w:t>3</w:t>
            </w:r>
          </w:p>
        </w:tc>
        <w:tc>
          <w:tcPr>
            <w:tcW w:w="1010" w:type="pct"/>
            <w:tcBorders>
              <w:top w:val="nil"/>
              <w:left w:val="nil"/>
              <w:bottom w:val="nil"/>
              <w:right w:val="nil"/>
            </w:tcBorders>
            <w:shd w:val="clear" w:color="auto" w:fill="DDD9C3" w:themeFill="background2" w:themeFillShade="E6"/>
          </w:tcPr>
          <w:p w:rsidR="00887B92" w:rsidRPr="0051604C" w:rsidRDefault="00887B92" w:rsidP="006C5403">
            <w:pPr>
              <w:pStyle w:val="TableTextLeft"/>
              <w:keepNext/>
            </w:pPr>
          </w:p>
        </w:tc>
        <w:tc>
          <w:tcPr>
            <w:tcW w:w="3067" w:type="pct"/>
            <w:tcBorders>
              <w:top w:val="nil"/>
              <w:left w:val="nil"/>
              <w:bottom w:val="nil"/>
              <w:right w:val="nil"/>
            </w:tcBorders>
            <w:shd w:val="clear" w:color="auto" w:fill="DDD9C3" w:themeFill="background2" w:themeFillShade="E6"/>
          </w:tcPr>
          <w:p w:rsidR="00887B92" w:rsidRPr="00B40AA3" w:rsidRDefault="00887B92" w:rsidP="006C5403">
            <w:pPr>
              <w:pStyle w:val="TableTextLeft"/>
              <w:keepNext/>
            </w:pPr>
            <w:r w:rsidRPr="006172C7">
              <w:t>For each tariff class, prices should lie on or between an upper bound reflecting the stand-alone cost of serving customers in that class and a lower bound reflecting the avoidable cost of not serving those customers.</w:t>
            </w:r>
          </w:p>
        </w:tc>
      </w:tr>
      <w:tr w:rsidR="00C159FF" w:rsidRPr="00144F8C" w:rsidTr="001E56D3">
        <w:trPr>
          <w:cantSplit/>
        </w:trPr>
        <w:tc>
          <w:tcPr>
            <w:tcW w:w="924" w:type="pct"/>
            <w:tcBorders>
              <w:top w:val="nil"/>
              <w:left w:val="nil"/>
              <w:bottom w:val="nil"/>
              <w:right w:val="nil"/>
            </w:tcBorders>
            <w:shd w:val="clear" w:color="auto" w:fill="F2DBDB" w:themeFill="accent2" w:themeFillTint="33"/>
          </w:tcPr>
          <w:p w:rsidR="00C159FF" w:rsidRPr="000B2173" w:rsidRDefault="000B2173" w:rsidP="006C5403">
            <w:pPr>
              <w:pStyle w:val="TableTextLeft"/>
              <w:keepNext/>
              <w:jc w:val="right"/>
              <w:rPr>
                <w:b/>
              </w:rPr>
            </w:pPr>
            <w:r w:rsidRPr="000B2173">
              <w:rPr>
                <w:b/>
              </w:rPr>
              <w:t>4</w:t>
            </w:r>
          </w:p>
        </w:tc>
        <w:tc>
          <w:tcPr>
            <w:tcW w:w="1010" w:type="pct"/>
            <w:tcBorders>
              <w:top w:val="nil"/>
              <w:left w:val="nil"/>
              <w:bottom w:val="nil"/>
              <w:right w:val="nil"/>
            </w:tcBorders>
            <w:shd w:val="clear" w:color="auto" w:fill="F2DBDB" w:themeFill="accent2" w:themeFillTint="33"/>
          </w:tcPr>
          <w:p w:rsidR="00C159FF" w:rsidRPr="001E56D3" w:rsidRDefault="00C159FF" w:rsidP="006C5403">
            <w:pPr>
              <w:pStyle w:val="TableTextLeft"/>
              <w:keepNext/>
              <w:rPr>
                <w:b/>
              </w:rPr>
            </w:pPr>
            <w:r w:rsidRPr="001E56D3">
              <w:rPr>
                <w:b/>
              </w:rPr>
              <w:t>Financial viability</w:t>
            </w:r>
          </w:p>
        </w:tc>
        <w:tc>
          <w:tcPr>
            <w:tcW w:w="3067" w:type="pct"/>
            <w:tcBorders>
              <w:top w:val="nil"/>
              <w:left w:val="nil"/>
              <w:bottom w:val="nil"/>
              <w:right w:val="nil"/>
            </w:tcBorders>
            <w:shd w:val="clear" w:color="auto" w:fill="F2DBDB" w:themeFill="accent2" w:themeFillTint="33"/>
          </w:tcPr>
          <w:p w:rsidR="00C159FF" w:rsidRPr="00B40AA3" w:rsidRDefault="00C159FF" w:rsidP="006C5403">
            <w:pPr>
              <w:pStyle w:val="TableTextLeft"/>
              <w:keepNext/>
            </w:pPr>
            <w:r w:rsidRPr="00C159FF">
              <w:t>Tariff structures and prices should reflect the full recovery of the prudent and efficient costs of providing regulated water and sewerage services to ensure business viability.</w:t>
            </w:r>
          </w:p>
        </w:tc>
      </w:tr>
      <w:tr w:rsidR="00C159FF" w:rsidRPr="00144F8C" w:rsidTr="001E56D3">
        <w:trPr>
          <w:cantSplit/>
        </w:trPr>
        <w:tc>
          <w:tcPr>
            <w:tcW w:w="924" w:type="pct"/>
            <w:tcBorders>
              <w:top w:val="nil"/>
              <w:left w:val="nil"/>
              <w:bottom w:val="nil"/>
              <w:right w:val="nil"/>
            </w:tcBorders>
            <w:shd w:val="clear" w:color="auto" w:fill="F2DBDB" w:themeFill="accent2" w:themeFillTint="33"/>
          </w:tcPr>
          <w:p w:rsidR="00C159FF" w:rsidRPr="000B2173" w:rsidRDefault="000B2173" w:rsidP="006C5403">
            <w:pPr>
              <w:pStyle w:val="TableTextLeft"/>
              <w:keepNext/>
              <w:jc w:val="right"/>
              <w:rPr>
                <w:b/>
              </w:rPr>
            </w:pPr>
            <w:r w:rsidRPr="000B2173">
              <w:rPr>
                <w:b/>
              </w:rPr>
              <w:t>5</w:t>
            </w:r>
          </w:p>
        </w:tc>
        <w:tc>
          <w:tcPr>
            <w:tcW w:w="1010" w:type="pct"/>
            <w:tcBorders>
              <w:top w:val="nil"/>
              <w:left w:val="nil"/>
              <w:bottom w:val="nil"/>
              <w:right w:val="nil"/>
            </w:tcBorders>
            <w:shd w:val="clear" w:color="auto" w:fill="F2DBDB" w:themeFill="accent2" w:themeFillTint="33"/>
          </w:tcPr>
          <w:p w:rsidR="00C159FF" w:rsidRPr="00C159FF" w:rsidRDefault="00C159FF" w:rsidP="006C5403">
            <w:pPr>
              <w:pStyle w:val="TableTextLeft"/>
              <w:keepNext/>
            </w:pPr>
          </w:p>
        </w:tc>
        <w:tc>
          <w:tcPr>
            <w:tcW w:w="3067" w:type="pct"/>
            <w:tcBorders>
              <w:top w:val="nil"/>
              <w:left w:val="nil"/>
              <w:bottom w:val="nil"/>
              <w:right w:val="nil"/>
            </w:tcBorders>
            <w:shd w:val="clear" w:color="auto" w:fill="F2DBDB" w:themeFill="accent2" w:themeFillTint="33"/>
          </w:tcPr>
          <w:p w:rsidR="00C159FF" w:rsidRPr="00B40AA3" w:rsidRDefault="00C159FF" w:rsidP="006C5403">
            <w:pPr>
              <w:pStyle w:val="TableTextLeft"/>
              <w:keepNext/>
            </w:pPr>
            <w:r w:rsidRPr="00C159FF">
              <w:t>Tariff structures and prices should facilitate the recovery of Icon Water’s allowed revenue over the regulatory period.</w:t>
            </w:r>
          </w:p>
        </w:tc>
      </w:tr>
      <w:tr w:rsidR="00C159FF" w:rsidRPr="00144F8C" w:rsidTr="001E56D3">
        <w:trPr>
          <w:cantSplit/>
        </w:trPr>
        <w:tc>
          <w:tcPr>
            <w:tcW w:w="924" w:type="pct"/>
            <w:tcBorders>
              <w:top w:val="nil"/>
              <w:left w:val="nil"/>
              <w:bottom w:val="nil"/>
              <w:right w:val="nil"/>
            </w:tcBorders>
            <w:shd w:val="clear" w:color="auto" w:fill="DAEEF3" w:themeFill="accent5" w:themeFillTint="33"/>
          </w:tcPr>
          <w:p w:rsidR="00C159FF" w:rsidRPr="000B2173" w:rsidRDefault="000B2173" w:rsidP="006C5403">
            <w:pPr>
              <w:pStyle w:val="TableTextLeft"/>
              <w:keepNext/>
              <w:jc w:val="right"/>
              <w:rPr>
                <w:b/>
              </w:rPr>
            </w:pPr>
            <w:r>
              <w:rPr>
                <w:b/>
              </w:rPr>
              <w:t>6</w:t>
            </w:r>
          </w:p>
        </w:tc>
        <w:tc>
          <w:tcPr>
            <w:tcW w:w="1010" w:type="pct"/>
            <w:tcBorders>
              <w:top w:val="nil"/>
              <w:left w:val="nil"/>
              <w:bottom w:val="nil"/>
              <w:right w:val="nil"/>
            </w:tcBorders>
            <w:shd w:val="clear" w:color="auto" w:fill="DAEEF3" w:themeFill="accent5" w:themeFillTint="33"/>
          </w:tcPr>
          <w:p w:rsidR="00C159FF" w:rsidRPr="001E56D3" w:rsidRDefault="00C159FF" w:rsidP="006C5403">
            <w:pPr>
              <w:pStyle w:val="TableTextLeft"/>
              <w:keepNext/>
              <w:rPr>
                <w:b/>
              </w:rPr>
            </w:pPr>
            <w:r w:rsidRPr="001E56D3">
              <w:rPr>
                <w:b/>
              </w:rPr>
              <w:t>Community impact</w:t>
            </w:r>
          </w:p>
        </w:tc>
        <w:tc>
          <w:tcPr>
            <w:tcW w:w="3067" w:type="pct"/>
            <w:tcBorders>
              <w:top w:val="nil"/>
              <w:left w:val="nil"/>
              <w:bottom w:val="nil"/>
              <w:right w:val="nil"/>
            </w:tcBorders>
            <w:shd w:val="clear" w:color="auto" w:fill="DAEEF3" w:themeFill="accent5" w:themeFillTint="33"/>
          </w:tcPr>
          <w:p w:rsidR="00C159FF" w:rsidRPr="00B40AA3" w:rsidRDefault="00997034" w:rsidP="006C5403">
            <w:pPr>
              <w:pStyle w:val="TableTextLeft"/>
              <w:keepNext/>
            </w:pPr>
            <w:r>
              <w:t>Tariff structures should be robust enough to promote the economically efficient use of Icon Water’s water and sewerage services infrastructure over a reasonable period of time.</w:t>
            </w:r>
          </w:p>
        </w:tc>
      </w:tr>
      <w:tr w:rsidR="00997034" w:rsidRPr="00144F8C" w:rsidTr="001E56D3">
        <w:trPr>
          <w:cantSplit/>
        </w:trPr>
        <w:tc>
          <w:tcPr>
            <w:tcW w:w="924" w:type="pct"/>
            <w:tcBorders>
              <w:top w:val="nil"/>
              <w:left w:val="nil"/>
              <w:bottom w:val="nil"/>
              <w:right w:val="nil"/>
            </w:tcBorders>
            <w:shd w:val="clear" w:color="auto" w:fill="DAEEF3" w:themeFill="accent5" w:themeFillTint="33"/>
          </w:tcPr>
          <w:p w:rsidR="00997034" w:rsidRPr="000B2173" w:rsidRDefault="000B2173" w:rsidP="006C5403">
            <w:pPr>
              <w:pStyle w:val="TableTextLeft"/>
              <w:keepNext/>
              <w:jc w:val="right"/>
              <w:rPr>
                <w:b/>
              </w:rPr>
            </w:pPr>
            <w:r>
              <w:rPr>
                <w:b/>
              </w:rPr>
              <w:t>7</w:t>
            </w:r>
          </w:p>
        </w:tc>
        <w:tc>
          <w:tcPr>
            <w:tcW w:w="1010" w:type="pct"/>
            <w:tcBorders>
              <w:top w:val="nil"/>
              <w:left w:val="nil"/>
              <w:bottom w:val="nil"/>
              <w:right w:val="nil"/>
            </w:tcBorders>
            <w:shd w:val="clear" w:color="auto" w:fill="DAEEF3" w:themeFill="accent5" w:themeFillTint="33"/>
          </w:tcPr>
          <w:p w:rsidR="00997034" w:rsidRPr="00B40AA3" w:rsidRDefault="00997034" w:rsidP="006C5403">
            <w:pPr>
              <w:pStyle w:val="TableTextLeft"/>
              <w:keepNext/>
            </w:pPr>
          </w:p>
        </w:tc>
        <w:tc>
          <w:tcPr>
            <w:tcW w:w="3067" w:type="pct"/>
            <w:tcBorders>
              <w:top w:val="nil"/>
              <w:left w:val="nil"/>
              <w:bottom w:val="nil"/>
              <w:right w:val="nil"/>
            </w:tcBorders>
            <w:shd w:val="clear" w:color="auto" w:fill="DAEEF3" w:themeFill="accent5" w:themeFillTint="33"/>
          </w:tcPr>
          <w:p w:rsidR="00997034" w:rsidRPr="00B40AA3" w:rsidRDefault="00997034" w:rsidP="006C5403">
            <w:pPr>
              <w:pStyle w:val="TableTextLeft"/>
              <w:keepNext/>
            </w:pPr>
            <w:r>
              <w:t>Any change to the structure of tariffs and prices that will have substantial customer impacts should be phased in over a transition period to allow customers reasonable time to adjust to the change.</w:t>
            </w:r>
          </w:p>
        </w:tc>
      </w:tr>
      <w:tr w:rsidR="00997034" w:rsidRPr="00144F8C" w:rsidTr="001E56D3">
        <w:trPr>
          <w:cantSplit/>
        </w:trPr>
        <w:tc>
          <w:tcPr>
            <w:tcW w:w="924" w:type="pct"/>
            <w:tcBorders>
              <w:top w:val="nil"/>
              <w:left w:val="nil"/>
              <w:bottom w:val="nil"/>
              <w:right w:val="nil"/>
            </w:tcBorders>
            <w:shd w:val="clear" w:color="auto" w:fill="DAEEF3" w:themeFill="accent5" w:themeFillTint="33"/>
          </w:tcPr>
          <w:p w:rsidR="00997034" w:rsidRPr="000B2173" w:rsidRDefault="000B2173" w:rsidP="006C5403">
            <w:pPr>
              <w:pStyle w:val="TableTextLeft"/>
              <w:keepNext/>
              <w:jc w:val="right"/>
              <w:rPr>
                <w:b/>
              </w:rPr>
            </w:pPr>
            <w:r>
              <w:rPr>
                <w:b/>
              </w:rPr>
              <w:t>8</w:t>
            </w:r>
          </w:p>
        </w:tc>
        <w:tc>
          <w:tcPr>
            <w:tcW w:w="1010" w:type="pct"/>
            <w:tcBorders>
              <w:top w:val="nil"/>
              <w:left w:val="nil"/>
              <w:bottom w:val="nil"/>
              <w:right w:val="nil"/>
            </w:tcBorders>
            <w:shd w:val="clear" w:color="auto" w:fill="DAEEF3" w:themeFill="accent5" w:themeFillTint="33"/>
          </w:tcPr>
          <w:p w:rsidR="00997034" w:rsidRPr="00B40AA3" w:rsidRDefault="00997034" w:rsidP="006C5403">
            <w:pPr>
              <w:pStyle w:val="TableTextLeft"/>
              <w:keepNext/>
            </w:pPr>
          </w:p>
        </w:tc>
        <w:tc>
          <w:tcPr>
            <w:tcW w:w="3067" w:type="pct"/>
            <w:tcBorders>
              <w:top w:val="nil"/>
              <w:left w:val="nil"/>
              <w:bottom w:val="nil"/>
              <w:right w:val="nil"/>
            </w:tcBorders>
            <w:shd w:val="clear" w:color="auto" w:fill="DAEEF3" w:themeFill="accent5" w:themeFillTint="33"/>
          </w:tcPr>
          <w:p w:rsidR="00997034" w:rsidRPr="00B40AA3" w:rsidRDefault="00997034" w:rsidP="006C5403">
            <w:pPr>
              <w:pStyle w:val="TableTextLeft"/>
              <w:keepNext/>
            </w:pPr>
            <w:r>
              <w:t>Tariff structures should be simple for customers to understand and straightforward for the utility to implement.</w:t>
            </w:r>
          </w:p>
        </w:tc>
      </w:tr>
      <w:tr w:rsidR="00997034" w:rsidRPr="00144F8C" w:rsidTr="001E56D3">
        <w:trPr>
          <w:cantSplit/>
        </w:trPr>
        <w:tc>
          <w:tcPr>
            <w:tcW w:w="924" w:type="pct"/>
            <w:tcBorders>
              <w:top w:val="nil"/>
              <w:left w:val="nil"/>
              <w:bottom w:val="single" w:sz="12" w:space="0" w:color="1F497D" w:themeColor="text2"/>
              <w:right w:val="nil"/>
            </w:tcBorders>
            <w:shd w:val="clear" w:color="auto" w:fill="DAEEF3" w:themeFill="accent5" w:themeFillTint="33"/>
          </w:tcPr>
          <w:p w:rsidR="00997034" w:rsidRPr="000B2173" w:rsidRDefault="000B2173" w:rsidP="006C5403">
            <w:pPr>
              <w:pStyle w:val="TableTextLeft"/>
              <w:keepNext/>
              <w:jc w:val="right"/>
              <w:rPr>
                <w:b/>
              </w:rPr>
            </w:pPr>
            <w:r>
              <w:rPr>
                <w:b/>
              </w:rPr>
              <w:t>9</w:t>
            </w:r>
          </w:p>
        </w:tc>
        <w:tc>
          <w:tcPr>
            <w:tcW w:w="1010" w:type="pct"/>
            <w:tcBorders>
              <w:top w:val="nil"/>
              <w:left w:val="nil"/>
              <w:bottom w:val="single" w:sz="12" w:space="0" w:color="1F497D" w:themeColor="text2"/>
              <w:right w:val="nil"/>
            </w:tcBorders>
            <w:shd w:val="clear" w:color="auto" w:fill="DAEEF3" w:themeFill="accent5" w:themeFillTint="33"/>
          </w:tcPr>
          <w:p w:rsidR="00997034" w:rsidRPr="00B40AA3" w:rsidRDefault="00997034" w:rsidP="006C5403">
            <w:pPr>
              <w:pStyle w:val="TableTextLeft"/>
              <w:keepNext/>
            </w:pPr>
          </w:p>
        </w:tc>
        <w:tc>
          <w:tcPr>
            <w:tcW w:w="3067" w:type="pct"/>
            <w:tcBorders>
              <w:top w:val="nil"/>
              <w:left w:val="nil"/>
              <w:bottom w:val="single" w:sz="12" w:space="0" w:color="1F497D" w:themeColor="text2"/>
              <w:right w:val="nil"/>
            </w:tcBorders>
            <w:shd w:val="clear" w:color="auto" w:fill="DAEEF3" w:themeFill="accent5" w:themeFillTint="33"/>
          </w:tcPr>
          <w:p w:rsidR="00997034" w:rsidRPr="00B40AA3" w:rsidRDefault="00997034" w:rsidP="006C5403">
            <w:pPr>
              <w:pStyle w:val="TableTextLeft"/>
              <w:keepNext/>
            </w:pPr>
            <w:r>
              <w:t>Tariffs should be set using a transparent methodology and subject to public consultation and scrutiny.</w:t>
            </w:r>
          </w:p>
        </w:tc>
      </w:tr>
    </w:tbl>
    <w:p w:rsidR="00932AAE" w:rsidRDefault="00932AAE" w:rsidP="00932AAE">
      <w:pPr>
        <w:pStyle w:val="Heading2"/>
      </w:pPr>
      <w:bookmarkStart w:id="84" w:name="Princ_list"/>
      <w:bookmarkStart w:id="85" w:name="_Ref457818201"/>
      <w:bookmarkStart w:id="86" w:name="_Toc460572212"/>
      <w:bookmarkEnd w:id="84"/>
      <w:r>
        <w:t>Potential dual role for the framework</w:t>
      </w:r>
      <w:bookmarkEnd w:id="85"/>
      <w:bookmarkEnd w:id="86"/>
    </w:p>
    <w:p w:rsidR="00932AAE" w:rsidRDefault="00932AAE" w:rsidP="00932AAE">
      <w:r>
        <w:t>In the issues paper the Commission raised the matter of the interaction between the form of price control that will apply in the next regulatory period, commencing 1 July 2018, and the structure of tariffs.</w:t>
      </w:r>
    </w:p>
    <w:p w:rsidR="00513F38" w:rsidRDefault="00513F38" w:rsidP="00513F38">
      <w:r>
        <w:t>Regulators have various methods to control the prices charged by regulated utility service providers. The methods differ in the degree of direct control exercised over tariff structures and prices by the regulator. At one end of the spectrum, the regulator directly caps individual prices. At the other end, the utility takes control under a pure revenue cap, often subject to a set of pricing principles. The form of price control that will apply to Icon Water during the next regulatory period will be determined as part of the broader price investigation process that will commence at about the time this tariff review concludes.</w:t>
      </w:r>
    </w:p>
    <w:p w:rsidR="00932AAE" w:rsidRPr="005E6E20" w:rsidRDefault="00932AAE" w:rsidP="00932AAE">
      <w:r w:rsidRPr="005E6E20">
        <w:t xml:space="preserve">Price cap regulation </w:t>
      </w:r>
      <w:r>
        <w:t xml:space="preserve">involves the regulator determining or approving the </w:t>
      </w:r>
      <w:r w:rsidRPr="005E6E20">
        <w:t>maximum prices</w:t>
      </w:r>
      <w:r>
        <w:t xml:space="preserve"> for each regulated service that the utility provides</w:t>
      </w:r>
      <w:r w:rsidRPr="005E6E20">
        <w:t>.</w:t>
      </w:r>
      <w:r>
        <w:t xml:space="preserve"> This generally involves the regulator being responsible for setting the tariff structures and calculating the level of </w:t>
      </w:r>
      <w:r>
        <w:lastRenderedPageBreak/>
        <w:t>prices to be applied by the utility. The Commission’s approach in its 2013 price direction could be characterised as a price cap approach.</w:t>
      </w:r>
    </w:p>
    <w:p w:rsidR="00932AAE" w:rsidRDefault="00932AAE" w:rsidP="00932AAE">
      <w:r>
        <w:t>R</w:t>
      </w:r>
      <w:r w:rsidRPr="005E6E20">
        <w:t>evenue cap regulation</w:t>
      </w:r>
      <w:r>
        <w:t xml:space="preserve"> entails </w:t>
      </w:r>
      <w:r w:rsidRPr="005E6E20">
        <w:t xml:space="preserve">the regulator determining or approving a maximum revenue amount that can be earned by the utility. </w:t>
      </w:r>
      <w:r>
        <w:t>In contrast to price cap regulation, t</w:t>
      </w:r>
      <w:r w:rsidRPr="005E6E20">
        <w:t>he utility is generally given the task of setting tariff</w:t>
      </w:r>
      <w:r>
        <w:t xml:space="preserve"> structures </w:t>
      </w:r>
      <w:r w:rsidRPr="005E6E20">
        <w:t xml:space="preserve">and </w:t>
      </w:r>
      <w:r>
        <w:t xml:space="preserve">constituent </w:t>
      </w:r>
      <w:r w:rsidRPr="005E6E20">
        <w:t>prices</w:t>
      </w:r>
      <w:r>
        <w:t>. The regulator’s involvement in tariffs is often restricted to determining a set of pricing principles to be applied by the utility and subsequently confirming that proposed prices do not breach the utility’s revenue cap. An example of this approach is the way in which the Australian Energy Regulator regulates electricity distribution businesses.</w:t>
      </w:r>
    </w:p>
    <w:p w:rsidR="00932AAE" w:rsidRDefault="00932AAE" w:rsidP="00932AAE">
      <w:r>
        <w:t>Icon Water is currently operating under the substitute price direction. The form of regulation under this price direction is a hybrid price and revenue cap with:</w:t>
      </w:r>
    </w:p>
    <w:p w:rsidR="00932AAE" w:rsidRDefault="00932AAE" w:rsidP="00932AAE">
      <w:pPr>
        <w:pStyle w:val="Quote"/>
      </w:pPr>
      <w:r w:rsidRPr="002E276D">
        <w:t>individual price caps set for water and sewerage charges and a demand volatility adjustment mechanism used to account for deviations between actual and forecast volumetric water sales revenue (i.e., revenue from tier 1 and tier 2 water sales) in excess of a 6% deadband over the full fi</w:t>
      </w:r>
      <w:r>
        <w:t>ve-year regulatory period (2013–14 to 2017–</w:t>
      </w:r>
      <w:r w:rsidRPr="002E276D">
        <w:t>18).</w:t>
      </w:r>
      <w:r>
        <w:rPr>
          <w:rStyle w:val="FootnoteReference"/>
        </w:rPr>
        <w:footnoteReference w:id="33"/>
      </w:r>
    </w:p>
    <w:p w:rsidR="00932AAE" w:rsidRDefault="00932AAE" w:rsidP="00932AAE">
      <w:r>
        <w:t>The form of price control that will apply to Icon Water during the next regulatory period will be determined as part of the broader price investigation process that will commence at about the time this tariff review concludes.</w:t>
      </w:r>
    </w:p>
    <w:p w:rsidR="00932AAE" w:rsidRDefault="00932AAE" w:rsidP="00932AAE">
      <w:pPr>
        <w:pStyle w:val="Heading3"/>
      </w:pPr>
      <w:r>
        <w:t>Submissions</w:t>
      </w:r>
    </w:p>
    <w:p w:rsidR="00932AAE" w:rsidRDefault="00932AAE" w:rsidP="00932AAE">
      <w:r>
        <w:t>Icon Water was the only stakeholder to comment on this matter in its second submission to the tariff review:</w:t>
      </w:r>
    </w:p>
    <w:p w:rsidR="00932AAE" w:rsidRDefault="00932AAE" w:rsidP="00932AAE">
      <w:pPr>
        <w:pStyle w:val="Quote"/>
      </w:pPr>
      <w:r w:rsidRPr="007F4104">
        <w:t>It would be in the interests of all stakeholders for the recommendations made by the ICRC in its final report to keep open the option of Icon Water setting prices from 2018 within constraints and principles provided by the ICRC.</w:t>
      </w:r>
      <w:r>
        <w:rPr>
          <w:rStyle w:val="FootnoteReference"/>
        </w:rPr>
        <w:footnoteReference w:id="34"/>
      </w:r>
    </w:p>
    <w:p w:rsidR="00932AAE" w:rsidRDefault="00932AAE" w:rsidP="00932AAE">
      <w:pPr>
        <w:pStyle w:val="Heading3"/>
      </w:pPr>
      <w:r>
        <w:t>Commission’s consideration</w:t>
      </w:r>
    </w:p>
    <w:p w:rsidR="00932AAE" w:rsidRDefault="00932AAE" w:rsidP="00932AAE">
      <w:r>
        <w:t>The Commission agrees that is sensible for the tariff review to remain open to the possibility of either the Commission or Icon Water being responsible for the structure of tariffs and the determining the level of constituent prices from 1 July 2018. The implications of this for the tariff review primarily relate to the role of the assessment framework.</w:t>
      </w:r>
    </w:p>
    <w:p w:rsidR="00932AAE" w:rsidRDefault="00932AAE" w:rsidP="00932AAE">
      <w:r>
        <w:t xml:space="preserve">If the Commission continues to take direct responsibility for the tariff structure and level of prices under a price cap approach, the assessment framework will be used by the Commission to determine the best tariff structure moving forward. The Commission’s initial proposals in this regard are presented later in this draft report, and </w:t>
      </w:r>
      <w:r>
        <w:lastRenderedPageBreak/>
        <w:t xml:space="preserve">will be confirmed at the conclusion of the tariff review. Icon Water would then be expected to adopt the recommended tariff structures in its main regulatory submission to the price investigation process leading up to 1 July 2018. The price levels would then be determined in the usual fashion and prescribed in the price direction. </w:t>
      </w:r>
    </w:p>
    <w:p w:rsidR="00932AAE" w:rsidRDefault="00932AAE" w:rsidP="00932AAE">
      <w:r>
        <w:t xml:space="preserve">Alternatively, should Icon Water be given responsibility for pricing from 1 July 2018 under a revenue cap approach, it would be expected to use the assessment framework to develop, consult on, and present its proposed tariff structures in its main regulatory submission. The Commission would then check that Icon Water’s proposals are compliant with the framework. Prior to 1 July 2018, the Commission would also check that the level of constituent prices </w:t>
      </w:r>
      <w:r w:rsidR="00B5722D">
        <w:t>is</w:t>
      </w:r>
      <w:r>
        <w:t xml:space="preserve"> consistent with the revenue cap.</w:t>
      </w:r>
    </w:p>
    <w:p w:rsidR="00932AAE" w:rsidRDefault="00932AAE" w:rsidP="00932AAE">
      <w:r>
        <w:t>Given its potential dual role, t</w:t>
      </w:r>
      <w:r w:rsidRPr="00697FCF">
        <w:t xml:space="preserve">he key issue is to find the right </w:t>
      </w:r>
      <w:r>
        <w:t xml:space="preserve">level of prescription </w:t>
      </w:r>
      <w:r w:rsidRPr="00697FCF">
        <w:t>for the assessment framework</w:t>
      </w:r>
      <w:r>
        <w:t>. If the set of principles is broadly defined, this may provide too much latitude to ensure that the overall efficiency objective is met. On the other hand, if the set of principles is too tightly defined, it may not provide sufficient flexibility to allow for innovative tariff solutions. In finding the right balance between latitude and prescription the Commission’s preference is to err on the side of latitude.</w:t>
      </w:r>
    </w:p>
    <w:p w:rsidR="00932AAE" w:rsidRDefault="00932AAE" w:rsidP="00932AAE">
      <w:pPr>
        <w:pStyle w:val="Heading3"/>
      </w:pPr>
      <w:r>
        <w:t>Draft position</w:t>
      </w:r>
    </w:p>
    <w:p w:rsidR="00207022" w:rsidRDefault="00932AAE" w:rsidP="00932AAE">
      <w:r>
        <w:t>The Commission’s draft position is that the tariff review should remain open to the possibility of w</w:t>
      </w:r>
      <w:r w:rsidR="00B5722D">
        <w:t>hether</w:t>
      </w:r>
      <w:r>
        <w:t xml:space="preserve"> the Commission or Icon Water being responsible for the structure of tariffs and the level of constituent prices from</w:t>
      </w:r>
      <w:r w:rsidR="00B11784">
        <w:t xml:space="preserve"> </w:t>
      </w:r>
      <w:r>
        <w:t>1 July 2018.</w:t>
      </w:r>
    </w:p>
    <w:p w:rsidR="00B5722D" w:rsidRDefault="00B5722D" w:rsidP="00B5722D">
      <w:r>
        <w:t xml:space="preserve">The Commission’s preference is for Icon Water to take more responsibility for tariff structures and price levels moving forward. Icon Water is best placed to engage with its customers on tariff reform and pricing more generally, and has already started a discussion on these matters with customers. </w:t>
      </w:r>
    </w:p>
    <w:p w:rsidR="00B5722D" w:rsidRDefault="00B5722D" w:rsidP="00B5722D">
      <w:r>
        <w:t>In this scenario, Icon Water would consult with its customers, including particular customer groups, in developing its preferred water tariff structure and constituent prices, consistent with the assessment framework, for presentation to the Commission in its main submission to the price investigation leading up to 1 July 2018.</w:t>
      </w:r>
    </w:p>
    <w:p w:rsidR="00967ADB" w:rsidRDefault="00967ADB" w:rsidP="00932AAE"/>
    <w:p w:rsidR="00207022" w:rsidRDefault="00207022" w:rsidP="00207022"/>
    <w:p w:rsidR="00207022" w:rsidRPr="00207022" w:rsidRDefault="00207022" w:rsidP="00207022">
      <w:pPr>
        <w:sectPr w:rsidR="00207022" w:rsidRPr="00207022" w:rsidSect="00756B97">
          <w:headerReference w:type="even" r:id="rId47"/>
          <w:headerReference w:type="default" r:id="rId48"/>
          <w:endnotePr>
            <w:numFmt w:val="decimal"/>
          </w:endnotePr>
          <w:type w:val="continuous"/>
          <w:pgSz w:w="11907" w:h="16840" w:code="9"/>
          <w:pgMar w:top="2268" w:right="2098" w:bottom="1701" w:left="2098" w:header="578" w:footer="578" w:gutter="0"/>
          <w:cols w:space="720"/>
          <w:docGrid w:linePitch="299"/>
        </w:sectPr>
      </w:pPr>
    </w:p>
    <w:p w:rsidR="00E86BCC" w:rsidRDefault="00E6551C" w:rsidP="00E86BCC">
      <w:pPr>
        <w:pStyle w:val="Heading1"/>
        <w:sectPr w:rsidR="00E86BCC" w:rsidSect="00FD0141">
          <w:headerReference w:type="even" r:id="rId49"/>
          <w:headerReference w:type="default" r:id="rId50"/>
          <w:endnotePr>
            <w:numFmt w:val="decimal"/>
          </w:endnotePr>
          <w:type w:val="oddPage"/>
          <w:pgSz w:w="11907" w:h="16840" w:code="9"/>
          <w:pgMar w:top="2268" w:right="2098" w:bottom="1701" w:left="2098" w:header="578" w:footer="578" w:gutter="0"/>
          <w:cols w:space="720"/>
          <w:noEndnote/>
          <w:docGrid w:linePitch="299"/>
        </w:sectPr>
      </w:pPr>
      <w:bookmarkStart w:id="87" w:name="_Ref433615233"/>
      <w:bookmarkStart w:id="88" w:name="_Ref448321586"/>
      <w:bookmarkStart w:id="89" w:name="_Toc460572213"/>
      <w:r>
        <w:lastRenderedPageBreak/>
        <w:t>Water</w:t>
      </w:r>
      <w:r w:rsidR="00281CA5">
        <w:t xml:space="preserve"> tariffs</w:t>
      </w:r>
      <w:r>
        <w:t>: Options and analysis</w:t>
      </w:r>
      <w:bookmarkEnd w:id="87"/>
      <w:bookmarkEnd w:id="88"/>
      <w:bookmarkEnd w:id="89"/>
    </w:p>
    <w:p w:rsidR="00A23109" w:rsidRDefault="00A23109" w:rsidP="002B6726">
      <w:pPr>
        <w:pStyle w:val="Heading2"/>
      </w:pPr>
      <w:bookmarkStart w:id="90" w:name="_Toc460572214"/>
      <w:bookmarkStart w:id="91" w:name="_Ref448819516"/>
      <w:r>
        <w:t>Introduction</w:t>
      </w:r>
      <w:bookmarkEnd w:id="90"/>
    </w:p>
    <w:p w:rsidR="00A23109" w:rsidRPr="00A23109" w:rsidRDefault="00A23109" w:rsidP="00A23109">
      <w:r>
        <w:t xml:space="preserve">This chapter applies the draft assessment framework described in the previous chapter to evaluate </w:t>
      </w:r>
      <w:r w:rsidR="0042343E">
        <w:t xml:space="preserve">whether </w:t>
      </w:r>
      <w:r>
        <w:t>Icon Water’s current water tariff structure</w:t>
      </w:r>
      <w:r w:rsidR="0042343E">
        <w:t xml:space="preserve"> is best placed to achieve the overarching economic efficiency objective, or whether an alternative structure </w:t>
      </w:r>
      <w:r w:rsidR="00CE33F3">
        <w:t xml:space="preserve">is more likely to </w:t>
      </w:r>
      <w:r w:rsidR="00D54E10">
        <w:t>do so</w:t>
      </w:r>
      <w:r w:rsidR="0042343E">
        <w:t xml:space="preserve">. </w:t>
      </w:r>
    </w:p>
    <w:p w:rsidR="0009621D" w:rsidRDefault="00DE51EB" w:rsidP="002B6726">
      <w:pPr>
        <w:pStyle w:val="Heading2"/>
      </w:pPr>
      <w:bookmarkStart w:id="92" w:name="_Toc460572215"/>
      <w:r>
        <w:t>C</w:t>
      </w:r>
      <w:r w:rsidR="00CF184D">
        <w:t>urrent tariff structure</w:t>
      </w:r>
      <w:r>
        <w:t xml:space="preserve">: </w:t>
      </w:r>
      <w:r w:rsidR="00BB7B25">
        <w:t>t</w:t>
      </w:r>
      <w:r>
        <w:t>wo-part, inclining block</w:t>
      </w:r>
      <w:bookmarkEnd w:id="92"/>
    </w:p>
    <w:p w:rsidR="0044115F" w:rsidRDefault="00CE1790" w:rsidP="0044115F">
      <w:r>
        <w:t xml:space="preserve">The current ACT water tariff structure comprises an annual supply charge and a two-tier </w:t>
      </w:r>
      <w:r w:rsidR="00535E01">
        <w:t>usage</w:t>
      </w:r>
      <w:r>
        <w:t xml:space="preserve"> charge with a lower price for the first 200 kL</w:t>
      </w:r>
      <w:r w:rsidR="0015304A">
        <w:t xml:space="preserve"> </w:t>
      </w:r>
      <w:r>
        <w:t>of water use and a higher water price, double that of the first tier price, for water used above that level. This is known as a two-part inclining block tariff.</w:t>
      </w:r>
      <w:r w:rsidR="0044115F">
        <w:t xml:space="preserve"> At this level of prices, Icon Water recovers about 10 per cent of its water revenue from the supply charge, with the remaining 90 per cent recovered from volumetric charges.</w:t>
      </w:r>
    </w:p>
    <w:p w:rsidR="006A0A89" w:rsidRDefault="0017530F" w:rsidP="006A0A89">
      <w:r>
        <w:fldChar w:fldCharType="begin"/>
      </w:r>
      <w:r>
        <w:instrText xml:space="preserve"> REF _Ref460318466 \h </w:instrText>
      </w:r>
      <w:r>
        <w:fldChar w:fldCharType="separate"/>
      </w:r>
      <w:r w:rsidR="00B80BC7" w:rsidRPr="00E33D9E">
        <w:t xml:space="preserve">Figure </w:t>
      </w:r>
      <w:r w:rsidR="00B80BC7">
        <w:rPr>
          <w:noProof/>
        </w:rPr>
        <w:t>3</w:t>
      </w:r>
      <w:r w:rsidR="00B80BC7" w:rsidRPr="00E33D9E">
        <w:t>.</w:t>
      </w:r>
      <w:r w:rsidR="00B80BC7">
        <w:rPr>
          <w:noProof/>
        </w:rPr>
        <w:t>1</w:t>
      </w:r>
      <w:r>
        <w:fldChar w:fldCharType="end"/>
      </w:r>
      <w:r>
        <w:t xml:space="preserve"> </w:t>
      </w:r>
      <w:r w:rsidR="006A0A89">
        <w:t xml:space="preserve">and </w:t>
      </w:r>
      <w:r>
        <w:fldChar w:fldCharType="begin"/>
      </w:r>
      <w:r>
        <w:instrText xml:space="preserve"> REF _Ref460318467 \h </w:instrText>
      </w:r>
      <w:r>
        <w:fldChar w:fldCharType="separate"/>
      </w:r>
      <w:r w:rsidR="00B80BC7" w:rsidRPr="00E33D9E">
        <w:t xml:space="preserve">Figure </w:t>
      </w:r>
      <w:r w:rsidR="00B80BC7">
        <w:rPr>
          <w:noProof/>
        </w:rPr>
        <w:t>3</w:t>
      </w:r>
      <w:r w:rsidR="00B80BC7" w:rsidRPr="00E33D9E">
        <w:t>.</w:t>
      </w:r>
      <w:r w:rsidR="00B80BC7">
        <w:rPr>
          <w:noProof/>
        </w:rPr>
        <w:t>2</w:t>
      </w:r>
      <w:r>
        <w:fldChar w:fldCharType="end"/>
      </w:r>
      <w:r>
        <w:t xml:space="preserve"> </w:t>
      </w:r>
      <w:r w:rsidR="006A0A89">
        <w:t>show a comparison between Icon Water’s residential water tariff structure and arrangements for a number of utilities in other jurisdictions. Icon Water’s Tier 2 charge is the highest and its supply charge amongst the lowest.</w:t>
      </w:r>
    </w:p>
    <w:p w:rsidR="006A0A89" w:rsidRDefault="006A0A89" w:rsidP="006A0A89">
      <w:pPr>
        <w:pStyle w:val="FigureName0"/>
      </w:pPr>
      <w:bookmarkStart w:id="93" w:name="_Ref460318466"/>
      <w:bookmarkStart w:id="94" w:name="_Toc460572267"/>
      <w:r w:rsidRPr="00E33D9E">
        <w:t xml:space="preserve">Figure </w:t>
      </w:r>
      <w:r w:rsidRPr="00E33D9E">
        <w:fldChar w:fldCharType="begin"/>
      </w:r>
      <w:r w:rsidRPr="00E33D9E">
        <w:instrText xml:space="preserve"> STYLEREF 1 \s </w:instrText>
      </w:r>
      <w:r w:rsidRPr="00E33D9E">
        <w:fldChar w:fldCharType="separate"/>
      </w:r>
      <w:r w:rsidR="00B80BC7">
        <w:rPr>
          <w:noProof/>
        </w:rPr>
        <w:t>3</w:t>
      </w:r>
      <w:r w:rsidRPr="00E33D9E">
        <w:fldChar w:fldCharType="end"/>
      </w:r>
      <w:r w:rsidRPr="00E33D9E">
        <w:t>.</w:t>
      </w:r>
      <w:r w:rsidRPr="00E33D9E">
        <w:fldChar w:fldCharType="begin"/>
      </w:r>
      <w:r w:rsidRPr="00E33D9E">
        <w:instrText xml:space="preserve"> SEQ Figure \* ARABIC \s 1 </w:instrText>
      </w:r>
      <w:r w:rsidRPr="00E33D9E">
        <w:fldChar w:fldCharType="separate"/>
      </w:r>
      <w:r w:rsidR="00B80BC7">
        <w:rPr>
          <w:noProof/>
        </w:rPr>
        <w:t>1</w:t>
      </w:r>
      <w:r w:rsidRPr="00E33D9E">
        <w:fldChar w:fldCharType="end"/>
      </w:r>
      <w:bookmarkEnd w:id="93"/>
      <w:r>
        <w:tab/>
        <w:t>Residential water supply charges by utility, 2016</w:t>
      </w:r>
      <w:r>
        <w:sym w:font="Symbol" w:char="F02D"/>
      </w:r>
      <w:r>
        <w:t>17</w:t>
      </w:r>
      <w:bookmarkEnd w:id="94"/>
    </w:p>
    <w:p w:rsidR="006A0A89" w:rsidRDefault="006A0A89" w:rsidP="006A0A89">
      <w:pPr>
        <w:pStyle w:val="TableNotesLast0"/>
        <w:keepNext/>
      </w:pPr>
      <w:r>
        <w:rPr>
          <w:noProof/>
          <w:lang w:val="en-AU" w:eastAsia="en-AU"/>
        </w:rPr>
        <w:drawing>
          <wp:inline distT="0" distB="0" distL="0" distR="0" wp14:anchorId="4C7C4D06" wp14:editId="57A3B80B">
            <wp:extent cx="4896485" cy="2661285"/>
            <wp:effectExtent l="0" t="0" r="18415" b="571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6A0A89" w:rsidRDefault="006A0A89" w:rsidP="006A0A89">
      <w:pPr>
        <w:pStyle w:val="TableNotesLast0"/>
        <w:keepNext/>
      </w:pPr>
      <w:r>
        <w:t>Source:</w:t>
      </w:r>
      <w:r>
        <w:tab/>
      </w:r>
      <w:r>
        <w:fldChar w:fldCharType="begin"/>
      </w:r>
      <w:r>
        <w:instrText xml:space="preserve"> REF _Ref459984914 \r \h </w:instrText>
      </w:r>
      <w:r>
        <w:fldChar w:fldCharType="separate"/>
      </w:r>
      <w:r w:rsidR="00B80BC7">
        <w:t>Appendix 3</w:t>
      </w:r>
      <w:r>
        <w:fldChar w:fldCharType="end"/>
      </w:r>
      <w:r>
        <w:t>.</w:t>
      </w:r>
    </w:p>
    <w:p w:rsidR="006A0A89" w:rsidRDefault="006A0A89" w:rsidP="006A0A89"/>
    <w:p w:rsidR="006A0A89" w:rsidRDefault="006A0A89" w:rsidP="006A0A89"/>
    <w:p w:rsidR="006A0A89" w:rsidRDefault="006A0A89" w:rsidP="006A0A89">
      <w:pPr>
        <w:pStyle w:val="FigureName0"/>
      </w:pPr>
      <w:bookmarkStart w:id="95" w:name="_Ref460318467"/>
      <w:bookmarkStart w:id="96" w:name="_Toc460572268"/>
      <w:r w:rsidRPr="00E33D9E">
        <w:lastRenderedPageBreak/>
        <w:t xml:space="preserve">Figure </w:t>
      </w:r>
      <w:r w:rsidRPr="00E33D9E">
        <w:fldChar w:fldCharType="begin"/>
      </w:r>
      <w:r w:rsidRPr="00E33D9E">
        <w:instrText xml:space="preserve"> STYLEREF 1 \s </w:instrText>
      </w:r>
      <w:r w:rsidRPr="00E33D9E">
        <w:fldChar w:fldCharType="separate"/>
      </w:r>
      <w:r w:rsidR="00B80BC7">
        <w:rPr>
          <w:noProof/>
        </w:rPr>
        <w:t>3</w:t>
      </w:r>
      <w:r w:rsidRPr="00E33D9E">
        <w:fldChar w:fldCharType="end"/>
      </w:r>
      <w:r w:rsidRPr="00E33D9E">
        <w:t>.</w:t>
      </w:r>
      <w:r w:rsidRPr="00E33D9E">
        <w:fldChar w:fldCharType="begin"/>
      </w:r>
      <w:r w:rsidRPr="00E33D9E">
        <w:instrText xml:space="preserve"> SEQ Figure \* ARABIC \s 1 </w:instrText>
      </w:r>
      <w:r w:rsidRPr="00E33D9E">
        <w:fldChar w:fldCharType="separate"/>
      </w:r>
      <w:r w:rsidR="00B80BC7">
        <w:rPr>
          <w:noProof/>
        </w:rPr>
        <w:t>2</w:t>
      </w:r>
      <w:r w:rsidRPr="00E33D9E">
        <w:fldChar w:fldCharType="end"/>
      </w:r>
      <w:bookmarkEnd w:id="95"/>
      <w:r>
        <w:tab/>
        <w:t>Residential water usage charges by utility, 2016</w:t>
      </w:r>
      <w:r>
        <w:sym w:font="Symbol" w:char="F02D"/>
      </w:r>
      <w:r>
        <w:t>17</w:t>
      </w:r>
      <w:bookmarkEnd w:id="96"/>
    </w:p>
    <w:p w:rsidR="006A0A89" w:rsidRDefault="006A0A89" w:rsidP="006A0A89">
      <w:pPr>
        <w:pStyle w:val="TableNotesLast0"/>
        <w:keepNext/>
      </w:pPr>
      <w:r>
        <w:rPr>
          <w:noProof/>
          <w:lang w:val="en-AU" w:eastAsia="en-AU"/>
        </w:rPr>
        <w:drawing>
          <wp:inline distT="0" distB="0" distL="0" distR="0" wp14:anchorId="3ED8682B" wp14:editId="0F212239">
            <wp:extent cx="4896485" cy="2468245"/>
            <wp:effectExtent l="0" t="0" r="18415" b="825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6A0A89" w:rsidRDefault="006A0A89" w:rsidP="006A0A89">
      <w:pPr>
        <w:pStyle w:val="TableNotesLast0"/>
        <w:keepNext/>
      </w:pPr>
      <w:r>
        <w:t>Source:</w:t>
      </w:r>
      <w:r>
        <w:tab/>
      </w:r>
      <w:r>
        <w:fldChar w:fldCharType="begin"/>
      </w:r>
      <w:r>
        <w:instrText xml:space="preserve"> REF _Ref459984914 \r \h </w:instrText>
      </w:r>
      <w:r>
        <w:fldChar w:fldCharType="separate"/>
      </w:r>
      <w:r w:rsidR="00B80BC7">
        <w:t>Appendix 3</w:t>
      </w:r>
      <w:r>
        <w:fldChar w:fldCharType="end"/>
      </w:r>
      <w:r>
        <w:t>.</w:t>
      </w:r>
    </w:p>
    <w:p w:rsidR="003E2601" w:rsidRDefault="00C61FDF" w:rsidP="00F22E2F">
      <w:pPr>
        <w:pStyle w:val="Heading3"/>
      </w:pPr>
      <w:r>
        <w:t>Economic e</w:t>
      </w:r>
      <w:r w:rsidR="005B228C">
        <w:t>fficiency</w:t>
      </w:r>
    </w:p>
    <w:p w:rsidR="00273B4B" w:rsidRDefault="0012112F" w:rsidP="00813827">
      <w:r>
        <w:t>Economic theory suggests that marginal cost pricing</w:t>
      </w:r>
      <w:r>
        <w:sym w:font="Symbol" w:char="F02D"/>
      </w:r>
      <w:r>
        <w:t>that is setting price with reference to the marginal cost of providing an additional unit of the service in question</w:t>
      </w:r>
      <w:r>
        <w:sym w:font="Symbol" w:char="F02D"/>
      </w:r>
      <w:r>
        <w:t>is the key to ensuring that cost-reflective price signals are provided to customers to enable them to make efficient consumption decisions.</w:t>
      </w:r>
      <w:r>
        <w:rPr>
          <w:rStyle w:val="FootnoteReference"/>
        </w:rPr>
        <w:footnoteReference w:id="35"/>
      </w:r>
      <w:r w:rsidR="000F79D6">
        <w:t xml:space="preserve"> </w:t>
      </w:r>
      <w:r w:rsidR="006F5F7D">
        <w:t>First in the issues paper, and then in more detail in the technical paper on marginal cost pricing, the Commission demonstrated the link between pricing at marginal cost</w:t>
      </w:r>
      <w:r w:rsidR="00273B4B">
        <w:t xml:space="preserve"> </w:t>
      </w:r>
      <w:r w:rsidR="006F5F7D">
        <w:t>and efficiency.</w:t>
      </w:r>
      <w:r w:rsidR="00273B4B">
        <w:t xml:space="preserve"> </w:t>
      </w:r>
    </w:p>
    <w:p w:rsidR="00631572" w:rsidRDefault="00631572" w:rsidP="00813827">
      <w:r>
        <w:t xml:space="preserve">The </w:t>
      </w:r>
      <w:r w:rsidR="00273B4B">
        <w:t xml:space="preserve">marginal cost pricing paper also </w:t>
      </w:r>
      <w:r>
        <w:t>provided current estimates of the marginal cost of providing regulated water services in the ACT</w:t>
      </w:r>
      <w:r w:rsidR="00C20DCC">
        <w:t>, using a range of measurement methods</w:t>
      </w:r>
      <w:r>
        <w:t>.</w:t>
      </w:r>
      <w:r w:rsidR="00D06506">
        <w:rPr>
          <w:rStyle w:val="FootnoteReference"/>
        </w:rPr>
        <w:footnoteReference w:id="36"/>
      </w:r>
      <w:r>
        <w:t xml:space="preserve"> </w:t>
      </w:r>
      <w:r w:rsidR="00813827">
        <w:t xml:space="preserve">A summary of the short- and long-run marginal cost estimates </w:t>
      </w:r>
      <w:r>
        <w:t>is</w:t>
      </w:r>
      <w:r w:rsidR="00813827">
        <w:t xml:space="preserve"> shown in </w:t>
      </w:r>
      <w:r w:rsidR="00813827">
        <w:fldChar w:fldCharType="begin"/>
      </w:r>
      <w:r w:rsidR="00813827">
        <w:instrText xml:space="preserve"> REF _Ref448912231 \h </w:instrText>
      </w:r>
      <w:r w:rsidR="00813827">
        <w:fldChar w:fldCharType="separate"/>
      </w:r>
      <w:r w:rsidR="00B80BC7" w:rsidRPr="00E33D9E">
        <w:t xml:space="preserve">Figure </w:t>
      </w:r>
      <w:r w:rsidR="00B80BC7">
        <w:rPr>
          <w:noProof/>
        </w:rPr>
        <w:t>3</w:t>
      </w:r>
      <w:r w:rsidR="00B80BC7" w:rsidRPr="00E33D9E">
        <w:t>.</w:t>
      </w:r>
      <w:r w:rsidR="00B80BC7">
        <w:rPr>
          <w:noProof/>
        </w:rPr>
        <w:t>3</w:t>
      </w:r>
      <w:r w:rsidR="00813827">
        <w:fldChar w:fldCharType="end"/>
      </w:r>
      <w:r w:rsidR="00813827">
        <w:t>.</w:t>
      </w:r>
    </w:p>
    <w:p w:rsidR="00813827" w:rsidRDefault="00813827" w:rsidP="00813827">
      <w:pPr>
        <w:pStyle w:val="FigureName0"/>
        <w:rPr>
          <w:lang w:val="en-AU"/>
        </w:rPr>
      </w:pPr>
      <w:bookmarkStart w:id="97" w:name="_Ref448912231"/>
      <w:bookmarkStart w:id="98" w:name="_Toc453920915"/>
      <w:bookmarkStart w:id="99" w:name="_Toc460572269"/>
      <w:r w:rsidRPr="00E33D9E">
        <w:lastRenderedPageBreak/>
        <w:t xml:space="preserve">Figure </w:t>
      </w:r>
      <w:r w:rsidRPr="00E33D9E">
        <w:fldChar w:fldCharType="begin"/>
      </w:r>
      <w:r w:rsidRPr="00E33D9E">
        <w:instrText xml:space="preserve"> STYLEREF 1 \s </w:instrText>
      </w:r>
      <w:r w:rsidRPr="00E33D9E">
        <w:fldChar w:fldCharType="separate"/>
      </w:r>
      <w:r w:rsidR="00B80BC7">
        <w:rPr>
          <w:noProof/>
        </w:rPr>
        <w:t>3</w:t>
      </w:r>
      <w:r w:rsidRPr="00E33D9E">
        <w:fldChar w:fldCharType="end"/>
      </w:r>
      <w:r w:rsidRPr="00E33D9E">
        <w:t>.</w:t>
      </w:r>
      <w:r w:rsidRPr="00E33D9E">
        <w:fldChar w:fldCharType="begin"/>
      </w:r>
      <w:r w:rsidRPr="00E33D9E">
        <w:instrText xml:space="preserve"> SEQ Figure \* ARABIC \s 1 </w:instrText>
      </w:r>
      <w:r w:rsidRPr="00E33D9E">
        <w:fldChar w:fldCharType="separate"/>
      </w:r>
      <w:r w:rsidR="00B80BC7">
        <w:rPr>
          <w:noProof/>
        </w:rPr>
        <w:t>3</w:t>
      </w:r>
      <w:r w:rsidRPr="00E33D9E">
        <w:fldChar w:fldCharType="end"/>
      </w:r>
      <w:bookmarkEnd w:id="97"/>
      <w:r>
        <w:tab/>
        <w:t>Marginal cost estimate for water, summary</w:t>
      </w:r>
      <w:bookmarkEnd w:id="98"/>
      <w:bookmarkEnd w:id="99"/>
    </w:p>
    <w:p w:rsidR="00813827" w:rsidRPr="00C63BD3" w:rsidRDefault="00A96059" w:rsidP="00813827">
      <w:pPr>
        <w:rPr>
          <w:b/>
          <w:lang w:val="en-AU"/>
        </w:rPr>
      </w:pPr>
      <w:r>
        <w:rPr>
          <w:noProof/>
          <w:lang w:val="en-AU" w:eastAsia="en-AU"/>
        </w:rPr>
        <w:drawing>
          <wp:inline distT="0" distB="0" distL="0" distR="0" wp14:anchorId="052AAE11" wp14:editId="51646EFB">
            <wp:extent cx="4896485" cy="2705735"/>
            <wp:effectExtent l="0" t="0" r="18415" b="1841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813827" w:rsidRDefault="00813827" w:rsidP="00813827">
      <w:pPr>
        <w:pStyle w:val="TableNotesLast0"/>
      </w:pPr>
      <w:r>
        <w:t>Source:</w:t>
      </w:r>
      <w:r>
        <w:tab/>
      </w:r>
      <w:r w:rsidR="003C5B45">
        <w:fldChar w:fldCharType="begin"/>
      </w:r>
      <w:r w:rsidR="003C5B45">
        <w:instrText xml:space="preserve"> ADDIN EN.CITE &lt;EndNote&gt;&lt;Cite&gt;&lt;Author&gt;ICRC&lt;/Author&gt;&lt;Year&gt;2016&lt;/Year&gt;&lt;RecNum&gt;727&lt;/RecNum&gt;&lt;DisplayText&gt;ICRC (2016b)&lt;/DisplayText&gt;&lt;record&gt;&lt;rec-number&gt;727&lt;/rec-number&gt;&lt;foreign-keys&gt;&lt;key app="EN" db-id="5xwt9zxa6r5fesevwr5xzp97r95ev9wx9zpw" timestamp="1465197388"&gt;727&lt;/key&gt;&lt;/foreign-keys&gt;&lt;ref-type name="AAA ICRC Water References"&gt;40&lt;/ref-type&gt;&lt;contributors&gt;&lt;authors&gt;&lt;author&gt;ICRC,&lt;/author&gt;&lt;/authors&gt;&lt;/contributors&gt;&lt;titles&gt;&lt;title&gt;Technical paper 2: Marginal cost pricing in the ACT&lt;/title&gt;&lt;/titles&gt;&lt;volume&gt;Report 4 of 2016&lt;/volume&gt;&lt;dates&gt;&lt;year&gt;2016&lt;/year&gt;&lt;pub-dates&gt;&lt;date&gt;June 2016&lt;/date&gt;&lt;/pub-dates&gt;&lt;/dates&gt;&lt;pub-location&gt;Canberra&lt;/pub-location&gt;&lt;publisher&gt;Independent Competition and Regulatory Commission&lt;/publisher&gt;&lt;urls&gt;&lt;/urls&gt;&lt;/record&gt;&lt;/Cite&gt;&lt;/EndNote&gt;</w:instrText>
      </w:r>
      <w:r w:rsidR="003C5B45">
        <w:fldChar w:fldCharType="separate"/>
      </w:r>
      <w:hyperlink w:anchor="_ENREF_25" w:tooltip="ICRC, 2016 #727" w:history="1">
        <w:r w:rsidR="00A2488A">
          <w:rPr>
            <w:noProof/>
          </w:rPr>
          <w:t>ICRC (2016b</w:t>
        </w:r>
      </w:hyperlink>
      <w:r w:rsidR="003C5B45">
        <w:rPr>
          <w:noProof/>
        </w:rPr>
        <w:t>)</w:t>
      </w:r>
      <w:r w:rsidR="003C5B45">
        <w:fldChar w:fldCharType="end"/>
      </w:r>
      <w:r w:rsidR="003C5B45">
        <w:t>: 60.</w:t>
      </w:r>
    </w:p>
    <w:p w:rsidR="00631572" w:rsidRDefault="00631572" w:rsidP="00631572">
      <w:r>
        <w:t xml:space="preserve">For the long-run methods, estimates range from a low of $0.72 per kL for </w:t>
      </w:r>
      <w:r w:rsidR="00C20DCC">
        <w:t xml:space="preserve">the </w:t>
      </w:r>
      <w:r w:rsidR="00D06506">
        <w:t>TMC</w:t>
      </w:r>
      <w:r w:rsidR="00C20DCC">
        <w:t xml:space="preserve"> method, </w:t>
      </w:r>
      <w:r>
        <w:t xml:space="preserve">the same as the short-run marginal cost estimate, to a high of $1.74 using the </w:t>
      </w:r>
      <w:r w:rsidR="00D06506">
        <w:t xml:space="preserve">MIC </w:t>
      </w:r>
      <w:r>
        <w:t xml:space="preserve">method. The two most common long-run measurement methods, </w:t>
      </w:r>
      <w:r w:rsidR="00D06506">
        <w:t xml:space="preserve">AIC and MIC, </w:t>
      </w:r>
      <w:r>
        <w:t>return estimates of similar magnitude.</w:t>
      </w:r>
    </w:p>
    <w:p w:rsidR="008D70AD" w:rsidRDefault="00813827" w:rsidP="00813827">
      <w:r>
        <w:t xml:space="preserve">Recall that Icon Water’s current two tier </w:t>
      </w:r>
      <w:r w:rsidR="00535E01">
        <w:t>usage</w:t>
      </w:r>
      <w:r>
        <w:t xml:space="preserve"> prices for water are $2.6</w:t>
      </w:r>
      <w:r w:rsidR="00C20DCC">
        <w:t>1</w:t>
      </w:r>
      <w:r>
        <w:t> per kL for the first 0.548 kL per day and $5.2</w:t>
      </w:r>
      <w:r w:rsidR="00C20DCC">
        <w:t>4</w:t>
      </w:r>
      <w:r>
        <w:t xml:space="preserve"> per kL thereafter. What is clear is that, irrespective of which measure is used, all the marginal cost estimates are well below even the first tier price. This conclusion holds in the face of all the sensitivity tests run on the various measures.</w:t>
      </w:r>
    </w:p>
    <w:p w:rsidR="007519AA" w:rsidRDefault="00BF28CF" w:rsidP="00813827">
      <w:r>
        <w:t>What this implies is that the current tariff structure is not providing cost-reflective price signals to water customers about the efficient use of the service infrastructure and water resource.</w:t>
      </w:r>
      <w:r w:rsidR="00EC0944">
        <w:t xml:space="preserve"> This means that the current tariff structure is inconsistent with the first pricing principle and is likely to result in welfare losses, both directly in the case of consumers that have been induced to use less water than they would have had water been priced at marginal cost, and indirectly through uneconomic bypass.</w:t>
      </w:r>
    </w:p>
    <w:p w:rsidR="001B5D0F" w:rsidRDefault="002450A5" w:rsidP="00813827">
      <w:r>
        <w:t xml:space="preserve">The second principle </w:t>
      </w:r>
      <w:r w:rsidR="003773C9">
        <w:t xml:space="preserve">is </w:t>
      </w:r>
      <w:r>
        <w:t>not relevant as no change in structure is required</w:t>
      </w:r>
      <w:r w:rsidR="003773C9">
        <w:t>. The current structure provides for tariff differentiation, subject to principle 3, although no differentiation is applied at present.</w:t>
      </w:r>
    </w:p>
    <w:p w:rsidR="00C61FDF" w:rsidRDefault="00C61FDF" w:rsidP="00F22E2F">
      <w:pPr>
        <w:pStyle w:val="Heading3"/>
      </w:pPr>
      <w:r>
        <w:t>Financial viability</w:t>
      </w:r>
    </w:p>
    <w:p w:rsidR="00AD168F" w:rsidRDefault="00E94DFA" w:rsidP="00AD168F">
      <w:r>
        <w:t xml:space="preserve">The current tariff structure is consistent with pricing principle </w:t>
      </w:r>
      <w:r w:rsidR="0002746A">
        <w:t>4</w:t>
      </w:r>
      <w:r>
        <w:t>, in that the level of prices can be set to fully recover the prudent and efficient costs of providing water services.</w:t>
      </w:r>
    </w:p>
    <w:p w:rsidR="00AD168F" w:rsidRDefault="00AD168F" w:rsidP="00AD168F">
      <w:r>
        <w:lastRenderedPageBreak/>
        <w:t xml:space="preserve">The </w:t>
      </w:r>
      <w:r w:rsidR="00136646">
        <w:t xml:space="preserve">current </w:t>
      </w:r>
      <w:r>
        <w:t>tariff structure is characterised by a relatively low supply charge and high reliance on usage charges.</w:t>
      </w:r>
      <w:r w:rsidR="00136646">
        <w:t xml:space="preserve"> </w:t>
      </w:r>
      <w:r w:rsidR="00B14BFA">
        <w:t>Supply</w:t>
      </w:r>
      <w:r w:rsidR="00136646">
        <w:t xml:space="preserve"> charges comprise only 16 per cent of the current water bill for a customer using 200 kL per year, with usage charges accounting for the remaining 84 per cent.</w:t>
      </w:r>
      <w:r>
        <w:t xml:space="preserve"> Icon Water notes that:</w:t>
      </w:r>
    </w:p>
    <w:p w:rsidR="00AD168F" w:rsidRDefault="00AD168F" w:rsidP="00AD168F">
      <w:pPr>
        <w:pStyle w:val="Quote"/>
      </w:pPr>
      <w:r w:rsidRPr="009969C5">
        <w:t>Over the past 13 years, there has been a significant shift away from fixed charges towards usage charges. The top tier usage price has increased by roughly 400 per cent over that period, while the fixed supply charge has decreased</w:t>
      </w:r>
      <w:r>
        <w:t>.</w:t>
      </w:r>
      <w:r>
        <w:rPr>
          <w:rStyle w:val="FootnoteReference"/>
        </w:rPr>
        <w:footnoteReference w:id="37"/>
      </w:r>
    </w:p>
    <w:p w:rsidR="00C61FDF" w:rsidRDefault="00AD168F" w:rsidP="00C61946">
      <w:r>
        <w:t>Due to this high reliance</w:t>
      </w:r>
      <w:r w:rsidR="00CD73AC">
        <w:t xml:space="preserve"> on</w:t>
      </w:r>
      <w:r>
        <w:t xml:space="preserve"> usage charges, </w:t>
      </w:r>
      <w:r w:rsidR="00FB4647">
        <w:t xml:space="preserve">Icon Water is exposed to </w:t>
      </w:r>
      <w:r w:rsidR="00017813">
        <w:t>a</w:t>
      </w:r>
      <w:r w:rsidR="00FB4647">
        <w:t xml:space="preserve"> higher level of revenue risk </w:t>
      </w:r>
      <w:r w:rsidR="00644041">
        <w:t>(</w:t>
      </w:r>
      <w:r w:rsidR="00FB4647">
        <w:t>associated with the need to forecast water sales in advance of the regulatory period</w:t>
      </w:r>
      <w:r w:rsidR="00644041">
        <w:t>)</w:t>
      </w:r>
      <w:r w:rsidR="00FB4647">
        <w:t xml:space="preserve"> than would be the case with a structure giving more weight to the annual supply charge. </w:t>
      </w:r>
      <w:r w:rsidR="007A6006">
        <w:t xml:space="preserve">To ensure consistency with the </w:t>
      </w:r>
      <w:r w:rsidR="0002746A">
        <w:t xml:space="preserve">fifth </w:t>
      </w:r>
      <w:r w:rsidR="007A6006">
        <w:t>pricing principle, which entails facilitating revenue recovery over a regulatory period, th</w:t>
      </w:r>
      <w:r w:rsidR="00762084">
        <w:t xml:space="preserve">e current structure </w:t>
      </w:r>
      <w:r w:rsidR="007A6006">
        <w:t xml:space="preserve">may require the use of other regulatory mechanisms such as overs and unders accounts. </w:t>
      </w:r>
      <w:r w:rsidR="00FB4647">
        <w:t xml:space="preserve">  </w:t>
      </w:r>
      <w:r>
        <w:t xml:space="preserve"> </w:t>
      </w:r>
      <w:r w:rsidR="00E94DFA">
        <w:t xml:space="preserve">  </w:t>
      </w:r>
    </w:p>
    <w:p w:rsidR="00C61FDF" w:rsidRDefault="00C61FDF" w:rsidP="00F22E2F">
      <w:pPr>
        <w:pStyle w:val="Heading3"/>
      </w:pPr>
      <w:r>
        <w:t>Community impact</w:t>
      </w:r>
    </w:p>
    <w:p w:rsidR="00101A96" w:rsidRDefault="00101A96" w:rsidP="00C61946">
      <w:r>
        <w:t xml:space="preserve">The current structure is consistent with three of the four community impact principles. Retaining the current structure means no customer impacts and therefore no transition required under principle </w:t>
      </w:r>
      <w:r w:rsidR="0002746A">
        <w:t>7</w:t>
      </w:r>
      <w:r>
        <w:t xml:space="preserve">. It has been in place for a long time and should be well understood by customers in line with principle </w:t>
      </w:r>
      <w:r w:rsidR="0002746A">
        <w:t>8</w:t>
      </w:r>
      <w:r>
        <w:t xml:space="preserve">. It was also </w:t>
      </w:r>
      <w:r w:rsidR="00FD5B9C">
        <w:t xml:space="preserve">introduced </w:t>
      </w:r>
      <w:r>
        <w:t xml:space="preserve">using a transparent methodology and subject to public scrutiny, as required by principle </w:t>
      </w:r>
      <w:r w:rsidR="0002746A">
        <w:t>9</w:t>
      </w:r>
      <w:r>
        <w:t>.</w:t>
      </w:r>
    </w:p>
    <w:p w:rsidR="00C61FDF" w:rsidRDefault="00101A96" w:rsidP="00C61946">
      <w:r>
        <w:t xml:space="preserve">The current structure is not consistent with principle </w:t>
      </w:r>
      <w:r w:rsidR="0002746A">
        <w:t>6</w:t>
      </w:r>
      <w:r>
        <w:t xml:space="preserve"> on the basis that it is not promoting the economically efficient use of Icon Water’s water infrastructure over any period of time.</w:t>
      </w:r>
    </w:p>
    <w:p w:rsidR="00C61FDF" w:rsidRDefault="00C61FDF" w:rsidP="00F22E2F">
      <w:pPr>
        <w:pStyle w:val="Heading3"/>
      </w:pPr>
      <w:r>
        <w:t>Summary assessment</w:t>
      </w:r>
    </w:p>
    <w:p w:rsidR="00C61FDF" w:rsidRDefault="009C6A19" w:rsidP="00C61946">
      <w:r>
        <w:fldChar w:fldCharType="begin"/>
      </w:r>
      <w:r>
        <w:instrText xml:space="preserve"> REF _Ref456796468 \h </w:instrText>
      </w:r>
      <w:r>
        <w:fldChar w:fldCharType="separate"/>
      </w:r>
      <w:r w:rsidR="00B80BC7" w:rsidRPr="003C3AEA">
        <w:t>Table</w:t>
      </w:r>
      <w:r w:rsidR="00B80BC7">
        <w:t xml:space="preserve"> </w:t>
      </w:r>
      <w:r w:rsidR="00B80BC7">
        <w:rPr>
          <w:noProof/>
        </w:rPr>
        <w:t>3</w:t>
      </w:r>
      <w:r w:rsidR="00B80BC7">
        <w:t>.</w:t>
      </w:r>
      <w:r w:rsidR="00B80BC7">
        <w:rPr>
          <w:noProof/>
        </w:rPr>
        <w:t>1</w:t>
      </w:r>
      <w:r>
        <w:fldChar w:fldCharType="end"/>
      </w:r>
      <w:r>
        <w:t xml:space="preserve"> shows the summary assessment of the current water tariff structure against the draft pricing principles. </w:t>
      </w:r>
      <w:r w:rsidR="00092C0D">
        <w:t xml:space="preserve">The inconsistency of the current structure </w:t>
      </w:r>
      <w:r>
        <w:t xml:space="preserve">with the first pricing principle, which requires a tariff that sends cost-reflective price signals, </w:t>
      </w:r>
      <w:r w:rsidR="00B01555">
        <w:t xml:space="preserve">limits its ability to </w:t>
      </w:r>
      <w:r>
        <w:t>achiev</w:t>
      </w:r>
      <w:r w:rsidR="00B01555">
        <w:t>e</w:t>
      </w:r>
      <w:r>
        <w:t xml:space="preserve"> the overarching economic efficiency objective.</w:t>
      </w:r>
    </w:p>
    <w:p w:rsidR="008D70AD" w:rsidRDefault="008D70AD" w:rsidP="008D70AD">
      <w:pPr>
        <w:pStyle w:val="FigureName"/>
        <w:keepNext/>
      </w:pPr>
      <w:bookmarkStart w:id="100" w:name="_Ref456796468"/>
      <w:bookmarkStart w:id="101" w:name="_Toc460572248"/>
      <w:r w:rsidRPr="003C3AEA">
        <w:lastRenderedPageBreak/>
        <w:t>Table</w:t>
      </w:r>
      <w:r>
        <w:t xml:space="preserve"> </w:t>
      </w:r>
      <w:r>
        <w:fldChar w:fldCharType="begin"/>
      </w:r>
      <w:r>
        <w:instrText xml:space="preserve"> STYLEREF 1 \s </w:instrText>
      </w:r>
      <w:r>
        <w:fldChar w:fldCharType="separate"/>
      </w:r>
      <w:r w:rsidR="00B80BC7">
        <w:rPr>
          <w:noProof/>
        </w:rPr>
        <w:t>3</w:t>
      </w:r>
      <w:r>
        <w:fldChar w:fldCharType="end"/>
      </w:r>
      <w:r>
        <w:t>.</w:t>
      </w:r>
      <w:r>
        <w:fldChar w:fldCharType="begin"/>
      </w:r>
      <w:r>
        <w:instrText xml:space="preserve"> SEQ Table \* ARABIC \s 1 </w:instrText>
      </w:r>
      <w:r>
        <w:fldChar w:fldCharType="separate"/>
      </w:r>
      <w:r w:rsidR="00B80BC7">
        <w:rPr>
          <w:noProof/>
        </w:rPr>
        <w:t>1</w:t>
      </w:r>
      <w:r>
        <w:fldChar w:fldCharType="end"/>
      </w:r>
      <w:bookmarkEnd w:id="100"/>
      <w:r>
        <w:tab/>
      </w:r>
      <w:r w:rsidR="003D47A7">
        <w:t>Summary a</w:t>
      </w:r>
      <w:r>
        <w:t xml:space="preserve">ssessment of </w:t>
      </w:r>
      <w:r w:rsidR="000040B5">
        <w:t xml:space="preserve">the </w:t>
      </w:r>
      <w:r>
        <w:t>current water tariff structure</w:t>
      </w:r>
      <w:bookmarkEnd w:id="101"/>
    </w:p>
    <w:tbl>
      <w:tblPr>
        <w:tblW w:w="5366" w:type="pct"/>
        <w:tblBorders>
          <w:top w:val="single" w:sz="12" w:space="0" w:color="333399"/>
          <w:bottom w:val="single" w:sz="12" w:space="0" w:color="333399"/>
        </w:tblBorders>
        <w:tblCellMar>
          <w:left w:w="115" w:type="dxa"/>
          <w:right w:w="115" w:type="dxa"/>
        </w:tblCellMar>
        <w:tblLook w:val="0000" w:firstRow="0" w:lastRow="0" w:firstColumn="0" w:lastColumn="0" w:noHBand="0" w:noVBand="0"/>
      </w:tblPr>
      <w:tblGrid>
        <w:gridCol w:w="1546"/>
        <w:gridCol w:w="2036"/>
        <w:gridCol w:w="1544"/>
        <w:gridCol w:w="3149"/>
      </w:tblGrid>
      <w:tr w:rsidR="00FE41B1" w:rsidRPr="00144F8C" w:rsidTr="00FE41B1">
        <w:trPr>
          <w:cantSplit/>
        </w:trPr>
        <w:tc>
          <w:tcPr>
            <w:tcW w:w="934" w:type="pct"/>
            <w:tcBorders>
              <w:top w:val="single" w:sz="12" w:space="0" w:color="1F497D" w:themeColor="text2"/>
              <w:left w:val="nil"/>
              <w:bottom w:val="single" w:sz="8" w:space="0" w:color="1F497D" w:themeColor="text2"/>
              <w:right w:val="nil"/>
            </w:tcBorders>
            <w:shd w:val="clear" w:color="auto" w:fill="DBE5F1" w:themeFill="accent1" w:themeFillTint="33"/>
          </w:tcPr>
          <w:p w:rsidR="00FE41B1" w:rsidRDefault="00FE41B1" w:rsidP="00FE41B1">
            <w:pPr>
              <w:pStyle w:val="TableHeadingLeft"/>
              <w:keepNext/>
              <w:jc w:val="center"/>
            </w:pPr>
            <w:r>
              <w:t>Stream</w:t>
            </w:r>
          </w:p>
        </w:tc>
        <w:tc>
          <w:tcPr>
            <w:tcW w:w="1230" w:type="pct"/>
            <w:tcBorders>
              <w:top w:val="single" w:sz="12" w:space="0" w:color="1F497D" w:themeColor="text2"/>
              <w:left w:val="nil"/>
              <w:bottom w:val="single" w:sz="8" w:space="0" w:color="1F497D" w:themeColor="text2"/>
              <w:right w:val="nil"/>
            </w:tcBorders>
            <w:shd w:val="clear" w:color="auto" w:fill="DBE5F1" w:themeFill="accent1" w:themeFillTint="33"/>
            <w:vAlign w:val="bottom"/>
          </w:tcPr>
          <w:p w:rsidR="00FE41B1" w:rsidRPr="00347ADB" w:rsidRDefault="00FE41B1" w:rsidP="00FE41B1">
            <w:pPr>
              <w:pStyle w:val="TableHeadingLeft"/>
              <w:keepNext/>
            </w:pPr>
            <w:r>
              <w:t>Principles</w:t>
            </w:r>
          </w:p>
        </w:tc>
        <w:tc>
          <w:tcPr>
            <w:tcW w:w="933" w:type="pct"/>
            <w:tcBorders>
              <w:top w:val="single" w:sz="12" w:space="0" w:color="1F497D" w:themeColor="text2"/>
              <w:left w:val="nil"/>
              <w:bottom w:val="single" w:sz="8" w:space="0" w:color="1F497D" w:themeColor="text2"/>
              <w:right w:val="nil"/>
            </w:tcBorders>
            <w:shd w:val="clear" w:color="auto" w:fill="DBE5F1" w:themeFill="accent1" w:themeFillTint="33"/>
            <w:vAlign w:val="bottom"/>
          </w:tcPr>
          <w:p w:rsidR="00FE41B1" w:rsidRPr="00347ADB" w:rsidRDefault="00FE41B1" w:rsidP="00FE41B1">
            <w:pPr>
              <w:pStyle w:val="TableHeadingLeft"/>
              <w:keepNext/>
              <w:jc w:val="center"/>
            </w:pPr>
            <w:r>
              <w:t>Assessment</w:t>
            </w:r>
          </w:p>
        </w:tc>
        <w:tc>
          <w:tcPr>
            <w:tcW w:w="1903" w:type="pct"/>
            <w:tcBorders>
              <w:top w:val="single" w:sz="12" w:space="0" w:color="1F497D" w:themeColor="text2"/>
              <w:left w:val="nil"/>
              <w:bottom w:val="single" w:sz="8" w:space="0" w:color="1F497D" w:themeColor="text2"/>
              <w:right w:val="nil"/>
            </w:tcBorders>
            <w:shd w:val="clear" w:color="auto" w:fill="DBE5F1" w:themeFill="accent1" w:themeFillTint="33"/>
          </w:tcPr>
          <w:p w:rsidR="00FE41B1" w:rsidRDefault="00FE41B1" w:rsidP="00FE41B1">
            <w:pPr>
              <w:pStyle w:val="TableHeadingLeft"/>
              <w:keepNext/>
            </w:pPr>
            <w:r>
              <w:t>Comment</w:t>
            </w:r>
          </w:p>
        </w:tc>
      </w:tr>
      <w:tr w:rsidR="00FE41B1" w:rsidRPr="00144F8C" w:rsidTr="00D90D0B">
        <w:trPr>
          <w:cantSplit/>
        </w:trPr>
        <w:tc>
          <w:tcPr>
            <w:tcW w:w="934" w:type="pct"/>
            <w:vMerge w:val="restart"/>
            <w:tcBorders>
              <w:top w:val="nil"/>
              <w:left w:val="nil"/>
              <w:right w:val="nil"/>
            </w:tcBorders>
            <w:shd w:val="clear" w:color="auto" w:fill="DDD9C3" w:themeFill="background2" w:themeFillShade="E6"/>
          </w:tcPr>
          <w:p w:rsidR="00FE41B1" w:rsidRPr="007E0B9F" w:rsidRDefault="00FE41B1" w:rsidP="00FE41B1">
            <w:pPr>
              <w:pStyle w:val="TableHeadingLeft"/>
              <w:keepNext/>
            </w:pPr>
            <w:r w:rsidRPr="007E0B9F">
              <w:t>Economic efficiency</w:t>
            </w:r>
          </w:p>
        </w:tc>
        <w:tc>
          <w:tcPr>
            <w:tcW w:w="1230" w:type="pct"/>
            <w:tcBorders>
              <w:top w:val="nil"/>
              <w:left w:val="nil"/>
              <w:bottom w:val="nil"/>
              <w:right w:val="nil"/>
            </w:tcBorders>
            <w:shd w:val="clear" w:color="auto" w:fill="DDD9C3" w:themeFill="background2" w:themeFillShade="E6"/>
          </w:tcPr>
          <w:p w:rsidR="00FE41B1" w:rsidRPr="008D70AD" w:rsidRDefault="00FE41B1" w:rsidP="00FE41B1">
            <w:pPr>
              <w:pStyle w:val="TableHeadingLeft"/>
              <w:keepNext/>
              <w:rPr>
                <w:b w:val="0"/>
              </w:rPr>
            </w:pPr>
            <w:r w:rsidRPr="008D70AD">
              <w:rPr>
                <w:b w:val="0"/>
              </w:rPr>
              <w:t>1 Economic efficiency</w:t>
            </w:r>
          </w:p>
        </w:tc>
        <w:tc>
          <w:tcPr>
            <w:tcW w:w="933" w:type="pct"/>
            <w:tcBorders>
              <w:top w:val="nil"/>
              <w:left w:val="nil"/>
              <w:bottom w:val="nil"/>
              <w:right w:val="nil"/>
            </w:tcBorders>
            <w:shd w:val="clear" w:color="auto" w:fill="DDD9C3" w:themeFill="background2" w:themeFillShade="E6"/>
          </w:tcPr>
          <w:p w:rsidR="00FE41B1" w:rsidRPr="008D70AD" w:rsidRDefault="00FE41B1" w:rsidP="00FE41B1">
            <w:pPr>
              <w:pStyle w:val="TableHeadingLeft"/>
              <w:keepNext/>
              <w:jc w:val="center"/>
              <w:rPr>
                <w:b w:val="0"/>
              </w:rPr>
            </w:pPr>
            <w:r>
              <w:rPr>
                <w:b w:val="0"/>
              </w:rPr>
              <w:sym w:font="Wingdings" w:char="F0FB"/>
            </w:r>
          </w:p>
        </w:tc>
        <w:tc>
          <w:tcPr>
            <w:tcW w:w="1903" w:type="pct"/>
            <w:tcBorders>
              <w:top w:val="nil"/>
              <w:left w:val="nil"/>
              <w:bottom w:val="nil"/>
              <w:right w:val="nil"/>
            </w:tcBorders>
            <w:shd w:val="clear" w:color="auto" w:fill="DDD9C3" w:themeFill="background2" w:themeFillShade="E6"/>
          </w:tcPr>
          <w:p w:rsidR="00FE41B1" w:rsidRPr="008D70AD" w:rsidRDefault="00FE41B1" w:rsidP="00FE41B1">
            <w:pPr>
              <w:pStyle w:val="TableHeadingLeft"/>
              <w:keepNext/>
              <w:rPr>
                <w:b w:val="0"/>
              </w:rPr>
            </w:pPr>
            <w:r>
              <w:rPr>
                <w:b w:val="0"/>
              </w:rPr>
              <w:t>Not efficient</w:t>
            </w:r>
          </w:p>
        </w:tc>
      </w:tr>
      <w:tr w:rsidR="00FE41B1" w:rsidRPr="00144F8C" w:rsidTr="00D90D0B">
        <w:trPr>
          <w:cantSplit/>
        </w:trPr>
        <w:tc>
          <w:tcPr>
            <w:tcW w:w="934" w:type="pct"/>
            <w:vMerge/>
            <w:tcBorders>
              <w:left w:val="nil"/>
              <w:right w:val="nil"/>
            </w:tcBorders>
            <w:shd w:val="clear" w:color="auto" w:fill="DDD9C3" w:themeFill="background2" w:themeFillShade="E6"/>
          </w:tcPr>
          <w:p w:rsidR="00FE41B1" w:rsidRPr="007E0B9F" w:rsidRDefault="00FE41B1" w:rsidP="00FE41B1">
            <w:pPr>
              <w:pStyle w:val="TableHeadingLeft"/>
              <w:keepNext/>
            </w:pPr>
          </w:p>
        </w:tc>
        <w:tc>
          <w:tcPr>
            <w:tcW w:w="1230" w:type="pct"/>
            <w:tcBorders>
              <w:top w:val="nil"/>
              <w:left w:val="nil"/>
              <w:bottom w:val="nil"/>
              <w:right w:val="nil"/>
            </w:tcBorders>
            <w:shd w:val="clear" w:color="auto" w:fill="DDD9C3" w:themeFill="background2" w:themeFillShade="E6"/>
          </w:tcPr>
          <w:p w:rsidR="00FE41B1" w:rsidRDefault="00FE41B1" w:rsidP="00FE41B1">
            <w:pPr>
              <w:pStyle w:val="TableHeadingLeft"/>
              <w:keepNext/>
              <w:rPr>
                <w:b w:val="0"/>
              </w:rPr>
            </w:pPr>
            <w:r>
              <w:rPr>
                <w:b w:val="0"/>
              </w:rPr>
              <w:t>2 Cost-benefit</w:t>
            </w:r>
          </w:p>
        </w:tc>
        <w:tc>
          <w:tcPr>
            <w:tcW w:w="933" w:type="pct"/>
            <w:tcBorders>
              <w:top w:val="nil"/>
              <w:left w:val="nil"/>
              <w:bottom w:val="nil"/>
              <w:right w:val="nil"/>
            </w:tcBorders>
            <w:shd w:val="clear" w:color="auto" w:fill="DDD9C3" w:themeFill="background2" w:themeFillShade="E6"/>
          </w:tcPr>
          <w:p w:rsidR="00FE41B1" w:rsidRDefault="00FE41B1" w:rsidP="00FE41B1">
            <w:pPr>
              <w:pStyle w:val="TableHeadingLeft"/>
              <w:keepNext/>
              <w:jc w:val="center"/>
              <w:rPr>
                <w:b w:val="0"/>
              </w:rPr>
            </w:pPr>
            <w:r>
              <w:rPr>
                <w:b w:val="0"/>
              </w:rPr>
              <w:t>N/A</w:t>
            </w:r>
          </w:p>
        </w:tc>
        <w:tc>
          <w:tcPr>
            <w:tcW w:w="1903" w:type="pct"/>
            <w:tcBorders>
              <w:top w:val="nil"/>
              <w:left w:val="nil"/>
              <w:bottom w:val="nil"/>
              <w:right w:val="nil"/>
            </w:tcBorders>
            <w:shd w:val="clear" w:color="auto" w:fill="DDD9C3" w:themeFill="background2" w:themeFillShade="E6"/>
          </w:tcPr>
          <w:p w:rsidR="00FE41B1" w:rsidRDefault="00FE41B1" w:rsidP="00FE41B1">
            <w:pPr>
              <w:pStyle w:val="TableHeadingLeft"/>
              <w:keepNext/>
              <w:rPr>
                <w:b w:val="0"/>
              </w:rPr>
            </w:pPr>
            <w:r>
              <w:rPr>
                <w:b w:val="0"/>
              </w:rPr>
              <w:t>No change in tariff structure</w:t>
            </w:r>
          </w:p>
        </w:tc>
      </w:tr>
      <w:tr w:rsidR="00FE41B1" w:rsidRPr="00144F8C" w:rsidTr="00D90D0B">
        <w:trPr>
          <w:cantSplit/>
        </w:trPr>
        <w:tc>
          <w:tcPr>
            <w:tcW w:w="934" w:type="pct"/>
            <w:vMerge/>
            <w:tcBorders>
              <w:left w:val="nil"/>
              <w:bottom w:val="nil"/>
              <w:right w:val="nil"/>
            </w:tcBorders>
            <w:shd w:val="clear" w:color="auto" w:fill="DDD9C3" w:themeFill="background2" w:themeFillShade="E6"/>
          </w:tcPr>
          <w:p w:rsidR="00FE41B1" w:rsidRPr="007E0B9F" w:rsidRDefault="00FE41B1" w:rsidP="00FE41B1">
            <w:pPr>
              <w:pStyle w:val="TableHeadingLeft"/>
              <w:keepNext/>
            </w:pPr>
          </w:p>
        </w:tc>
        <w:tc>
          <w:tcPr>
            <w:tcW w:w="1230" w:type="pct"/>
            <w:tcBorders>
              <w:top w:val="nil"/>
              <w:left w:val="nil"/>
              <w:bottom w:val="nil"/>
              <w:right w:val="nil"/>
            </w:tcBorders>
            <w:shd w:val="clear" w:color="auto" w:fill="DDD9C3" w:themeFill="background2" w:themeFillShade="E6"/>
          </w:tcPr>
          <w:p w:rsidR="00FE41B1" w:rsidRPr="008D70AD" w:rsidRDefault="00FE41B1" w:rsidP="00FE41B1">
            <w:pPr>
              <w:pStyle w:val="TableHeadingLeft"/>
              <w:keepNext/>
              <w:rPr>
                <w:b w:val="0"/>
              </w:rPr>
            </w:pPr>
            <w:r>
              <w:rPr>
                <w:b w:val="0"/>
              </w:rPr>
              <w:t>3 Cross-subsidy</w:t>
            </w:r>
          </w:p>
        </w:tc>
        <w:tc>
          <w:tcPr>
            <w:tcW w:w="933" w:type="pct"/>
            <w:tcBorders>
              <w:top w:val="nil"/>
              <w:left w:val="nil"/>
              <w:bottom w:val="nil"/>
              <w:right w:val="nil"/>
            </w:tcBorders>
            <w:shd w:val="clear" w:color="auto" w:fill="DDD9C3" w:themeFill="background2" w:themeFillShade="E6"/>
          </w:tcPr>
          <w:p w:rsidR="00FE41B1" w:rsidRDefault="00ED3F0C" w:rsidP="00FE41B1">
            <w:pPr>
              <w:pStyle w:val="TableHeadingLeft"/>
              <w:keepNext/>
              <w:jc w:val="center"/>
              <w:rPr>
                <w:b w:val="0"/>
              </w:rPr>
            </w:pPr>
            <w:r>
              <w:rPr>
                <w:b w:val="0"/>
              </w:rPr>
              <w:sym w:font="Wingdings" w:char="F0FC"/>
            </w:r>
          </w:p>
        </w:tc>
        <w:tc>
          <w:tcPr>
            <w:tcW w:w="1903" w:type="pct"/>
            <w:tcBorders>
              <w:top w:val="nil"/>
              <w:left w:val="nil"/>
              <w:bottom w:val="nil"/>
              <w:right w:val="nil"/>
            </w:tcBorders>
            <w:shd w:val="clear" w:color="auto" w:fill="DDD9C3" w:themeFill="background2" w:themeFillShade="E6"/>
          </w:tcPr>
          <w:p w:rsidR="00FE41B1" w:rsidRDefault="00FE41B1" w:rsidP="00ED3F0C">
            <w:pPr>
              <w:pStyle w:val="TableHeadingLeft"/>
              <w:keepNext/>
              <w:rPr>
                <w:b w:val="0"/>
              </w:rPr>
            </w:pPr>
            <w:r>
              <w:rPr>
                <w:b w:val="0"/>
              </w:rPr>
              <w:t xml:space="preserve">No differentiation </w:t>
            </w:r>
            <w:r w:rsidR="00ED3F0C">
              <w:rPr>
                <w:b w:val="0"/>
              </w:rPr>
              <w:t>at present</w:t>
            </w:r>
          </w:p>
        </w:tc>
      </w:tr>
      <w:tr w:rsidR="00FE41B1" w:rsidRPr="00144F8C" w:rsidTr="00D90D0B">
        <w:trPr>
          <w:cantSplit/>
        </w:trPr>
        <w:tc>
          <w:tcPr>
            <w:tcW w:w="934" w:type="pct"/>
            <w:vMerge w:val="restart"/>
            <w:tcBorders>
              <w:top w:val="nil"/>
              <w:left w:val="nil"/>
              <w:right w:val="nil"/>
            </w:tcBorders>
            <w:shd w:val="clear" w:color="auto" w:fill="FDE9D9" w:themeFill="accent6" w:themeFillTint="33"/>
          </w:tcPr>
          <w:p w:rsidR="00FE41B1" w:rsidRPr="007E0B9F" w:rsidRDefault="00FE41B1" w:rsidP="00FE41B1">
            <w:pPr>
              <w:pStyle w:val="TableHeadingLeft"/>
              <w:keepNext/>
            </w:pPr>
            <w:r w:rsidRPr="007E0B9F">
              <w:t>Financial impact</w:t>
            </w:r>
          </w:p>
        </w:tc>
        <w:tc>
          <w:tcPr>
            <w:tcW w:w="1230" w:type="pct"/>
            <w:tcBorders>
              <w:top w:val="nil"/>
              <w:left w:val="nil"/>
              <w:bottom w:val="nil"/>
              <w:right w:val="nil"/>
            </w:tcBorders>
            <w:shd w:val="clear" w:color="auto" w:fill="FDE9D9" w:themeFill="accent6" w:themeFillTint="33"/>
          </w:tcPr>
          <w:p w:rsidR="00FE41B1" w:rsidRPr="008D70AD" w:rsidRDefault="00FE41B1" w:rsidP="00FE41B1">
            <w:pPr>
              <w:pStyle w:val="TableHeadingLeft"/>
              <w:keepNext/>
              <w:rPr>
                <w:b w:val="0"/>
              </w:rPr>
            </w:pPr>
            <w:r>
              <w:rPr>
                <w:b w:val="0"/>
              </w:rPr>
              <w:t>4</w:t>
            </w:r>
            <w:r w:rsidRPr="008D70AD">
              <w:rPr>
                <w:b w:val="0"/>
              </w:rPr>
              <w:t xml:space="preserve"> Full cost recovery</w:t>
            </w:r>
          </w:p>
        </w:tc>
        <w:tc>
          <w:tcPr>
            <w:tcW w:w="933" w:type="pct"/>
            <w:tcBorders>
              <w:top w:val="nil"/>
              <w:left w:val="nil"/>
              <w:bottom w:val="nil"/>
              <w:right w:val="nil"/>
            </w:tcBorders>
            <w:shd w:val="clear" w:color="auto" w:fill="FDE9D9" w:themeFill="accent6" w:themeFillTint="33"/>
          </w:tcPr>
          <w:p w:rsidR="00FE41B1" w:rsidRPr="008D70AD" w:rsidRDefault="00FE41B1" w:rsidP="00FE41B1">
            <w:pPr>
              <w:pStyle w:val="TableHeadingLeft"/>
              <w:keepNext/>
              <w:jc w:val="center"/>
              <w:rPr>
                <w:b w:val="0"/>
              </w:rPr>
            </w:pPr>
            <w:r>
              <w:rPr>
                <w:b w:val="0"/>
              </w:rPr>
              <w:sym w:font="Wingdings" w:char="F0FC"/>
            </w:r>
          </w:p>
        </w:tc>
        <w:tc>
          <w:tcPr>
            <w:tcW w:w="1903" w:type="pct"/>
            <w:tcBorders>
              <w:top w:val="nil"/>
              <w:left w:val="nil"/>
              <w:bottom w:val="nil"/>
              <w:right w:val="nil"/>
            </w:tcBorders>
            <w:shd w:val="clear" w:color="auto" w:fill="FDE9D9" w:themeFill="accent6" w:themeFillTint="33"/>
          </w:tcPr>
          <w:p w:rsidR="00FE41B1" w:rsidRPr="008D70AD" w:rsidRDefault="00FE41B1" w:rsidP="00FE41B1">
            <w:pPr>
              <w:pStyle w:val="TableHeadingLeft"/>
              <w:keepNext/>
              <w:rPr>
                <w:b w:val="0"/>
              </w:rPr>
            </w:pPr>
            <w:r>
              <w:rPr>
                <w:b w:val="0"/>
              </w:rPr>
              <w:t>Price levels can be set to recover revenue requirement</w:t>
            </w:r>
          </w:p>
        </w:tc>
      </w:tr>
      <w:tr w:rsidR="00FE41B1" w:rsidRPr="00144F8C" w:rsidTr="00D90D0B">
        <w:trPr>
          <w:cantSplit/>
        </w:trPr>
        <w:tc>
          <w:tcPr>
            <w:tcW w:w="934" w:type="pct"/>
            <w:vMerge/>
            <w:tcBorders>
              <w:left w:val="nil"/>
              <w:bottom w:val="nil"/>
              <w:right w:val="nil"/>
            </w:tcBorders>
            <w:shd w:val="clear" w:color="auto" w:fill="FDE9D9" w:themeFill="accent6" w:themeFillTint="33"/>
          </w:tcPr>
          <w:p w:rsidR="00FE41B1" w:rsidRPr="007E0B9F" w:rsidRDefault="00FE41B1" w:rsidP="00FE41B1">
            <w:pPr>
              <w:pStyle w:val="TableTextLeft"/>
              <w:keepNext/>
              <w:rPr>
                <w:b/>
              </w:rPr>
            </w:pPr>
          </w:p>
        </w:tc>
        <w:tc>
          <w:tcPr>
            <w:tcW w:w="1230" w:type="pct"/>
            <w:tcBorders>
              <w:top w:val="nil"/>
              <w:left w:val="nil"/>
              <w:bottom w:val="nil"/>
              <w:right w:val="nil"/>
            </w:tcBorders>
            <w:shd w:val="clear" w:color="auto" w:fill="FDE9D9" w:themeFill="accent6" w:themeFillTint="33"/>
          </w:tcPr>
          <w:p w:rsidR="00FE41B1" w:rsidRPr="008D70AD" w:rsidRDefault="00FE41B1" w:rsidP="00FE41B1">
            <w:pPr>
              <w:pStyle w:val="TableTextLeft"/>
              <w:keepNext/>
            </w:pPr>
            <w:r>
              <w:t>5</w:t>
            </w:r>
            <w:r w:rsidRPr="008D70AD">
              <w:t xml:space="preserve"> Revenue sustainability</w:t>
            </w:r>
          </w:p>
        </w:tc>
        <w:tc>
          <w:tcPr>
            <w:tcW w:w="933" w:type="pct"/>
            <w:tcBorders>
              <w:top w:val="nil"/>
              <w:left w:val="nil"/>
              <w:bottom w:val="nil"/>
              <w:right w:val="nil"/>
            </w:tcBorders>
            <w:shd w:val="clear" w:color="auto" w:fill="FDE9D9" w:themeFill="accent6" w:themeFillTint="33"/>
          </w:tcPr>
          <w:p w:rsidR="00FE41B1" w:rsidRPr="008D70AD" w:rsidRDefault="00FE41B1" w:rsidP="00FE41B1">
            <w:pPr>
              <w:pStyle w:val="TableTextLeft"/>
              <w:keepNext/>
              <w:jc w:val="center"/>
            </w:pPr>
            <w:r>
              <w:rPr>
                <w:b/>
              </w:rPr>
              <w:sym w:font="Wingdings" w:char="F0FC"/>
            </w:r>
          </w:p>
        </w:tc>
        <w:tc>
          <w:tcPr>
            <w:tcW w:w="1903" w:type="pct"/>
            <w:tcBorders>
              <w:top w:val="nil"/>
              <w:left w:val="nil"/>
              <w:bottom w:val="nil"/>
              <w:right w:val="nil"/>
            </w:tcBorders>
            <w:shd w:val="clear" w:color="auto" w:fill="FDE9D9" w:themeFill="accent6" w:themeFillTint="33"/>
          </w:tcPr>
          <w:p w:rsidR="00FE41B1" w:rsidRPr="008D70AD" w:rsidRDefault="00FE41B1" w:rsidP="00FE41B1">
            <w:pPr>
              <w:pStyle w:val="TableTextLeft"/>
              <w:keepNext/>
            </w:pPr>
            <w:r>
              <w:t xml:space="preserve">Revenue risk from reliance on usage charges may need to be managed with other mechanisms </w:t>
            </w:r>
          </w:p>
        </w:tc>
      </w:tr>
      <w:tr w:rsidR="00FE41B1" w:rsidRPr="00144F8C" w:rsidTr="00D90D0B">
        <w:trPr>
          <w:cantSplit/>
          <w:trHeight w:val="318"/>
        </w:trPr>
        <w:tc>
          <w:tcPr>
            <w:tcW w:w="934" w:type="pct"/>
            <w:vMerge w:val="restart"/>
            <w:tcBorders>
              <w:top w:val="nil"/>
              <w:left w:val="nil"/>
              <w:right w:val="nil"/>
            </w:tcBorders>
            <w:shd w:val="clear" w:color="auto" w:fill="DAEEF3" w:themeFill="accent5" w:themeFillTint="33"/>
          </w:tcPr>
          <w:p w:rsidR="00FE41B1" w:rsidRPr="007E0B9F" w:rsidRDefault="00FE41B1" w:rsidP="00FE41B1">
            <w:pPr>
              <w:pStyle w:val="TableTextLeft"/>
              <w:keepNext/>
              <w:rPr>
                <w:b/>
              </w:rPr>
            </w:pPr>
            <w:r w:rsidRPr="007E0B9F">
              <w:rPr>
                <w:b/>
              </w:rPr>
              <w:t>Community impact</w:t>
            </w:r>
          </w:p>
        </w:tc>
        <w:tc>
          <w:tcPr>
            <w:tcW w:w="1230" w:type="pct"/>
            <w:tcBorders>
              <w:top w:val="nil"/>
              <w:left w:val="nil"/>
              <w:bottom w:val="nil"/>
              <w:right w:val="nil"/>
            </w:tcBorders>
            <w:shd w:val="clear" w:color="auto" w:fill="DAEEF3" w:themeFill="accent5" w:themeFillTint="33"/>
          </w:tcPr>
          <w:p w:rsidR="00FE41B1" w:rsidRPr="008D70AD" w:rsidRDefault="00FE41B1" w:rsidP="00FE41B1">
            <w:pPr>
              <w:pStyle w:val="TableTextLeft"/>
              <w:keepNext/>
            </w:pPr>
            <w:r>
              <w:t>6</w:t>
            </w:r>
            <w:r w:rsidRPr="008D70AD">
              <w:t xml:space="preserve"> Stability over time</w:t>
            </w:r>
          </w:p>
        </w:tc>
        <w:tc>
          <w:tcPr>
            <w:tcW w:w="933" w:type="pct"/>
            <w:tcBorders>
              <w:top w:val="nil"/>
              <w:left w:val="nil"/>
              <w:bottom w:val="nil"/>
              <w:right w:val="nil"/>
            </w:tcBorders>
            <w:shd w:val="clear" w:color="auto" w:fill="DAEEF3" w:themeFill="accent5" w:themeFillTint="33"/>
          </w:tcPr>
          <w:p w:rsidR="00FE41B1" w:rsidRPr="008D70AD" w:rsidRDefault="00FE41B1" w:rsidP="00FE41B1">
            <w:pPr>
              <w:pStyle w:val="TableTextLeft"/>
              <w:keepNext/>
              <w:jc w:val="center"/>
            </w:pPr>
            <w:r>
              <w:sym w:font="Wingdings" w:char="F0FB"/>
            </w:r>
          </w:p>
        </w:tc>
        <w:tc>
          <w:tcPr>
            <w:tcW w:w="1903" w:type="pct"/>
            <w:tcBorders>
              <w:top w:val="nil"/>
              <w:left w:val="nil"/>
              <w:bottom w:val="nil"/>
              <w:right w:val="nil"/>
            </w:tcBorders>
            <w:shd w:val="clear" w:color="auto" w:fill="DAEEF3" w:themeFill="accent5" w:themeFillTint="33"/>
          </w:tcPr>
          <w:p w:rsidR="00FE41B1" w:rsidRPr="008D70AD" w:rsidRDefault="00FE41B1" w:rsidP="00FE41B1">
            <w:pPr>
              <w:pStyle w:val="TableTextLeft"/>
              <w:keepNext/>
            </w:pPr>
            <w:r>
              <w:t>Not efficient over any period</w:t>
            </w:r>
          </w:p>
        </w:tc>
      </w:tr>
      <w:tr w:rsidR="00FE41B1" w:rsidRPr="00144F8C" w:rsidTr="00D90D0B">
        <w:trPr>
          <w:cantSplit/>
          <w:trHeight w:val="318"/>
        </w:trPr>
        <w:tc>
          <w:tcPr>
            <w:tcW w:w="934" w:type="pct"/>
            <w:vMerge/>
            <w:tcBorders>
              <w:left w:val="nil"/>
              <w:right w:val="nil"/>
            </w:tcBorders>
            <w:shd w:val="clear" w:color="auto" w:fill="DAEEF3" w:themeFill="accent5" w:themeFillTint="33"/>
          </w:tcPr>
          <w:p w:rsidR="00FE41B1" w:rsidRPr="007E0B9F" w:rsidRDefault="00FE41B1" w:rsidP="00FE41B1">
            <w:pPr>
              <w:pStyle w:val="TableTextLeft"/>
              <w:keepNext/>
              <w:rPr>
                <w:b/>
              </w:rPr>
            </w:pPr>
          </w:p>
        </w:tc>
        <w:tc>
          <w:tcPr>
            <w:tcW w:w="1230" w:type="pct"/>
            <w:tcBorders>
              <w:top w:val="nil"/>
              <w:left w:val="nil"/>
              <w:bottom w:val="nil"/>
              <w:right w:val="nil"/>
            </w:tcBorders>
            <w:shd w:val="clear" w:color="auto" w:fill="DAEEF3" w:themeFill="accent5" w:themeFillTint="33"/>
          </w:tcPr>
          <w:p w:rsidR="00FE41B1" w:rsidRPr="008D70AD" w:rsidRDefault="00FE41B1" w:rsidP="00FE41B1">
            <w:pPr>
              <w:pStyle w:val="TableTextLeft"/>
              <w:keepNext/>
            </w:pPr>
            <w:r>
              <w:t>7</w:t>
            </w:r>
            <w:r w:rsidRPr="008D70AD">
              <w:t xml:space="preserve"> Transition arrangements</w:t>
            </w:r>
          </w:p>
        </w:tc>
        <w:tc>
          <w:tcPr>
            <w:tcW w:w="933" w:type="pct"/>
            <w:tcBorders>
              <w:top w:val="nil"/>
              <w:left w:val="nil"/>
              <w:bottom w:val="nil"/>
              <w:right w:val="nil"/>
            </w:tcBorders>
            <w:shd w:val="clear" w:color="auto" w:fill="DAEEF3" w:themeFill="accent5" w:themeFillTint="33"/>
          </w:tcPr>
          <w:p w:rsidR="00FE41B1" w:rsidRPr="008D70AD" w:rsidRDefault="00FE41B1" w:rsidP="00FE41B1">
            <w:pPr>
              <w:pStyle w:val="TableTextLeft"/>
              <w:keepNext/>
              <w:jc w:val="center"/>
            </w:pPr>
            <w:r>
              <w:t>N/A</w:t>
            </w:r>
          </w:p>
        </w:tc>
        <w:tc>
          <w:tcPr>
            <w:tcW w:w="1903" w:type="pct"/>
            <w:tcBorders>
              <w:top w:val="nil"/>
              <w:left w:val="nil"/>
              <w:bottom w:val="nil"/>
              <w:right w:val="nil"/>
            </w:tcBorders>
            <w:shd w:val="clear" w:color="auto" w:fill="DAEEF3" w:themeFill="accent5" w:themeFillTint="33"/>
          </w:tcPr>
          <w:p w:rsidR="00FE41B1" w:rsidRPr="008D70AD" w:rsidRDefault="00FE41B1" w:rsidP="00FE41B1">
            <w:pPr>
              <w:pStyle w:val="TableTextLeft"/>
              <w:keepNext/>
            </w:pPr>
            <w:r>
              <w:t>No change in tariff structure</w:t>
            </w:r>
          </w:p>
        </w:tc>
      </w:tr>
      <w:tr w:rsidR="00FE41B1" w:rsidRPr="00144F8C" w:rsidTr="00D90D0B">
        <w:trPr>
          <w:cantSplit/>
          <w:trHeight w:val="200"/>
        </w:trPr>
        <w:tc>
          <w:tcPr>
            <w:tcW w:w="934" w:type="pct"/>
            <w:vMerge/>
            <w:tcBorders>
              <w:left w:val="nil"/>
              <w:right w:val="nil"/>
            </w:tcBorders>
            <w:shd w:val="clear" w:color="auto" w:fill="DAEEF3" w:themeFill="accent5" w:themeFillTint="33"/>
          </w:tcPr>
          <w:p w:rsidR="00FE41B1" w:rsidRPr="007E0B9F" w:rsidRDefault="00FE41B1" w:rsidP="00FE41B1">
            <w:pPr>
              <w:pStyle w:val="TableTextLeft"/>
              <w:keepNext/>
              <w:rPr>
                <w:b/>
              </w:rPr>
            </w:pPr>
          </w:p>
        </w:tc>
        <w:tc>
          <w:tcPr>
            <w:tcW w:w="1230" w:type="pct"/>
            <w:tcBorders>
              <w:top w:val="nil"/>
              <w:left w:val="nil"/>
              <w:bottom w:val="nil"/>
              <w:right w:val="nil"/>
            </w:tcBorders>
            <w:shd w:val="clear" w:color="auto" w:fill="DAEEF3" w:themeFill="accent5" w:themeFillTint="33"/>
          </w:tcPr>
          <w:p w:rsidR="00FE41B1" w:rsidRPr="008D70AD" w:rsidRDefault="00FE41B1" w:rsidP="00FE41B1">
            <w:pPr>
              <w:pStyle w:val="TableTextLeft"/>
              <w:keepNext/>
            </w:pPr>
            <w:r>
              <w:t>8</w:t>
            </w:r>
            <w:r w:rsidRPr="008D70AD">
              <w:t xml:space="preserve"> Simplicity</w:t>
            </w:r>
          </w:p>
        </w:tc>
        <w:tc>
          <w:tcPr>
            <w:tcW w:w="933" w:type="pct"/>
            <w:tcBorders>
              <w:top w:val="nil"/>
              <w:left w:val="nil"/>
              <w:bottom w:val="nil"/>
              <w:right w:val="nil"/>
            </w:tcBorders>
            <w:shd w:val="clear" w:color="auto" w:fill="DAEEF3" w:themeFill="accent5" w:themeFillTint="33"/>
          </w:tcPr>
          <w:p w:rsidR="00FE41B1" w:rsidRPr="008D70AD" w:rsidRDefault="00FE41B1" w:rsidP="00FE41B1">
            <w:pPr>
              <w:pStyle w:val="TableTextLeft"/>
              <w:keepNext/>
              <w:jc w:val="center"/>
            </w:pPr>
            <w:r>
              <w:rPr>
                <w:b/>
              </w:rPr>
              <w:sym w:font="Wingdings" w:char="F0FC"/>
            </w:r>
          </w:p>
        </w:tc>
        <w:tc>
          <w:tcPr>
            <w:tcW w:w="1903" w:type="pct"/>
            <w:tcBorders>
              <w:top w:val="nil"/>
              <w:left w:val="nil"/>
              <w:bottom w:val="nil"/>
              <w:right w:val="nil"/>
            </w:tcBorders>
            <w:shd w:val="clear" w:color="auto" w:fill="DAEEF3" w:themeFill="accent5" w:themeFillTint="33"/>
          </w:tcPr>
          <w:p w:rsidR="00FE41B1" w:rsidRPr="008D70AD" w:rsidRDefault="00FE41B1" w:rsidP="00FE41B1">
            <w:pPr>
              <w:pStyle w:val="TableTextLeft"/>
              <w:keepNext/>
            </w:pPr>
            <w:r>
              <w:t>In place for many years and understood</w:t>
            </w:r>
          </w:p>
        </w:tc>
      </w:tr>
      <w:tr w:rsidR="00FE41B1" w:rsidRPr="00144F8C" w:rsidTr="00D90D0B">
        <w:trPr>
          <w:cantSplit/>
        </w:trPr>
        <w:tc>
          <w:tcPr>
            <w:tcW w:w="934" w:type="pct"/>
            <w:vMerge/>
            <w:tcBorders>
              <w:left w:val="nil"/>
              <w:bottom w:val="single" w:sz="12" w:space="0" w:color="1F497D" w:themeColor="text2"/>
              <w:right w:val="nil"/>
            </w:tcBorders>
            <w:shd w:val="clear" w:color="auto" w:fill="DAEEF3" w:themeFill="accent5" w:themeFillTint="33"/>
          </w:tcPr>
          <w:p w:rsidR="00FE41B1" w:rsidRPr="007E0B9F" w:rsidRDefault="00FE41B1" w:rsidP="00FE41B1">
            <w:pPr>
              <w:pStyle w:val="TableTextLeft"/>
              <w:keepNext/>
              <w:rPr>
                <w:b/>
              </w:rPr>
            </w:pPr>
          </w:p>
        </w:tc>
        <w:tc>
          <w:tcPr>
            <w:tcW w:w="1230" w:type="pct"/>
            <w:tcBorders>
              <w:top w:val="nil"/>
              <w:left w:val="nil"/>
              <w:bottom w:val="single" w:sz="12" w:space="0" w:color="1F497D" w:themeColor="text2"/>
              <w:right w:val="nil"/>
            </w:tcBorders>
            <w:shd w:val="clear" w:color="auto" w:fill="DAEEF3" w:themeFill="accent5" w:themeFillTint="33"/>
          </w:tcPr>
          <w:p w:rsidR="00FE41B1" w:rsidRPr="008D70AD" w:rsidRDefault="00FE41B1" w:rsidP="00FE41B1">
            <w:pPr>
              <w:pStyle w:val="TableTextLeft"/>
              <w:keepNext/>
            </w:pPr>
            <w:r>
              <w:t>9</w:t>
            </w:r>
            <w:r w:rsidRPr="008D70AD">
              <w:t xml:space="preserve"> Transparency</w:t>
            </w:r>
          </w:p>
        </w:tc>
        <w:tc>
          <w:tcPr>
            <w:tcW w:w="933" w:type="pct"/>
            <w:tcBorders>
              <w:top w:val="nil"/>
              <w:left w:val="nil"/>
              <w:bottom w:val="single" w:sz="12" w:space="0" w:color="1F497D" w:themeColor="text2"/>
              <w:right w:val="nil"/>
            </w:tcBorders>
            <w:shd w:val="clear" w:color="auto" w:fill="DAEEF3" w:themeFill="accent5" w:themeFillTint="33"/>
          </w:tcPr>
          <w:p w:rsidR="00FE41B1" w:rsidRPr="008D70AD" w:rsidRDefault="00FE41B1" w:rsidP="00FE41B1">
            <w:pPr>
              <w:pStyle w:val="TableTextLeft"/>
              <w:keepNext/>
              <w:jc w:val="center"/>
            </w:pPr>
            <w:r>
              <w:rPr>
                <w:b/>
              </w:rPr>
              <w:sym w:font="Wingdings" w:char="F0FC"/>
            </w:r>
          </w:p>
        </w:tc>
        <w:tc>
          <w:tcPr>
            <w:tcW w:w="1903" w:type="pct"/>
            <w:tcBorders>
              <w:top w:val="nil"/>
              <w:left w:val="nil"/>
              <w:bottom w:val="single" w:sz="12" w:space="0" w:color="1F497D" w:themeColor="text2"/>
              <w:right w:val="nil"/>
            </w:tcBorders>
            <w:shd w:val="clear" w:color="auto" w:fill="DAEEF3" w:themeFill="accent5" w:themeFillTint="33"/>
          </w:tcPr>
          <w:p w:rsidR="00FE41B1" w:rsidRPr="008D70AD" w:rsidRDefault="00FE41B1" w:rsidP="00FE41B1">
            <w:pPr>
              <w:pStyle w:val="TableTextLeft"/>
              <w:keepNext/>
            </w:pPr>
            <w:r>
              <w:t>Originally set through a transparent and public process</w:t>
            </w:r>
          </w:p>
        </w:tc>
      </w:tr>
    </w:tbl>
    <w:p w:rsidR="00CF184D" w:rsidRDefault="00DE51EB" w:rsidP="00884493">
      <w:pPr>
        <w:pStyle w:val="Heading2"/>
      </w:pPr>
      <w:bookmarkStart w:id="102" w:name="Chap4"/>
      <w:bookmarkStart w:id="103" w:name="_Ref457805442"/>
      <w:bookmarkStart w:id="104" w:name="_Toc460572216"/>
      <w:bookmarkStart w:id="105" w:name="_Toc260327931"/>
      <w:bookmarkEnd w:id="91"/>
      <w:bookmarkEnd w:id="102"/>
      <w:r>
        <w:t>Alternative</w:t>
      </w:r>
      <w:r w:rsidR="008C3DAD">
        <w:t xml:space="preserve"> tariff</w:t>
      </w:r>
      <w:r>
        <w:t xml:space="preserve"> structure: </w:t>
      </w:r>
      <w:r w:rsidR="00BB7B25">
        <w:t>t</w:t>
      </w:r>
      <w:r>
        <w:t xml:space="preserve">wo-part, </w:t>
      </w:r>
      <w:r w:rsidR="008C3DAD">
        <w:t>s</w:t>
      </w:r>
      <w:r w:rsidR="00901EFE">
        <w:t xml:space="preserve">ingle </w:t>
      </w:r>
      <w:r>
        <w:t>usage charge</w:t>
      </w:r>
      <w:r w:rsidR="00BB6217">
        <w:t xml:space="preserve"> set with reference to </w:t>
      </w:r>
      <w:r w:rsidR="00D66923">
        <w:t xml:space="preserve">long-run </w:t>
      </w:r>
      <w:r w:rsidR="00BB6217">
        <w:t>marginal cost</w:t>
      </w:r>
      <w:bookmarkEnd w:id="103"/>
      <w:bookmarkEnd w:id="104"/>
    </w:p>
    <w:p w:rsidR="00E858AC" w:rsidRDefault="00E858AC" w:rsidP="00F22E2F">
      <w:pPr>
        <w:pStyle w:val="Heading3"/>
      </w:pPr>
      <w:r>
        <w:t xml:space="preserve">Economic efficiency </w:t>
      </w:r>
    </w:p>
    <w:p w:rsidR="0007651A" w:rsidRDefault="005F163F" w:rsidP="00DB4E61">
      <w:r>
        <w:t xml:space="preserve">In the technical paper on marginal cost pricing, the Commission concluded that the pursuit of economic efficiency would dictate a move towards one usage price, set with reference to marginal cost, within a two-part tariff framework to ensure full cost recovery. </w:t>
      </w:r>
      <w:r w:rsidR="0007651A">
        <w:t>More specifically, a two-part tariff with the usage charge set with reference to marginal cost would send appropriate price signals about the forward-looking costs of providing the water service to customers.</w:t>
      </w:r>
    </w:p>
    <w:p w:rsidR="0007651A" w:rsidRDefault="0007651A" w:rsidP="0007651A">
      <w:r>
        <w:t>On the choice between setting price with reference</w:t>
      </w:r>
      <w:r w:rsidR="00F8101D">
        <w:t xml:space="preserve"> </w:t>
      </w:r>
      <w:r>
        <w:t>to short- or long-run marginal cost, the Commission</w:t>
      </w:r>
      <w:r w:rsidR="003D0D33">
        <w:t xml:space="preserve"> concluded that,</w:t>
      </w:r>
      <w:r>
        <w:t xml:space="preserve"> in principle, short-run marginal cost pricing is the efficient basis for pricing. The sale of water to consumers is a short-term agreement that does not bind the consumer to take any more water at a later date and the utility is therefore faced with the short-run problem of selling water given its current capacity.</w:t>
      </w:r>
    </w:p>
    <w:p w:rsidR="0007651A" w:rsidRDefault="0007651A" w:rsidP="0007651A">
      <w:r>
        <w:t>Nonetheless, in practice, the Commission sees merit in a long-run measure, for two reasons. First, although the short-run approach is unlikely in the present supply and demand circumstances to lead to any great instability in prices over the near to medium term, this may not always be the case as the supply and demand conditions change over time. Second, as discussed below</w:t>
      </w:r>
      <w:r w:rsidR="00597060">
        <w:t xml:space="preserve"> in the community impacts section</w:t>
      </w:r>
      <w:r>
        <w:t xml:space="preserve">, the gap between the current tariff structure and one based on marginal cost pricing is substantial, and likely to require a long transition period. In these circumstances, aiming to transition the </w:t>
      </w:r>
      <w:r w:rsidR="00535E01">
        <w:t>usage</w:t>
      </w:r>
      <w:r>
        <w:t xml:space="preserve"> price to a long-run marginal cost estimate is a more realistic goal.</w:t>
      </w:r>
    </w:p>
    <w:p w:rsidR="00AF68F4" w:rsidRDefault="00A56329" w:rsidP="00DB4E61">
      <w:r>
        <w:t>As noted earlier, a</w:t>
      </w:r>
      <w:r w:rsidR="001841D3">
        <w:t xml:space="preserve"> number of ways to calculate long-run marginal cost were assessed in the technical paper.</w:t>
      </w:r>
      <w:r w:rsidR="0007651A">
        <w:t xml:space="preserve"> </w:t>
      </w:r>
      <w:r w:rsidR="001841D3">
        <w:t>T</w:t>
      </w:r>
      <w:r w:rsidR="0007651A">
        <w:t xml:space="preserve">he Commission’s preference is to calculate long-run marginal cost using the </w:t>
      </w:r>
      <w:r>
        <w:t xml:space="preserve">MIC </w:t>
      </w:r>
      <w:r w:rsidR="0007651A">
        <w:t xml:space="preserve">method as this approach is more explicitly concerned with </w:t>
      </w:r>
      <w:r w:rsidR="0007651A">
        <w:lastRenderedPageBreak/>
        <w:t>decision-making at the margin.</w:t>
      </w:r>
      <w:r w:rsidR="007874D6">
        <w:t xml:space="preserve"> The definition adopted in the technical paper comprises three elements. The first is the infrastructure cost of providing the capacity to supply demand requirements into the future from Icon Water’s dams. The second is the operational cost of storing, treating and delivering the water to customers through Icon Water’s reticulation network. The third is the scarcity value of the water resource. </w:t>
      </w:r>
    </w:p>
    <w:p w:rsidR="000C0C16" w:rsidRDefault="007874D6" w:rsidP="00DB4E61">
      <w:r>
        <w:t xml:space="preserve">Currently, due to the favourable water security situation, the scarcity value is represented by the portion of the ACT Government’s Water Abstraction Charge that is intended to reflect scarcity. </w:t>
      </w:r>
      <w:r w:rsidR="0007651A">
        <w:t>There is</w:t>
      </w:r>
      <w:r w:rsidR="001841D3">
        <w:t xml:space="preserve"> </w:t>
      </w:r>
      <w:r w:rsidR="0007651A">
        <w:t>scope</w:t>
      </w:r>
      <w:r>
        <w:t>, however, to increase the scarcity value as</w:t>
      </w:r>
      <w:r w:rsidR="0007651A">
        <w:t xml:space="preserve"> the next augmentation approaches as the value of water</w:t>
      </w:r>
      <w:r w:rsidR="00F8101D">
        <w:t xml:space="preserve"> stored </w:t>
      </w:r>
      <w:r w:rsidR="0007651A">
        <w:t xml:space="preserve">in </w:t>
      </w:r>
      <w:r w:rsidR="000C0C16">
        <w:t>Icon Water’s dams increases.</w:t>
      </w:r>
    </w:p>
    <w:p w:rsidR="00E71313" w:rsidRDefault="00E71313" w:rsidP="00DB4E61">
      <w:r>
        <w:t xml:space="preserve">A two-part tariff with a single usage charge set with reference to marginal cost would be consistent with pricing principle 1. </w:t>
      </w:r>
      <w:r w:rsidRPr="00E71313">
        <w:t>Given the magnitude of the discrepancy between marginal cost and current top tier price, the efficiency benefits are likely to outweigh the costs of moving to this tariff structure</w:t>
      </w:r>
      <w:r>
        <w:t xml:space="preserve">, consistent with principle 2. </w:t>
      </w:r>
      <w:r w:rsidR="000F1DC6">
        <w:t>The alternative tariff structure provides for differentiation between customer classes, if required, subject to principle 3.</w:t>
      </w:r>
    </w:p>
    <w:p w:rsidR="00E858AC" w:rsidRDefault="00E858AC" w:rsidP="00F22E2F">
      <w:pPr>
        <w:pStyle w:val="Heading3"/>
      </w:pPr>
      <w:r>
        <w:t>Financial viability</w:t>
      </w:r>
    </w:p>
    <w:p w:rsidR="002F62B7" w:rsidRDefault="002F62B7" w:rsidP="00D96F5A">
      <w:r>
        <w:t xml:space="preserve">As discussed at length in the technical paper on marginal cost pricing, </w:t>
      </w:r>
      <w:r w:rsidR="00AF54DA">
        <w:t>the application of marginal cost pricing in a decreasing cost natural monopoly industry, such as the provision of regulated water and sewerage services in the ACT, raises particular difficulties for revenue recovery. In such an industry, as marginal cost is less than average cost, pricing at marginal cost will not allow the utility to recover all of the costs of providing the service.</w:t>
      </w:r>
    </w:p>
    <w:p w:rsidR="00AF54DA" w:rsidRDefault="00AF54DA" w:rsidP="00AF54DA">
      <w:r>
        <w:t>In order to price at marginal cost for efficiency purposes, and achieve full cost recovery, the regulator is essentially faced with three alternatives to recover the revenue shortfall.</w:t>
      </w:r>
    </w:p>
    <w:p w:rsidR="00AF54DA" w:rsidRDefault="00AF54DA" w:rsidP="00AF54DA">
      <w:r>
        <w:t xml:space="preserve">The first is to recover the revenue shortfall through general taxation. The second is to adopt a multi-part tariff comprising a price for additional units based on marginal cost, and an additional charge, independent of consumption, set to ensure that total supply costs are recovered. The third alternative is Ramsey pricing. This involves deliberate price discrimination on the basis of elasticities of demand to </w:t>
      </w:r>
      <w:r w:rsidRPr="00BB1653">
        <w:t xml:space="preserve">allow the </w:t>
      </w:r>
      <w:r>
        <w:t xml:space="preserve">monopoly business </w:t>
      </w:r>
      <w:r w:rsidRPr="00BB1653">
        <w:t xml:space="preserve">to recover residual costs while minimising the </w:t>
      </w:r>
      <w:r>
        <w:t>d</w:t>
      </w:r>
      <w:r w:rsidRPr="00BB1653">
        <w:t>eviations from optimal</w:t>
      </w:r>
      <w:r>
        <w:t xml:space="preserve"> c</w:t>
      </w:r>
      <w:r w:rsidRPr="00BB1653">
        <w:t>onsumption patterns</w:t>
      </w:r>
      <w:r>
        <w:sym w:font="Symbol" w:char="F02D"/>
      </w:r>
      <w:r>
        <w:t>that is, those</w:t>
      </w:r>
      <w:r w:rsidRPr="00BB1653">
        <w:t xml:space="preserve"> based on marginal cost pricing.</w:t>
      </w:r>
      <w:r>
        <w:t xml:space="preserve">   </w:t>
      </w:r>
    </w:p>
    <w:p w:rsidR="00AF54DA" w:rsidRDefault="00AF54DA" w:rsidP="00D96F5A">
      <w:r>
        <w:t>The first alternative is untenable as the Commission is required to have regard to the full recovery of Icon Water’s prudent and efficient costs. The third alternative, which requires price discrimination between customer classes, has high information requirements and is likely to raise equity concerns. This leaves the second alternative, multi-part pricing, which is the current structure in the ACT, as the preferred alternative.</w:t>
      </w:r>
    </w:p>
    <w:p w:rsidR="00D96F5A" w:rsidRDefault="00AD4138" w:rsidP="00D96F5A">
      <w:r>
        <w:lastRenderedPageBreak/>
        <w:t>As a multi-part tariff, t</w:t>
      </w:r>
      <w:r w:rsidR="00D96F5A">
        <w:t>he alternative tariff structure is consistent with pricing principle</w:t>
      </w:r>
      <w:r>
        <w:t> </w:t>
      </w:r>
      <w:r w:rsidR="008904B1">
        <w:t>4</w:t>
      </w:r>
      <w:r w:rsidR="00D96F5A">
        <w:t>, in that the level of prices can be set to fully recover the prudent and efficient costs of providing water services.</w:t>
      </w:r>
    </w:p>
    <w:p w:rsidR="0092541F" w:rsidRDefault="009E4521" w:rsidP="00D96F5A">
      <w:r>
        <w:t xml:space="preserve">Moreover, in contrast to the current structure, following a transition period, the alternative structure would be characterised by a much lower reliance on usage charges. This </w:t>
      </w:r>
      <w:r w:rsidR="0092541F">
        <w:t xml:space="preserve">would reduce </w:t>
      </w:r>
      <w:r w:rsidR="00D96F5A">
        <w:t>Icon Water</w:t>
      </w:r>
      <w:r w:rsidR="0092541F">
        <w:t>’s</w:t>
      </w:r>
      <w:r w:rsidR="00D96F5A">
        <w:t xml:space="preserve"> expos</w:t>
      </w:r>
      <w:r w:rsidR="0092541F">
        <w:t xml:space="preserve">ure to </w:t>
      </w:r>
      <w:r w:rsidR="00D96F5A">
        <w:t xml:space="preserve">revenue risk </w:t>
      </w:r>
      <w:r w:rsidR="0092541F">
        <w:t>and improve consistency with the f</w:t>
      </w:r>
      <w:r w:rsidR="008904B1">
        <w:t>ifth</w:t>
      </w:r>
      <w:r w:rsidR="0092541F">
        <w:t xml:space="preserve"> pricing principle, which requires facilitating revenue recovery over a regulatory period. </w:t>
      </w:r>
    </w:p>
    <w:p w:rsidR="0092541F" w:rsidRDefault="0092541F" w:rsidP="0092541F">
      <w:r>
        <w:t>One consequence of the current inclining block approach is the need to forecast water sales not only at the aggregate but also at the block sales level.</w:t>
      </w:r>
      <w:r w:rsidR="008444E4">
        <w:t xml:space="preserve"> </w:t>
      </w:r>
      <w:r>
        <w:t xml:space="preserve">As shown in </w:t>
      </w:r>
      <w:r>
        <w:fldChar w:fldCharType="begin"/>
      </w:r>
      <w:r>
        <w:instrText xml:space="preserve"> REF _Ref432747494 \h  \* MERGEFORMAT </w:instrText>
      </w:r>
      <w:r>
        <w:fldChar w:fldCharType="separate"/>
      </w:r>
      <w:r w:rsidR="00B80BC7" w:rsidRPr="00DB3C19">
        <w:t xml:space="preserve">Figure </w:t>
      </w:r>
      <w:r w:rsidR="00B80BC7">
        <w:rPr>
          <w:noProof/>
        </w:rPr>
        <w:t>3</w:t>
      </w:r>
      <w:r w:rsidR="00B80BC7" w:rsidRPr="001D18C8">
        <w:rPr>
          <w:noProof/>
        </w:rPr>
        <w:t>.</w:t>
      </w:r>
      <w:r w:rsidR="00B80BC7">
        <w:rPr>
          <w:noProof/>
        </w:rPr>
        <w:t>4</w:t>
      </w:r>
      <w:r>
        <w:fldChar w:fldCharType="end"/>
      </w:r>
      <w:r>
        <w:t xml:space="preserve">, the proportion of </w:t>
      </w:r>
      <w:r w:rsidR="0097620B">
        <w:t xml:space="preserve">first </w:t>
      </w:r>
      <w:r>
        <w:t>tier sales has shown significant variation since the introduction of the two-step structure in 2008</w:t>
      </w:r>
      <w:r>
        <w:sym w:font="Symbol" w:char="F02D"/>
      </w:r>
      <w:r>
        <w:t>09.</w:t>
      </w:r>
      <w:r w:rsidRPr="0092541F">
        <w:t xml:space="preserve"> </w:t>
      </w:r>
      <w:r>
        <w:t>Moving to a single usage charge would remove this element of revenue uncertainty.</w:t>
      </w:r>
    </w:p>
    <w:p w:rsidR="008444E4" w:rsidRPr="001D18C8" w:rsidRDefault="008444E4" w:rsidP="008444E4">
      <w:pPr>
        <w:pStyle w:val="FigureName"/>
        <w:keepNext/>
      </w:pPr>
      <w:bookmarkStart w:id="106" w:name="_Ref432747494"/>
      <w:bookmarkStart w:id="107" w:name="_Toc435700198"/>
      <w:bookmarkStart w:id="108" w:name="_Toc460572270"/>
      <w:r w:rsidRPr="00DB3C19">
        <w:t xml:space="preserve">Figure </w:t>
      </w:r>
      <w:r>
        <w:fldChar w:fldCharType="begin"/>
      </w:r>
      <w:r>
        <w:instrText xml:space="preserve"> STYLEREF 1 \s </w:instrText>
      </w:r>
      <w:r>
        <w:fldChar w:fldCharType="separate"/>
      </w:r>
      <w:r w:rsidR="00B80BC7">
        <w:rPr>
          <w:noProof/>
        </w:rPr>
        <w:t>3</w:t>
      </w:r>
      <w:r>
        <w:fldChar w:fldCharType="end"/>
      </w:r>
      <w:r w:rsidRPr="001D18C8">
        <w:t>.</w:t>
      </w:r>
      <w:r w:rsidRPr="001D18C8">
        <w:fldChar w:fldCharType="begin"/>
      </w:r>
      <w:r w:rsidRPr="001D18C8">
        <w:instrText xml:space="preserve"> SEQ Figure \* ARABIC \s 1 </w:instrText>
      </w:r>
      <w:r w:rsidRPr="001D18C8">
        <w:fldChar w:fldCharType="separate"/>
      </w:r>
      <w:r w:rsidR="00B80BC7">
        <w:rPr>
          <w:noProof/>
        </w:rPr>
        <w:t>4</w:t>
      </w:r>
      <w:r w:rsidRPr="001D18C8">
        <w:fldChar w:fldCharType="end"/>
      </w:r>
      <w:bookmarkEnd w:id="106"/>
      <w:r w:rsidRPr="001D18C8">
        <w:tab/>
      </w:r>
      <w:r>
        <w:t xml:space="preserve">Icon Water </w:t>
      </w:r>
      <w:r w:rsidR="0097620B">
        <w:t xml:space="preserve">first </w:t>
      </w:r>
      <w:r>
        <w:t>tier proportion of total water sales, 2008</w:t>
      </w:r>
      <w:r>
        <w:sym w:font="Symbol" w:char="F02D"/>
      </w:r>
      <w:r>
        <w:t>09 to 201</w:t>
      </w:r>
      <w:r w:rsidR="006A66A0">
        <w:t>4</w:t>
      </w:r>
      <w:r>
        <w:sym w:font="Symbol" w:char="F02D"/>
      </w:r>
      <w:r>
        <w:t>1</w:t>
      </w:r>
      <w:bookmarkEnd w:id="107"/>
      <w:r w:rsidR="006A66A0">
        <w:t>5</w:t>
      </w:r>
      <w:bookmarkEnd w:id="108"/>
    </w:p>
    <w:p w:rsidR="008444E4" w:rsidRPr="001D18C8" w:rsidRDefault="00421D11" w:rsidP="008444E4">
      <w:pPr>
        <w:keepNext/>
      </w:pPr>
      <w:r>
        <w:rPr>
          <w:noProof/>
          <w:lang w:val="en-AU" w:eastAsia="en-AU"/>
        </w:rPr>
        <w:drawing>
          <wp:inline distT="0" distB="0" distL="0" distR="0" wp14:anchorId="150284DA" wp14:editId="1CAF67BA">
            <wp:extent cx="4896485" cy="2291080"/>
            <wp:effectExtent l="0" t="0" r="18415" b="1397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8444E4" w:rsidRPr="001D18C8" w:rsidRDefault="008444E4" w:rsidP="008444E4">
      <w:pPr>
        <w:pStyle w:val="TableNotesLast"/>
        <w:keepNext/>
      </w:pPr>
      <w:r>
        <w:t>Source:</w:t>
      </w:r>
      <w:r w:rsidRPr="001D18C8">
        <w:tab/>
      </w:r>
      <w:r>
        <w:t>Icon Water billed consumption data</w:t>
      </w:r>
      <w:r w:rsidRPr="001D18C8">
        <w:t>.</w:t>
      </w:r>
    </w:p>
    <w:p w:rsidR="00E858AC" w:rsidRDefault="00E858AC" w:rsidP="00F22E2F">
      <w:pPr>
        <w:pStyle w:val="Heading3"/>
      </w:pPr>
      <w:r>
        <w:t>Community impact</w:t>
      </w:r>
    </w:p>
    <w:p w:rsidR="008C0B68" w:rsidRDefault="008C0B68" w:rsidP="008C0B68">
      <w:r>
        <w:t>The alternative structure is consistent with three of the four community impact principles.</w:t>
      </w:r>
    </w:p>
    <w:p w:rsidR="008C0B68" w:rsidRDefault="008D0360" w:rsidP="008C0B68">
      <w:r>
        <w:t xml:space="preserve">As long as the usage charge is adjusted on a regular basis to reflect the prevailing marginal cost estimate, it will be </w:t>
      </w:r>
      <w:r w:rsidR="008C0B68">
        <w:t xml:space="preserve">consistent with principle </w:t>
      </w:r>
      <w:r w:rsidR="00E93549">
        <w:t>6</w:t>
      </w:r>
      <w:r w:rsidR="008C0B68" w:rsidRPr="008C0B68">
        <w:t xml:space="preserve"> </w:t>
      </w:r>
      <w:r w:rsidR="008C0B68">
        <w:t>in promoting the economically efficient use of Icon Water’s water infrastructure</w:t>
      </w:r>
      <w:r w:rsidR="00E93549">
        <w:t xml:space="preserve"> over time</w:t>
      </w:r>
      <w:r>
        <w:t>. The alternative structure is simpler than that currently in place, and should be readily understood and straightforward to implement, i</w:t>
      </w:r>
      <w:r w:rsidR="008C0B68">
        <w:t xml:space="preserve">n line with principle </w:t>
      </w:r>
      <w:r w:rsidR="00E93549">
        <w:t>8</w:t>
      </w:r>
      <w:r w:rsidR="008C0B68">
        <w:t xml:space="preserve">. </w:t>
      </w:r>
      <w:r w:rsidR="00A375CA">
        <w:t xml:space="preserve">As required by principle </w:t>
      </w:r>
      <w:r w:rsidR="00E93549">
        <w:t>9</w:t>
      </w:r>
      <w:r w:rsidR="00A375CA">
        <w:t>, the alterative structure is being considered in a transparent manner and</w:t>
      </w:r>
      <w:r w:rsidR="008C0B68">
        <w:t xml:space="preserve"> subject to public scrutiny</w:t>
      </w:r>
      <w:r w:rsidR="00C20446">
        <w:t xml:space="preserve">, both by the Commission </w:t>
      </w:r>
      <w:r w:rsidR="00E93549">
        <w:t xml:space="preserve">through </w:t>
      </w:r>
      <w:r w:rsidR="00C20446">
        <w:t>this tariff review process and Icon Water in its customer consultation on tariff structures</w:t>
      </w:r>
      <w:r w:rsidR="00A375CA">
        <w:t>.</w:t>
      </w:r>
      <w:r w:rsidR="008C0B68">
        <w:t xml:space="preserve"> </w:t>
      </w:r>
    </w:p>
    <w:p w:rsidR="000F4515" w:rsidRDefault="00D312DF" w:rsidP="000F4515">
      <w:r>
        <w:lastRenderedPageBreak/>
        <w:t>Moving directly to this alternative tariff structure would have significant impacts</w:t>
      </w:r>
      <w:r w:rsidR="008C0B68">
        <w:t>.</w:t>
      </w:r>
      <w:r>
        <w:t xml:space="preserve"> </w:t>
      </w:r>
      <w:r w:rsidR="000F4515">
        <w:t xml:space="preserve">For indicative purposes, </w:t>
      </w:r>
      <w:r>
        <w:fldChar w:fldCharType="begin"/>
      </w:r>
      <w:r>
        <w:instrText xml:space="preserve"> REF _Ref453681456 \h </w:instrText>
      </w:r>
      <w:r>
        <w:fldChar w:fldCharType="separate"/>
      </w:r>
      <w:r w:rsidR="00B80BC7" w:rsidRPr="00E33D9E">
        <w:t xml:space="preserve">Figure </w:t>
      </w:r>
      <w:r w:rsidR="00B80BC7">
        <w:rPr>
          <w:noProof/>
        </w:rPr>
        <w:t>3</w:t>
      </w:r>
      <w:r w:rsidR="00B80BC7" w:rsidRPr="00E33D9E">
        <w:t>.</w:t>
      </w:r>
      <w:r w:rsidR="00B80BC7">
        <w:rPr>
          <w:noProof/>
        </w:rPr>
        <w:t>5</w:t>
      </w:r>
      <w:r>
        <w:fldChar w:fldCharType="end"/>
      </w:r>
      <w:r>
        <w:t xml:space="preserve"> </w:t>
      </w:r>
      <w:r w:rsidR="000F4515">
        <w:t>shows the upper bound scenario</w:t>
      </w:r>
      <w:r w:rsidR="000F4515">
        <w:sym w:font="Symbol" w:char="F02D"/>
      </w:r>
      <w:r w:rsidR="000F4515">
        <w:t>the supply charge that would be required to recover the same revenue for Icon Water as 2015</w:t>
      </w:r>
      <w:r w:rsidR="000F4515">
        <w:sym w:font="Symbol" w:char="F02D"/>
      </w:r>
      <w:r w:rsidR="000F4515">
        <w:t xml:space="preserve">16 water prices for each marginal cost estimate, should a single </w:t>
      </w:r>
      <w:r w:rsidR="00535E01">
        <w:t>usage</w:t>
      </w:r>
      <w:r w:rsidR="000F4515">
        <w:t xml:space="preserve"> charge be introduced, priced at marginal cost. </w:t>
      </w:r>
    </w:p>
    <w:p w:rsidR="000F4515" w:rsidRDefault="000F4515" w:rsidP="000F4515">
      <w:pPr>
        <w:pStyle w:val="FigureName0"/>
        <w:rPr>
          <w:lang w:val="en-AU"/>
        </w:rPr>
      </w:pPr>
      <w:bookmarkStart w:id="109" w:name="_Ref453681456"/>
      <w:bookmarkStart w:id="110" w:name="_Toc453920917"/>
      <w:bookmarkStart w:id="111" w:name="_Toc460572271"/>
      <w:r w:rsidRPr="00E33D9E">
        <w:t xml:space="preserve">Figure </w:t>
      </w:r>
      <w:r w:rsidRPr="00E33D9E">
        <w:fldChar w:fldCharType="begin"/>
      </w:r>
      <w:r w:rsidRPr="00E33D9E">
        <w:instrText xml:space="preserve"> STYLEREF 1 \s </w:instrText>
      </w:r>
      <w:r w:rsidRPr="00E33D9E">
        <w:fldChar w:fldCharType="separate"/>
      </w:r>
      <w:r w:rsidR="00B80BC7">
        <w:rPr>
          <w:noProof/>
        </w:rPr>
        <w:t>3</w:t>
      </w:r>
      <w:r w:rsidRPr="00E33D9E">
        <w:fldChar w:fldCharType="end"/>
      </w:r>
      <w:r w:rsidRPr="00E33D9E">
        <w:t>.</w:t>
      </w:r>
      <w:r w:rsidRPr="00E33D9E">
        <w:fldChar w:fldCharType="begin"/>
      </w:r>
      <w:r w:rsidRPr="00E33D9E">
        <w:instrText xml:space="preserve"> SEQ Figure \* ARABIC \s 1 </w:instrText>
      </w:r>
      <w:r w:rsidRPr="00E33D9E">
        <w:fldChar w:fldCharType="separate"/>
      </w:r>
      <w:r w:rsidR="00B80BC7">
        <w:rPr>
          <w:noProof/>
        </w:rPr>
        <w:t>5</w:t>
      </w:r>
      <w:r w:rsidRPr="00E33D9E">
        <w:fldChar w:fldCharType="end"/>
      </w:r>
      <w:bookmarkEnd w:id="109"/>
      <w:r>
        <w:tab/>
        <w:t xml:space="preserve">Indicative water supply charge, with single </w:t>
      </w:r>
      <w:r w:rsidR="00535E01">
        <w:t>usage</w:t>
      </w:r>
      <w:r>
        <w:t xml:space="preserve"> charge set at marginal cost</w:t>
      </w:r>
      <w:bookmarkEnd w:id="110"/>
      <w:bookmarkEnd w:id="111"/>
    </w:p>
    <w:p w:rsidR="000F4515" w:rsidRPr="00C63BD3" w:rsidRDefault="00641340" w:rsidP="000F4515">
      <w:pPr>
        <w:rPr>
          <w:b/>
          <w:lang w:val="en-AU"/>
        </w:rPr>
      </w:pPr>
      <w:r>
        <w:rPr>
          <w:noProof/>
          <w:lang w:val="en-AU" w:eastAsia="en-AU"/>
        </w:rPr>
        <w:drawing>
          <wp:inline distT="0" distB="0" distL="0" distR="0" wp14:anchorId="102B1DD2" wp14:editId="6123AD32">
            <wp:extent cx="4896485" cy="2704465"/>
            <wp:effectExtent l="0" t="0" r="18415" b="63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D312DF" w:rsidRDefault="00D312DF" w:rsidP="00D312DF">
      <w:pPr>
        <w:pStyle w:val="TableNotesLast"/>
      </w:pPr>
      <w:r>
        <w:t>Source:</w:t>
      </w:r>
      <w:r>
        <w:tab/>
      </w:r>
      <w:r>
        <w:fldChar w:fldCharType="begin"/>
      </w:r>
      <w:r>
        <w:instrText xml:space="preserve"> ADDIN EN.CITE &lt;EndNote&gt;&lt;Cite&gt;&lt;Author&gt;ICRC&lt;/Author&gt;&lt;Year&gt;2016&lt;/Year&gt;&lt;RecNum&gt;727&lt;/RecNum&gt;&lt;DisplayText&gt;ICRC (2016b)&lt;/DisplayText&gt;&lt;record&gt;&lt;rec-number&gt;727&lt;/rec-number&gt;&lt;foreign-keys&gt;&lt;key app="EN" db-id="5xwt9zxa6r5fesevwr5xzp97r95ev9wx9zpw" timestamp="1465197388"&gt;727&lt;/key&gt;&lt;/foreign-keys&gt;&lt;ref-type name="AAA ICRC Water References"&gt;40&lt;/ref-type&gt;&lt;contributors&gt;&lt;authors&gt;&lt;author&gt;ICRC,&lt;/author&gt;&lt;/authors&gt;&lt;/contributors&gt;&lt;titles&gt;&lt;title&gt;Technical paper 2: Marginal cost pricing in the ACT&lt;/title&gt;&lt;/titles&gt;&lt;volume&gt;Report 4 of 2016&lt;/volume&gt;&lt;dates&gt;&lt;year&gt;2016&lt;/year&gt;&lt;pub-dates&gt;&lt;date&gt;June 2016&lt;/date&gt;&lt;/pub-dates&gt;&lt;/dates&gt;&lt;pub-location&gt;Canberra&lt;/pub-location&gt;&lt;publisher&gt;Independent Competition and Regulatory Commission&lt;/publisher&gt;&lt;urls&gt;&lt;/urls&gt;&lt;/record&gt;&lt;/Cite&gt;&lt;/EndNote&gt;</w:instrText>
      </w:r>
      <w:r>
        <w:fldChar w:fldCharType="separate"/>
      </w:r>
      <w:hyperlink w:anchor="_ENREF_25" w:tooltip="ICRC, 2016 #727" w:history="1">
        <w:r w:rsidR="00A2488A">
          <w:rPr>
            <w:noProof/>
          </w:rPr>
          <w:t>ICRC (2016b</w:t>
        </w:r>
      </w:hyperlink>
      <w:r>
        <w:rPr>
          <w:noProof/>
        </w:rPr>
        <w:t>)</w:t>
      </w:r>
      <w:r>
        <w:fldChar w:fldCharType="end"/>
      </w:r>
      <w:r>
        <w:t>: 60.</w:t>
      </w:r>
    </w:p>
    <w:p w:rsidR="00AF3699" w:rsidRDefault="00686D09" w:rsidP="00A661F3">
      <w:r>
        <w:t xml:space="preserve">The indicative annual charges are clearly considerably higher than the current supply charge of about $101, ranging from $865 for the short-run marginal cost measure to $605 for the </w:t>
      </w:r>
      <w:r w:rsidR="008E39F6">
        <w:t xml:space="preserve">preferred </w:t>
      </w:r>
      <w:r>
        <w:t>MIC estimate.</w:t>
      </w:r>
      <w:r w:rsidR="008E39F6">
        <w:t xml:space="preserve"> </w:t>
      </w:r>
      <w:r w:rsidR="005A388B">
        <w:t>The Commission’s analysis indicates that moving to a single usage tariff of $1.7</w:t>
      </w:r>
      <w:r w:rsidR="00623130">
        <w:t>4</w:t>
      </w:r>
      <w:r w:rsidR="007D6AEF">
        <w:t> </w:t>
      </w:r>
      <w:r w:rsidR="005A388B" w:rsidRPr="007D6AEF">
        <w:t>per</w:t>
      </w:r>
      <w:r w:rsidR="007D6AEF">
        <w:t> </w:t>
      </w:r>
      <w:r w:rsidR="005A388B" w:rsidRPr="007D6AEF">
        <w:t>kL</w:t>
      </w:r>
      <w:r w:rsidR="005A388B">
        <w:t xml:space="preserve">, with a </w:t>
      </w:r>
      <w:r w:rsidR="00B14BFA">
        <w:t>supply</w:t>
      </w:r>
      <w:r w:rsidR="005A388B">
        <w:t xml:space="preserve"> charge of $605 per year, would result in bill increases for customers using less than 300 kL per year, and decreases for those using more than this volume, as shown for </w:t>
      </w:r>
      <w:r w:rsidR="0077759F">
        <w:t>residential customers in stand-alone</w:t>
      </w:r>
      <w:r w:rsidR="007D6AEF">
        <w:t xml:space="preserve"> houses</w:t>
      </w:r>
      <w:r w:rsidR="00AF3699" w:rsidRPr="00AF3699">
        <w:t xml:space="preserve"> </w:t>
      </w:r>
      <w:r w:rsidR="00AF3699">
        <w:t xml:space="preserve">in </w:t>
      </w:r>
      <w:r w:rsidR="00AF3699">
        <w:fldChar w:fldCharType="begin"/>
      </w:r>
      <w:r w:rsidR="00AF3699">
        <w:instrText xml:space="preserve"> REF _Ref457226990 \h </w:instrText>
      </w:r>
      <w:r w:rsidR="00AF3699">
        <w:fldChar w:fldCharType="separate"/>
      </w:r>
      <w:r w:rsidR="00B80BC7" w:rsidRPr="00E33D9E">
        <w:t xml:space="preserve">Figure </w:t>
      </w:r>
      <w:r w:rsidR="00B80BC7">
        <w:rPr>
          <w:noProof/>
        </w:rPr>
        <w:t>3</w:t>
      </w:r>
      <w:r w:rsidR="00B80BC7" w:rsidRPr="00E33D9E">
        <w:t>.</w:t>
      </w:r>
      <w:r w:rsidR="00B80BC7">
        <w:rPr>
          <w:noProof/>
        </w:rPr>
        <w:t>6</w:t>
      </w:r>
      <w:r w:rsidR="00AF3699">
        <w:fldChar w:fldCharType="end"/>
      </w:r>
      <w:r w:rsidR="0077759F">
        <w:t>.</w:t>
      </w:r>
      <w:r w:rsidR="00C8682B">
        <w:t xml:space="preserve"> </w:t>
      </w:r>
    </w:p>
    <w:p w:rsidR="00117971" w:rsidRDefault="00117971" w:rsidP="00117971">
      <w:pPr>
        <w:pStyle w:val="FigureName0"/>
        <w:rPr>
          <w:lang w:val="en-AU"/>
        </w:rPr>
      </w:pPr>
      <w:bookmarkStart w:id="112" w:name="_Ref457226990"/>
      <w:bookmarkStart w:id="113" w:name="_Toc460572272"/>
      <w:r w:rsidRPr="00E33D9E">
        <w:lastRenderedPageBreak/>
        <w:t xml:space="preserve">Figure </w:t>
      </w:r>
      <w:r w:rsidRPr="00E33D9E">
        <w:fldChar w:fldCharType="begin"/>
      </w:r>
      <w:r w:rsidRPr="00E33D9E">
        <w:instrText xml:space="preserve"> STYLEREF 1 \s </w:instrText>
      </w:r>
      <w:r w:rsidRPr="00E33D9E">
        <w:fldChar w:fldCharType="separate"/>
      </w:r>
      <w:r w:rsidR="00B80BC7">
        <w:rPr>
          <w:noProof/>
        </w:rPr>
        <w:t>3</w:t>
      </w:r>
      <w:r w:rsidRPr="00E33D9E">
        <w:fldChar w:fldCharType="end"/>
      </w:r>
      <w:r w:rsidRPr="00E33D9E">
        <w:t>.</w:t>
      </w:r>
      <w:r w:rsidRPr="00E33D9E">
        <w:fldChar w:fldCharType="begin"/>
      </w:r>
      <w:r w:rsidRPr="00E33D9E">
        <w:instrText xml:space="preserve"> SEQ Figure \* ARABIC \s 1 </w:instrText>
      </w:r>
      <w:r w:rsidRPr="00E33D9E">
        <w:fldChar w:fldCharType="separate"/>
      </w:r>
      <w:r w:rsidR="00B80BC7">
        <w:rPr>
          <w:noProof/>
        </w:rPr>
        <w:t>6</w:t>
      </w:r>
      <w:r w:rsidRPr="00E33D9E">
        <w:fldChar w:fldCharType="end"/>
      </w:r>
      <w:bookmarkEnd w:id="112"/>
      <w:r>
        <w:tab/>
        <w:t>Indicative residential customer impact, direct move to $1.74 per kL usage charge</w:t>
      </w:r>
      <w:bookmarkEnd w:id="113"/>
    </w:p>
    <w:p w:rsidR="00117971" w:rsidRPr="00C63BD3" w:rsidRDefault="00F8101D" w:rsidP="00117971">
      <w:pPr>
        <w:rPr>
          <w:b/>
          <w:lang w:val="en-AU"/>
        </w:rPr>
      </w:pPr>
      <w:r>
        <w:rPr>
          <w:noProof/>
          <w:lang w:val="en-AU" w:eastAsia="en-AU"/>
        </w:rPr>
        <w:drawing>
          <wp:inline distT="0" distB="0" distL="0" distR="0" wp14:anchorId="30B841F0" wp14:editId="27C667CF">
            <wp:extent cx="4896485" cy="2764155"/>
            <wp:effectExtent l="0" t="0" r="18415" b="1714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F8101D" w:rsidRDefault="00F8101D" w:rsidP="003D5880">
      <w:pPr>
        <w:pStyle w:val="TableNotesLast0"/>
      </w:pPr>
      <w:r>
        <w:t>Source:</w:t>
      </w:r>
      <w:r w:rsidR="003D5880">
        <w:tab/>
        <w:t>Commission’s calculations</w:t>
      </w:r>
    </w:p>
    <w:p w:rsidR="00E858AC" w:rsidRPr="00DD73D6" w:rsidRDefault="00AF3699" w:rsidP="00DD73D6">
      <w:r>
        <w:t xml:space="preserve">Clearly, moving immediately from the current pricing situation to a more efficient arrangement with a higher supply charge and lower </w:t>
      </w:r>
      <w:r w:rsidR="00535E01">
        <w:t>usage</w:t>
      </w:r>
      <w:r>
        <w:t xml:space="preserve"> charge</w:t>
      </w:r>
      <w:r w:rsidR="00AD5318">
        <w:t>,</w:t>
      </w:r>
      <w:r>
        <w:t xml:space="preserve"> without a transition period</w:t>
      </w:r>
      <w:r w:rsidR="00AD5318">
        <w:t>,</w:t>
      </w:r>
      <w:r>
        <w:t xml:space="preserve"> would have substantial distributional impacts on customers, in particular </w:t>
      </w:r>
      <w:r w:rsidR="004C0267">
        <w:t xml:space="preserve">on </w:t>
      </w:r>
      <w:r>
        <w:t xml:space="preserve">low volume water users, and therefore be inconsistent with principle </w:t>
      </w:r>
      <w:r w:rsidR="009F2514">
        <w:t>7</w:t>
      </w:r>
      <w:r>
        <w:t>.</w:t>
      </w:r>
    </w:p>
    <w:p w:rsidR="00E858AC" w:rsidRDefault="00444496" w:rsidP="00F22E2F">
      <w:pPr>
        <w:pStyle w:val="Heading3"/>
      </w:pPr>
      <w:r>
        <w:t>Summary</w:t>
      </w:r>
      <w:r w:rsidR="00A42F74">
        <w:t xml:space="preserve"> assessment</w:t>
      </w:r>
    </w:p>
    <w:p w:rsidR="00444496" w:rsidRPr="00444496" w:rsidRDefault="00A42F74" w:rsidP="00444496">
      <w:r>
        <w:fldChar w:fldCharType="begin"/>
      </w:r>
      <w:r>
        <w:instrText xml:space="preserve"> REF _Ref457228962 \h </w:instrText>
      </w:r>
      <w:r>
        <w:fldChar w:fldCharType="separate"/>
      </w:r>
      <w:r w:rsidR="00B80BC7" w:rsidRPr="003C3AEA">
        <w:t>Table</w:t>
      </w:r>
      <w:r w:rsidR="00B80BC7">
        <w:t xml:space="preserve"> </w:t>
      </w:r>
      <w:r w:rsidR="00B80BC7">
        <w:rPr>
          <w:noProof/>
        </w:rPr>
        <w:t>3</w:t>
      </w:r>
      <w:r w:rsidR="00B80BC7">
        <w:t>.</w:t>
      </w:r>
      <w:r w:rsidR="00B80BC7">
        <w:rPr>
          <w:noProof/>
        </w:rPr>
        <w:t>2</w:t>
      </w:r>
      <w:r>
        <w:fldChar w:fldCharType="end"/>
      </w:r>
      <w:r>
        <w:t xml:space="preserve"> shows the summary assessment of the alternative water tariff structure against the draft pricing principles. The alternative structure, subject to an appropriate transition period</w:t>
      </w:r>
      <w:r w:rsidR="00C86B6C">
        <w:t xml:space="preserve"> to comply with principle </w:t>
      </w:r>
      <w:r w:rsidR="00495CEE">
        <w:t>7</w:t>
      </w:r>
      <w:r w:rsidR="00C86B6C">
        <w:t xml:space="preserve">, </w:t>
      </w:r>
      <w:r w:rsidR="003E2FAA">
        <w:t xml:space="preserve">would be </w:t>
      </w:r>
      <w:r>
        <w:t xml:space="preserve">consistent with all the pricing principles, </w:t>
      </w:r>
      <w:r w:rsidR="00C86B6C">
        <w:t xml:space="preserve">and in particular </w:t>
      </w:r>
      <w:r>
        <w:t>the first, which requires a tariff that sends cost-reflective price signals</w:t>
      </w:r>
      <w:r w:rsidR="00C86B6C">
        <w:t>.</w:t>
      </w:r>
    </w:p>
    <w:p w:rsidR="005D11B0" w:rsidRDefault="005D11B0" w:rsidP="005D11B0">
      <w:pPr>
        <w:pStyle w:val="FigureName"/>
        <w:keepNext/>
      </w:pPr>
      <w:bookmarkStart w:id="114" w:name="_Ref457228962"/>
      <w:bookmarkStart w:id="115" w:name="_Toc460572249"/>
      <w:r w:rsidRPr="003C3AEA">
        <w:lastRenderedPageBreak/>
        <w:t>Table</w:t>
      </w:r>
      <w:r>
        <w:t xml:space="preserve"> </w:t>
      </w:r>
      <w:r>
        <w:fldChar w:fldCharType="begin"/>
      </w:r>
      <w:r>
        <w:instrText xml:space="preserve"> STYLEREF 1 \s </w:instrText>
      </w:r>
      <w:r>
        <w:fldChar w:fldCharType="separate"/>
      </w:r>
      <w:r w:rsidR="00B80BC7">
        <w:rPr>
          <w:noProof/>
        </w:rPr>
        <w:t>3</w:t>
      </w:r>
      <w:r>
        <w:fldChar w:fldCharType="end"/>
      </w:r>
      <w:r>
        <w:t>.</w:t>
      </w:r>
      <w:r>
        <w:fldChar w:fldCharType="begin"/>
      </w:r>
      <w:r>
        <w:instrText xml:space="preserve"> SEQ Table \* ARABIC \s 1 </w:instrText>
      </w:r>
      <w:r>
        <w:fldChar w:fldCharType="separate"/>
      </w:r>
      <w:r w:rsidR="00B80BC7">
        <w:rPr>
          <w:noProof/>
        </w:rPr>
        <w:t>2</w:t>
      </w:r>
      <w:r>
        <w:fldChar w:fldCharType="end"/>
      </w:r>
      <w:bookmarkEnd w:id="114"/>
      <w:r>
        <w:tab/>
        <w:t xml:space="preserve">Summary assessment of </w:t>
      </w:r>
      <w:r w:rsidR="000040B5">
        <w:t xml:space="preserve">the </w:t>
      </w:r>
      <w:r w:rsidR="0062169A">
        <w:t xml:space="preserve">alternative </w:t>
      </w:r>
      <w:r>
        <w:t>water tariff structure</w:t>
      </w:r>
      <w:bookmarkEnd w:id="115"/>
    </w:p>
    <w:tbl>
      <w:tblPr>
        <w:tblW w:w="5324" w:type="pct"/>
        <w:tblBorders>
          <w:top w:val="single" w:sz="12" w:space="0" w:color="333399"/>
          <w:bottom w:val="single" w:sz="12" w:space="0" w:color="333399"/>
        </w:tblBorders>
        <w:tblCellMar>
          <w:left w:w="115" w:type="dxa"/>
          <w:right w:w="115" w:type="dxa"/>
        </w:tblCellMar>
        <w:tblLook w:val="0000" w:firstRow="0" w:lastRow="0" w:firstColumn="0" w:lastColumn="0" w:noHBand="0" w:noVBand="0"/>
      </w:tblPr>
      <w:tblGrid>
        <w:gridCol w:w="1127"/>
        <w:gridCol w:w="2013"/>
        <w:gridCol w:w="1163"/>
        <w:gridCol w:w="3908"/>
      </w:tblGrid>
      <w:tr w:rsidR="008A2BD6" w:rsidRPr="00144F8C" w:rsidTr="008A2BD6">
        <w:trPr>
          <w:cantSplit/>
        </w:trPr>
        <w:tc>
          <w:tcPr>
            <w:tcW w:w="686" w:type="pct"/>
            <w:tcBorders>
              <w:top w:val="single" w:sz="12" w:space="0" w:color="1F497D" w:themeColor="text2"/>
              <w:left w:val="nil"/>
              <w:bottom w:val="single" w:sz="8" w:space="0" w:color="1F497D" w:themeColor="text2"/>
              <w:right w:val="nil"/>
            </w:tcBorders>
            <w:shd w:val="clear" w:color="auto" w:fill="DBE5F1" w:themeFill="accent1" w:themeFillTint="33"/>
          </w:tcPr>
          <w:p w:rsidR="008A2BD6" w:rsidRDefault="008A2BD6" w:rsidP="008A2BD6">
            <w:pPr>
              <w:pStyle w:val="TableHeadingLeft"/>
              <w:keepNext/>
            </w:pPr>
            <w:r>
              <w:t>Stream</w:t>
            </w:r>
          </w:p>
        </w:tc>
        <w:tc>
          <w:tcPr>
            <w:tcW w:w="1226" w:type="pct"/>
            <w:tcBorders>
              <w:top w:val="single" w:sz="12" w:space="0" w:color="1F497D" w:themeColor="text2"/>
              <w:left w:val="nil"/>
              <w:bottom w:val="single" w:sz="8" w:space="0" w:color="1F497D" w:themeColor="text2"/>
              <w:right w:val="nil"/>
            </w:tcBorders>
            <w:shd w:val="clear" w:color="auto" w:fill="DBE5F1" w:themeFill="accent1" w:themeFillTint="33"/>
            <w:vAlign w:val="bottom"/>
          </w:tcPr>
          <w:p w:rsidR="008A2BD6" w:rsidRPr="00347ADB" w:rsidRDefault="008A2BD6" w:rsidP="008A2BD6">
            <w:pPr>
              <w:pStyle w:val="TableHeadingLeft"/>
              <w:keepNext/>
            </w:pPr>
            <w:r>
              <w:t>Principles</w:t>
            </w:r>
          </w:p>
        </w:tc>
        <w:tc>
          <w:tcPr>
            <w:tcW w:w="708" w:type="pct"/>
            <w:tcBorders>
              <w:top w:val="single" w:sz="12" w:space="0" w:color="1F497D" w:themeColor="text2"/>
              <w:left w:val="nil"/>
              <w:bottom w:val="single" w:sz="8" w:space="0" w:color="1F497D" w:themeColor="text2"/>
              <w:right w:val="nil"/>
            </w:tcBorders>
            <w:shd w:val="clear" w:color="auto" w:fill="DBE5F1" w:themeFill="accent1" w:themeFillTint="33"/>
            <w:vAlign w:val="bottom"/>
          </w:tcPr>
          <w:p w:rsidR="008A2BD6" w:rsidRPr="00347ADB" w:rsidRDefault="008A2BD6" w:rsidP="008A2BD6">
            <w:pPr>
              <w:pStyle w:val="TableHeadingLeft"/>
              <w:keepNext/>
              <w:jc w:val="center"/>
            </w:pPr>
            <w:r>
              <w:t>Assessment</w:t>
            </w:r>
          </w:p>
        </w:tc>
        <w:tc>
          <w:tcPr>
            <w:tcW w:w="2380" w:type="pct"/>
            <w:tcBorders>
              <w:top w:val="single" w:sz="12" w:space="0" w:color="1F497D" w:themeColor="text2"/>
              <w:left w:val="nil"/>
              <w:bottom w:val="single" w:sz="8" w:space="0" w:color="1F497D" w:themeColor="text2"/>
              <w:right w:val="nil"/>
            </w:tcBorders>
            <w:shd w:val="clear" w:color="auto" w:fill="DBE5F1" w:themeFill="accent1" w:themeFillTint="33"/>
          </w:tcPr>
          <w:p w:rsidR="008A2BD6" w:rsidRDefault="008A2BD6" w:rsidP="008A2BD6">
            <w:pPr>
              <w:pStyle w:val="TableHeadingLeft"/>
              <w:keepNext/>
            </w:pPr>
            <w:r>
              <w:t>Comment</w:t>
            </w:r>
          </w:p>
        </w:tc>
      </w:tr>
      <w:tr w:rsidR="008A2BD6" w:rsidRPr="00144F8C" w:rsidTr="00D90D0B">
        <w:trPr>
          <w:cantSplit/>
        </w:trPr>
        <w:tc>
          <w:tcPr>
            <w:tcW w:w="686" w:type="pct"/>
            <w:vMerge w:val="restart"/>
            <w:tcBorders>
              <w:top w:val="nil"/>
              <w:left w:val="nil"/>
              <w:right w:val="nil"/>
            </w:tcBorders>
            <w:shd w:val="clear" w:color="auto" w:fill="DDD9C3" w:themeFill="background2" w:themeFillShade="E6"/>
          </w:tcPr>
          <w:p w:rsidR="008A2BD6" w:rsidRPr="00C11641" w:rsidRDefault="008A2BD6" w:rsidP="008A2BD6">
            <w:pPr>
              <w:pStyle w:val="TableHeadingLeft"/>
              <w:keepNext/>
            </w:pPr>
            <w:r>
              <w:t>Economic e</w:t>
            </w:r>
            <w:r w:rsidRPr="00C11641">
              <w:t>fficiency</w:t>
            </w:r>
          </w:p>
        </w:tc>
        <w:tc>
          <w:tcPr>
            <w:tcW w:w="1226" w:type="pct"/>
            <w:tcBorders>
              <w:top w:val="nil"/>
              <w:left w:val="nil"/>
              <w:bottom w:val="nil"/>
              <w:right w:val="nil"/>
            </w:tcBorders>
            <w:shd w:val="clear" w:color="auto" w:fill="DDD9C3" w:themeFill="background2" w:themeFillShade="E6"/>
          </w:tcPr>
          <w:p w:rsidR="008A2BD6" w:rsidRPr="008D70AD" w:rsidRDefault="008A2BD6" w:rsidP="008A2BD6">
            <w:pPr>
              <w:pStyle w:val="TableHeadingLeft"/>
              <w:keepNext/>
              <w:rPr>
                <w:b w:val="0"/>
              </w:rPr>
            </w:pPr>
            <w:r w:rsidRPr="008D70AD">
              <w:rPr>
                <w:b w:val="0"/>
              </w:rPr>
              <w:t>1 Economic efficiency</w:t>
            </w:r>
          </w:p>
        </w:tc>
        <w:tc>
          <w:tcPr>
            <w:tcW w:w="708" w:type="pct"/>
            <w:tcBorders>
              <w:top w:val="nil"/>
              <w:left w:val="nil"/>
              <w:bottom w:val="nil"/>
              <w:right w:val="nil"/>
            </w:tcBorders>
            <w:shd w:val="clear" w:color="auto" w:fill="DDD9C3" w:themeFill="background2" w:themeFillShade="E6"/>
          </w:tcPr>
          <w:p w:rsidR="008A2BD6" w:rsidRPr="008D70AD" w:rsidRDefault="008A2BD6" w:rsidP="008A2BD6">
            <w:pPr>
              <w:pStyle w:val="TableHeadingLeft"/>
              <w:keepNext/>
              <w:jc w:val="center"/>
              <w:rPr>
                <w:b w:val="0"/>
              </w:rPr>
            </w:pPr>
            <w:r>
              <w:rPr>
                <w:b w:val="0"/>
              </w:rPr>
              <w:sym w:font="Wingdings" w:char="F0FC"/>
            </w:r>
          </w:p>
        </w:tc>
        <w:tc>
          <w:tcPr>
            <w:tcW w:w="2380" w:type="pct"/>
            <w:tcBorders>
              <w:top w:val="nil"/>
              <w:left w:val="nil"/>
              <w:bottom w:val="nil"/>
              <w:right w:val="nil"/>
            </w:tcBorders>
            <w:shd w:val="clear" w:color="auto" w:fill="DDD9C3" w:themeFill="background2" w:themeFillShade="E6"/>
          </w:tcPr>
          <w:p w:rsidR="008A2BD6" w:rsidRPr="008D70AD" w:rsidRDefault="008A2BD6" w:rsidP="008A2BD6">
            <w:pPr>
              <w:pStyle w:val="TableHeadingLeft"/>
              <w:keepNext/>
              <w:rPr>
                <w:b w:val="0"/>
              </w:rPr>
            </w:pPr>
            <w:r>
              <w:rPr>
                <w:b w:val="0"/>
              </w:rPr>
              <w:t>The single water usage charge is set with reference to marginal cost</w:t>
            </w:r>
          </w:p>
        </w:tc>
      </w:tr>
      <w:tr w:rsidR="008A2BD6" w:rsidRPr="00144F8C" w:rsidTr="00D90D0B">
        <w:trPr>
          <w:cantSplit/>
        </w:trPr>
        <w:tc>
          <w:tcPr>
            <w:tcW w:w="686" w:type="pct"/>
            <w:vMerge/>
            <w:tcBorders>
              <w:left w:val="nil"/>
              <w:right w:val="nil"/>
            </w:tcBorders>
            <w:shd w:val="clear" w:color="auto" w:fill="DDD9C3" w:themeFill="background2" w:themeFillShade="E6"/>
          </w:tcPr>
          <w:p w:rsidR="008A2BD6" w:rsidRDefault="008A2BD6" w:rsidP="008A2BD6">
            <w:pPr>
              <w:pStyle w:val="TableHeadingLeft"/>
              <w:keepNext/>
              <w:rPr>
                <w:b w:val="0"/>
              </w:rPr>
            </w:pPr>
          </w:p>
        </w:tc>
        <w:tc>
          <w:tcPr>
            <w:tcW w:w="1226" w:type="pct"/>
            <w:tcBorders>
              <w:top w:val="nil"/>
              <w:left w:val="nil"/>
              <w:bottom w:val="nil"/>
              <w:right w:val="nil"/>
            </w:tcBorders>
            <w:shd w:val="clear" w:color="auto" w:fill="DDD9C3" w:themeFill="background2" w:themeFillShade="E6"/>
          </w:tcPr>
          <w:p w:rsidR="008A2BD6" w:rsidRDefault="008A2BD6" w:rsidP="008A2BD6">
            <w:pPr>
              <w:pStyle w:val="TableHeadingLeft"/>
              <w:keepNext/>
              <w:rPr>
                <w:b w:val="0"/>
              </w:rPr>
            </w:pPr>
            <w:r>
              <w:rPr>
                <w:b w:val="0"/>
              </w:rPr>
              <w:t>2 Cost-benefit</w:t>
            </w:r>
          </w:p>
        </w:tc>
        <w:tc>
          <w:tcPr>
            <w:tcW w:w="708" w:type="pct"/>
            <w:tcBorders>
              <w:top w:val="nil"/>
              <w:left w:val="nil"/>
              <w:bottom w:val="nil"/>
              <w:right w:val="nil"/>
            </w:tcBorders>
            <w:shd w:val="clear" w:color="auto" w:fill="DDD9C3" w:themeFill="background2" w:themeFillShade="E6"/>
          </w:tcPr>
          <w:p w:rsidR="008A2BD6" w:rsidRDefault="008A2BD6" w:rsidP="008A2BD6">
            <w:pPr>
              <w:pStyle w:val="TableHeadingLeft"/>
              <w:keepNext/>
              <w:jc w:val="center"/>
              <w:rPr>
                <w:b w:val="0"/>
              </w:rPr>
            </w:pPr>
            <w:r>
              <w:rPr>
                <w:b w:val="0"/>
              </w:rPr>
              <w:sym w:font="Wingdings" w:char="F0FC"/>
            </w:r>
          </w:p>
        </w:tc>
        <w:tc>
          <w:tcPr>
            <w:tcW w:w="2380" w:type="pct"/>
            <w:tcBorders>
              <w:top w:val="nil"/>
              <w:left w:val="nil"/>
              <w:bottom w:val="nil"/>
              <w:right w:val="nil"/>
            </w:tcBorders>
            <w:shd w:val="clear" w:color="auto" w:fill="DDD9C3" w:themeFill="background2" w:themeFillShade="E6"/>
          </w:tcPr>
          <w:p w:rsidR="008A2BD6" w:rsidRDefault="008A2BD6" w:rsidP="008A2BD6">
            <w:pPr>
              <w:pStyle w:val="TableHeadingLeft"/>
              <w:keepNext/>
              <w:rPr>
                <w:b w:val="0"/>
              </w:rPr>
            </w:pPr>
            <w:r>
              <w:rPr>
                <w:b w:val="0"/>
              </w:rPr>
              <w:t>Given the magnitude of the discrepancy between marginal cost and current top tier price, the efficiency benefits are likely to outweigh the costs of moving to this tariff structure</w:t>
            </w:r>
          </w:p>
        </w:tc>
      </w:tr>
      <w:tr w:rsidR="008A2BD6" w:rsidRPr="00144F8C" w:rsidTr="00D90D0B">
        <w:trPr>
          <w:cantSplit/>
        </w:trPr>
        <w:tc>
          <w:tcPr>
            <w:tcW w:w="686" w:type="pct"/>
            <w:vMerge/>
            <w:tcBorders>
              <w:left w:val="nil"/>
              <w:bottom w:val="nil"/>
              <w:right w:val="nil"/>
            </w:tcBorders>
            <w:shd w:val="clear" w:color="auto" w:fill="DDD9C3" w:themeFill="background2" w:themeFillShade="E6"/>
          </w:tcPr>
          <w:p w:rsidR="008A2BD6" w:rsidRDefault="008A2BD6" w:rsidP="008A2BD6">
            <w:pPr>
              <w:pStyle w:val="TableHeadingLeft"/>
              <w:keepNext/>
              <w:rPr>
                <w:b w:val="0"/>
              </w:rPr>
            </w:pPr>
          </w:p>
        </w:tc>
        <w:tc>
          <w:tcPr>
            <w:tcW w:w="1226" w:type="pct"/>
            <w:tcBorders>
              <w:top w:val="nil"/>
              <w:left w:val="nil"/>
              <w:bottom w:val="nil"/>
              <w:right w:val="nil"/>
            </w:tcBorders>
            <w:shd w:val="clear" w:color="auto" w:fill="DDD9C3" w:themeFill="background2" w:themeFillShade="E6"/>
          </w:tcPr>
          <w:p w:rsidR="008A2BD6" w:rsidRPr="008D70AD" w:rsidRDefault="008A2BD6" w:rsidP="008A2BD6">
            <w:pPr>
              <w:pStyle w:val="TableHeadingLeft"/>
              <w:keepNext/>
              <w:rPr>
                <w:b w:val="0"/>
              </w:rPr>
            </w:pPr>
            <w:r>
              <w:rPr>
                <w:b w:val="0"/>
              </w:rPr>
              <w:t>3 Cross-subsidy</w:t>
            </w:r>
          </w:p>
        </w:tc>
        <w:tc>
          <w:tcPr>
            <w:tcW w:w="708" w:type="pct"/>
            <w:tcBorders>
              <w:top w:val="nil"/>
              <w:left w:val="nil"/>
              <w:bottom w:val="nil"/>
              <w:right w:val="nil"/>
            </w:tcBorders>
            <w:shd w:val="clear" w:color="auto" w:fill="DDD9C3" w:themeFill="background2" w:themeFillShade="E6"/>
          </w:tcPr>
          <w:p w:rsidR="008A2BD6" w:rsidRDefault="008A2BD6" w:rsidP="008A2BD6">
            <w:pPr>
              <w:pStyle w:val="TableHeadingLeft"/>
              <w:keepNext/>
              <w:jc w:val="center"/>
              <w:rPr>
                <w:b w:val="0"/>
              </w:rPr>
            </w:pPr>
            <w:r>
              <w:rPr>
                <w:b w:val="0"/>
              </w:rPr>
              <w:sym w:font="Wingdings" w:char="F0FC"/>
            </w:r>
          </w:p>
        </w:tc>
        <w:tc>
          <w:tcPr>
            <w:tcW w:w="2380" w:type="pct"/>
            <w:tcBorders>
              <w:top w:val="nil"/>
              <w:left w:val="nil"/>
              <w:bottom w:val="nil"/>
              <w:right w:val="nil"/>
            </w:tcBorders>
            <w:shd w:val="clear" w:color="auto" w:fill="DDD9C3" w:themeFill="background2" w:themeFillShade="E6"/>
          </w:tcPr>
          <w:p w:rsidR="008A2BD6" w:rsidRDefault="008A2BD6" w:rsidP="008A2BD6">
            <w:pPr>
              <w:pStyle w:val="TableHeadingLeft"/>
              <w:keepNext/>
              <w:rPr>
                <w:b w:val="0"/>
              </w:rPr>
            </w:pPr>
            <w:r>
              <w:rPr>
                <w:b w:val="0"/>
              </w:rPr>
              <w:t>Provides for differentiation between customer classes</w:t>
            </w:r>
          </w:p>
        </w:tc>
      </w:tr>
      <w:tr w:rsidR="008A2BD6" w:rsidRPr="00144F8C" w:rsidTr="00D90D0B">
        <w:trPr>
          <w:cantSplit/>
        </w:trPr>
        <w:tc>
          <w:tcPr>
            <w:tcW w:w="686" w:type="pct"/>
            <w:vMerge w:val="restart"/>
            <w:tcBorders>
              <w:top w:val="nil"/>
              <w:left w:val="nil"/>
              <w:right w:val="nil"/>
            </w:tcBorders>
            <w:shd w:val="clear" w:color="auto" w:fill="FDE9D9" w:themeFill="accent6" w:themeFillTint="33"/>
          </w:tcPr>
          <w:p w:rsidR="008A2BD6" w:rsidRPr="00C11641" w:rsidRDefault="008A2BD6" w:rsidP="008A2BD6">
            <w:pPr>
              <w:pStyle w:val="TableHeadingLeft"/>
              <w:keepNext/>
            </w:pPr>
            <w:r w:rsidRPr="00C11641">
              <w:t>Financial viability</w:t>
            </w:r>
          </w:p>
        </w:tc>
        <w:tc>
          <w:tcPr>
            <w:tcW w:w="1226" w:type="pct"/>
            <w:tcBorders>
              <w:top w:val="nil"/>
              <w:left w:val="nil"/>
              <w:bottom w:val="nil"/>
              <w:right w:val="nil"/>
            </w:tcBorders>
            <w:shd w:val="clear" w:color="auto" w:fill="FDE9D9" w:themeFill="accent6" w:themeFillTint="33"/>
          </w:tcPr>
          <w:p w:rsidR="008A2BD6" w:rsidRPr="008D70AD" w:rsidRDefault="008A2BD6" w:rsidP="008A2BD6">
            <w:pPr>
              <w:pStyle w:val="TableHeadingLeft"/>
              <w:keepNext/>
              <w:rPr>
                <w:b w:val="0"/>
              </w:rPr>
            </w:pPr>
            <w:r>
              <w:rPr>
                <w:b w:val="0"/>
              </w:rPr>
              <w:t>4</w:t>
            </w:r>
            <w:r w:rsidRPr="008D70AD">
              <w:rPr>
                <w:b w:val="0"/>
              </w:rPr>
              <w:t xml:space="preserve"> Full cost recovery</w:t>
            </w:r>
          </w:p>
        </w:tc>
        <w:tc>
          <w:tcPr>
            <w:tcW w:w="708" w:type="pct"/>
            <w:tcBorders>
              <w:top w:val="nil"/>
              <w:left w:val="nil"/>
              <w:bottom w:val="nil"/>
              <w:right w:val="nil"/>
            </w:tcBorders>
            <w:shd w:val="clear" w:color="auto" w:fill="FDE9D9" w:themeFill="accent6" w:themeFillTint="33"/>
          </w:tcPr>
          <w:p w:rsidR="008A2BD6" w:rsidRPr="008D70AD" w:rsidRDefault="008A2BD6" w:rsidP="008A2BD6">
            <w:pPr>
              <w:pStyle w:val="TableHeadingLeft"/>
              <w:keepNext/>
              <w:jc w:val="center"/>
              <w:rPr>
                <w:b w:val="0"/>
              </w:rPr>
            </w:pPr>
            <w:r>
              <w:rPr>
                <w:b w:val="0"/>
              </w:rPr>
              <w:sym w:font="Wingdings" w:char="F0FC"/>
            </w:r>
          </w:p>
        </w:tc>
        <w:tc>
          <w:tcPr>
            <w:tcW w:w="2380" w:type="pct"/>
            <w:tcBorders>
              <w:top w:val="nil"/>
              <w:left w:val="nil"/>
              <w:bottom w:val="nil"/>
              <w:right w:val="nil"/>
            </w:tcBorders>
            <w:shd w:val="clear" w:color="auto" w:fill="FDE9D9" w:themeFill="accent6" w:themeFillTint="33"/>
          </w:tcPr>
          <w:p w:rsidR="008A2BD6" w:rsidRPr="008D70AD" w:rsidRDefault="008A2BD6" w:rsidP="008A2BD6">
            <w:pPr>
              <w:pStyle w:val="TableHeadingLeft"/>
              <w:keepNext/>
              <w:rPr>
                <w:b w:val="0"/>
              </w:rPr>
            </w:pPr>
            <w:r>
              <w:rPr>
                <w:b w:val="0"/>
              </w:rPr>
              <w:t>Price levels can be set to recover the revenue requirement</w:t>
            </w:r>
          </w:p>
        </w:tc>
      </w:tr>
      <w:tr w:rsidR="008A2BD6" w:rsidRPr="00144F8C" w:rsidTr="00D90D0B">
        <w:trPr>
          <w:cantSplit/>
        </w:trPr>
        <w:tc>
          <w:tcPr>
            <w:tcW w:w="686" w:type="pct"/>
            <w:vMerge/>
            <w:tcBorders>
              <w:left w:val="nil"/>
              <w:bottom w:val="nil"/>
              <w:right w:val="nil"/>
            </w:tcBorders>
            <w:shd w:val="clear" w:color="auto" w:fill="FDE9D9" w:themeFill="accent6" w:themeFillTint="33"/>
          </w:tcPr>
          <w:p w:rsidR="008A2BD6" w:rsidRDefault="008A2BD6" w:rsidP="008A2BD6">
            <w:pPr>
              <w:pStyle w:val="TableTextLeft"/>
              <w:keepNext/>
              <w:rPr>
                <w:b/>
              </w:rPr>
            </w:pPr>
          </w:p>
        </w:tc>
        <w:tc>
          <w:tcPr>
            <w:tcW w:w="1226" w:type="pct"/>
            <w:tcBorders>
              <w:top w:val="nil"/>
              <w:left w:val="nil"/>
              <w:bottom w:val="nil"/>
              <w:right w:val="nil"/>
            </w:tcBorders>
            <w:shd w:val="clear" w:color="auto" w:fill="FDE9D9" w:themeFill="accent6" w:themeFillTint="33"/>
          </w:tcPr>
          <w:p w:rsidR="008A2BD6" w:rsidRPr="008D70AD" w:rsidRDefault="008A2BD6" w:rsidP="008A2BD6">
            <w:pPr>
              <w:pStyle w:val="TableTextLeft"/>
              <w:keepNext/>
            </w:pPr>
            <w:r>
              <w:t>5</w:t>
            </w:r>
            <w:r w:rsidRPr="008D70AD">
              <w:t xml:space="preserve"> Revenue sustainability</w:t>
            </w:r>
          </w:p>
        </w:tc>
        <w:tc>
          <w:tcPr>
            <w:tcW w:w="708" w:type="pct"/>
            <w:tcBorders>
              <w:top w:val="nil"/>
              <w:left w:val="nil"/>
              <w:bottom w:val="nil"/>
              <w:right w:val="nil"/>
            </w:tcBorders>
            <w:shd w:val="clear" w:color="auto" w:fill="FDE9D9" w:themeFill="accent6" w:themeFillTint="33"/>
          </w:tcPr>
          <w:p w:rsidR="008A2BD6" w:rsidRPr="008D70AD" w:rsidRDefault="008A2BD6" w:rsidP="008A2BD6">
            <w:pPr>
              <w:pStyle w:val="TableTextLeft"/>
              <w:keepNext/>
              <w:jc w:val="center"/>
            </w:pPr>
            <w:r>
              <w:rPr>
                <w:b/>
              </w:rPr>
              <w:sym w:font="Wingdings" w:char="F0FC"/>
            </w:r>
          </w:p>
        </w:tc>
        <w:tc>
          <w:tcPr>
            <w:tcW w:w="2380" w:type="pct"/>
            <w:tcBorders>
              <w:top w:val="nil"/>
              <w:left w:val="nil"/>
              <w:bottom w:val="nil"/>
              <w:right w:val="nil"/>
            </w:tcBorders>
            <w:shd w:val="clear" w:color="auto" w:fill="FDE9D9" w:themeFill="accent6" w:themeFillTint="33"/>
          </w:tcPr>
          <w:p w:rsidR="008A2BD6" w:rsidRPr="008D70AD" w:rsidRDefault="008A2BD6" w:rsidP="008A2BD6">
            <w:pPr>
              <w:pStyle w:val="TableTextLeft"/>
              <w:keepNext/>
            </w:pPr>
            <w:r>
              <w:t>Revenue risk will reduce as reliance on usage charges falls and move to single charge removes need to separately forecast tier consumption</w:t>
            </w:r>
          </w:p>
        </w:tc>
      </w:tr>
      <w:tr w:rsidR="008A2BD6" w:rsidRPr="00144F8C" w:rsidTr="00D90D0B">
        <w:trPr>
          <w:cantSplit/>
          <w:trHeight w:val="318"/>
        </w:trPr>
        <w:tc>
          <w:tcPr>
            <w:tcW w:w="686" w:type="pct"/>
            <w:vMerge w:val="restart"/>
            <w:tcBorders>
              <w:top w:val="nil"/>
              <w:left w:val="nil"/>
              <w:right w:val="nil"/>
            </w:tcBorders>
            <w:shd w:val="clear" w:color="auto" w:fill="DBE5F1" w:themeFill="accent1" w:themeFillTint="33"/>
          </w:tcPr>
          <w:p w:rsidR="008A2BD6" w:rsidRDefault="008A2BD6" w:rsidP="008A2BD6">
            <w:pPr>
              <w:pStyle w:val="TableTextLeft"/>
              <w:keepNext/>
              <w:rPr>
                <w:b/>
              </w:rPr>
            </w:pPr>
            <w:r>
              <w:rPr>
                <w:b/>
              </w:rPr>
              <w:t>Community impact</w:t>
            </w:r>
          </w:p>
        </w:tc>
        <w:tc>
          <w:tcPr>
            <w:tcW w:w="1226" w:type="pct"/>
            <w:tcBorders>
              <w:top w:val="nil"/>
              <w:left w:val="nil"/>
              <w:bottom w:val="nil"/>
              <w:right w:val="nil"/>
            </w:tcBorders>
            <w:shd w:val="clear" w:color="auto" w:fill="DBE5F1" w:themeFill="accent1" w:themeFillTint="33"/>
          </w:tcPr>
          <w:p w:rsidR="008A2BD6" w:rsidRPr="008D70AD" w:rsidRDefault="008A2BD6" w:rsidP="008A2BD6">
            <w:pPr>
              <w:pStyle w:val="TableTextLeft"/>
              <w:keepNext/>
            </w:pPr>
            <w:r>
              <w:t>6</w:t>
            </w:r>
            <w:r w:rsidRPr="008D70AD">
              <w:t xml:space="preserve"> Stability over time</w:t>
            </w:r>
          </w:p>
        </w:tc>
        <w:tc>
          <w:tcPr>
            <w:tcW w:w="708" w:type="pct"/>
            <w:tcBorders>
              <w:top w:val="nil"/>
              <w:left w:val="nil"/>
              <w:bottom w:val="nil"/>
              <w:right w:val="nil"/>
            </w:tcBorders>
            <w:shd w:val="clear" w:color="auto" w:fill="DBE5F1" w:themeFill="accent1" w:themeFillTint="33"/>
          </w:tcPr>
          <w:p w:rsidR="008A2BD6" w:rsidRPr="008D70AD" w:rsidRDefault="008A2BD6" w:rsidP="008A2BD6">
            <w:pPr>
              <w:pStyle w:val="TableTextLeft"/>
              <w:keepNext/>
              <w:jc w:val="center"/>
            </w:pPr>
            <w:r>
              <w:rPr>
                <w:b/>
              </w:rPr>
              <w:sym w:font="Wingdings" w:char="F0FC"/>
            </w:r>
          </w:p>
        </w:tc>
        <w:tc>
          <w:tcPr>
            <w:tcW w:w="2380" w:type="pct"/>
            <w:tcBorders>
              <w:top w:val="nil"/>
              <w:left w:val="nil"/>
              <w:bottom w:val="nil"/>
              <w:right w:val="nil"/>
            </w:tcBorders>
            <w:shd w:val="clear" w:color="auto" w:fill="DBE5F1" w:themeFill="accent1" w:themeFillTint="33"/>
          </w:tcPr>
          <w:p w:rsidR="008A2BD6" w:rsidRPr="008D70AD" w:rsidRDefault="008A2BD6" w:rsidP="008A2BD6">
            <w:pPr>
              <w:pStyle w:val="TableTextLeft"/>
              <w:keepNext/>
            </w:pPr>
            <w:r>
              <w:t>Usage charge can be adjusted over time as the marginal cost changes</w:t>
            </w:r>
          </w:p>
        </w:tc>
      </w:tr>
      <w:tr w:rsidR="008A2BD6" w:rsidRPr="00144F8C" w:rsidTr="00D90D0B">
        <w:trPr>
          <w:cantSplit/>
          <w:trHeight w:val="318"/>
        </w:trPr>
        <w:tc>
          <w:tcPr>
            <w:tcW w:w="686" w:type="pct"/>
            <w:vMerge/>
            <w:tcBorders>
              <w:left w:val="nil"/>
              <w:right w:val="nil"/>
            </w:tcBorders>
            <w:shd w:val="clear" w:color="auto" w:fill="DBE5F1" w:themeFill="accent1" w:themeFillTint="33"/>
          </w:tcPr>
          <w:p w:rsidR="008A2BD6" w:rsidRDefault="008A2BD6" w:rsidP="008A2BD6">
            <w:pPr>
              <w:pStyle w:val="TableTextLeft"/>
              <w:keepNext/>
              <w:jc w:val="center"/>
              <w:rPr>
                <w:b/>
              </w:rPr>
            </w:pPr>
          </w:p>
        </w:tc>
        <w:tc>
          <w:tcPr>
            <w:tcW w:w="1226" w:type="pct"/>
            <w:tcBorders>
              <w:top w:val="nil"/>
              <w:left w:val="nil"/>
              <w:bottom w:val="nil"/>
              <w:right w:val="nil"/>
            </w:tcBorders>
            <w:shd w:val="clear" w:color="auto" w:fill="DBE5F1" w:themeFill="accent1" w:themeFillTint="33"/>
          </w:tcPr>
          <w:p w:rsidR="008A2BD6" w:rsidRPr="008D70AD" w:rsidRDefault="008A2BD6" w:rsidP="008A2BD6">
            <w:pPr>
              <w:pStyle w:val="TableTextLeft"/>
              <w:keepNext/>
            </w:pPr>
            <w:r>
              <w:t>7</w:t>
            </w:r>
            <w:r w:rsidRPr="008D70AD">
              <w:t xml:space="preserve"> Transition arrangements</w:t>
            </w:r>
          </w:p>
        </w:tc>
        <w:tc>
          <w:tcPr>
            <w:tcW w:w="708" w:type="pct"/>
            <w:tcBorders>
              <w:top w:val="nil"/>
              <w:left w:val="nil"/>
              <w:bottom w:val="nil"/>
              <w:right w:val="nil"/>
            </w:tcBorders>
            <w:shd w:val="clear" w:color="auto" w:fill="DBE5F1" w:themeFill="accent1" w:themeFillTint="33"/>
          </w:tcPr>
          <w:p w:rsidR="008A2BD6" w:rsidRPr="008D70AD" w:rsidRDefault="003E2FAA" w:rsidP="008A2BD6">
            <w:pPr>
              <w:pStyle w:val="TableTextLeft"/>
              <w:keepNext/>
              <w:jc w:val="center"/>
            </w:pPr>
            <w:r>
              <w:sym w:font="Wingdings" w:char="F0FB"/>
            </w:r>
          </w:p>
        </w:tc>
        <w:tc>
          <w:tcPr>
            <w:tcW w:w="2380" w:type="pct"/>
            <w:tcBorders>
              <w:top w:val="nil"/>
              <w:left w:val="nil"/>
              <w:bottom w:val="nil"/>
              <w:right w:val="nil"/>
            </w:tcBorders>
            <w:shd w:val="clear" w:color="auto" w:fill="DBE5F1" w:themeFill="accent1" w:themeFillTint="33"/>
          </w:tcPr>
          <w:p w:rsidR="008A2BD6" w:rsidRPr="008D70AD" w:rsidRDefault="008A2BD6" w:rsidP="008A2BD6">
            <w:pPr>
              <w:pStyle w:val="TableTextLeft"/>
              <w:keepNext/>
            </w:pPr>
            <w:r>
              <w:t xml:space="preserve">Would require a transition period as direct move to this structure would have substantial customer impacts </w:t>
            </w:r>
          </w:p>
        </w:tc>
      </w:tr>
      <w:tr w:rsidR="008A2BD6" w:rsidRPr="00144F8C" w:rsidTr="00D90D0B">
        <w:trPr>
          <w:cantSplit/>
          <w:trHeight w:val="200"/>
        </w:trPr>
        <w:tc>
          <w:tcPr>
            <w:tcW w:w="686" w:type="pct"/>
            <w:vMerge/>
            <w:tcBorders>
              <w:left w:val="nil"/>
              <w:right w:val="nil"/>
            </w:tcBorders>
            <w:shd w:val="clear" w:color="auto" w:fill="DBE5F1" w:themeFill="accent1" w:themeFillTint="33"/>
          </w:tcPr>
          <w:p w:rsidR="008A2BD6" w:rsidRDefault="008A2BD6" w:rsidP="008A2BD6">
            <w:pPr>
              <w:pStyle w:val="TableTextLeft"/>
              <w:keepNext/>
              <w:jc w:val="center"/>
              <w:rPr>
                <w:b/>
              </w:rPr>
            </w:pPr>
          </w:p>
        </w:tc>
        <w:tc>
          <w:tcPr>
            <w:tcW w:w="1226" w:type="pct"/>
            <w:tcBorders>
              <w:top w:val="nil"/>
              <w:left w:val="nil"/>
              <w:bottom w:val="nil"/>
              <w:right w:val="nil"/>
            </w:tcBorders>
            <w:shd w:val="clear" w:color="auto" w:fill="DBE5F1" w:themeFill="accent1" w:themeFillTint="33"/>
          </w:tcPr>
          <w:p w:rsidR="008A2BD6" w:rsidRPr="008D70AD" w:rsidRDefault="008A2BD6" w:rsidP="008A2BD6">
            <w:pPr>
              <w:pStyle w:val="TableTextLeft"/>
              <w:keepNext/>
            </w:pPr>
            <w:r>
              <w:t>8</w:t>
            </w:r>
            <w:r w:rsidRPr="008D70AD">
              <w:t xml:space="preserve"> Simplicity</w:t>
            </w:r>
          </w:p>
        </w:tc>
        <w:tc>
          <w:tcPr>
            <w:tcW w:w="708" w:type="pct"/>
            <w:tcBorders>
              <w:top w:val="nil"/>
              <w:left w:val="nil"/>
              <w:bottom w:val="nil"/>
              <w:right w:val="nil"/>
            </w:tcBorders>
            <w:shd w:val="clear" w:color="auto" w:fill="DBE5F1" w:themeFill="accent1" w:themeFillTint="33"/>
          </w:tcPr>
          <w:p w:rsidR="008A2BD6" w:rsidRPr="008D70AD" w:rsidRDefault="008A2BD6" w:rsidP="008A2BD6">
            <w:pPr>
              <w:pStyle w:val="TableTextLeft"/>
              <w:keepNext/>
              <w:jc w:val="center"/>
            </w:pPr>
            <w:r>
              <w:rPr>
                <w:b/>
              </w:rPr>
              <w:sym w:font="Wingdings" w:char="F0FC"/>
            </w:r>
          </w:p>
        </w:tc>
        <w:tc>
          <w:tcPr>
            <w:tcW w:w="2380" w:type="pct"/>
            <w:tcBorders>
              <w:top w:val="nil"/>
              <w:left w:val="nil"/>
              <w:bottom w:val="nil"/>
              <w:right w:val="nil"/>
            </w:tcBorders>
            <w:shd w:val="clear" w:color="auto" w:fill="DBE5F1" w:themeFill="accent1" w:themeFillTint="33"/>
          </w:tcPr>
          <w:p w:rsidR="008A2BD6" w:rsidRPr="008D70AD" w:rsidRDefault="008A2BD6" w:rsidP="008A2BD6">
            <w:pPr>
              <w:pStyle w:val="TableTextLeft"/>
              <w:keepNext/>
            </w:pPr>
            <w:r>
              <w:t xml:space="preserve">Simpler than the current inclining block structure  </w:t>
            </w:r>
          </w:p>
        </w:tc>
      </w:tr>
      <w:tr w:rsidR="008A2BD6" w:rsidRPr="00144F8C" w:rsidTr="00D90D0B">
        <w:trPr>
          <w:cantSplit/>
        </w:trPr>
        <w:tc>
          <w:tcPr>
            <w:tcW w:w="686" w:type="pct"/>
            <w:vMerge/>
            <w:tcBorders>
              <w:left w:val="nil"/>
              <w:bottom w:val="single" w:sz="12" w:space="0" w:color="1F497D" w:themeColor="text2"/>
              <w:right w:val="nil"/>
            </w:tcBorders>
            <w:shd w:val="clear" w:color="auto" w:fill="DBE5F1" w:themeFill="accent1" w:themeFillTint="33"/>
          </w:tcPr>
          <w:p w:rsidR="008A2BD6" w:rsidRDefault="008A2BD6" w:rsidP="008A2BD6">
            <w:pPr>
              <w:pStyle w:val="TableTextLeft"/>
              <w:keepNext/>
              <w:jc w:val="center"/>
              <w:rPr>
                <w:b/>
              </w:rPr>
            </w:pPr>
          </w:p>
        </w:tc>
        <w:tc>
          <w:tcPr>
            <w:tcW w:w="1226" w:type="pct"/>
            <w:tcBorders>
              <w:top w:val="nil"/>
              <w:left w:val="nil"/>
              <w:bottom w:val="single" w:sz="12" w:space="0" w:color="1F497D" w:themeColor="text2"/>
              <w:right w:val="nil"/>
            </w:tcBorders>
            <w:shd w:val="clear" w:color="auto" w:fill="DBE5F1" w:themeFill="accent1" w:themeFillTint="33"/>
          </w:tcPr>
          <w:p w:rsidR="008A2BD6" w:rsidRPr="008D70AD" w:rsidRDefault="008A2BD6" w:rsidP="008A2BD6">
            <w:pPr>
              <w:pStyle w:val="TableTextLeft"/>
              <w:keepNext/>
            </w:pPr>
            <w:r>
              <w:t>9</w:t>
            </w:r>
            <w:r w:rsidRPr="008D70AD">
              <w:t xml:space="preserve"> Transparency</w:t>
            </w:r>
          </w:p>
        </w:tc>
        <w:tc>
          <w:tcPr>
            <w:tcW w:w="708" w:type="pct"/>
            <w:tcBorders>
              <w:top w:val="nil"/>
              <w:left w:val="nil"/>
              <w:bottom w:val="single" w:sz="12" w:space="0" w:color="1F497D" w:themeColor="text2"/>
              <w:right w:val="nil"/>
            </w:tcBorders>
            <w:shd w:val="clear" w:color="auto" w:fill="DBE5F1" w:themeFill="accent1" w:themeFillTint="33"/>
          </w:tcPr>
          <w:p w:rsidR="008A2BD6" w:rsidRPr="008D70AD" w:rsidRDefault="008A2BD6" w:rsidP="008A2BD6">
            <w:pPr>
              <w:pStyle w:val="TableTextLeft"/>
              <w:keepNext/>
              <w:jc w:val="center"/>
            </w:pPr>
            <w:r>
              <w:rPr>
                <w:b/>
              </w:rPr>
              <w:sym w:font="Wingdings" w:char="F0FC"/>
            </w:r>
          </w:p>
        </w:tc>
        <w:tc>
          <w:tcPr>
            <w:tcW w:w="2380" w:type="pct"/>
            <w:tcBorders>
              <w:top w:val="nil"/>
              <w:left w:val="nil"/>
              <w:bottom w:val="single" w:sz="12" w:space="0" w:color="1F497D" w:themeColor="text2"/>
              <w:right w:val="nil"/>
            </w:tcBorders>
            <w:shd w:val="clear" w:color="auto" w:fill="DBE5F1" w:themeFill="accent1" w:themeFillTint="33"/>
          </w:tcPr>
          <w:p w:rsidR="008A2BD6" w:rsidRPr="008D70AD" w:rsidRDefault="008A2BD6" w:rsidP="008A2BD6">
            <w:pPr>
              <w:pStyle w:val="TableTextLeft"/>
              <w:keepNext/>
            </w:pPr>
            <w:r>
              <w:t>Will be set through a transparent and public process</w:t>
            </w:r>
          </w:p>
        </w:tc>
      </w:tr>
    </w:tbl>
    <w:p w:rsidR="00351ECD" w:rsidRDefault="00351ECD" w:rsidP="00351ECD">
      <w:pPr>
        <w:pStyle w:val="Heading2"/>
      </w:pPr>
      <w:bookmarkStart w:id="116" w:name="_Ref457809625"/>
      <w:bookmarkStart w:id="117" w:name="_Toc460572217"/>
      <w:r>
        <w:t>Submissions and Commission’s consideration</w:t>
      </w:r>
      <w:bookmarkEnd w:id="116"/>
      <w:bookmarkEnd w:id="117"/>
    </w:p>
    <w:p w:rsidR="00351ECD" w:rsidRDefault="00351ECD" w:rsidP="00F22E2F">
      <w:pPr>
        <w:pStyle w:val="Heading3"/>
      </w:pPr>
      <w:r>
        <w:t>Submissions</w:t>
      </w:r>
    </w:p>
    <w:p w:rsidR="00351ECD" w:rsidRDefault="00351ECD" w:rsidP="00351ECD">
      <w:r>
        <w:t>The Commission received a number of submissions in support of retaining the current water tariff structure.</w:t>
      </w:r>
    </w:p>
    <w:p w:rsidR="00B17F7E" w:rsidRDefault="00351ECD" w:rsidP="00351ECD">
      <w:r>
        <w:t xml:space="preserve">The ACT Civil and Administrative </w:t>
      </w:r>
      <w:r w:rsidR="002B78E7">
        <w:t>Appeals Tribunal (ACAT) supported</w:t>
      </w:r>
      <w:r>
        <w:t xml:space="preserve"> retaining the inclining block tariff for water. In parti</w:t>
      </w:r>
      <w:r w:rsidR="005A2069">
        <w:t>cular, ACAT submitted that the T</w:t>
      </w:r>
      <w:r>
        <w:t xml:space="preserve">ier 1 price should be maintained at the current level or lower to provide access to an essential service at a reasonable price. On the </w:t>
      </w:r>
      <w:r w:rsidR="005A2069">
        <w:t>T</w:t>
      </w:r>
      <w:r>
        <w:t>ier 2 price, ACAT submitted that it should be applied to all customers, irrespective of size, at the same rate.</w:t>
      </w:r>
    </w:p>
    <w:p w:rsidR="00351ECD" w:rsidRDefault="002B78E7" w:rsidP="00B17F7E">
      <w:pPr>
        <w:keepNext/>
      </w:pPr>
      <w:r>
        <w:t>I</w:t>
      </w:r>
      <w:r w:rsidR="00351ECD">
        <w:t>n relation to environmental matters, ACAT indicated that:</w:t>
      </w:r>
    </w:p>
    <w:p w:rsidR="00351ECD" w:rsidRDefault="00351ECD" w:rsidP="00B17F7E">
      <w:pPr>
        <w:pStyle w:val="Quote"/>
        <w:keepNext/>
      </w:pPr>
      <w:r>
        <w:t>the pricing structure for water should encourage conservation and promote the development of bypass &amp; water reuse systems based on the Tier 2 price. This strategy is more likely to develop a system that avoids excessive water restrictions and the resultant revenue problems during periods of drought.</w:t>
      </w:r>
      <w:r>
        <w:rPr>
          <w:rStyle w:val="FootnoteReference"/>
        </w:rPr>
        <w:footnoteReference w:id="38"/>
      </w:r>
    </w:p>
    <w:p w:rsidR="00351ECD" w:rsidRDefault="00351ECD" w:rsidP="00351ECD">
      <w:r>
        <w:t>Similarly, Mr Jason Rae supports an inclining block tariff and submitted that water charges should be higher than they currently are to encourage water conservation for environmental reasons:</w:t>
      </w:r>
    </w:p>
    <w:p w:rsidR="00351ECD" w:rsidRDefault="00351ECD" w:rsidP="00351ECD">
      <w:pPr>
        <w:pStyle w:val="Quote"/>
      </w:pPr>
      <w:r>
        <w:lastRenderedPageBreak/>
        <w:t>I would have thought it made more sense to charge more in general and a lot more for excessive use.</w:t>
      </w:r>
      <w:r>
        <w:rPr>
          <w:rStyle w:val="FootnoteReference"/>
        </w:rPr>
        <w:footnoteReference w:id="39"/>
      </w:r>
    </w:p>
    <w:p w:rsidR="00F12555" w:rsidRDefault="00F12555" w:rsidP="00351ECD">
      <w:r>
        <w:t xml:space="preserve">In relation to the </w:t>
      </w:r>
      <w:r w:rsidR="008339CA">
        <w:t>question of whether</w:t>
      </w:r>
      <w:r>
        <w:t xml:space="preserve"> price reductions </w:t>
      </w:r>
      <w:r w:rsidR="008339CA">
        <w:t xml:space="preserve">would </w:t>
      </w:r>
      <w:r>
        <w:t>stimulate demand</w:t>
      </w:r>
      <w:r w:rsidR="008339CA">
        <w:t xml:space="preserve"> in the ACT</w:t>
      </w:r>
      <w:r>
        <w:t xml:space="preserve">, Mr Ross Knee submitted that this would not be a realistic option as Icon Water is subject to the </w:t>
      </w:r>
      <w:r w:rsidRPr="00F12555">
        <w:rPr>
          <w:i/>
        </w:rPr>
        <w:t>Territory-owned Corporations Act</w:t>
      </w:r>
      <w:r>
        <w:rPr>
          <w:i/>
        </w:rPr>
        <w:t xml:space="preserve"> 1990</w:t>
      </w:r>
      <w:r>
        <w:t xml:space="preserve"> (the TOC Act) which ‘requires the utility to be environmentally sustainable’.</w:t>
      </w:r>
      <w:r>
        <w:rPr>
          <w:rStyle w:val="FootnoteReference"/>
        </w:rPr>
        <w:footnoteReference w:id="40"/>
      </w:r>
      <w:r>
        <w:t xml:space="preserve">  </w:t>
      </w:r>
    </w:p>
    <w:p w:rsidR="00351ECD" w:rsidRDefault="00351ECD" w:rsidP="00351ECD">
      <w:r>
        <w:t>Dr Denham submitted that the current inclining block water tariff be retained but with:</w:t>
      </w:r>
    </w:p>
    <w:p w:rsidR="00351ECD" w:rsidRDefault="00351ECD" w:rsidP="00351ECD">
      <w:pPr>
        <w:pStyle w:val="Bullet"/>
      </w:pPr>
      <w:r>
        <w:t>a significant reduction in the supply charge; and</w:t>
      </w:r>
    </w:p>
    <w:p w:rsidR="00351ECD" w:rsidRDefault="00351ECD" w:rsidP="00351ECD">
      <w:pPr>
        <w:pStyle w:val="BulletLast"/>
      </w:pPr>
      <w:r>
        <w:t>a significantly reduced price for the first 40 kL of water consumed per quarter.</w:t>
      </w:r>
      <w:r>
        <w:rPr>
          <w:rStyle w:val="FootnoteReference"/>
        </w:rPr>
        <w:footnoteReference w:id="41"/>
      </w:r>
    </w:p>
    <w:p w:rsidR="00351ECD" w:rsidRDefault="00351ECD" w:rsidP="00351ECD">
      <w:r>
        <w:t>The Commission also received submissions that do not support retaining the current structure.</w:t>
      </w:r>
    </w:p>
    <w:p w:rsidR="00351ECD" w:rsidRDefault="00351ECD" w:rsidP="00351ECD">
      <w:r>
        <w:t>Dr Kristine Klugman d</w:t>
      </w:r>
      <w:r w:rsidR="002B78E7">
        <w:t xml:space="preserve">id </w:t>
      </w:r>
      <w:r>
        <w:t>not support an inclining block tariff and in particular the doubling of the water charge for water consumption over a very minimal level:</w:t>
      </w:r>
    </w:p>
    <w:p w:rsidR="00351ECD" w:rsidRDefault="00351ECD" w:rsidP="00351ECD">
      <w:pPr>
        <w:pStyle w:val="Quote"/>
      </w:pPr>
      <w:r>
        <w:t>The effect will be to kill the gardens of Canberra, because people will not be able to pay this amount of extra surcharge.</w:t>
      </w:r>
      <w:r>
        <w:rPr>
          <w:rStyle w:val="FootnoteReference"/>
        </w:rPr>
        <w:footnoteReference w:id="42"/>
      </w:r>
    </w:p>
    <w:p w:rsidR="00351ECD" w:rsidRDefault="00351ECD" w:rsidP="00351ECD">
      <w:r>
        <w:t>The Federal Golf Club submitted that it does not support the inclining block tariff but would support a declining block arrangement.</w:t>
      </w:r>
      <w:r>
        <w:rPr>
          <w:rStyle w:val="FootnoteReference"/>
        </w:rPr>
        <w:footnoteReference w:id="43"/>
      </w:r>
      <w:r>
        <w:t xml:space="preserve">  </w:t>
      </w:r>
    </w:p>
    <w:p w:rsidR="00351ECD" w:rsidRDefault="002B78E7" w:rsidP="00351ECD">
      <w:r>
        <w:t>Icon Water submit</w:t>
      </w:r>
      <w:r w:rsidR="00FA1F38">
        <w:t>ted</w:t>
      </w:r>
      <w:r>
        <w:t xml:space="preserve"> that it agrees with the finding of the Commission’s technical paper on marginal cost pricing that the </w:t>
      </w:r>
      <w:r w:rsidRPr="009B5988">
        <w:t>current water tariff structure does not appear to be providing suitable price signals to customers about the efficient use of the service infrastructure and water resource</w:t>
      </w:r>
      <w:r>
        <w:t xml:space="preserve">. </w:t>
      </w:r>
      <w:r w:rsidR="00351ECD">
        <w:t xml:space="preserve">Icon Water indicated that </w:t>
      </w:r>
      <w:r w:rsidR="00E34034">
        <w:t xml:space="preserve">it </w:t>
      </w:r>
      <w:r w:rsidR="00351ECD">
        <w:t>is intending to consult with its customers on a move away from the inclining block tariff towards a single usage price that applies to all water use.</w:t>
      </w:r>
      <w:r w:rsidR="00351ECD">
        <w:rPr>
          <w:rStyle w:val="FootnoteReference"/>
        </w:rPr>
        <w:footnoteReference w:id="44"/>
      </w:r>
    </w:p>
    <w:p w:rsidR="00021596" w:rsidRDefault="00042121" w:rsidP="00F22E2F">
      <w:r>
        <w:t>In its second submission, Icon Water provided the results of its recent customer survey on tariff structure changes</w:t>
      </w:r>
      <w:r w:rsidR="00070664">
        <w:t>, the respondents to which were predominantly residential customers</w:t>
      </w:r>
      <w:r w:rsidR="00021596">
        <w:t xml:space="preserve">. </w:t>
      </w:r>
    </w:p>
    <w:p w:rsidR="00042121" w:rsidRDefault="00042121" w:rsidP="00F22E2F">
      <w:r>
        <w:t xml:space="preserve">When asked whether they would support a move towards a single </w:t>
      </w:r>
      <w:r w:rsidR="00070664">
        <w:t xml:space="preserve">usage price, assuming no change in water bills, </w:t>
      </w:r>
      <w:r w:rsidR="00FA1F38">
        <w:t xml:space="preserve">Icon Water indicated that </w:t>
      </w:r>
      <w:r w:rsidR="00070664">
        <w:t xml:space="preserve">the majority supported </w:t>
      </w:r>
      <w:r w:rsidR="00070664">
        <w:lastRenderedPageBreak/>
        <w:t>applying the change to non-residential customers, while about half supported applying the change to all customers.</w:t>
      </w:r>
      <w:r w:rsidR="00070664">
        <w:rPr>
          <w:rStyle w:val="FootnoteReference"/>
        </w:rPr>
        <w:footnoteReference w:id="45"/>
      </w:r>
    </w:p>
    <w:p w:rsidR="00AE6E8F" w:rsidRDefault="00FA1F38" w:rsidP="00F22E2F">
      <w:r>
        <w:t xml:space="preserve">Icon Water advised that the </w:t>
      </w:r>
      <w:r w:rsidR="00AE6E8F">
        <w:t xml:space="preserve">majority of residential customers supported moving away from usage charges to </w:t>
      </w:r>
      <w:r w:rsidR="00B14BFA">
        <w:t>supply</w:t>
      </w:r>
      <w:r w:rsidR="00AE6E8F">
        <w:t xml:space="preserve"> charges to some extent. When asked to identify their preferred balance between </w:t>
      </w:r>
      <w:r w:rsidR="00B14BFA">
        <w:t>supply</w:t>
      </w:r>
      <w:r w:rsidR="00AE6E8F">
        <w:t xml:space="preserve"> and usage charges:</w:t>
      </w:r>
    </w:p>
    <w:p w:rsidR="007A57BF" w:rsidRPr="00F22E2F" w:rsidRDefault="007A57BF" w:rsidP="00F22E2F">
      <w:pPr>
        <w:pStyle w:val="Bullet"/>
      </w:pPr>
      <w:r w:rsidRPr="00F22E2F">
        <w:t>about 40 per cent preferred lower usage charges than currently in place;</w:t>
      </w:r>
    </w:p>
    <w:p w:rsidR="007A57BF" w:rsidRPr="00F22E2F" w:rsidRDefault="007A57BF" w:rsidP="00F22E2F">
      <w:pPr>
        <w:pStyle w:val="Bullet"/>
      </w:pPr>
      <w:r w:rsidRPr="00F22E2F">
        <w:t>about 30 per cent preferred the current balance;</w:t>
      </w:r>
    </w:p>
    <w:p w:rsidR="007A57BF" w:rsidRDefault="007A57BF" w:rsidP="00F22E2F">
      <w:pPr>
        <w:pStyle w:val="Bullet"/>
      </w:pPr>
      <w:r w:rsidRPr="00F22E2F">
        <w:t>20 per cent indicated a preference for a tariff entirely based on usage charges</w:t>
      </w:r>
      <w:r>
        <w:t>; and</w:t>
      </w:r>
    </w:p>
    <w:p w:rsidR="00AE6E8F" w:rsidRDefault="00F22E2F" w:rsidP="00F22E2F">
      <w:pPr>
        <w:pStyle w:val="BulletLast"/>
      </w:pPr>
      <w:r>
        <w:t>t</w:t>
      </w:r>
      <w:r w:rsidR="007A57BF">
        <w:t>he average preference across all residential respondents was for usage charges to form 63 per cent of the bill.</w:t>
      </w:r>
      <w:r w:rsidR="0052705C">
        <w:rPr>
          <w:rStyle w:val="FootnoteReference"/>
        </w:rPr>
        <w:footnoteReference w:id="46"/>
      </w:r>
    </w:p>
    <w:p w:rsidR="00D4222F" w:rsidRDefault="0007017B" w:rsidP="00D4222F">
      <w:r>
        <w:t xml:space="preserve">In response to customer </w:t>
      </w:r>
      <w:r w:rsidR="00D4222F" w:rsidRPr="00D4222F">
        <w:t>view</w:t>
      </w:r>
      <w:r w:rsidR="00D4222F">
        <w:t>s</w:t>
      </w:r>
      <w:r w:rsidR="00D4222F" w:rsidRPr="00D4222F">
        <w:t xml:space="preserve"> on the suitability for the ACT of two hypothetical </w:t>
      </w:r>
      <w:r w:rsidR="00D4222F">
        <w:t xml:space="preserve">tariff </w:t>
      </w:r>
      <w:r w:rsidR="00D4222F" w:rsidRPr="00D4222F">
        <w:t>structures</w:t>
      </w:r>
      <w:r w:rsidR="00D4222F">
        <w:t>, Option 1 with only one usage charge and Option 2 with two usage charges, Icon Water reported that:</w:t>
      </w:r>
    </w:p>
    <w:p w:rsidR="00D4222F" w:rsidRPr="00D4222F" w:rsidRDefault="00D4222F" w:rsidP="00D4222F">
      <w:pPr>
        <w:pStyle w:val="Quote"/>
      </w:pPr>
      <w:r w:rsidRPr="00D4222F">
        <w:t>The option in which the usage price is reduced to $2.60/kL (Option 1) was considered unsuitable for the ACT by more than half of the respondents (see Figure 8). The option in which the Tier 2 usage price is reduced to $3.90/kL (Option 2), however, was considered by more respondents to be suitable than unsuitable.</w:t>
      </w:r>
      <w:r>
        <w:rPr>
          <w:rStyle w:val="FootnoteReference"/>
        </w:rPr>
        <w:footnoteReference w:id="47"/>
      </w:r>
    </w:p>
    <w:p w:rsidR="00D21608" w:rsidRDefault="00D21608" w:rsidP="00D21608">
      <w:r>
        <w:t xml:space="preserve">ClubsACT submitted that, in recognition of the ‘community benefit of clubs and the unreasonable costs they currently face in providing services for the ACT community’, </w:t>
      </w:r>
      <w:r w:rsidR="003E7C35">
        <w:t xml:space="preserve">clubs </w:t>
      </w:r>
      <w:r>
        <w:t>should be provided with:</w:t>
      </w:r>
      <w:r>
        <w:rPr>
          <w:rStyle w:val="FootnoteReference"/>
        </w:rPr>
        <w:footnoteReference w:id="48"/>
      </w:r>
    </w:p>
    <w:p w:rsidR="00D21608" w:rsidRDefault="00D21608" w:rsidP="00D21608">
      <w:pPr>
        <w:pStyle w:val="Bullet"/>
      </w:pPr>
      <w:r>
        <w:t>a tariff that provides a discount on water prices (such as that provided to ACT schools and churches); or</w:t>
      </w:r>
    </w:p>
    <w:p w:rsidR="00D21608" w:rsidRDefault="00D21608" w:rsidP="00D21608">
      <w:pPr>
        <w:pStyle w:val="BulletLast"/>
      </w:pPr>
      <w:r>
        <w:t>be provided with a community service obligation mechanism to reduce water costs.</w:t>
      </w:r>
    </w:p>
    <w:p w:rsidR="00351ECD" w:rsidRDefault="00351ECD" w:rsidP="00F22E2F">
      <w:pPr>
        <w:pStyle w:val="Heading3"/>
      </w:pPr>
      <w:bookmarkStart w:id="118" w:name="_Ref457392599"/>
      <w:r>
        <w:t>Commission’s consideration</w:t>
      </w:r>
      <w:bookmarkEnd w:id="118"/>
    </w:p>
    <w:p w:rsidR="005D11B0" w:rsidRDefault="003B45BA" w:rsidP="0092162E">
      <w:r>
        <w:t xml:space="preserve">The first consumption block in an inclining block tariff structure is </w:t>
      </w:r>
      <w:r w:rsidR="00791AE3">
        <w:t xml:space="preserve">usually </w:t>
      </w:r>
      <w:r>
        <w:t xml:space="preserve">intended to provide essential water to households at a relatively cheap rate, while the second, more expensive block </w:t>
      </w:r>
      <w:r w:rsidR="00791AE3">
        <w:t xml:space="preserve">is intended to </w:t>
      </w:r>
      <w:r>
        <w:t>encourage water conservation as the more discretionary consumption increases.</w:t>
      </w:r>
      <w:r w:rsidR="00021596">
        <w:t xml:space="preserve"> The same two</w:t>
      </w:r>
      <w:r w:rsidR="0092162E">
        <w:t xml:space="preserve"> general themes</w:t>
      </w:r>
      <w:r w:rsidR="00021596">
        <w:t xml:space="preserve"> of equity and water conservation </w:t>
      </w:r>
      <w:r w:rsidR="0092162E">
        <w:t xml:space="preserve">can be drawn from </w:t>
      </w:r>
      <w:r w:rsidR="00701E10">
        <w:t xml:space="preserve">the submissions that </w:t>
      </w:r>
      <w:r w:rsidR="0092162E">
        <w:t xml:space="preserve">support retaining the current inclining block </w:t>
      </w:r>
      <w:r w:rsidR="00701E10">
        <w:t xml:space="preserve">water </w:t>
      </w:r>
      <w:r w:rsidR="0092162E">
        <w:t>structure.</w:t>
      </w:r>
      <w:r>
        <w:t xml:space="preserve"> These are discussed in turn.</w:t>
      </w:r>
    </w:p>
    <w:p w:rsidR="00371CBF" w:rsidRDefault="003B45BA" w:rsidP="003B45BA">
      <w:r>
        <w:lastRenderedPageBreak/>
        <w:t xml:space="preserve">The equity </w:t>
      </w:r>
      <w:r w:rsidR="00371CBF">
        <w:t xml:space="preserve">argument associated with providing households with </w:t>
      </w:r>
      <w:r w:rsidR="00371CBF">
        <w:rPr>
          <w:color w:val="000000"/>
          <w:szCs w:val="22"/>
        </w:rPr>
        <w:t>sufficient water at a lower cost to meet their essential health and hygiene needs</w:t>
      </w:r>
      <w:r w:rsidR="00371CBF">
        <w:t xml:space="preserve"> is </w:t>
      </w:r>
      <w:r w:rsidR="00575379">
        <w:t>usually premised</w:t>
      </w:r>
      <w:r w:rsidR="00371CBF">
        <w:t xml:space="preserve"> on an assumption that low income customers </w:t>
      </w:r>
      <w:r w:rsidR="00575379">
        <w:t xml:space="preserve">or disadvantaged </w:t>
      </w:r>
      <w:r w:rsidR="00371CBF">
        <w:t>are low water users.</w:t>
      </w:r>
    </w:p>
    <w:p w:rsidR="003B45BA" w:rsidRDefault="003B45BA" w:rsidP="003B45BA">
      <w:r>
        <w:rPr>
          <w:noProof/>
        </w:rPr>
        <w:fldChar w:fldCharType="begin"/>
      </w:r>
      <w:r>
        <w:rPr>
          <w:noProof/>
        </w:rPr>
        <w:instrText xml:space="preserve"> ADDIN EN.CITE &lt;EndNote&gt;&lt;Cite&gt;&lt;Author&gt;Grafton&lt;/Author&gt;&lt;Year&gt;2010&lt;/Year&gt;&lt;RecNum&gt;584&lt;/RecNum&gt;&lt;DisplayText&gt;Grafton and Ward (2010)&lt;/DisplayText&gt;&lt;record&gt;&lt;rec-number&gt;584&lt;/rec-number&gt;&lt;foreign-keys&gt;&lt;key app="EN" db-id="5xwt9zxa6r5fesevwr5xzp97r95ev9wx9zpw" timestamp="1442464790"&gt;584&lt;/key&gt;&lt;/foreign-keys&gt;&lt;ref-type name="AAA ICRC Water References"&gt;40&lt;/ref-type&gt;&lt;contributors&gt;&lt;authors&gt;&lt;author&gt;Grafton, R Quentin&lt;/author&gt;&lt;author&gt;Ward, Michael&lt;/author&gt;&lt;/authors&gt;&lt;/contributors&gt;&lt;titles&gt;&lt;title&gt;Dynamically Efficient Urban Water Policy&lt;/title&gt;&lt;/titles&gt;&lt;volume&gt;Reserach Papers 10-13&lt;/volume&gt;&lt;dates&gt;&lt;year&gt;2010&lt;/year&gt;&lt;pub-dates&gt;&lt;date&gt;12 November 2010&lt;/date&gt;&lt;/pub-dates&gt;&lt;/dates&gt;&lt;pub-location&gt;Canberra&lt;/pub-location&gt;&lt;publisher&gt;Centre for Water Economics, Environment and Policy, The Australian National University&lt;/publisher&gt;&lt;urls&gt;&lt;/urls&gt;&lt;/record&gt;&lt;/Cite&gt;&lt;/EndNote&gt;</w:instrText>
      </w:r>
      <w:r>
        <w:rPr>
          <w:noProof/>
        </w:rPr>
        <w:fldChar w:fldCharType="separate"/>
      </w:r>
      <w:hyperlink w:anchor="_ENREF_13" w:tooltip="Grafton, 2010 #584" w:history="1">
        <w:r w:rsidR="00A2488A">
          <w:rPr>
            <w:noProof/>
          </w:rPr>
          <w:t>Grafton and Ward (2010</w:t>
        </w:r>
      </w:hyperlink>
      <w:r>
        <w:rPr>
          <w:noProof/>
        </w:rPr>
        <w:t>)</w:t>
      </w:r>
      <w:r>
        <w:rPr>
          <w:noProof/>
        </w:rPr>
        <w:fldChar w:fldCharType="end"/>
      </w:r>
      <w:r>
        <w:t xml:space="preserve"> cite e</w:t>
      </w:r>
      <w:r w:rsidRPr="00517C8C">
        <w:t>mpirical</w:t>
      </w:r>
      <w:r>
        <w:t xml:space="preserve"> </w:t>
      </w:r>
      <w:r w:rsidRPr="00517C8C">
        <w:t xml:space="preserve">studies </w:t>
      </w:r>
      <w:r>
        <w:t xml:space="preserve">that </w:t>
      </w:r>
      <w:r w:rsidRPr="00517C8C">
        <w:t xml:space="preserve">show that the number of people in a household increases water consumption. </w:t>
      </w:r>
      <w:r>
        <w:fldChar w:fldCharType="begin"/>
      </w:r>
      <w:r>
        <w:instrText xml:space="preserve"> ADDIN EN.CITE &lt;EndNote&gt;&lt;Cite&gt;&lt;Author&gt;Saunders&lt;/Author&gt;&lt;Year&gt;1977&lt;/Year&gt;&lt;RecNum&gt;681&lt;/RecNum&gt;&lt;DisplayText&gt;Saunders et al. (1977)&lt;/DisplayText&gt;&lt;record&gt;&lt;rec-number&gt;681&lt;/rec-number&gt;&lt;foreign-keys&gt;&lt;key app="EN" db-id="5xwt9zxa6r5fesevwr5xzp97r95ev9wx9zpw" timestamp="1457654329"&gt;681&lt;/key&gt;&lt;key app="ENWeb" db-id=""&gt;0&lt;/key&gt;&lt;/foreign-keys&gt;&lt;ref-type name="AAA ICRC Water References"&gt;40&lt;/ref-type&gt;&lt;contributors&gt;&lt;authors&gt;&lt;author&gt;Saunders, Robert J.&lt;/author&gt;&lt;author&gt;Warford, Jeremy J.&lt;/author&gt;&lt;author&gt;Mann, Patrick C. &lt;/author&gt;&lt;/authors&gt;&lt;/contributors&gt;&lt;titles&gt;&lt;title&gt;Alternative Concepts of Marginal Cost for Public Utility Pricing: Problems of Applicationin the Water Supply Sector&lt;/title&gt;&lt;/titles&gt;&lt;volume&gt;Staff Working Paper No. 25&lt;/volume&gt;&lt;dates&gt;&lt;year&gt;1977&lt;/year&gt;&lt;pub-dates&gt;&lt;date&gt;May 1977&lt;/date&gt;&lt;/pub-dates&gt;&lt;/dates&gt;&lt;publisher&gt;World Bank&lt;/publisher&gt;&lt;urls&gt;&lt;/urls&gt;&lt;/record&gt;&lt;/Cite&gt;&lt;/EndNote&gt;</w:instrText>
      </w:r>
      <w:r>
        <w:fldChar w:fldCharType="separate"/>
      </w:r>
      <w:hyperlink w:anchor="_ENREF_35" w:tooltip="Saunders, 1977 #681" w:history="1">
        <w:r w:rsidR="00A2488A">
          <w:rPr>
            <w:noProof/>
          </w:rPr>
          <w:t>Saunders et al. (1977</w:t>
        </w:r>
      </w:hyperlink>
      <w:r>
        <w:rPr>
          <w:noProof/>
        </w:rPr>
        <w:t>)</w:t>
      </w:r>
      <w:r>
        <w:fldChar w:fldCharType="end"/>
      </w:r>
      <w:r>
        <w:t xml:space="preserve"> also comment on this issue, in the developing country context, noting that:</w:t>
      </w:r>
    </w:p>
    <w:p w:rsidR="003B45BA" w:rsidRDefault="003B45BA" w:rsidP="003B45BA">
      <w:pPr>
        <w:pStyle w:val="Quote"/>
      </w:pPr>
      <w:r>
        <w:t>There are many influences on water consumption other than income, a reliable correlation between water consumption and household per capita income being particularly difficult to establish.</w:t>
      </w:r>
      <w:r>
        <w:rPr>
          <w:rStyle w:val="FootnoteReference"/>
        </w:rPr>
        <w:footnoteReference w:id="49"/>
      </w:r>
      <w:r>
        <w:t xml:space="preserve"> </w:t>
      </w:r>
    </w:p>
    <w:p w:rsidR="005A2069" w:rsidRDefault="00371CBF" w:rsidP="00701E10">
      <w:r>
        <w:t>In its second submission, Icon Water</w:t>
      </w:r>
      <w:r w:rsidR="005E6FAC">
        <w:t xml:space="preserve"> </w:t>
      </w:r>
      <w:r w:rsidR="005A2069">
        <w:t>assessed the 2013</w:t>
      </w:r>
      <w:r w:rsidR="005A2069">
        <w:sym w:font="Symbol" w:char="F02D"/>
      </w:r>
      <w:r w:rsidR="005A2069">
        <w:t>14 level of water use of an identifiable group of disadvantaged water customers, those receiving the ACT Government’s Utilities Concession. Icon Water found that:</w:t>
      </w:r>
    </w:p>
    <w:p w:rsidR="005A2069" w:rsidRDefault="005A2069" w:rsidP="005A2069">
      <w:pPr>
        <w:pStyle w:val="QuoteBullet"/>
      </w:pPr>
      <w:r>
        <w:t>around 40 per cent of Utilities Concession customers use more than 200 kL and pay the Tier 2 water usage price</w:t>
      </w:r>
    </w:p>
    <w:p w:rsidR="003B45BA" w:rsidRDefault="005A2069" w:rsidP="005A2069">
      <w:pPr>
        <w:pStyle w:val="QuoteBullet"/>
      </w:pPr>
      <w:r>
        <w:t>there are just as many Utilities Concession customers using more than 200 kL per year as there are using less than 150 kL per year.</w:t>
      </w:r>
      <w:r>
        <w:rPr>
          <w:rStyle w:val="FootnoteReference"/>
        </w:rPr>
        <w:footnoteReference w:id="50"/>
      </w:r>
      <w:r>
        <w:t xml:space="preserve">  </w:t>
      </w:r>
    </w:p>
    <w:p w:rsidR="00162ADF" w:rsidRDefault="00575379" w:rsidP="00575379">
      <w:r>
        <w:t>The</w:t>
      </w:r>
      <w:r w:rsidR="007B4834">
        <w:t xml:space="preserve">se results </w:t>
      </w:r>
      <w:r>
        <w:t>impl</w:t>
      </w:r>
      <w:r w:rsidR="007B4834">
        <w:t>y</w:t>
      </w:r>
      <w:r>
        <w:t xml:space="preserve"> that</w:t>
      </w:r>
      <w:r w:rsidRPr="00517C8C">
        <w:t xml:space="preserve"> an inc</w:t>
      </w:r>
      <w:r>
        <w:t>lining</w:t>
      </w:r>
      <w:r w:rsidRPr="00517C8C">
        <w:t xml:space="preserve"> block structure </w:t>
      </w:r>
      <w:r>
        <w:t xml:space="preserve">may </w:t>
      </w:r>
      <w:r w:rsidRPr="00517C8C">
        <w:t>ha</w:t>
      </w:r>
      <w:r>
        <w:t>ve</w:t>
      </w:r>
      <w:r w:rsidRPr="00517C8C">
        <w:t xml:space="preserve"> the un</w:t>
      </w:r>
      <w:r w:rsidR="00FD6DEA">
        <w:t>intended</w:t>
      </w:r>
      <w:r w:rsidRPr="00517C8C">
        <w:t xml:space="preserve"> consequence that large and poor households, who</w:t>
      </w:r>
      <w:r>
        <w:t xml:space="preserve"> </w:t>
      </w:r>
      <w:r w:rsidRPr="00517C8C">
        <w:t xml:space="preserve">may have little discretion </w:t>
      </w:r>
      <w:r w:rsidR="007B4834">
        <w:t xml:space="preserve">in their </w:t>
      </w:r>
      <w:r w:rsidRPr="00517C8C">
        <w:t xml:space="preserve">water </w:t>
      </w:r>
      <w:r w:rsidR="007B4834">
        <w:t>consumption</w:t>
      </w:r>
      <w:r w:rsidRPr="00517C8C">
        <w:t>, may pay a higher price</w:t>
      </w:r>
      <w:r>
        <w:t xml:space="preserve"> </w:t>
      </w:r>
      <w:r w:rsidRPr="00517C8C">
        <w:t>for water than small</w:t>
      </w:r>
      <w:r>
        <w:t>, high-</w:t>
      </w:r>
      <w:r w:rsidRPr="00517C8C">
        <w:t>income households.</w:t>
      </w:r>
      <w:r w:rsidR="00162ADF">
        <w:t xml:space="preserve"> In this vein, Icon Water submitted:</w:t>
      </w:r>
    </w:p>
    <w:p w:rsidR="00162ADF" w:rsidRDefault="00162ADF" w:rsidP="00162ADF">
      <w:pPr>
        <w:pStyle w:val="Quote"/>
      </w:pPr>
      <w:r>
        <w:t>A change in tariff structure that reduces bills for small users, but increases bills for customers using more than 200 kL per year may adversely affect more Utilities Concession customers than it benefits.</w:t>
      </w:r>
    </w:p>
    <w:p w:rsidR="00877E6F" w:rsidRDefault="0019004F" w:rsidP="00AC4938">
      <w:r>
        <w:t>As for the second theme, t</w:t>
      </w:r>
      <w:r w:rsidR="00D619E9">
        <w:t>he Commission recognises that some members of the ACT community strongly support water conservation and the role played by the current inclining block tariff, particularly with the second tier priced at double the first, in reducing discretionary water use.</w:t>
      </w:r>
      <w:r w:rsidR="00FC27A0">
        <w:t xml:space="preserve"> In its customer survey on tariff structure changes, in response to the question about removing the 200 kL step, Icon Water found that m</w:t>
      </w:r>
      <w:r w:rsidR="00FC27A0" w:rsidRPr="00FC27A0">
        <w:t xml:space="preserve">ore than half of </w:t>
      </w:r>
      <w:r w:rsidR="00FC27A0">
        <w:t xml:space="preserve">customers </w:t>
      </w:r>
      <w:r w:rsidR="00FC27A0" w:rsidRPr="00FC27A0">
        <w:t>that provided reasons in support of retaining the step gave reasons relating to water conservation.</w:t>
      </w:r>
      <w:r w:rsidR="00FC27A0">
        <w:rPr>
          <w:rStyle w:val="FootnoteReference"/>
        </w:rPr>
        <w:footnoteReference w:id="51"/>
      </w:r>
      <w:r w:rsidR="00877E6F">
        <w:t xml:space="preserve"> In addition, Icon </w:t>
      </w:r>
      <w:r w:rsidR="00106A5A">
        <w:t>W</w:t>
      </w:r>
      <w:r w:rsidR="00877E6F">
        <w:t>ater reported that a tariff option with a single usage charge set at $2.60 was considered unsuitable by more than half of the respondents.</w:t>
      </w:r>
    </w:p>
    <w:p w:rsidR="00600C7E" w:rsidRDefault="00D87AC0" w:rsidP="00AC4938">
      <w:r>
        <w:t xml:space="preserve">The Commission’s view is that </w:t>
      </w:r>
      <w:r w:rsidR="00AC4938">
        <w:t>following the recent investments in water security, the current levels of water in Icon Water’s expanded storages, and the relatively low levels of per capita demand post the Millennium Drought, there</w:t>
      </w:r>
      <w:r w:rsidR="00AD4700">
        <w:t xml:space="preserve"> does not </w:t>
      </w:r>
      <w:r w:rsidR="00AC4938">
        <w:t xml:space="preserve">appear to be </w:t>
      </w:r>
      <w:r w:rsidR="00AD4700">
        <w:t xml:space="preserve">a strong </w:t>
      </w:r>
      <w:r w:rsidR="00AD4700">
        <w:lastRenderedPageBreak/>
        <w:t xml:space="preserve">case </w:t>
      </w:r>
      <w:r w:rsidR="00AC4938">
        <w:t>for an inclining block to encourage water conservation</w:t>
      </w:r>
      <w:r w:rsidR="00F8429B">
        <w:t xml:space="preserve"> for water security purposes</w:t>
      </w:r>
      <w:r w:rsidR="00AC4938">
        <w:t>.</w:t>
      </w:r>
      <w:r w:rsidR="00070199">
        <w:t xml:space="preserve"> </w:t>
      </w:r>
    </w:p>
    <w:p w:rsidR="00600C7E" w:rsidRDefault="00600C7E" w:rsidP="00600C7E">
      <w:r>
        <w:t>On the supply side, the</w:t>
      </w:r>
      <w:r w:rsidRPr="006D2D5B">
        <w:t xml:space="preserve"> Millennium Drought broke </w:t>
      </w:r>
      <w:r>
        <w:t xml:space="preserve">in 2010 </w:t>
      </w:r>
      <w:r w:rsidRPr="006D2D5B">
        <w:t>due to a strong La Niña event</w:t>
      </w:r>
      <w:r>
        <w:t xml:space="preserve">, with </w:t>
      </w:r>
      <w:r w:rsidRPr="006D2D5B">
        <w:t>Canberra Airport record</w:t>
      </w:r>
      <w:r>
        <w:t xml:space="preserve">ing </w:t>
      </w:r>
      <w:r w:rsidRPr="006D2D5B">
        <w:t>960 millimetres of rainfall, well above the historical average of 617 millimetres</w:t>
      </w:r>
      <w:r>
        <w:t>, with d</w:t>
      </w:r>
      <w:r w:rsidRPr="006D2D5B">
        <w:t>am inflows estimated at 404 GL, well above the long-term average of 235 GL</w:t>
      </w:r>
      <w:r>
        <w:t xml:space="preserve"> per year</w:t>
      </w:r>
      <w:r w:rsidRPr="006D2D5B">
        <w:t>.</w:t>
      </w:r>
      <w:r>
        <w:t xml:space="preserve"> The enlarged Cotter Dam increased the ACT combined dam storage capacity by more than a third from 206 to 278 GL. The current combined dam storage level is 90 per cent, as shown in</w:t>
      </w:r>
      <w:r w:rsidR="006C5D3D">
        <w:t xml:space="preserve"> </w:t>
      </w:r>
      <w:r w:rsidR="006C5D3D">
        <w:fldChar w:fldCharType="begin"/>
      </w:r>
      <w:r w:rsidR="006C5D3D">
        <w:instrText xml:space="preserve"> REF _Ref459808140 \h </w:instrText>
      </w:r>
      <w:r w:rsidR="006C5D3D">
        <w:fldChar w:fldCharType="separate"/>
      </w:r>
      <w:r w:rsidR="00B80BC7" w:rsidRPr="00E33D9E">
        <w:t xml:space="preserve">Figure </w:t>
      </w:r>
      <w:r w:rsidR="00B80BC7">
        <w:rPr>
          <w:noProof/>
        </w:rPr>
        <w:t>3</w:t>
      </w:r>
      <w:r w:rsidR="00B80BC7" w:rsidRPr="00E33D9E">
        <w:t>.</w:t>
      </w:r>
      <w:r w:rsidR="00B80BC7">
        <w:rPr>
          <w:noProof/>
        </w:rPr>
        <w:t>7</w:t>
      </w:r>
      <w:r w:rsidR="006C5D3D">
        <w:fldChar w:fldCharType="end"/>
      </w:r>
      <w:r>
        <w:t>, and the Cotter Dam started spilling in July this year.</w:t>
      </w:r>
      <w:r>
        <w:rPr>
          <w:rStyle w:val="FootnoteReference"/>
        </w:rPr>
        <w:footnoteReference w:id="52"/>
      </w:r>
    </w:p>
    <w:p w:rsidR="00600C7E" w:rsidRDefault="00600C7E" w:rsidP="00600C7E">
      <w:pPr>
        <w:pStyle w:val="FigureName0"/>
        <w:rPr>
          <w:lang w:val="en-AU"/>
        </w:rPr>
      </w:pPr>
      <w:bookmarkStart w:id="119" w:name="_Ref459808140"/>
      <w:bookmarkStart w:id="120" w:name="_Toc460572273"/>
      <w:r w:rsidRPr="00E33D9E">
        <w:t xml:space="preserve">Figure </w:t>
      </w:r>
      <w:r w:rsidRPr="00E33D9E">
        <w:fldChar w:fldCharType="begin"/>
      </w:r>
      <w:r w:rsidRPr="00E33D9E">
        <w:instrText xml:space="preserve"> STYLEREF 1 \s </w:instrText>
      </w:r>
      <w:r w:rsidRPr="00E33D9E">
        <w:fldChar w:fldCharType="separate"/>
      </w:r>
      <w:r w:rsidR="00B80BC7">
        <w:rPr>
          <w:noProof/>
        </w:rPr>
        <w:t>3</w:t>
      </w:r>
      <w:r w:rsidRPr="00E33D9E">
        <w:fldChar w:fldCharType="end"/>
      </w:r>
      <w:r w:rsidRPr="00E33D9E">
        <w:t>.</w:t>
      </w:r>
      <w:r w:rsidRPr="00E33D9E">
        <w:fldChar w:fldCharType="begin"/>
      </w:r>
      <w:r w:rsidRPr="00E33D9E">
        <w:instrText xml:space="preserve"> SEQ Figure \* ARABIC \s 1 </w:instrText>
      </w:r>
      <w:r w:rsidRPr="00E33D9E">
        <w:fldChar w:fldCharType="separate"/>
      </w:r>
      <w:r w:rsidR="00B80BC7">
        <w:rPr>
          <w:noProof/>
        </w:rPr>
        <w:t>7</w:t>
      </w:r>
      <w:r w:rsidRPr="00E33D9E">
        <w:fldChar w:fldCharType="end"/>
      </w:r>
      <w:bookmarkEnd w:id="119"/>
      <w:r>
        <w:tab/>
        <w:t>Current ACT dam storage levels</w:t>
      </w:r>
      <w:bookmarkEnd w:id="120"/>
    </w:p>
    <w:p w:rsidR="00600C7E" w:rsidRPr="00C63BD3" w:rsidRDefault="00600C7E" w:rsidP="00600C7E">
      <w:pPr>
        <w:rPr>
          <w:b/>
          <w:lang w:val="en-AU"/>
        </w:rPr>
      </w:pPr>
      <w:r>
        <w:rPr>
          <w:noProof/>
          <w:lang w:val="en-AU" w:eastAsia="en-AU"/>
        </w:rPr>
        <w:drawing>
          <wp:inline distT="0" distB="0" distL="0" distR="0" wp14:anchorId="01893EF4" wp14:editId="0940C673">
            <wp:extent cx="4576864" cy="2266545"/>
            <wp:effectExtent l="0" t="0" r="14605" b="63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600C7E" w:rsidRPr="00636FE1" w:rsidRDefault="00600C7E" w:rsidP="00600C7E">
      <w:pPr>
        <w:pStyle w:val="TableNotesLast0"/>
        <w:keepNext/>
      </w:pPr>
      <w:r>
        <w:t>Source:</w:t>
      </w:r>
      <w:r>
        <w:tab/>
        <w:t>Icon Water (</w:t>
      </w:r>
      <w:r w:rsidRPr="00C63E00">
        <w:t>https://www.iconwater.com.au/Water-and-Sewerage-System/Dams/Water-Storage-Levels.aspx</w:t>
      </w:r>
      <w:r>
        <w:t>).</w:t>
      </w:r>
    </w:p>
    <w:p w:rsidR="00600C7E" w:rsidRDefault="00600C7E" w:rsidP="00600C7E">
      <w:r>
        <w:t>On the demand side, there has been no evidence of a bounce back in per capita water consumption levels since the lifting of temporary water restrictions in 2010. As shown in</w:t>
      </w:r>
      <w:r w:rsidR="006C5D3D">
        <w:t xml:space="preserve"> </w:t>
      </w:r>
      <w:r w:rsidR="006C5D3D">
        <w:fldChar w:fldCharType="begin"/>
      </w:r>
      <w:r w:rsidR="006C5D3D">
        <w:instrText xml:space="preserve"> REF _Ref459808141 \h </w:instrText>
      </w:r>
      <w:r w:rsidR="006C5D3D">
        <w:fldChar w:fldCharType="separate"/>
      </w:r>
      <w:r w:rsidR="00B80BC7" w:rsidRPr="00E33D9E">
        <w:t xml:space="preserve">Figure </w:t>
      </w:r>
      <w:r w:rsidR="00B80BC7">
        <w:rPr>
          <w:noProof/>
        </w:rPr>
        <w:t>3</w:t>
      </w:r>
      <w:r w:rsidR="00B80BC7" w:rsidRPr="00E33D9E">
        <w:t>.</w:t>
      </w:r>
      <w:r w:rsidR="00B80BC7">
        <w:rPr>
          <w:noProof/>
        </w:rPr>
        <w:t>8</w:t>
      </w:r>
      <w:r w:rsidR="006C5D3D">
        <w:fldChar w:fldCharType="end"/>
      </w:r>
      <w:r>
        <w:t>, current levels are well below those prevailing in the early</w:t>
      </w:r>
      <w:r w:rsidR="00F03630">
        <w:softHyphen/>
      </w:r>
      <w:r w:rsidR="00F03630">
        <w:softHyphen/>
        <w:t>-</w:t>
      </w:r>
      <w:r>
        <w:t xml:space="preserve"> to mid-2000s.</w:t>
      </w:r>
    </w:p>
    <w:p w:rsidR="00600C7E" w:rsidRDefault="00600C7E" w:rsidP="006C5D3D">
      <w:pPr>
        <w:pStyle w:val="FigureName0"/>
        <w:rPr>
          <w:lang w:val="en-AU"/>
        </w:rPr>
      </w:pPr>
      <w:bookmarkStart w:id="121" w:name="_Ref459808141"/>
      <w:bookmarkStart w:id="122" w:name="_Toc460572274"/>
      <w:r w:rsidRPr="00E33D9E">
        <w:lastRenderedPageBreak/>
        <w:t xml:space="preserve">Figure </w:t>
      </w:r>
      <w:r w:rsidRPr="00E33D9E">
        <w:fldChar w:fldCharType="begin"/>
      </w:r>
      <w:r w:rsidRPr="00E33D9E">
        <w:instrText xml:space="preserve"> STYLEREF 1 \s </w:instrText>
      </w:r>
      <w:r w:rsidRPr="00E33D9E">
        <w:fldChar w:fldCharType="separate"/>
      </w:r>
      <w:r w:rsidR="00B80BC7">
        <w:rPr>
          <w:noProof/>
        </w:rPr>
        <w:t>3</w:t>
      </w:r>
      <w:r w:rsidRPr="00E33D9E">
        <w:fldChar w:fldCharType="end"/>
      </w:r>
      <w:r w:rsidRPr="00E33D9E">
        <w:t>.</w:t>
      </w:r>
      <w:r w:rsidRPr="00E33D9E">
        <w:fldChar w:fldCharType="begin"/>
      </w:r>
      <w:r w:rsidRPr="00E33D9E">
        <w:instrText xml:space="preserve"> SEQ Figure \* ARABIC \s 1 </w:instrText>
      </w:r>
      <w:r w:rsidRPr="00E33D9E">
        <w:fldChar w:fldCharType="separate"/>
      </w:r>
      <w:r w:rsidR="00B80BC7">
        <w:rPr>
          <w:noProof/>
        </w:rPr>
        <w:t>8</w:t>
      </w:r>
      <w:r w:rsidRPr="00E33D9E">
        <w:fldChar w:fldCharType="end"/>
      </w:r>
      <w:bookmarkEnd w:id="121"/>
      <w:r>
        <w:tab/>
        <w:t>Icon Water dam releases per capita, 1999 to 2016</w:t>
      </w:r>
      <w:r>
        <w:rPr>
          <w:rStyle w:val="FootnoteReference"/>
        </w:rPr>
        <w:footnoteReference w:id="53"/>
      </w:r>
      <w:bookmarkEnd w:id="122"/>
    </w:p>
    <w:p w:rsidR="00600C7E" w:rsidRPr="00C63BD3" w:rsidRDefault="00600C7E" w:rsidP="006C5D3D">
      <w:pPr>
        <w:keepNext/>
        <w:rPr>
          <w:b/>
          <w:lang w:val="en-AU"/>
        </w:rPr>
      </w:pPr>
      <w:r w:rsidRPr="00EF2F36">
        <w:rPr>
          <w:noProof/>
          <w:color w:val="C00000"/>
          <w:lang w:val="en-AU" w:eastAsia="en-AU"/>
        </w:rPr>
        <w:drawing>
          <wp:inline distT="0" distB="0" distL="0" distR="0" wp14:anchorId="1509D8E9" wp14:editId="35D32B4A">
            <wp:extent cx="4896485" cy="2149475"/>
            <wp:effectExtent l="0" t="0" r="18415" b="317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600C7E" w:rsidRPr="00636FE1" w:rsidRDefault="00600C7E" w:rsidP="006C5D3D">
      <w:pPr>
        <w:pStyle w:val="TableNotesLast0"/>
        <w:keepNext/>
      </w:pPr>
      <w:r>
        <w:t>Source:</w:t>
      </w:r>
      <w:r>
        <w:tab/>
        <w:t>Australian Bureau of Statistics, ACT Treasury and Icon Water.</w:t>
      </w:r>
    </w:p>
    <w:p w:rsidR="00760006" w:rsidRDefault="00070199" w:rsidP="00760006">
      <w:r>
        <w:t>This is corroborated by the results of the</w:t>
      </w:r>
      <w:r w:rsidR="008135B7">
        <w:t xml:space="preserve"> water demand and supply modelling undertaken for the purposes of the technical paper, using Icon Water’s </w:t>
      </w:r>
      <w:r w:rsidR="00760006">
        <w:t xml:space="preserve">supply and demand </w:t>
      </w:r>
      <w:r w:rsidR="008135B7">
        <w:t>model</w:t>
      </w:r>
      <w:r>
        <w:t>.</w:t>
      </w:r>
      <w:r w:rsidR="00760006">
        <w:t xml:space="preserve"> This model is used to calculate the probability of temporary restrictions each year from the present day until 2062.</w:t>
      </w:r>
    </w:p>
    <w:p w:rsidR="00760006" w:rsidRDefault="00760006" w:rsidP="00760006">
      <w:r>
        <w:t xml:space="preserve">On the supply side it uses current dam levels and projected dam inflows, adjusted for the expected impact of climate change on rainfall and evaporation. On the demand side, growth in water demand under various population growth and per capita demand assumptions is modelled. </w:t>
      </w:r>
    </w:p>
    <w:p w:rsidR="00760006" w:rsidRDefault="00760006" w:rsidP="00760006">
      <w:r>
        <w:t>Using this model, the timing of the next water supply augmentation (or demand reduction intervention) can be gauged from the point at which the probability of being in temporary water restrictions rises above the 5 per cent ACT Government water security target</w:t>
      </w:r>
      <w:r w:rsidR="00C6689B">
        <w:t xml:space="preserve"> (see </w:t>
      </w:r>
      <w:r w:rsidR="00C6689B">
        <w:fldChar w:fldCharType="begin"/>
      </w:r>
      <w:r w:rsidR="00C6689B">
        <w:instrText xml:space="preserve"> REF _Ref457202654 \h </w:instrText>
      </w:r>
      <w:r w:rsidR="00C6689B">
        <w:fldChar w:fldCharType="separate"/>
      </w:r>
      <w:r w:rsidR="00B80BC7" w:rsidRPr="00E33D9E">
        <w:t xml:space="preserve">Figure </w:t>
      </w:r>
      <w:r w:rsidR="00B80BC7">
        <w:rPr>
          <w:noProof/>
        </w:rPr>
        <w:t>3</w:t>
      </w:r>
      <w:r w:rsidR="00B80BC7" w:rsidRPr="00E33D9E">
        <w:t>.</w:t>
      </w:r>
      <w:r w:rsidR="00B80BC7">
        <w:rPr>
          <w:noProof/>
        </w:rPr>
        <w:t>9</w:t>
      </w:r>
      <w:r w:rsidR="00C6689B">
        <w:fldChar w:fldCharType="end"/>
      </w:r>
      <w:r w:rsidR="00C6689B">
        <w:t>)</w:t>
      </w:r>
    </w:p>
    <w:p w:rsidR="008135B7" w:rsidRDefault="008135B7" w:rsidP="008135B7">
      <w:pPr>
        <w:pStyle w:val="FigureName0"/>
        <w:rPr>
          <w:lang w:val="en-AU"/>
        </w:rPr>
      </w:pPr>
      <w:bookmarkStart w:id="123" w:name="_Ref457202654"/>
      <w:bookmarkStart w:id="124" w:name="_Toc460572275"/>
      <w:r w:rsidRPr="00E33D9E">
        <w:lastRenderedPageBreak/>
        <w:t xml:space="preserve">Figure </w:t>
      </w:r>
      <w:r w:rsidRPr="00E33D9E">
        <w:fldChar w:fldCharType="begin"/>
      </w:r>
      <w:r w:rsidRPr="00E33D9E">
        <w:instrText xml:space="preserve"> STYLEREF 1 \s </w:instrText>
      </w:r>
      <w:r w:rsidRPr="00E33D9E">
        <w:fldChar w:fldCharType="separate"/>
      </w:r>
      <w:r w:rsidR="00B80BC7">
        <w:rPr>
          <w:noProof/>
        </w:rPr>
        <w:t>3</w:t>
      </w:r>
      <w:r w:rsidRPr="00E33D9E">
        <w:fldChar w:fldCharType="end"/>
      </w:r>
      <w:r w:rsidRPr="00E33D9E">
        <w:t>.</w:t>
      </w:r>
      <w:r w:rsidRPr="00E33D9E">
        <w:fldChar w:fldCharType="begin"/>
      </w:r>
      <w:r w:rsidRPr="00E33D9E">
        <w:instrText xml:space="preserve"> SEQ Figure \* ARABIC \s 1 </w:instrText>
      </w:r>
      <w:r w:rsidRPr="00E33D9E">
        <w:fldChar w:fldCharType="separate"/>
      </w:r>
      <w:r w:rsidR="00B80BC7">
        <w:rPr>
          <w:noProof/>
        </w:rPr>
        <w:t>9</w:t>
      </w:r>
      <w:r w:rsidRPr="00E33D9E">
        <w:fldChar w:fldCharType="end"/>
      </w:r>
      <w:bookmarkEnd w:id="123"/>
      <w:r>
        <w:tab/>
      </w:r>
      <w:r w:rsidR="005A372D">
        <w:t>Probability of water restrictions</w:t>
      </w:r>
      <w:bookmarkEnd w:id="124"/>
      <w:r>
        <w:t xml:space="preserve"> </w:t>
      </w:r>
    </w:p>
    <w:p w:rsidR="008135B7" w:rsidRPr="00C63BD3" w:rsidRDefault="00EC70A4" w:rsidP="008135B7">
      <w:pPr>
        <w:rPr>
          <w:b/>
          <w:lang w:val="en-AU"/>
        </w:rPr>
      </w:pPr>
      <w:r>
        <w:rPr>
          <w:noProof/>
          <w:lang w:val="en-AU" w:eastAsia="en-AU"/>
        </w:rPr>
        <w:drawing>
          <wp:inline distT="0" distB="0" distL="0" distR="0" wp14:anchorId="01308067" wp14:editId="3CBAA85D">
            <wp:extent cx="4896485" cy="3013805"/>
            <wp:effectExtent l="0" t="0" r="18415" b="1524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8135B7" w:rsidRDefault="008135B7" w:rsidP="008135B7">
      <w:pPr>
        <w:pStyle w:val="TableNotesLast0"/>
      </w:pPr>
      <w:r>
        <w:t>Source:</w:t>
      </w:r>
      <w:r>
        <w:tab/>
      </w:r>
      <w:r>
        <w:fldChar w:fldCharType="begin"/>
      </w:r>
      <w:r>
        <w:instrText xml:space="preserve"> ADDIN EN.CITE &lt;EndNote&gt;&lt;Cite&gt;&lt;Author&gt;ICRC&lt;/Author&gt;&lt;Year&gt;2016&lt;/Year&gt;&lt;RecNum&gt;727&lt;/RecNum&gt;&lt;DisplayText&gt;ICRC (2016b)&lt;/DisplayText&gt;&lt;record&gt;&lt;rec-number&gt;727&lt;/rec-number&gt;&lt;foreign-keys&gt;&lt;key app="EN" db-id="5xwt9zxa6r5fesevwr5xzp97r95ev9wx9zpw" timestamp="1465197388"&gt;727&lt;/key&gt;&lt;/foreign-keys&gt;&lt;ref-type name="AAA ICRC Water References"&gt;40&lt;/ref-type&gt;&lt;contributors&gt;&lt;authors&gt;&lt;author&gt;ICRC,&lt;/author&gt;&lt;/authors&gt;&lt;/contributors&gt;&lt;titles&gt;&lt;title&gt;Technical paper 2: Marginal cost pricing in the ACT&lt;/title&gt;&lt;/titles&gt;&lt;volume&gt;Report 4 of 2016&lt;/volume&gt;&lt;dates&gt;&lt;year&gt;2016&lt;/year&gt;&lt;pub-dates&gt;&lt;date&gt;June 2016&lt;/date&gt;&lt;/pub-dates&gt;&lt;/dates&gt;&lt;pub-location&gt;Canberra&lt;/pub-location&gt;&lt;publisher&gt;Independent Competition and Regulatory Commission&lt;/publisher&gt;&lt;urls&gt;&lt;/urls&gt;&lt;/record&gt;&lt;/Cite&gt;&lt;/EndNote&gt;</w:instrText>
      </w:r>
      <w:r>
        <w:fldChar w:fldCharType="separate"/>
      </w:r>
      <w:hyperlink w:anchor="_ENREF_25" w:tooltip="ICRC, 2016 #727" w:history="1">
        <w:r w:rsidR="00A2488A">
          <w:rPr>
            <w:noProof/>
          </w:rPr>
          <w:t>ICRC (2016b</w:t>
        </w:r>
      </w:hyperlink>
      <w:r>
        <w:rPr>
          <w:noProof/>
        </w:rPr>
        <w:t>)</w:t>
      </w:r>
      <w:r>
        <w:fldChar w:fldCharType="end"/>
      </w:r>
      <w:r>
        <w:t xml:space="preserve">: </w:t>
      </w:r>
      <w:r w:rsidR="00D62357">
        <w:t>57</w:t>
      </w:r>
      <w:r>
        <w:t>.</w:t>
      </w:r>
    </w:p>
    <w:p w:rsidR="00C6689B" w:rsidRDefault="00C6689B" w:rsidP="00C6689B">
      <w:r>
        <w:t>Under the minor demand growth scenario, augmentation of ACT’s water supply is not likely to be needed for another 40 years.</w:t>
      </w:r>
      <w:r>
        <w:rPr>
          <w:rStyle w:val="FootnoteReference"/>
        </w:rPr>
        <w:footnoteReference w:id="54"/>
      </w:r>
      <w:r>
        <w:t xml:space="preserve"> Under the more conservative medium demand growth scenario, augmentation is only required in about 30 years. Under the high demand growth scenario, which can be considered an upper bound, augmentation is required in about 20 years.</w:t>
      </w:r>
      <w:r>
        <w:rPr>
          <w:rStyle w:val="FootnoteReference"/>
        </w:rPr>
        <w:footnoteReference w:id="55"/>
      </w:r>
    </w:p>
    <w:p w:rsidR="00C6689B" w:rsidRDefault="00C6689B" w:rsidP="00D619E9">
      <w:r>
        <w:t>The minor demand growth scenario is used as the optimal investment scenario for marginal cost calculation purpose as we have not seen even minor aggregate demand growth in recent years.</w:t>
      </w:r>
    </w:p>
    <w:p w:rsidR="00EC70A4" w:rsidRDefault="00EC70A4" w:rsidP="00D619E9">
      <w:r>
        <w:t>In these circumstances, Icon Water is currently considering whether to mothball the Murrumbidgee to Googong pipeline on the basis that it is unlikely to be required for some time.</w:t>
      </w:r>
      <w:r>
        <w:rPr>
          <w:rStyle w:val="FootnoteReference"/>
        </w:rPr>
        <w:footnoteReference w:id="56"/>
      </w:r>
    </w:p>
    <w:p w:rsidR="00D619E9" w:rsidRDefault="00BE582F" w:rsidP="00D619E9">
      <w:r>
        <w:lastRenderedPageBreak/>
        <w:t xml:space="preserve">The Commission’s view is that the </w:t>
      </w:r>
      <w:r w:rsidR="00D619E9">
        <w:t xml:space="preserve">scarcity value of water in ACT dams should be recognised but is better addressed by adjusting the marginal cost </w:t>
      </w:r>
      <w:r w:rsidR="00B6677A">
        <w:t xml:space="preserve">upwards (and therefore the </w:t>
      </w:r>
      <w:r w:rsidR="00535E01">
        <w:t>usage</w:t>
      </w:r>
      <w:r w:rsidR="00B6677A">
        <w:t xml:space="preserve"> price) when water is scarce</w:t>
      </w:r>
      <w:r>
        <w:t>, rather than relying on</w:t>
      </w:r>
      <w:r w:rsidR="00927E41">
        <w:t xml:space="preserve"> an inclining block arrangement</w:t>
      </w:r>
      <w:r w:rsidR="00B6677A">
        <w:t xml:space="preserve"> which assigns a high price irrespective of dam levels. This could be achieved by a drought pricing scheme, for example, discussed </w:t>
      </w:r>
      <w:r w:rsidR="00332778">
        <w:t xml:space="preserve">further </w:t>
      </w:r>
      <w:r w:rsidR="00B6677A">
        <w:t>below.</w:t>
      </w:r>
    </w:p>
    <w:p w:rsidR="00F03630" w:rsidRDefault="00E46888" w:rsidP="00F03630">
      <w:r>
        <w:t xml:space="preserve">The key point here is that the value of an additional kilolitre of water left in ACT dams </w:t>
      </w:r>
      <w:r w:rsidR="002948B2">
        <w:t xml:space="preserve">primarily </w:t>
      </w:r>
      <w:r>
        <w:t>derive</w:t>
      </w:r>
      <w:r w:rsidR="005D783F">
        <w:t>s</w:t>
      </w:r>
      <w:r>
        <w:t xml:space="preserve"> from its contribution to postponing further augmentation of the water supply system.</w:t>
      </w:r>
      <w:r w:rsidR="00F03630">
        <w:t xml:space="preserve"> From an environmental perspective, there is limited local or downstream environmental benefit to be gained from leaving an extra kilolitre of water in ACT dams rather than consuming it, for two reasons.</w:t>
      </w:r>
    </w:p>
    <w:p w:rsidR="00F03630" w:rsidRDefault="00F03630" w:rsidP="00F03630">
      <w:r>
        <w:t xml:space="preserve">First, Icon Water is subject to strict environmental flow requirements to ensure the </w:t>
      </w:r>
      <w:r w:rsidRPr="001129A4">
        <w:rPr>
          <w:iCs/>
          <w:lang w:val="en-AU"/>
        </w:rPr>
        <w:t>flows of water in ACT streams and rivers that are necessary to maintain aquatic</w:t>
      </w:r>
      <w:r>
        <w:rPr>
          <w:iCs/>
          <w:lang w:val="en-AU"/>
        </w:rPr>
        <w:t xml:space="preserve"> </w:t>
      </w:r>
      <w:r w:rsidRPr="001129A4">
        <w:rPr>
          <w:iCs/>
          <w:lang w:val="en-AU"/>
        </w:rPr>
        <w:t>ecosystems.</w:t>
      </w:r>
      <w:r>
        <w:rPr>
          <w:iCs/>
          <w:lang w:val="en-AU"/>
        </w:rPr>
        <w:t xml:space="preserve"> </w:t>
      </w:r>
      <w:r>
        <w:t>Icon Water’s licence to take water requires it to ensure that environmental flows are given first priority.</w:t>
      </w:r>
      <w:r>
        <w:rPr>
          <w:rStyle w:val="FootnoteReference"/>
        </w:rPr>
        <w:footnoteReference w:id="57"/>
      </w:r>
    </w:p>
    <w:p w:rsidR="00F03630" w:rsidRDefault="00F03630" w:rsidP="00F03630">
      <w:r>
        <w:t>Second, the downstream environmental benefits of any water (over and above environmental flows), that flow from ACT dams are limited for two reasons. The first is that there are no key environmental assets in the ACT that require specific environmental watering. The second is that Burrinjuck Dam sits between the ACT and any benefits for sites further downstream in New South Wales.</w:t>
      </w:r>
    </w:p>
    <w:p w:rsidR="00F03630" w:rsidRDefault="00661E52" w:rsidP="00F03630">
      <w:r>
        <w:t xml:space="preserve">From a broader perspective it is also worth noting that, largely due to its urban nature, the ACT only consumes a small proportion of the total amount of water that flows into its catchments. The long-term average water inflows to 2003 averaged about 492 GL per year, with around 244 GL per year legislated for environmental flows. Of the balance of 248 GL per year, gross extractions for consumptive </w:t>
      </w:r>
      <w:r w:rsidR="00A10383">
        <w:t xml:space="preserve">use </w:t>
      </w:r>
      <w:r>
        <w:t>have averaged about 50 GL per year in recent years with about 30 GL returned to the river system as treated effluent. The net use has been at or below 20 GL per year since 2007</w:t>
      </w:r>
      <w:r>
        <w:sym w:font="Symbol" w:char="F02D"/>
      </w:r>
      <w:r>
        <w:t>08, 4 per cent of total inflows or 8 per cent of the balance after environmental flows. This is also well below the ACT’s sustainable diversion limit under the Basin Plan of 40.5 GL per year taken from watercourses.</w:t>
      </w:r>
    </w:p>
    <w:p w:rsidR="00446798" w:rsidRDefault="00FA2609" w:rsidP="00701E10">
      <w:r>
        <w:t>Mr Knee conten</w:t>
      </w:r>
      <w:r w:rsidR="00546455">
        <w:t>ds</w:t>
      </w:r>
      <w:r>
        <w:t xml:space="preserve"> that </w:t>
      </w:r>
      <w:r w:rsidR="00AC357B">
        <w:t xml:space="preserve">Icon Water </w:t>
      </w:r>
      <w:r>
        <w:t xml:space="preserve">would be restrained </w:t>
      </w:r>
      <w:r w:rsidR="00AC357B">
        <w:t xml:space="preserve">by </w:t>
      </w:r>
      <w:r w:rsidR="00546455">
        <w:t xml:space="preserve">section 7 of the TOC </w:t>
      </w:r>
      <w:r w:rsidR="00413FE6">
        <w:t>A</w:t>
      </w:r>
      <w:r w:rsidR="00546455">
        <w:t xml:space="preserve">ct, which requires Icon Water, in relation to activities that affect the environment, to operate in accordance with the object of ecologically sustainable development, </w:t>
      </w:r>
      <w:r>
        <w:t xml:space="preserve">from </w:t>
      </w:r>
      <w:r w:rsidR="00546455">
        <w:t xml:space="preserve">contemplating a </w:t>
      </w:r>
      <w:r>
        <w:t>price reduction that may increase demand</w:t>
      </w:r>
      <w:r w:rsidR="00546455">
        <w:t>.</w:t>
      </w:r>
      <w:r>
        <w:t xml:space="preserve"> </w:t>
      </w:r>
      <w:r w:rsidR="0042031A">
        <w:t xml:space="preserve">Given the low level of overall water use in the ACT and the fact that Icon Water is subject to environmental flow requirements, </w:t>
      </w:r>
      <w:r w:rsidR="00A47CD8">
        <w:t xml:space="preserve">it is difficult to see how </w:t>
      </w:r>
      <w:r w:rsidR="00327682">
        <w:t xml:space="preserve">such an action </w:t>
      </w:r>
      <w:r w:rsidR="00A47CD8">
        <w:t>would conflict with the sustainability requirements in the TOC Act.</w:t>
      </w:r>
    </w:p>
    <w:p w:rsidR="008D42F8" w:rsidRDefault="0005353E" w:rsidP="00701E10">
      <w:r>
        <w:t xml:space="preserve">Finally, </w:t>
      </w:r>
      <w:r w:rsidR="008F22BE">
        <w:t>a</w:t>
      </w:r>
      <w:r w:rsidR="003B45BA">
        <w:t>s noted in the issues paper, t</w:t>
      </w:r>
      <w:r w:rsidR="00701E10">
        <w:t xml:space="preserve">he </w:t>
      </w:r>
      <w:r w:rsidR="008F22BE">
        <w:t xml:space="preserve">broader </w:t>
      </w:r>
      <w:r w:rsidR="00701E10">
        <w:t xml:space="preserve">difficulty with inclining block tariffs is that the </w:t>
      </w:r>
      <w:r w:rsidR="00701E10" w:rsidRPr="00DA2A5E">
        <w:t>key requirement for economic efficiency</w:t>
      </w:r>
      <w:r w:rsidR="00701E10">
        <w:t>, which is that</w:t>
      </w:r>
      <w:r w:rsidR="00701E10" w:rsidRPr="00DA2A5E">
        <w:t xml:space="preserve"> the </w:t>
      </w:r>
      <w:r w:rsidR="00535E01">
        <w:t>usage</w:t>
      </w:r>
      <w:r w:rsidR="00701E10" w:rsidRPr="00DA2A5E">
        <w:t xml:space="preserve"> charge </w:t>
      </w:r>
      <w:r w:rsidR="00701E10" w:rsidRPr="00DA2A5E">
        <w:lastRenderedPageBreak/>
        <w:t>should equal the opportunity cost of water</w:t>
      </w:r>
      <w:r w:rsidR="00701E10">
        <w:t xml:space="preserve">, implies a single marginal price for water. </w:t>
      </w:r>
      <w:r w:rsidR="00701E10" w:rsidRPr="00DA2A5E">
        <w:t>If two customers are paying for water at different marginal prices due to different levels of consumption</w:t>
      </w:r>
      <w:r w:rsidR="00701E10">
        <w:t xml:space="preserve"> under an inclining block structure</w:t>
      </w:r>
      <w:r w:rsidR="00701E10" w:rsidRPr="00DA2A5E">
        <w:t>, one of the two prices ca</w:t>
      </w:r>
      <w:r w:rsidR="00701E10">
        <w:t>nnot be efficient. As such, inclining block tariffs are often criticised for being inefficient.</w:t>
      </w:r>
      <w:r w:rsidR="003B45BA">
        <w:t xml:space="preserve"> The Commission agrees that an inclining block tariff is likely to be less efficient than a single </w:t>
      </w:r>
      <w:r w:rsidR="00535E01">
        <w:t>usage</w:t>
      </w:r>
      <w:r w:rsidR="003B45BA">
        <w:t xml:space="preserve"> charge.</w:t>
      </w:r>
    </w:p>
    <w:p w:rsidR="008D42F8" w:rsidRDefault="00655E4C" w:rsidP="00701E10">
      <w:r>
        <w:t xml:space="preserve">On a separate note, </w:t>
      </w:r>
      <w:r w:rsidR="008D42F8">
        <w:t xml:space="preserve">ClubsACT submitted that clubs should be provided with </w:t>
      </w:r>
      <w:r w:rsidR="00822777">
        <w:t xml:space="preserve">the same </w:t>
      </w:r>
      <w:r w:rsidR="008D42F8">
        <w:t xml:space="preserve">discount on water tariffs as </w:t>
      </w:r>
      <w:r w:rsidR="00822777">
        <w:t xml:space="preserve">applied to ACT </w:t>
      </w:r>
      <w:r w:rsidR="008D42F8">
        <w:t xml:space="preserve">churches and schools, or a community service obligation to assist in reducing water bills. </w:t>
      </w:r>
      <w:r w:rsidR="00822777">
        <w:t xml:space="preserve">Both proposals require </w:t>
      </w:r>
      <w:r w:rsidR="0025387A">
        <w:t xml:space="preserve">ACT taxpayers </w:t>
      </w:r>
      <w:r w:rsidR="00822777">
        <w:t xml:space="preserve">to fund Icon Water to subsidise a particular customer class. </w:t>
      </w:r>
      <w:r w:rsidR="0025387A">
        <w:t>Such decisions made on behalf of the ACT community are, quite rightly, the responsibility of the ACT Government.</w:t>
      </w:r>
    </w:p>
    <w:p w:rsidR="00F101FE" w:rsidRPr="0092162E" w:rsidRDefault="00F101FE" w:rsidP="00F101FE">
      <w:pPr>
        <w:pStyle w:val="Heading3"/>
      </w:pPr>
      <w:r>
        <w:t>Draft position</w:t>
      </w:r>
    </w:p>
    <w:p w:rsidR="00187BB9" w:rsidRDefault="004C71D8" w:rsidP="00701E10">
      <w:r>
        <w:t xml:space="preserve">Under </w:t>
      </w:r>
      <w:r w:rsidR="003F1AF1">
        <w:t xml:space="preserve">a </w:t>
      </w:r>
      <w:r>
        <w:t xml:space="preserve">cost-reflective tariff structure, community welfare will be maximised as customers will </w:t>
      </w:r>
      <w:r w:rsidR="003F1AF1">
        <w:t xml:space="preserve">no longer be prevented from </w:t>
      </w:r>
      <w:r>
        <w:t>us</w:t>
      </w:r>
      <w:r w:rsidR="003F1AF1">
        <w:t>ing</w:t>
      </w:r>
      <w:r>
        <w:t xml:space="preserve"> water when the usage of that water is valued above the infrastructure and resource value cost of providing the water service.</w:t>
      </w:r>
      <w:r w:rsidR="003F1AF1">
        <w:t xml:space="preserve"> In addition, a more efficient tariff structure will also reduce the possibility of uneconomic bypass of Icon Water’s primary water system</w:t>
      </w:r>
      <w:r w:rsidR="009E4F79">
        <w:t xml:space="preserve">. As noted in section </w:t>
      </w:r>
      <w:r w:rsidR="009E4F79">
        <w:fldChar w:fldCharType="begin"/>
      </w:r>
      <w:r w:rsidR="009E4F79">
        <w:instrText xml:space="preserve"> REF _Ref456961356 \r \h </w:instrText>
      </w:r>
      <w:r w:rsidR="009E4F79">
        <w:fldChar w:fldCharType="separate"/>
      </w:r>
      <w:r w:rsidR="00B80BC7">
        <w:t>2.2.2</w:t>
      </w:r>
      <w:r w:rsidR="009E4F79">
        <w:fldChar w:fldCharType="end"/>
      </w:r>
      <w:r w:rsidR="003F1AF1">
        <w:t>, Icon Water</w:t>
      </w:r>
      <w:r w:rsidR="009E4F79">
        <w:t xml:space="preserve"> submitted that uneconomic bypass makes all customers worse off as it means prices need to rise to spread Icon Water’s predominantly fixed costs across fewer customers and lower water consumption.</w:t>
      </w:r>
      <w:r>
        <w:t xml:space="preserve"> </w:t>
      </w:r>
      <w:r w:rsidR="00B501EA">
        <w:t xml:space="preserve"> </w:t>
      </w:r>
    </w:p>
    <w:p w:rsidR="009F67DA" w:rsidRDefault="00C82012" w:rsidP="00C82012">
      <w:r>
        <w:t>The Commission’s draft position is that a two-part tariff with a single usage charge set with reference to long-run marginal cost</w:t>
      </w:r>
      <w:r w:rsidR="002E47FA">
        <w:t xml:space="preserve"> will better achieve the overarching efficiency objective than the current inclining block structure.</w:t>
      </w:r>
    </w:p>
    <w:p w:rsidR="00901EFE" w:rsidRDefault="009F67DA" w:rsidP="00C82012">
      <w:r>
        <w:t xml:space="preserve">Given the magnitude of the change from the current to alternative structure, the Commission’s draft position is that a </w:t>
      </w:r>
      <w:r w:rsidR="00701F91">
        <w:t xml:space="preserve">substantial </w:t>
      </w:r>
      <w:r>
        <w:t xml:space="preserve">transition period will be required in order to comply with principle 7. This is discussed further in Chapter </w:t>
      </w:r>
      <w:r>
        <w:fldChar w:fldCharType="begin"/>
      </w:r>
      <w:r>
        <w:instrText xml:space="preserve"> REF _Ref454886877 \r \h </w:instrText>
      </w:r>
      <w:r>
        <w:fldChar w:fldCharType="separate"/>
      </w:r>
      <w:r w:rsidR="00B80BC7">
        <w:t>5</w:t>
      </w:r>
      <w:r>
        <w:fldChar w:fldCharType="end"/>
      </w:r>
      <w:r>
        <w:t xml:space="preserve">.   </w:t>
      </w:r>
    </w:p>
    <w:p w:rsidR="00884493" w:rsidRDefault="00884493" w:rsidP="00884493">
      <w:pPr>
        <w:pStyle w:val="Heading2"/>
      </w:pPr>
      <w:bookmarkStart w:id="125" w:name="_Toc460572218"/>
      <w:r>
        <w:t xml:space="preserve">Other </w:t>
      </w:r>
      <w:r w:rsidR="00DF0209">
        <w:t xml:space="preserve">tariff </w:t>
      </w:r>
      <w:r>
        <w:t>alternatives</w:t>
      </w:r>
      <w:bookmarkEnd w:id="125"/>
    </w:p>
    <w:p w:rsidR="00E16C9B" w:rsidRDefault="00E16C9B" w:rsidP="00F22E2F">
      <w:pPr>
        <w:pStyle w:val="Heading3"/>
      </w:pPr>
      <w:bookmarkStart w:id="126" w:name="_Ref457304608"/>
      <w:r>
        <w:t>Ramsey pricing</w:t>
      </w:r>
      <w:bookmarkEnd w:id="126"/>
      <w:r>
        <w:t xml:space="preserve"> </w:t>
      </w:r>
    </w:p>
    <w:p w:rsidR="00520ED0" w:rsidRDefault="00520ED0" w:rsidP="00520ED0">
      <w:pPr>
        <w:pStyle w:val="Heading4"/>
      </w:pPr>
      <w:r>
        <w:t>Background</w:t>
      </w:r>
    </w:p>
    <w:p w:rsidR="001F279F" w:rsidRDefault="001F279F" w:rsidP="001F279F">
      <w:r>
        <w:t>In the case of monopolies that produce more than one good or service or have different prices for customer groups, Ramsey pricing provides another means to recover the revenue shortfall</w:t>
      </w:r>
      <w:r>
        <w:sym w:font="Symbol" w:char="F02D"/>
      </w:r>
      <w:r>
        <w:t>or residual cost</w:t>
      </w:r>
      <w:r>
        <w:sym w:font="Symbol" w:char="F02D"/>
      </w:r>
      <w:r>
        <w:t>associated with pricing at marginal cost</w:t>
      </w:r>
      <w:r>
        <w:sym w:font="Symbol" w:char="F02D"/>
      </w:r>
      <w:r>
        <w:t>an alternative to recovering the residual equally from all consumers through a fixed or supply charge.</w:t>
      </w:r>
    </w:p>
    <w:p w:rsidR="001F279F" w:rsidRDefault="001F279F" w:rsidP="001F279F">
      <w:r>
        <w:t xml:space="preserve">Ramsey pricing, also known as the inverse elasticity rule, deals with the problem of how to set prices to minimise changes in the pattern of demand caused by deviating </w:t>
      </w:r>
      <w:r>
        <w:lastRenderedPageBreak/>
        <w:t>from marginal cost in order to recover the residual costs.</w:t>
      </w:r>
      <w:r>
        <w:rPr>
          <w:rStyle w:val="FootnoteReference"/>
        </w:rPr>
        <w:footnoteReference w:id="58"/>
      </w:r>
      <w:r>
        <w:t xml:space="preserve"> The Ramsey formula enables the calculation of prices that results in the smallest surplus loss when prices must be raised above marginal cost in order for the business to remain financially viable. </w:t>
      </w:r>
    </w:p>
    <w:p w:rsidR="001F279F" w:rsidRDefault="001F279F" w:rsidP="001F279F">
      <w:r>
        <w:fldChar w:fldCharType="begin"/>
      </w:r>
      <w:r>
        <w:instrText xml:space="preserve"> ADDIN EN.CITE &lt;EndNote&gt;&lt;Cite&gt;&lt;Author&gt;Baumol&lt;/Author&gt;&lt;Year&gt;1970&lt;/Year&gt;&lt;RecNum&gt;457&lt;/RecNum&gt;&lt;DisplayText&gt;Baumol and Bradford (1970)&lt;/DisplayText&gt;&lt;record&gt;&lt;rec-number&gt;457&lt;/rec-number&gt;&lt;foreign-keys&gt;&lt;key app="EN" db-id="5xwt9zxa6r5fesevwr5xzp97r95ev9wx9zpw" timestamp="1410829145"&gt;457&lt;/key&gt;&lt;/foreign-keys&gt;&lt;ref-type name="Journal Article"&gt;17&lt;/ref-type&gt;&lt;contributors&gt;&lt;authors&gt;&lt;author&gt;Baumol, William J&lt;/author&gt;&lt;author&gt;Bradford, David F&lt;/author&gt;&lt;/authors&gt;&lt;/contributors&gt;&lt;titles&gt;&lt;title&gt;Optimal Departures From Marginal Cost Pricing&lt;/title&gt;&lt;secondary-title&gt;The American Economic Review&lt;/secondary-title&gt;&lt;/titles&gt;&lt;periodical&gt;&lt;full-title&gt;The American Economic Review&lt;/full-title&gt;&lt;/periodical&gt;&lt;pages&gt;265-283&lt;/pages&gt;&lt;volume&gt;60&lt;/volume&gt;&lt;number&gt;3&lt;/number&gt;&lt;dates&gt;&lt;year&gt;1970&lt;/year&gt;&lt;/dates&gt;&lt;urls&gt;&lt;/urls&gt;&lt;/record&gt;&lt;/Cite&gt;&lt;/EndNote&gt;</w:instrText>
      </w:r>
      <w:r>
        <w:fldChar w:fldCharType="separate"/>
      </w:r>
      <w:hyperlink w:anchor="_ENREF_5" w:tooltip="Baumol, 1970 #457" w:history="1">
        <w:r w:rsidR="00A2488A">
          <w:rPr>
            <w:noProof/>
          </w:rPr>
          <w:t>Baumol and Bradford (1970</w:t>
        </w:r>
      </w:hyperlink>
      <w:r>
        <w:rPr>
          <w:noProof/>
        </w:rPr>
        <w:t>)</w:t>
      </w:r>
      <w:r>
        <w:fldChar w:fldCharType="end"/>
      </w:r>
      <w:r>
        <w:t xml:space="preserve"> presented a formal analysis of the rule for setting prices under this approach to minimise price distortions.</w:t>
      </w:r>
      <w:r>
        <w:rPr>
          <w:rStyle w:val="FootnoteReference"/>
        </w:rPr>
        <w:footnoteReference w:id="59"/>
      </w:r>
      <w:r>
        <w:t xml:space="preserve"> The rule is that </w:t>
      </w:r>
      <w:r w:rsidRPr="00FB14D6">
        <w:t xml:space="preserve">each price be set so that its percentage deviation from marginal </w:t>
      </w:r>
      <w:r>
        <w:t>c</w:t>
      </w:r>
      <w:r w:rsidRPr="00FB14D6">
        <w:t>ost is inve</w:t>
      </w:r>
      <w:r>
        <w:t>rsely proportionate to the item’</w:t>
      </w:r>
      <w:r w:rsidRPr="00FB14D6">
        <w:t>s price elasticity of demand.</w:t>
      </w:r>
      <w:r>
        <w:rPr>
          <w:rStyle w:val="FootnoteReference"/>
        </w:rPr>
        <w:footnoteReference w:id="60"/>
      </w:r>
    </w:p>
    <w:p w:rsidR="001F279F" w:rsidRDefault="001F279F" w:rsidP="001F279F">
      <w:r>
        <w:t xml:space="preserve">Ramsey pricing, somewhat counter-intuitively, involves deliberate price discrimination on the basis of elasticities of demand to </w:t>
      </w:r>
      <w:r w:rsidRPr="00BB1653">
        <w:t xml:space="preserve">allow the </w:t>
      </w:r>
      <w:r>
        <w:t xml:space="preserve">monopoly business </w:t>
      </w:r>
      <w:r w:rsidRPr="00BB1653">
        <w:t xml:space="preserve">to recover residual costs while minimising the </w:t>
      </w:r>
      <w:r>
        <w:t>d</w:t>
      </w:r>
      <w:r w:rsidRPr="00BB1653">
        <w:t>eviations from optimal</w:t>
      </w:r>
      <w:r>
        <w:t xml:space="preserve"> c</w:t>
      </w:r>
      <w:r w:rsidRPr="00BB1653">
        <w:t>onsumption patterns</w:t>
      </w:r>
      <w:r>
        <w:sym w:font="Symbol" w:char="F02D"/>
      </w:r>
      <w:r>
        <w:t>that is, those</w:t>
      </w:r>
      <w:r w:rsidRPr="00BB1653">
        <w:t xml:space="preserve"> based on marginal cost pricing.</w:t>
      </w:r>
      <w:r>
        <w:t xml:space="preserve"> </w:t>
      </w:r>
      <w:r w:rsidRPr="00587AEB">
        <w:t>Customers who are price inelastic are charged a</w:t>
      </w:r>
      <w:r>
        <w:t xml:space="preserve"> </w:t>
      </w:r>
      <w:r w:rsidRPr="00587AEB">
        <w:t xml:space="preserve">higher price than those who are price elastic, </w:t>
      </w:r>
      <w:r>
        <w:t xml:space="preserve">with </w:t>
      </w:r>
      <w:r w:rsidRPr="00587AEB">
        <w:t>more of the residual costs recovered</w:t>
      </w:r>
      <w:r>
        <w:t xml:space="preserve"> </w:t>
      </w:r>
      <w:r w:rsidRPr="00587AEB">
        <w:t>from customers who are price inelastic than from the customers with elastic demand.</w:t>
      </w:r>
    </w:p>
    <w:p w:rsidR="00F43771" w:rsidRDefault="00F43771" w:rsidP="001F279F">
      <w:pPr>
        <w:pStyle w:val="Heading4"/>
      </w:pPr>
      <w:r>
        <w:t>Submissions</w:t>
      </w:r>
    </w:p>
    <w:p w:rsidR="00F43771" w:rsidRPr="00F43771" w:rsidRDefault="00F43771" w:rsidP="00F43771">
      <w:r>
        <w:t xml:space="preserve">The Commission received no submissions on the topic of Ramsey pricing. </w:t>
      </w:r>
    </w:p>
    <w:p w:rsidR="001F279F" w:rsidRPr="00D47B48" w:rsidRDefault="003F7197" w:rsidP="001F279F">
      <w:pPr>
        <w:pStyle w:val="Heading4"/>
      </w:pPr>
      <w:r>
        <w:t>Commission’s consideration</w:t>
      </w:r>
    </w:p>
    <w:p w:rsidR="001F279F" w:rsidRDefault="001F279F" w:rsidP="001F279F">
      <w:r>
        <w:t>There are two main issues that need to be considered in relation to the application of Ramsey pricing for Icon Water. The first is the availability of information on relevant price elasticities of demand, without which Ramsey prices cannot be calculated.</w:t>
      </w:r>
      <w:r w:rsidR="00CE0A83">
        <w:t xml:space="preserve"> </w:t>
      </w:r>
      <w:r>
        <w:t>The second is the equity issue associated with differential charging between consumers for the same product.</w:t>
      </w:r>
    </w:p>
    <w:p w:rsidR="001F279F" w:rsidRDefault="001F279F" w:rsidP="001F279F">
      <w:r>
        <w:t>The application of Ramsey pricing in the case of Icon Water’s regulated water services requires an estimate of the price elasticity of demand for the service for different customer groups.</w:t>
      </w:r>
      <w:r w:rsidR="00253F03">
        <w:t xml:space="preserve"> </w:t>
      </w:r>
      <w:r>
        <w:t xml:space="preserve">The Commission’s first technical paper for the tariff review provides estimates of the price elasticity of demand for water for Icon Water’s residential (stand-alone houses), units and flats, and commercial customers. The results are shown in </w:t>
      </w:r>
      <w:r>
        <w:fldChar w:fldCharType="begin"/>
      </w:r>
      <w:r>
        <w:instrText xml:space="preserve"> REF _Ref447876649 \h </w:instrText>
      </w:r>
      <w:r>
        <w:fldChar w:fldCharType="separate"/>
      </w:r>
      <w:r w:rsidR="00B80BC7" w:rsidRPr="003C3AEA">
        <w:t>Table</w:t>
      </w:r>
      <w:r w:rsidR="00B80BC7">
        <w:t xml:space="preserve"> </w:t>
      </w:r>
      <w:r w:rsidR="00B80BC7">
        <w:rPr>
          <w:noProof/>
        </w:rPr>
        <w:t>3</w:t>
      </w:r>
      <w:r w:rsidR="00B80BC7">
        <w:t>.</w:t>
      </w:r>
      <w:r w:rsidR="00B80BC7">
        <w:rPr>
          <w:noProof/>
        </w:rPr>
        <w:t>3</w:t>
      </w:r>
      <w:r>
        <w:fldChar w:fldCharType="end"/>
      </w:r>
      <w:r>
        <w:t>.</w:t>
      </w:r>
    </w:p>
    <w:p w:rsidR="001F279F" w:rsidRDefault="001F279F" w:rsidP="001F279F">
      <w:pPr>
        <w:pStyle w:val="FigureName"/>
        <w:keepNext/>
      </w:pPr>
      <w:bookmarkStart w:id="127" w:name="_Ref447876649"/>
      <w:bookmarkStart w:id="128" w:name="_Toc453920893"/>
      <w:bookmarkStart w:id="129" w:name="_Toc460572250"/>
      <w:r w:rsidRPr="003C3AEA">
        <w:lastRenderedPageBreak/>
        <w:t>Table</w:t>
      </w:r>
      <w:r>
        <w:t xml:space="preserve"> </w:t>
      </w:r>
      <w:r>
        <w:fldChar w:fldCharType="begin"/>
      </w:r>
      <w:r>
        <w:instrText xml:space="preserve"> STYLEREF 1 \s </w:instrText>
      </w:r>
      <w:r>
        <w:fldChar w:fldCharType="separate"/>
      </w:r>
      <w:r w:rsidR="00B80BC7">
        <w:rPr>
          <w:noProof/>
        </w:rPr>
        <w:t>3</w:t>
      </w:r>
      <w:r>
        <w:fldChar w:fldCharType="end"/>
      </w:r>
      <w:r>
        <w:t>.</w:t>
      </w:r>
      <w:r>
        <w:fldChar w:fldCharType="begin"/>
      </w:r>
      <w:r>
        <w:instrText xml:space="preserve"> SEQ Table \* ARABIC \s 1 </w:instrText>
      </w:r>
      <w:r>
        <w:fldChar w:fldCharType="separate"/>
      </w:r>
      <w:r w:rsidR="00B80BC7">
        <w:rPr>
          <w:noProof/>
        </w:rPr>
        <w:t>3</w:t>
      </w:r>
      <w:r>
        <w:fldChar w:fldCharType="end"/>
      </w:r>
      <w:bookmarkEnd w:id="127"/>
      <w:r>
        <w:tab/>
        <w:t>Price elasticities of demand for water in the ACT, 1999 to 2015</w:t>
      </w:r>
      <w:bookmarkEnd w:id="128"/>
      <w:bookmarkEnd w:id="129"/>
    </w:p>
    <w:tbl>
      <w:tblPr>
        <w:tblW w:w="3825" w:type="pct"/>
        <w:tblBorders>
          <w:top w:val="single" w:sz="12" w:space="0" w:color="333399"/>
          <w:bottom w:val="single" w:sz="12" w:space="0" w:color="333399"/>
        </w:tblBorders>
        <w:tblCellMar>
          <w:left w:w="115" w:type="dxa"/>
          <w:right w:w="115" w:type="dxa"/>
        </w:tblCellMar>
        <w:tblLook w:val="0000" w:firstRow="0" w:lastRow="0" w:firstColumn="0" w:lastColumn="0" w:noHBand="0" w:noVBand="0"/>
      </w:tblPr>
      <w:tblGrid>
        <w:gridCol w:w="4368"/>
        <w:gridCol w:w="1531"/>
      </w:tblGrid>
      <w:tr w:rsidR="001F279F" w:rsidRPr="00144F8C" w:rsidTr="0074175D">
        <w:trPr>
          <w:cantSplit/>
        </w:trPr>
        <w:tc>
          <w:tcPr>
            <w:tcW w:w="3702" w:type="pct"/>
            <w:tcBorders>
              <w:top w:val="single" w:sz="12" w:space="0" w:color="1F497D" w:themeColor="text2"/>
              <w:left w:val="nil"/>
              <w:bottom w:val="single" w:sz="8" w:space="0" w:color="1F497D" w:themeColor="text2"/>
              <w:right w:val="nil"/>
            </w:tcBorders>
            <w:shd w:val="clear" w:color="auto" w:fill="DBE5F1" w:themeFill="accent1" w:themeFillTint="33"/>
            <w:vAlign w:val="bottom"/>
          </w:tcPr>
          <w:p w:rsidR="001F279F" w:rsidRPr="00347ADB" w:rsidRDefault="001F279F" w:rsidP="001F279F">
            <w:pPr>
              <w:pStyle w:val="TableHeadingLeft"/>
              <w:keepNext/>
            </w:pPr>
            <w:r>
              <w:t>Customer category</w:t>
            </w:r>
          </w:p>
        </w:tc>
        <w:tc>
          <w:tcPr>
            <w:tcW w:w="1298" w:type="pct"/>
            <w:tcBorders>
              <w:top w:val="single" w:sz="12" w:space="0" w:color="1F497D" w:themeColor="text2"/>
              <w:left w:val="nil"/>
              <w:bottom w:val="single" w:sz="8" w:space="0" w:color="1F497D" w:themeColor="text2"/>
              <w:right w:val="nil"/>
            </w:tcBorders>
            <w:shd w:val="clear" w:color="auto" w:fill="DBE5F1" w:themeFill="accent1" w:themeFillTint="33"/>
            <w:vAlign w:val="bottom"/>
          </w:tcPr>
          <w:p w:rsidR="001F279F" w:rsidRPr="00347ADB" w:rsidRDefault="001F279F" w:rsidP="001F279F">
            <w:pPr>
              <w:pStyle w:val="TableHeadingLeft"/>
              <w:keepNext/>
            </w:pPr>
            <w:r>
              <w:t>Elasticity estimate</w:t>
            </w:r>
          </w:p>
        </w:tc>
      </w:tr>
      <w:tr w:rsidR="001F279F" w:rsidRPr="00144F8C" w:rsidTr="0074175D">
        <w:trPr>
          <w:cantSplit/>
        </w:trPr>
        <w:tc>
          <w:tcPr>
            <w:tcW w:w="3702" w:type="pct"/>
            <w:tcBorders>
              <w:top w:val="nil"/>
              <w:left w:val="nil"/>
              <w:bottom w:val="nil"/>
              <w:right w:val="nil"/>
            </w:tcBorders>
          </w:tcPr>
          <w:p w:rsidR="001F279F" w:rsidRPr="00DD58D7" w:rsidRDefault="001F279F" w:rsidP="001F279F">
            <w:pPr>
              <w:pStyle w:val="TableTextLeft"/>
              <w:keepNext/>
            </w:pPr>
            <w:r>
              <w:t>Residential (RESS charge class)</w:t>
            </w:r>
          </w:p>
        </w:tc>
        <w:tc>
          <w:tcPr>
            <w:tcW w:w="1298" w:type="pct"/>
            <w:tcBorders>
              <w:top w:val="nil"/>
              <w:left w:val="nil"/>
              <w:bottom w:val="nil"/>
              <w:right w:val="nil"/>
            </w:tcBorders>
          </w:tcPr>
          <w:p w:rsidR="001F279F" w:rsidRPr="00DD58D7" w:rsidRDefault="001F279F" w:rsidP="001F279F">
            <w:pPr>
              <w:pStyle w:val="TableTextRight"/>
              <w:keepNext/>
            </w:pPr>
            <w:r>
              <w:t>-0.14</w:t>
            </w:r>
          </w:p>
        </w:tc>
      </w:tr>
      <w:tr w:rsidR="001F279F" w:rsidRPr="00144F8C" w:rsidTr="0074175D">
        <w:trPr>
          <w:cantSplit/>
        </w:trPr>
        <w:tc>
          <w:tcPr>
            <w:tcW w:w="3702" w:type="pct"/>
            <w:tcBorders>
              <w:top w:val="nil"/>
              <w:left w:val="nil"/>
              <w:bottom w:val="nil"/>
              <w:right w:val="nil"/>
            </w:tcBorders>
          </w:tcPr>
          <w:p w:rsidR="001F279F" w:rsidRPr="00DD58D7" w:rsidRDefault="001F279F" w:rsidP="001F279F">
            <w:pPr>
              <w:pStyle w:val="TableTextLeft"/>
              <w:keepNext/>
            </w:pPr>
            <w:r>
              <w:t>Units and flats (ACP1 charge class)</w:t>
            </w:r>
          </w:p>
        </w:tc>
        <w:tc>
          <w:tcPr>
            <w:tcW w:w="1298" w:type="pct"/>
            <w:tcBorders>
              <w:top w:val="nil"/>
              <w:left w:val="nil"/>
              <w:bottom w:val="nil"/>
              <w:right w:val="nil"/>
            </w:tcBorders>
          </w:tcPr>
          <w:p w:rsidR="001F279F" w:rsidRPr="00DD58D7" w:rsidRDefault="001F279F" w:rsidP="001F279F">
            <w:pPr>
              <w:pStyle w:val="TableTextRight"/>
              <w:keepNext/>
            </w:pPr>
            <w:r>
              <w:t>-0.07</w:t>
            </w:r>
          </w:p>
        </w:tc>
      </w:tr>
      <w:tr w:rsidR="001F279F" w:rsidRPr="00144F8C" w:rsidTr="0074175D">
        <w:trPr>
          <w:cantSplit/>
        </w:trPr>
        <w:tc>
          <w:tcPr>
            <w:tcW w:w="3702" w:type="pct"/>
            <w:tcBorders>
              <w:top w:val="nil"/>
              <w:left w:val="nil"/>
              <w:bottom w:val="single" w:sz="12" w:space="0" w:color="1F497D" w:themeColor="text2"/>
              <w:right w:val="nil"/>
            </w:tcBorders>
          </w:tcPr>
          <w:p w:rsidR="001F279F" w:rsidRPr="00A40501" w:rsidRDefault="001F279F" w:rsidP="001F279F">
            <w:pPr>
              <w:pStyle w:val="TableTextLeft"/>
              <w:keepNext/>
            </w:pPr>
            <w:r>
              <w:t>Commercial (COMM)</w:t>
            </w:r>
          </w:p>
        </w:tc>
        <w:tc>
          <w:tcPr>
            <w:tcW w:w="1298" w:type="pct"/>
            <w:tcBorders>
              <w:top w:val="nil"/>
              <w:left w:val="nil"/>
              <w:bottom w:val="single" w:sz="12" w:space="0" w:color="1F497D" w:themeColor="text2"/>
              <w:right w:val="nil"/>
            </w:tcBorders>
          </w:tcPr>
          <w:p w:rsidR="001F279F" w:rsidRPr="00A40501" w:rsidRDefault="001F279F" w:rsidP="001F279F">
            <w:pPr>
              <w:pStyle w:val="TableTextRight"/>
              <w:keepNext/>
            </w:pPr>
            <w:r>
              <w:t>-0.32</w:t>
            </w:r>
          </w:p>
        </w:tc>
      </w:tr>
    </w:tbl>
    <w:p w:rsidR="001F279F" w:rsidRDefault="001F279F" w:rsidP="001F279F">
      <w:pPr>
        <w:pStyle w:val="TableNotesLast"/>
        <w:keepNext/>
      </w:pPr>
      <w:r>
        <w:t>Source:</w:t>
      </w:r>
      <w:r>
        <w:tab/>
      </w:r>
      <w:r>
        <w:fldChar w:fldCharType="begin"/>
      </w:r>
      <w:r>
        <w:instrText xml:space="preserve"> ADDIN EN.CITE &lt;EndNote&gt;&lt;Cite&gt;&lt;Author&gt;ICRC&lt;/Author&gt;&lt;Year&gt;2016&lt;/Year&gt;&lt;RecNum&gt;697&lt;/RecNum&gt;&lt;DisplayText&gt;ICRC (2016a)&lt;/DisplayText&gt;&lt;record&gt;&lt;rec-number&gt;697&lt;/rec-number&gt;&lt;foreign-keys&gt;&lt;key app="EN" db-id="5xwt9zxa6r5fesevwr5xzp97r95ev9wx9zpw" timestamp="1458518329"&gt;697&lt;/key&gt;&lt;key app="ENWeb" db-id=""&gt;0&lt;/key&gt;&lt;/foreign-keys&gt;&lt;ref-type name="AAA ICRC Water References"&gt;40&lt;/ref-type&gt;&lt;contributors&gt;&lt;authors&gt;&lt;author&gt;ICRC,&lt;/author&gt;&lt;/authors&gt;&lt;/contributors&gt;&lt;titles&gt;&lt;title&gt;Technical paper 1: Price elasticity of water demand in the ACT&lt;/title&gt;&lt;/titles&gt;&lt;volume&gt;Report 1 of 2016&lt;/volume&gt;&lt;dates&gt;&lt;year&gt;2016&lt;/year&gt;&lt;pub-dates&gt;&lt;date&gt;February 2016&lt;/date&gt;&lt;/pub-dates&gt;&lt;/dates&gt;&lt;pub-location&gt;Canberra&lt;/pub-location&gt;&lt;publisher&gt;Independent Competition and Regulatory Commission&lt;/publisher&gt;&lt;urls&gt;&lt;/urls&gt;&lt;/record&gt;&lt;/Cite&gt;&lt;/EndNote&gt;</w:instrText>
      </w:r>
      <w:r>
        <w:fldChar w:fldCharType="separate"/>
      </w:r>
      <w:hyperlink w:anchor="_ENREF_24" w:tooltip="ICRC, 2016 #697" w:history="1">
        <w:r w:rsidR="00A2488A">
          <w:rPr>
            <w:noProof/>
          </w:rPr>
          <w:t>ICRC (2016a</w:t>
        </w:r>
      </w:hyperlink>
      <w:r>
        <w:rPr>
          <w:noProof/>
        </w:rPr>
        <w:t>)</w:t>
      </w:r>
      <w:r>
        <w:fldChar w:fldCharType="end"/>
      </w:r>
      <w:r>
        <w:t>.</w:t>
      </w:r>
    </w:p>
    <w:p w:rsidR="001F279F" w:rsidRPr="001D1520" w:rsidRDefault="001F279F" w:rsidP="001F279F">
      <w:r>
        <w:t>The technical paper concluded that, in general and bearing in mind the caveats around the estimates for units and flats and commercial customers, the demand response is the most price elastic for commercial customers and least elastic for units and flats customers, with residential customers in the middle. Should Ramsey pricing be contemplated, this would imply that units and flats customers, who are price inelastic, could be charged a higher price than the more price elastic commercial and residential customers. Alternatively, both residential and units and flats customers could pay a higher charge. Clearly, the application of Ramsey pricing in the ACT is likely to raise equity concerns.</w:t>
      </w:r>
    </w:p>
    <w:p w:rsidR="00CE0A83" w:rsidRDefault="00CE0A83" w:rsidP="00CE0A83">
      <w:pPr>
        <w:pStyle w:val="Heading4"/>
      </w:pPr>
      <w:r>
        <w:t>Draft position</w:t>
      </w:r>
    </w:p>
    <w:p w:rsidR="00CE0A83" w:rsidRPr="00E16C9B" w:rsidRDefault="003C375E" w:rsidP="001F279F">
      <w:r>
        <w:t xml:space="preserve">The Commission’s draft position is </w:t>
      </w:r>
      <w:r w:rsidR="00950216">
        <w:t xml:space="preserve">to apply a multi-part tariff for revenue recovery in the provision of water services in the ACT rather than rely on </w:t>
      </w:r>
      <w:r>
        <w:t>Ramsey pricing</w:t>
      </w:r>
      <w:r w:rsidR="00950216">
        <w:t>.</w:t>
      </w:r>
      <w:r>
        <w:t xml:space="preserve"> </w:t>
      </w:r>
    </w:p>
    <w:p w:rsidR="00CF184D" w:rsidRDefault="00901EFE" w:rsidP="00F22E2F">
      <w:pPr>
        <w:pStyle w:val="Heading3"/>
      </w:pPr>
      <w:r>
        <w:t xml:space="preserve">Scarcity </w:t>
      </w:r>
      <w:r w:rsidR="00EB5608">
        <w:t xml:space="preserve">or drought </w:t>
      </w:r>
      <w:r>
        <w:t>pricing</w:t>
      </w:r>
    </w:p>
    <w:p w:rsidR="003579C0" w:rsidRDefault="00C25AFB" w:rsidP="003579C0">
      <w:pPr>
        <w:pStyle w:val="Heading4"/>
      </w:pPr>
      <w:r>
        <w:t>Background</w:t>
      </w:r>
    </w:p>
    <w:p w:rsidR="00F5021D" w:rsidRDefault="00F5021D" w:rsidP="00F5021D">
      <w:r>
        <w:t>The ACT primarily relies on supply-side restrictions in the form of temporary water restrictions to reduce water consumption during times of water resource scarcity, such as during the Millennium Drought.</w:t>
      </w:r>
    </w:p>
    <w:p w:rsidR="00F5021D" w:rsidRDefault="00F5021D" w:rsidP="00F5021D">
      <w:r>
        <w:t xml:space="preserve">Water </w:t>
      </w:r>
      <w:r w:rsidRPr="0060374A">
        <w:t xml:space="preserve">restrictions </w:t>
      </w:r>
      <w:r>
        <w:t xml:space="preserve">are </w:t>
      </w:r>
      <w:r w:rsidRPr="0060374A">
        <w:t>a quantity-rationing scheme.</w:t>
      </w:r>
      <w:r>
        <w:t xml:space="preserve"> Q</w:t>
      </w:r>
      <w:r w:rsidRPr="0060374A">
        <w:t xml:space="preserve">uantity rationing is viewed as being economically inefficient because the rationed outcome can result in an allocation where consumers who most value the product or service do not necessarily consume it. The economic inefficiency exists because there are potential gains from trade between consumers, where consumers with low valuations for the product could sell their allocation to consumers with higher valuations, thus making both consumers better off. </w:t>
      </w:r>
      <w:r>
        <w:t>For example, a consumer with a large garden who places a high value on irrigating during a drought might be prepared to purchase water allocation from a consumer without a garden.</w:t>
      </w:r>
    </w:p>
    <w:p w:rsidR="00F5021D" w:rsidRDefault="00F5021D" w:rsidP="00F5021D">
      <w:r>
        <w:t xml:space="preserve">An </w:t>
      </w:r>
      <w:r w:rsidRPr="00FD4B74">
        <w:t>alternative to quantity rationing is to use price to ration water demand</w:t>
      </w:r>
      <w:r>
        <w:t xml:space="preserve"> by sending price signals to consumers about the scarcity of the water resource</w:t>
      </w:r>
      <w:r w:rsidRPr="00FD4B74">
        <w:t>.</w:t>
      </w:r>
    </w:p>
    <w:p w:rsidR="00F5021D" w:rsidRPr="0060374A" w:rsidRDefault="00F5021D" w:rsidP="00F5021D">
      <w:r>
        <w:t>The economics underpinning this approach is straightforward. Q</w:t>
      </w:r>
      <w:r w:rsidRPr="00703ABB">
        <w:t xml:space="preserve">uantity demanded is inversely </w:t>
      </w:r>
      <w:r>
        <w:t xml:space="preserve">related </w:t>
      </w:r>
      <w:r w:rsidRPr="00703ABB">
        <w:t>to price</w:t>
      </w:r>
      <w:r>
        <w:sym w:font="Symbol" w:char="F02D"/>
      </w:r>
      <w:r w:rsidRPr="00703ABB">
        <w:t>the higher the price of the product, the less the consumer will demand. If the goal is to limit the quantity demanded, simply raise the price to the level at which demand is reduced to the desired amount.</w:t>
      </w:r>
      <w:r>
        <w:t xml:space="preserve"> Armed with the</w:t>
      </w:r>
      <w:r w:rsidRPr="00FD4B74">
        <w:t xml:space="preserve"> price elasticity of </w:t>
      </w:r>
      <w:r w:rsidRPr="00FD4B74">
        <w:lastRenderedPageBreak/>
        <w:t>demand for water</w:t>
      </w:r>
      <w:r>
        <w:t>, one can calculate the required change in price to achieve a desired reduction in consumption</w:t>
      </w:r>
      <w:r w:rsidRPr="00FD4B74">
        <w:t>. For example, if a 20</w:t>
      </w:r>
      <w:r>
        <w:t xml:space="preserve"> per cent</w:t>
      </w:r>
      <w:r w:rsidRPr="00FD4B74">
        <w:t xml:space="preserve"> reduction in quantity is the goal and the elasticity of demand is </w:t>
      </w:r>
      <w:r>
        <w:t xml:space="preserve">minus </w:t>
      </w:r>
      <w:r w:rsidRPr="00FD4B74">
        <w:t>0.2, a 100</w:t>
      </w:r>
      <w:r>
        <w:t xml:space="preserve"> per cent</w:t>
      </w:r>
      <w:r w:rsidRPr="00FD4B74">
        <w:t xml:space="preserve"> increase in price would </w:t>
      </w:r>
      <w:r>
        <w:t>be required</w:t>
      </w:r>
      <w:r w:rsidRPr="00FD4B74">
        <w:t>.</w:t>
      </w:r>
    </w:p>
    <w:p w:rsidR="00F5021D" w:rsidRDefault="00F5021D" w:rsidP="00792702">
      <w:pPr>
        <w:spacing w:before="240"/>
      </w:pPr>
      <w:r w:rsidRPr="007873E5">
        <w:t>Scarcity</w:t>
      </w:r>
      <w:r w:rsidR="00792702">
        <w:t xml:space="preserve"> pricing</w:t>
      </w:r>
      <w:r w:rsidR="00792702">
        <w:sym w:font="Symbol" w:char="F02D"/>
      </w:r>
      <w:r w:rsidR="00792702">
        <w:t>also known as drought or dynamic pricing</w:t>
      </w:r>
      <w:r w:rsidR="00792702">
        <w:sym w:font="Symbol" w:char="F02D"/>
      </w:r>
      <w:r w:rsidRPr="007873E5">
        <w:t xml:space="preserve"> has been proposed as a more efficient </w:t>
      </w:r>
      <w:r>
        <w:t xml:space="preserve">way to use price </w:t>
      </w:r>
      <w:r w:rsidRPr="007873E5">
        <w:t>to manage demand during times of water scarcity.</w:t>
      </w:r>
      <w:r w:rsidR="003579C0">
        <w:t xml:space="preserve"> </w:t>
      </w:r>
      <w:r>
        <w:t xml:space="preserve">Scarcity pricing, or more precisely administered scarcity pricing (as opposed to market-based), involves a water utility adjusting the water </w:t>
      </w:r>
      <w:r w:rsidR="00786A9B">
        <w:t xml:space="preserve">usage </w:t>
      </w:r>
      <w:r>
        <w:t xml:space="preserve">price in inverse relation to a measure of water scarcity, such as dam levels. </w:t>
      </w:r>
      <w:r w:rsidRPr="00F30C59">
        <w:t>In effect, scarcity pricing involves pricing at the short-run marginal cost</w:t>
      </w:r>
      <w:r>
        <w:t xml:space="preserve"> of the resource. </w:t>
      </w:r>
      <w:r w:rsidR="00965948">
        <w:t xml:space="preserve">The National Water Commission </w:t>
      </w:r>
      <w:r>
        <w:t>define</w:t>
      </w:r>
      <w:r w:rsidR="00965948">
        <w:t>s</w:t>
      </w:r>
      <w:r>
        <w:t xml:space="preserve"> scarcity pricing as follows:</w:t>
      </w:r>
    </w:p>
    <w:p w:rsidR="00F5021D" w:rsidRDefault="00F5021D" w:rsidP="00F5021D">
      <w:pPr>
        <w:pStyle w:val="Quote"/>
      </w:pPr>
      <w:r w:rsidRPr="007E32A6">
        <w:t>A scarcity-based pricing approach is one that seeks to set urban water prices to reflect the scarcity value expected during the relevant period such that available supply would be rationed on the basis of the willingness to pay its scarcity value (rather than through water use restrictions).</w:t>
      </w:r>
      <w:r>
        <w:rPr>
          <w:rStyle w:val="FootnoteReference"/>
        </w:rPr>
        <w:footnoteReference w:id="61"/>
      </w:r>
    </w:p>
    <w:p w:rsidR="00F5021D" w:rsidRDefault="00F5021D" w:rsidP="00F5021D">
      <w:r>
        <w:t>In addition to sending signals about the value of the water resource itself, scarcity pricing has the added benefit of sending a signal that the next supply augmentation may cause a sharp increase in price.</w:t>
      </w:r>
    </w:p>
    <w:p w:rsidR="00F5021D" w:rsidRDefault="005C4E7E" w:rsidP="00F5021D">
      <w:r>
        <w:fldChar w:fldCharType="begin"/>
      </w:r>
      <w:r>
        <w:instrText xml:space="preserve"> ADDIN EN.CITE &lt;EndNote&gt;&lt;Cite&gt;&lt;Author&gt;Grafton&lt;/Author&gt;&lt;Year&gt;2010&lt;/Year&gt;&lt;RecNum&gt;584&lt;/RecNum&gt;&lt;DisplayText&gt;Grafton and Ward (2010)&lt;/DisplayText&gt;&lt;record&gt;&lt;rec-number&gt;584&lt;/rec-number&gt;&lt;foreign-keys&gt;&lt;key app="EN" db-id="5xwt9zxa6r5fesevwr5xzp97r95ev9wx9zpw" timestamp="1442464790"&gt;584&lt;/key&gt;&lt;/foreign-keys&gt;&lt;ref-type name="AAA ICRC Water References"&gt;40&lt;/ref-type&gt;&lt;contributors&gt;&lt;authors&gt;&lt;author&gt;Grafton, R Quentin&lt;/author&gt;&lt;author&gt;Ward, Michael&lt;/author&gt;&lt;/authors&gt;&lt;/contributors&gt;&lt;titles&gt;&lt;title&gt;Dynamically Efficient Urban Water Policy&lt;/title&gt;&lt;/titles&gt;&lt;volume&gt;Reserach Papers 10-13&lt;/volume&gt;&lt;dates&gt;&lt;year&gt;2010&lt;/year&gt;&lt;pub-dates&gt;&lt;date&gt;12 November 2010&lt;/date&gt;&lt;/pub-dates&gt;&lt;/dates&gt;&lt;pub-location&gt;Canberra&lt;/pub-location&gt;&lt;publisher&gt;Centre for Water Economics, Environment and Policy, The Australian National University&lt;/publisher&gt;&lt;urls&gt;&lt;/urls&gt;&lt;/record&gt;&lt;/Cite&gt;&lt;/EndNote&gt;</w:instrText>
      </w:r>
      <w:r>
        <w:fldChar w:fldCharType="separate"/>
      </w:r>
      <w:hyperlink w:anchor="_ENREF_13" w:tooltip="Grafton, 2010 #584" w:history="1">
        <w:r w:rsidR="00A2488A">
          <w:rPr>
            <w:noProof/>
          </w:rPr>
          <w:t>Grafton and Ward (2010</w:t>
        </w:r>
      </w:hyperlink>
      <w:r>
        <w:rPr>
          <w:noProof/>
        </w:rPr>
        <w:t>)</w:t>
      </w:r>
      <w:r>
        <w:fldChar w:fldCharType="end"/>
      </w:r>
      <w:r w:rsidR="00F5021D" w:rsidRPr="000C04B3">
        <w:t xml:space="preserve">, using data from Sydney, show that using supply-inflexible water </w:t>
      </w:r>
      <w:r w:rsidR="00786A9B">
        <w:t xml:space="preserve">usage </w:t>
      </w:r>
      <w:r w:rsidR="00F5021D" w:rsidRPr="000C04B3">
        <w:t>pricing generates large welfare losses in excess of the annual average</w:t>
      </w:r>
      <w:r w:rsidR="00F5021D">
        <w:t xml:space="preserve"> </w:t>
      </w:r>
      <w:r w:rsidR="00F5021D" w:rsidRPr="000C04B3">
        <w:t>household water bill</w:t>
      </w:r>
      <w:r w:rsidR="00F5021D">
        <w:t xml:space="preserve">, which they attribute to </w:t>
      </w:r>
      <w:r w:rsidR="00F5021D" w:rsidRPr="000C04B3">
        <w:t>water restrictions</w:t>
      </w:r>
      <w:r w:rsidR="00F5021D">
        <w:t xml:space="preserve"> and </w:t>
      </w:r>
      <w:r w:rsidR="00F5021D" w:rsidRPr="000C04B3">
        <w:t>premature supply augmentation</w:t>
      </w:r>
      <w:r w:rsidR="00F5021D">
        <w:t>. Grafton and Ward argue that these losses ‘</w:t>
      </w:r>
      <w:r w:rsidR="00F5021D" w:rsidRPr="000C04B3">
        <w:t>could be avoided if dynamically</w:t>
      </w:r>
      <w:r w:rsidR="00F5021D">
        <w:t xml:space="preserve"> </w:t>
      </w:r>
      <w:r w:rsidR="00F5021D" w:rsidRPr="000C04B3">
        <w:t xml:space="preserve">efficient </w:t>
      </w:r>
      <w:r w:rsidR="00535E01">
        <w:t>usage</w:t>
      </w:r>
      <w:r w:rsidR="00F5021D" w:rsidRPr="000C04B3">
        <w:t xml:space="preserve"> pricing were to be adopted by price regulators or water utilities</w:t>
      </w:r>
      <w:r w:rsidR="00F5021D">
        <w:t xml:space="preserve"> </w:t>
      </w:r>
      <w:r w:rsidR="00F5021D" w:rsidRPr="000C04B3">
        <w:t>in response to variability in water availability</w:t>
      </w:r>
      <w:r w:rsidR="00F5021D">
        <w:t>’</w:t>
      </w:r>
      <w:r w:rsidR="00F5021D" w:rsidRPr="000C04B3">
        <w:t>.</w:t>
      </w:r>
      <w:r w:rsidR="00F5021D">
        <w:rPr>
          <w:rStyle w:val="FootnoteReference"/>
        </w:rPr>
        <w:footnoteReference w:id="62"/>
      </w:r>
    </w:p>
    <w:p w:rsidR="00D064CC" w:rsidRDefault="00D064CC" w:rsidP="00D064CC">
      <w:pPr>
        <w:pStyle w:val="Heading4"/>
      </w:pPr>
      <w:r>
        <w:t>Submissions</w:t>
      </w:r>
    </w:p>
    <w:p w:rsidR="003579C0" w:rsidRDefault="003579C0" w:rsidP="003579C0">
      <w:r>
        <w:t xml:space="preserve">In its </w:t>
      </w:r>
      <w:r w:rsidR="00CE1B54">
        <w:t xml:space="preserve">first </w:t>
      </w:r>
      <w:r>
        <w:t>submission, Icon Water state</w:t>
      </w:r>
      <w:r w:rsidR="00C25AFB">
        <w:t>d</w:t>
      </w:r>
      <w:r>
        <w:t xml:space="preserve"> that:</w:t>
      </w:r>
    </w:p>
    <w:p w:rsidR="003579C0" w:rsidRDefault="003579C0" w:rsidP="003579C0">
      <w:pPr>
        <w:pStyle w:val="Quote"/>
      </w:pPr>
      <w:r>
        <w:rPr>
          <w:rStyle w:val="QuoteChar"/>
        </w:rPr>
        <w:t xml:space="preserve">Icon Water </w:t>
      </w:r>
      <w:r w:rsidRPr="00224480">
        <w:rPr>
          <w:rStyle w:val="QuoteChar"/>
        </w:rPr>
        <w:t>continues to support the implementation of a revenue-neutral drought pricing scheme that would involve updating consumption prices to account for expectations about demand when changes in water restrictions occur</w:t>
      </w:r>
      <w:r>
        <w:t>.</w:t>
      </w:r>
      <w:r>
        <w:rPr>
          <w:rStyle w:val="FootnoteReference"/>
        </w:rPr>
        <w:footnoteReference w:id="63"/>
      </w:r>
    </w:p>
    <w:p w:rsidR="004053CA" w:rsidRDefault="00D064CC" w:rsidP="00D064CC">
      <w:r w:rsidRPr="00D064CC">
        <w:t xml:space="preserve">Icon </w:t>
      </w:r>
      <w:r>
        <w:t>Water submit</w:t>
      </w:r>
      <w:r w:rsidR="00C25AFB">
        <w:t>ted</w:t>
      </w:r>
      <w:r>
        <w:t xml:space="preserve"> that such an approach has the potential to improve allocative efficiency with price increases causing consumers to forego their lowest value uses of water in contrast to restrictions which potentially prevent high value uses of water.</w:t>
      </w:r>
      <w:r w:rsidR="00C25AFB">
        <w:t xml:space="preserve"> </w:t>
      </w:r>
    </w:p>
    <w:p w:rsidR="00CE1B54" w:rsidRDefault="00C25AFB" w:rsidP="00D064CC">
      <w:r>
        <w:t>Moreover, in its second submission, Icon Water stated:</w:t>
      </w:r>
    </w:p>
    <w:p w:rsidR="00C25AFB" w:rsidRDefault="00C25AFB" w:rsidP="00C25AFB">
      <w:pPr>
        <w:pStyle w:val="Quote"/>
      </w:pPr>
      <w:r>
        <w:lastRenderedPageBreak/>
        <w:t>This approach would align with ICRC principles relating to economic efficiency (since prices would track more closely with marginal cost), full cost recovery, and revenue sustainability.</w:t>
      </w:r>
      <w:r>
        <w:rPr>
          <w:rStyle w:val="FootnoteReference"/>
        </w:rPr>
        <w:footnoteReference w:id="64"/>
      </w:r>
    </w:p>
    <w:p w:rsidR="00645C9A" w:rsidRDefault="00645C9A" w:rsidP="00645C9A">
      <w:r>
        <w:t>Mr Ross Knee, responding to the technical paper on the price elasticity of water demand in the ACT, submit</w:t>
      </w:r>
      <w:r w:rsidR="007A0171">
        <w:t>ted</w:t>
      </w:r>
      <w:r>
        <w:t xml:space="preserve"> that</w:t>
      </w:r>
      <w:r w:rsidR="007A0171">
        <w:t xml:space="preserve"> the analysis in the paper is flawed</w:t>
      </w:r>
      <w:r w:rsidR="00E66F03" w:rsidRPr="00E66F03">
        <w:t xml:space="preserve"> </w:t>
      </w:r>
      <w:r w:rsidR="00E66F03">
        <w:t>as it does not analyse the two tiers separately:</w:t>
      </w:r>
    </w:p>
    <w:p w:rsidR="00E66F03" w:rsidRDefault="00E66F03" w:rsidP="00E66F03">
      <w:pPr>
        <w:pStyle w:val="Quote"/>
      </w:pPr>
      <w:r>
        <w:t>Tier 1 is intended for basic human water needs, so by definition, is very likely to be price inelastic. Tier 2 is intended for optional use like lawn watering, so is likely to be price elastic. By not analysing the tiers separately, it is giving an aggregated result, and hence is not representative of the real price elasticity of water across the range of uses.</w:t>
      </w:r>
      <w:r>
        <w:rPr>
          <w:rStyle w:val="FootnoteReference"/>
        </w:rPr>
        <w:footnoteReference w:id="65"/>
      </w:r>
    </w:p>
    <w:p w:rsidR="00E66F03" w:rsidRDefault="00E66F03" w:rsidP="00E66F03">
      <w:pPr>
        <w:rPr>
          <w:sz w:val="24"/>
          <w:szCs w:val="24"/>
          <w:lang w:val="en-AU" w:eastAsia="en-AU"/>
        </w:rPr>
      </w:pPr>
      <w:r>
        <w:t xml:space="preserve">In addition, Mr Knee submitted that the analysis </w:t>
      </w:r>
      <w:r w:rsidR="007A0171">
        <w:t xml:space="preserve">should have been done over </w:t>
      </w:r>
      <w:r w:rsidR="00645C9A">
        <w:t>two periods, pre and post 2010 when temporary water restrictions were lifted, rather than over the entire period 2003 to 2015</w:t>
      </w:r>
      <w:r w:rsidR="00DF2067">
        <w:t>.</w:t>
      </w:r>
    </w:p>
    <w:p w:rsidR="003579C0" w:rsidRDefault="003579C0" w:rsidP="00E66F03">
      <w:pPr>
        <w:pStyle w:val="Heading4"/>
      </w:pPr>
      <w:r>
        <w:t>Commission’s consideration</w:t>
      </w:r>
    </w:p>
    <w:p w:rsidR="00C94BBD" w:rsidRDefault="00C94BBD" w:rsidP="00C94BBD">
      <w:pPr>
        <w:pStyle w:val="Heading5"/>
      </w:pPr>
      <w:r>
        <w:t>General</w:t>
      </w:r>
    </w:p>
    <w:p w:rsidR="003A722C" w:rsidRDefault="00A844F8" w:rsidP="003A722C">
      <w:r>
        <w:t xml:space="preserve">In order to consider employing a </w:t>
      </w:r>
      <w:r w:rsidR="00F5021D">
        <w:t>scarcity pricing approach</w:t>
      </w:r>
      <w:r>
        <w:t xml:space="preserve">, </w:t>
      </w:r>
      <w:r w:rsidR="00F5021D">
        <w:t xml:space="preserve">an estimate of price elasticity of demand </w:t>
      </w:r>
      <w:r>
        <w:t xml:space="preserve">is required </w:t>
      </w:r>
      <w:r w:rsidR="00F5021D">
        <w:t xml:space="preserve">in order to adjust the </w:t>
      </w:r>
      <w:r w:rsidR="00535E01">
        <w:t>usage</w:t>
      </w:r>
      <w:r w:rsidR="00F5021D">
        <w:t xml:space="preserve"> price to cause a desired adjustment in water use.</w:t>
      </w:r>
      <w:r w:rsidR="00233D8C">
        <w:t xml:space="preserve"> As discussed</w:t>
      </w:r>
      <w:r w:rsidR="00E749FC">
        <w:t xml:space="preserve"> in section </w:t>
      </w:r>
      <w:r w:rsidR="00E749FC">
        <w:fldChar w:fldCharType="begin"/>
      </w:r>
      <w:r w:rsidR="00E749FC">
        <w:instrText xml:space="preserve"> REF _Ref457304608 \r \h </w:instrText>
      </w:r>
      <w:r w:rsidR="00E749FC">
        <w:fldChar w:fldCharType="separate"/>
      </w:r>
      <w:r w:rsidR="00B80BC7">
        <w:t>3.5.1</w:t>
      </w:r>
      <w:r w:rsidR="00E749FC">
        <w:fldChar w:fldCharType="end"/>
      </w:r>
      <w:r w:rsidR="00233D8C">
        <w:t xml:space="preserve">, </w:t>
      </w:r>
      <w:r w:rsidR="006223A4">
        <w:t xml:space="preserve">the Commission undertook its own elasticity analysis for the purposes of this tariff review. </w:t>
      </w:r>
      <w:r w:rsidR="00EE7225">
        <w:t xml:space="preserve">In line with </w:t>
      </w:r>
      <w:r w:rsidR="00F5021D">
        <w:t>the empirical literature</w:t>
      </w:r>
      <w:r w:rsidR="00EE7225">
        <w:t xml:space="preserve">, </w:t>
      </w:r>
      <w:r w:rsidR="003A722C">
        <w:t>the Commission found that the price elasticity of demand for residential water in the ACT while not zero is relatively small with a point estimate of -0.14 across the 1999 to 2015 period.</w:t>
      </w:r>
    </w:p>
    <w:p w:rsidR="00891352" w:rsidRDefault="003A722C" w:rsidP="00891352">
      <w:r>
        <w:t xml:space="preserve">Under the current ACT temporary water restrictions scheme, Stage 3 restrictions target a 35 per cent reduction in water use relative to permanent water conservation measures. Given the elasticity estimate above, to achieve this reduction in demand would require a 250 per cent increase in the average </w:t>
      </w:r>
      <w:r w:rsidR="00535E01">
        <w:t>usage</w:t>
      </w:r>
      <w:r>
        <w:t xml:space="preserve"> price. Applying the more elastic summer estimate of -0.19 implies a price increase in excess of 180 per cent to meet</w:t>
      </w:r>
      <w:r w:rsidR="00891352">
        <w:t xml:space="preserve"> the water reduction objective.</w:t>
      </w:r>
      <w:r w:rsidR="00A844F8">
        <w:t xml:space="preserve"> </w:t>
      </w:r>
      <w:r w:rsidR="00891352">
        <w:t xml:space="preserve">The Commission concluded in the technical paper that this finding mitigates against the </w:t>
      </w:r>
      <w:r w:rsidR="002A7124">
        <w:t xml:space="preserve">sole </w:t>
      </w:r>
      <w:r w:rsidR="00891352">
        <w:t>use of price as a tool to manage water demand in the ACT. The finding that the residential price response is less elastic in the sub-period after the 2006 structural break than over the entire 1999 to 2015 period further support</w:t>
      </w:r>
      <w:r w:rsidR="00A844F8">
        <w:t>ed</w:t>
      </w:r>
      <w:r w:rsidR="00891352">
        <w:t xml:space="preserve"> this conclusion.</w:t>
      </w:r>
    </w:p>
    <w:p w:rsidR="00697903" w:rsidRDefault="00891352" w:rsidP="00CE7E8D">
      <w:r>
        <w:t xml:space="preserve">In the issues paper, the Commission identified </w:t>
      </w:r>
      <w:r w:rsidR="00F5021D">
        <w:t>three implications from th</w:t>
      </w:r>
      <w:r>
        <w:t xml:space="preserve">e </w:t>
      </w:r>
      <w:r w:rsidR="00C01238">
        <w:t xml:space="preserve">scarcity pricing </w:t>
      </w:r>
      <w:r w:rsidR="00F5021D">
        <w:t>scenario</w:t>
      </w:r>
      <w:r>
        <w:t xml:space="preserve"> described above</w:t>
      </w:r>
      <w:r w:rsidR="00F5021D">
        <w:t xml:space="preserve">. The first is that </w:t>
      </w:r>
      <w:r>
        <w:t>prices of this magnitude are well outside the data used for this analysis, and therefore the demand response would be uncertain. T</w:t>
      </w:r>
      <w:r w:rsidR="00F5021D">
        <w:t>he second implication</w:t>
      </w:r>
      <w:r>
        <w:t xml:space="preserve">, which is self-evident, </w:t>
      </w:r>
      <w:r w:rsidR="00F5021D">
        <w:t>is that</w:t>
      </w:r>
      <w:r>
        <w:t>, if prices are adjusted frequently,</w:t>
      </w:r>
      <w:r w:rsidR="00A43F8F">
        <w:t xml:space="preserve"> this </w:t>
      </w:r>
      <w:r w:rsidR="00F5021D">
        <w:t>w</w:t>
      </w:r>
      <w:r>
        <w:t>ould</w:t>
      </w:r>
      <w:r w:rsidR="00F5021D">
        <w:t xml:space="preserve"> lead to price path instability</w:t>
      </w:r>
      <w:r w:rsidR="00A43F8F">
        <w:t xml:space="preserve">. </w:t>
      </w:r>
      <w:r w:rsidR="00F5021D">
        <w:t xml:space="preserve">The third is that extended periods </w:t>
      </w:r>
      <w:r w:rsidR="00F5021D">
        <w:lastRenderedPageBreak/>
        <w:t>at high prices may lead to revenue over-recovery by the utility.</w:t>
      </w:r>
      <w:r w:rsidR="00697903">
        <w:t xml:space="preserve"> In addition, the Commission noted a practical issue concerning the ability of the Icon Water’s quarterly billing system to accommodate rapid price changes.</w:t>
      </w:r>
    </w:p>
    <w:p w:rsidR="00306CE9" w:rsidRDefault="00A90D48" w:rsidP="00F5021D">
      <w:r>
        <w:t>Nonetheless, t</w:t>
      </w:r>
      <w:r w:rsidRPr="009E479E">
        <w:t xml:space="preserve">he Commission agrees </w:t>
      </w:r>
      <w:r>
        <w:t>with Icon Water that a</w:t>
      </w:r>
      <w:r w:rsidRPr="009E479E">
        <w:t xml:space="preserve"> drought pricing arrangement that demonstrably improves economic efficiency </w:t>
      </w:r>
      <w:r w:rsidR="00306CE9">
        <w:t>would be consistent with the draft pricing principles</w:t>
      </w:r>
      <w:r w:rsidRPr="009E479E">
        <w:t>.</w:t>
      </w:r>
      <w:r w:rsidR="00306CE9">
        <w:t xml:space="preserve"> </w:t>
      </w:r>
    </w:p>
    <w:p w:rsidR="00CE7E8D" w:rsidRDefault="00DD4F37" w:rsidP="00F5021D">
      <w:r>
        <w:t xml:space="preserve">A simple drought pricing arrangement could involve raising the </w:t>
      </w:r>
      <w:r w:rsidR="00CE7E8D">
        <w:t xml:space="preserve">usage charge </w:t>
      </w:r>
      <w:r>
        <w:t xml:space="preserve">as part of the annual price reset process </w:t>
      </w:r>
      <w:r w:rsidR="00CE7E8D">
        <w:t xml:space="preserve">as water </w:t>
      </w:r>
      <w:r>
        <w:t xml:space="preserve">storage </w:t>
      </w:r>
      <w:r w:rsidR="00CE7E8D">
        <w:t xml:space="preserve">levels drop </w:t>
      </w:r>
      <w:r>
        <w:t>and the scarcity value of the water resource rises</w:t>
      </w:r>
      <w:r w:rsidR="00CE7E8D">
        <w:t xml:space="preserve">. </w:t>
      </w:r>
      <w:r w:rsidR="0087448D">
        <w:t xml:space="preserve">Not only would this be consistent with marginal cost pricing, it would also </w:t>
      </w:r>
      <w:r>
        <w:t xml:space="preserve">overcome the concerns noted above relating to price stability and the </w:t>
      </w:r>
      <w:r w:rsidR="00CE7E8D">
        <w:t>billing system</w:t>
      </w:r>
      <w:r w:rsidR="00CE7E8D" w:rsidRPr="00146819">
        <w:t>.</w:t>
      </w:r>
      <w:r w:rsidR="00945022">
        <w:t xml:space="preserve"> Moreover, in </w:t>
      </w:r>
      <w:r w:rsidR="00CE7E8D" w:rsidRPr="009E479E">
        <w:t xml:space="preserve">practice, based on the </w:t>
      </w:r>
      <w:r w:rsidR="00945022">
        <w:t xml:space="preserve">Commission’s elasticity results, </w:t>
      </w:r>
      <w:r w:rsidR="00CE7E8D" w:rsidRPr="009E479E">
        <w:t xml:space="preserve">any drought pricing arrangements would </w:t>
      </w:r>
      <w:r w:rsidR="0087448D">
        <w:t xml:space="preserve">most likely </w:t>
      </w:r>
      <w:r w:rsidR="00CE7E8D" w:rsidRPr="009E479E">
        <w:t>need to be applied in conjunction with quantitative restrictions in order to meet the required demand reduction.</w:t>
      </w:r>
      <w:r w:rsidR="00CE7E8D">
        <w:t xml:space="preserve"> </w:t>
      </w:r>
      <w:r w:rsidR="00945022">
        <w:t xml:space="preserve">Finally, </w:t>
      </w:r>
      <w:r w:rsidR="00CE7E8D">
        <w:t>the arrangements would need to be revenue neutral</w:t>
      </w:r>
      <w:r w:rsidR="0087448D">
        <w:t xml:space="preserve">, </w:t>
      </w:r>
      <w:r w:rsidR="00357B37">
        <w:t xml:space="preserve">which </w:t>
      </w:r>
      <w:r w:rsidR="00C01238">
        <w:t xml:space="preserve">could be achieved through </w:t>
      </w:r>
      <w:r w:rsidR="00357B37">
        <w:t>some form of overs and unders arrangement.</w:t>
      </w:r>
    </w:p>
    <w:p w:rsidR="00C94BBD" w:rsidRDefault="00C94BBD" w:rsidP="00C94BBD">
      <w:pPr>
        <w:pStyle w:val="Heading5"/>
      </w:pPr>
      <w:r>
        <w:t xml:space="preserve">Comments on the </w:t>
      </w:r>
      <w:r w:rsidR="00264B85">
        <w:t xml:space="preserve">econometric analysis in the </w:t>
      </w:r>
      <w:r>
        <w:t>technical paper</w:t>
      </w:r>
    </w:p>
    <w:p w:rsidR="00AC4D2A" w:rsidRDefault="00D40808" w:rsidP="00F5021D">
      <w:r>
        <w:t xml:space="preserve">Mr Knee </w:t>
      </w:r>
      <w:r w:rsidR="005279F7">
        <w:t>raise</w:t>
      </w:r>
      <w:r w:rsidR="002A096A">
        <w:t>d</w:t>
      </w:r>
      <w:r w:rsidR="005279F7">
        <w:t xml:space="preserve"> two particular </w:t>
      </w:r>
      <w:r w:rsidR="008B6F9C">
        <w:t xml:space="preserve">concerns </w:t>
      </w:r>
      <w:r>
        <w:t xml:space="preserve">about the econometric analysis undertaken by the Commission in the elasticity paper. </w:t>
      </w:r>
    </w:p>
    <w:p w:rsidR="00A705DA" w:rsidRDefault="00D40808" w:rsidP="00F5021D">
      <w:r>
        <w:t>As to the first</w:t>
      </w:r>
      <w:r w:rsidR="00826F80">
        <w:t>, Mr Knee suggest</w:t>
      </w:r>
      <w:r w:rsidR="00EE6650">
        <w:t>ed</w:t>
      </w:r>
      <w:r w:rsidR="00993EAF">
        <w:t xml:space="preserve"> that as T</w:t>
      </w:r>
      <w:r w:rsidR="00826F80">
        <w:t xml:space="preserve">ier 1 is intended for basic human needs and </w:t>
      </w:r>
      <w:r w:rsidR="00993EAF">
        <w:t>T</w:t>
      </w:r>
      <w:r w:rsidR="00826F80">
        <w:t>ier 2 is aimed at more discretionary uses such as outdoor watering, and these uses have different elasticities, each tier should be analysed separately</w:t>
      </w:r>
      <w:r w:rsidR="00A705DA">
        <w:t xml:space="preserve"> rather than in aggregate</w:t>
      </w:r>
      <w:r w:rsidR="00826F80">
        <w:t>.</w:t>
      </w:r>
    </w:p>
    <w:p w:rsidR="00AC4D2A" w:rsidRDefault="004F29BE" w:rsidP="00265EBA">
      <w:r>
        <w:t xml:space="preserve">The </w:t>
      </w:r>
      <w:r w:rsidR="00AC4D2A">
        <w:t>purpose of the analysis undertaken in the technical paper is to examine the consumption response of water customers to changes in price. In the ACT, customers face price changes across years, but also as their consumption moves from one tier to another under an inclining block arrangement. The effect of the change in tier price on consumption is therefore integral to the estimation of the price elasticity of demand.</w:t>
      </w:r>
      <w:r w:rsidR="0061480F">
        <w:rPr>
          <w:rStyle w:val="FootnoteReference"/>
        </w:rPr>
        <w:footnoteReference w:id="66"/>
      </w:r>
      <w:r w:rsidR="0061480F">
        <w:t xml:space="preserve"> </w:t>
      </w:r>
    </w:p>
    <w:p w:rsidR="004F29BE" w:rsidRDefault="004F29BE" w:rsidP="00265EBA">
      <w:r>
        <w:t xml:space="preserve">In </w:t>
      </w:r>
      <w:r w:rsidR="0013192E">
        <w:t xml:space="preserve">any case, </w:t>
      </w:r>
      <w:r w:rsidR="00BB5C7E">
        <w:t xml:space="preserve">the data for metered water consumption in the ACT </w:t>
      </w:r>
      <w:r>
        <w:t xml:space="preserve">does </w:t>
      </w:r>
      <w:r w:rsidR="00BB5C7E">
        <w:t>not allow for any differentiation by use</w:t>
      </w:r>
      <w:r w:rsidR="00993EAF">
        <w:t xml:space="preserve"> by the customer</w:t>
      </w:r>
      <w:r w:rsidR="005D4D1B">
        <w:t>. This r</w:t>
      </w:r>
      <w:r>
        <w:t xml:space="preserve">equires </w:t>
      </w:r>
      <w:r w:rsidR="00017CA8">
        <w:t xml:space="preserve">the </w:t>
      </w:r>
      <w:r w:rsidR="00BB5C7E">
        <w:t xml:space="preserve">elasticity analysis </w:t>
      </w:r>
      <w:r>
        <w:t xml:space="preserve">to be </w:t>
      </w:r>
      <w:r w:rsidR="00BB5C7E">
        <w:t>based on the assumption that there is a single market for residential water</w:t>
      </w:r>
      <w:r w:rsidR="005D4D1B">
        <w:t>, irrespective of actual use</w:t>
      </w:r>
      <w:r w:rsidR="00BB5C7E">
        <w:t xml:space="preserve">. </w:t>
      </w:r>
      <w:r>
        <w:t xml:space="preserve">Caution should also be applied in assuming </w:t>
      </w:r>
      <w:r w:rsidR="005D4D1B">
        <w:t xml:space="preserve">that in practice </w:t>
      </w:r>
      <w:r>
        <w:t xml:space="preserve">all first tier water usage is </w:t>
      </w:r>
      <w:r w:rsidR="00BB5C7E">
        <w:t xml:space="preserve">essential </w:t>
      </w:r>
      <w:r>
        <w:t xml:space="preserve">and second tier </w:t>
      </w:r>
      <w:r w:rsidR="005D4D1B">
        <w:t xml:space="preserve">is </w:t>
      </w:r>
      <w:r>
        <w:t>discretionary</w:t>
      </w:r>
      <w:r w:rsidR="00BB5C7E">
        <w:t xml:space="preserve"> outdoor use. As discussed in section </w:t>
      </w:r>
      <w:r w:rsidR="00BB5C7E">
        <w:fldChar w:fldCharType="begin"/>
      </w:r>
      <w:r w:rsidR="00BB5C7E">
        <w:instrText xml:space="preserve"> REF _Ref457392599 \r \h </w:instrText>
      </w:r>
      <w:r w:rsidR="00BB5C7E">
        <w:fldChar w:fldCharType="separate"/>
      </w:r>
      <w:r w:rsidR="00B80BC7">
        <w:t>3.4.2</w:t>
      </w:r>
      <w:r w:rsidR="00BB5C7E">
        <w:fldChar w:fldCharType="end"/>
      </w:r>
      <w:r w:rsidR="00BB5C7E">
        <w:t>, the empirical evidence implies</w:t>
      </w:r>
      <w:r w:rsidR="005D4D1B">
        <w:t xml:space="preserve"> </w:t>
      </w:r>
      <w:r w:rsidR="00993EAF">
        <w:t xml:space="preserve">that </w:t>
      </w:r>
      <w:r w:rsidR="005D4D1B">
        <w:t xml:space="preserve">under </w:t>
      </w:r>
      <w:r w:rsidR="00BB5C7E">
        <w:t xml:space="preserve">an inclining block structure </w:t>
      </w:r>
      <w:r w:rsidR="005D4D1B">
        <w:t xml:space="preserve">some </w:t>
      </w:r>
      <w:r w:rsidR="00BB5C7E">
        <w:t>large households</w:t>
      </w:r>
      <w:r w:rsidR="00BB5C7E" w:rsidRPr="00A705DA">
        <w:t xml:space="preserve"> </w:t>
      </w:r>
      <w:r w:rsidR="005D4D1B">
        <w:t xml:space="preserve">may be </w:t>
      </w:r>
      <w:r w:rsidR="00BB5C7E">
        <w:t xml:space="preserve">paying </w:t>
      </w:r>
      <w:r w:rsidR="00993EAF">
        <w:t>T</w:t>
      </w:r>
      <w:r w:rsidR="00BB5C7E">
        <w:t>ier 2 prices for essential water use.</w:t>
      </w:r>
    </w:p>
    <w:p w:rsidR="00265EBA" w:rsidRDefault="00265EBA" w:rsidP="00265EBA">
      <w:r>
        <w:lastRenderedPageBreak/>
        <w:t xml:space="preserve">The Commission </w:t>
      </w:r>
      <w:r w:rsidR="00017CA8">
        <w:t xml:space="preserve">agrees </w:t>
      </w:r>
      <w:r>
        <w:t xml:space="preserve">that the key elasticity estimate of -0.14 for standalone residential properties presented in the technical paper represents </w:t>
      </w:r>
      <w:r w:rsidR="00017CA8">
        <w:t xml:space="preserve">an average result. It is </w:t>
      </w:r>
      <w:r>
        <w:t>the average price responsiveness of the 10 per cent sample of this customer class over the 1999 to 2015 period given the conditions over that period</w:t>
      </w:r>
      <w:r w:rsidR="003329D9">
        <w:t xml:space="preserve">. </w:t>
      </w:r>
      <w:r>
        <w:t>A more disaggregated analysis is likely to reveal more heterogeneity in the results.</w:t>
      </w:r>
    </w:p>
    <w:p w:rsidR="00265EBA" w:rsidRDefault="003329D9" w:rsidP="00265EBA">
      <w:r>
        <w:t>For example</w:t>
      </w:r>
      <w:r w:rsidR="002E1CF4">
        <w:t xml:space="preserve">, </w:t>
      </w:r>
      <w:r w:rsidR="00265EBA">
        <w:t>as noted by</w:t>
      </w:r>
      <w:r w:rsidR="00392FAD">
        <w:t xml:space="preserve"> Mr Knee</w:t>
      </w:r>
      <w:r w:rsidR="00EE6650">
        <w:t>,</w:t>
      </w:r>
      <w:r w:rsidR="00392FAD">
        <w:t xml:space="preserve"> and</w:t>
      </w:r>
      <w:r w:rsidR="00265EBA">
        <w:t xml:space="preserve"> </w:t>
      </w:r>
      <w:r w:rsidR="00265EBA">
        <w:fldChar w:fldCharType="begin"/>
      </w:r>
      <w:r w:rsidR="00265EBA">
        <w:instrText xml:space="preserve"> ADDIN EN.CITE &lt;EndNote&gt;&lt;Cite&gt;&lt;Author&gt;Renwick&lt;/Author&gt;&lt;Year&gt;2000&lt;/Year&gt;&lt;RecNum&gt;663&lt;/RecNum&gt;&lt;DisplayText&gt;Renwick and Green (2000)&lt;/DisplayText&gt;&lt;record&gt;&lt;rec-number&gt;663&lt;/rec-number&gt;&lt;foreign-keys&gt;&lt;key app="EN" db-id="5xwt9zxa6r5fesevwr5xzp97r95ev9wx9zpw" timestamp="1456197920"&gt;663&lt;/key&gt;&lt;key app="ENWeb" db-id=""&gt;0&lt;/key&gt;&lt;/foreign-keys&gt;&lt;ref-type name="Journal Article"&gt;17&lt;/ref-type&gt;&lt;contributors&gt;&lt;authors&gt;&lt;author&gt;Renwick, Mary E&lt;/author&gt;&lt;author&gt;Green, Richard D&lt;/author&gt;&lt;/authors&gt;&lt;/contributors&gt;&lt;titles&gt;&lt;title&gt;Do Residential Water Demand Side Management Policies Measure Up? An Analysis of Eight California Water Agencies&lt;/title&gt;&lt;secondary-title&gt;Journal of Environmental Economics and Management&lt;/secondary-title&gt;&lt;/titles&gt;&lt;periodical&gt;&lt;full-title&gt;Journal of Environmental Economics and Management&lt;/full-title&gt;&lt;/periodical&gt;&lt;pages&gt;37-55&lt;/pages&gt;&lt;volume&gt;40&lt;/volume&gt;&lt;dates&gt;&lt;year&gt;2000&lt;/year&gt;&lt;/dates&gt;&lt;urls&gt;&lt;/urls&gt;&lt;electronic-resource-num&gt;10.1006/jeem.1999.1102&lt;/electronic-resource-num&gt;&lt;/record&gt;&lt;/Cite&gt;&lt;/EndNote&gt;</w:instrText>
      </w:r>
      <w:r w:rsidR="00265EBA">
        <w:fldChar w:fldCharType="separate"/>
      </w:r>
      <w:hyperlink w:anchor="_ENREF_33" w:tooltip="Renwick, 2000 #663" w:history="1">
        <w:r w:rsidR="00A2488A">
          <w:rPr>
            <w:noProof/>
          </w:rPr>
          <w:t>Renwick and Green (2000</w:t>
        </w:r>
      </w:hyperlink>
      <w:r w:rsidR="00265EBA">
        <w:rPr>
          <w:noProof/>
        </w:rPr>
        <w:t>)</w:t>
      </w:r>
      <w:r w:rsidR="00265EBA">
        <w:fldChar w:fldCharType="end"/>
      </w:r>
      <w:r w:rsidR="00265EBA">
        <w:t xml:space="preserve"> and </w:t>
      </w:r>
      <w:r w:rsidR="00265EBA">
        <w:fldChar w:fldCharType="begin"/>
      </w:r>
      <w:r w:rsidR="00265EBA">
        <w:instrText xml:space="preserve"> ADDIN EN.CITE &lt;EndNote&gt;&lt;Cite&gt;&lt;Author&gt;Dalhuisen&lt;/Author&gt;&lt;Year&gt;2001&lt;/Year&gt;&lt;RecNum&gt;528&lt;/RecNum&gt;&lt;DisplayText&gt;Dalhuisen et al. (2001)&lt;/DisplayText&gt;&lt;record&gt;&lt;rec-number&gt;528&lt;/rec-number&gt;&lt;foreign-keys&gt;&lt;key app="EN" db-id="5xwt9zxa6r5fesevwr5xzp97r95ev9wx9zpw" timestamp="1441327824"&gt;528&lt;/key&gt;&lt;/foreign-keys&gt;&lt;ref-type name="AAA ICRC Water References"&gt;40&lt;/ref-type&gt;&lt;contributors&gt;&lt;authors&gt;&lt;author&gt;Dalhuisen, Jasper M&lt;/author&gt;&lt;author&gt;Florax, Raymond JGM&lt;/author&gt;&lt;author&gt;De Groot, Henri LF&lt;/author&gt;&lt;author&gt;Nijkamp, Peter&lt;/author&gt;&lt;/authors&gt;&lt;/contributors&gt;&lt;titles&gt;&lt;title&gt;Price and income elasticities of residential water demand: Why empirical estimates differ&lt;/title&gt;&lt;/titles&gt;&lt;dates&gt;&lt;year&gt;2001&lt;/year&gt;&lt;/dates&gt;&lt;pub-location&gt;Amsterdam&lt;/pub-location&gt;&lt;publisher&gt;Tinbergen Institute&lt;/publisher&gt;&lt;urls&gt;&lt;/urls&gt;&lt;/record&gt;&lt;/Cite&gt;&lt;/EndNote&gt;</w:instrText>
      </w:r>
      <w:r w:rsidR="00265EBA">
        <w:fldChar w:fldCharType="separate"/>
      </w:r>
      <w:hyperlink w:anchor="_ENREF_9" w:tooltip="Dalhuisen, 2001 #528" w:history="1">
        <w:r w:rsidR="00A2488A">
          <w:rPr>
            <w:noProof/>
          </w:rPr>
          <w:t>Dalhuisen et al. (2001</w:t>
        </w:r>
      </w:hyperlink>
      <w:r w:rsidR="00265EBA">
        <w:rPr>
          <w:noProof/>
        </w:rPr>
        <w:t>)</w:t>
      </w:r>
      <w:r w:rsidR="00265EBA">
        <w:fldChar w:fldCharType="end"/>
      </w:r>
      <w:r w:rsidR="00265EBA">
        <w:t>, the price elasticity of water demand tends to be greater for more discretionary uses such as outdoor irrigation.</w:t>
      </w:r>
      <w:r w:rsidR="00813BDF">
        <w:t xml:space="preserve"> </w:t>
      </w:r>
      <w:r w:rsidR="00265EBA">
        <w:t>This tendency is confirmed in the Commission’s analysis</w:t>
      </w:r>
      <w:r w:rsidR="00813BDF">
        <w:t xml:space="preserve">, indirectly (rather than by direct observation of type of use) </w:t>
      </w:r>
      <w:r w:rsidR="00265EBA">
        <w:t xml:space="preserve">by examining the impact of the seasonal variables on the central standalone residential customer elasticity estimate. As shown in </w:t>
      </w:r>
      <w:r w:rsidR="00265EBA">
        <w:fldChar w:fldCharType="begin"/>
      </w:r>
      <w:r w:rsidR="00265EBA">
        <w:instrText xml:space="preserve"> REF _Ref444001750 \h </w:instrText>
      </w:r>
      <w:r w:rsidR="00265EBA">
        <w:fldChar w:fldCharType="separate"/>
      </w:r>
      <w:r w:rsidR="00B80BC7" w:rsidRPr="00DB3C19">
        <w:t xml:space="preserve">Figure </w:t>
      </w:r>
      <w:r w:rsidR="00B80BC7">
        <w:rPr>
          <w:noProof/>
        </w:rPr>
        <w:t>3</w:t>
      </w:r>
      <w:r w:rsidR="00B80BC7" w:rsidRPr="00811EA2">
        <w:t>.</w:t>
      </w:r>
      <w:r w:rsidR="00B80BC7">
        <w:rPr>
          <w:noProof/>
        </w:rPr>
        <w:t>10</w:t>
      </w:r>
      <w:r w:rsidR="00265EBA">
        <w:fldChar w:fldCharType="end"/>
      </w:r>
      <w:r w:rsidR="00265EBA">
        <w:t>, the elasticity estimate varies from a low of -0.11 to a high of -0.19 with the latter coinciding with the generally warmer months when outdoor water use i</w:t>
      </w:r>
      <w:r w:rsidR="00993EAF">
        <w:t>s</w:t>
      </w:r>
      <w:r w:rsidR="00265EBA">
        <w:t xml:space="preserve"> likely to be more prevalent. </w:t>
      </w:r>
    </w:p>
    <w:p w:rsidR="00265EBA" w:rsidRPr="00811EA2" w:rsidRDefault="00265EBA" w:rsidP="00265EBA">
      <w:pPr>
        <w:pStyle w:val="FigureName"/>
        <w:keepNext/>
      </w:pPr>
      <w:bookmarkStart w:id="130" w:name="_Ref444001750"/>
      <w:bookmarkStart w:id="131" w:name="_Toc444259301"/>
      <w:bookmarkStart w:id="132" w:name="_Toc460572276"/>
      <w:r w:rsidRPr="00DB3C19">
        <w:t xml:space="preserve">Figure </w:t>
      </w:r>
      <w:r>
        <w:fldChar w:fldCharType="begin"/>
      </w:r>
      <w:r>
        <w:instrText xml:space="preserve"> STYLEREF 1 \s </w:instrText>
      </w:r>
      <w:r>
        <w:fldChar w:fldCharType="separate"/>
      </w:r>
      <w:r w:rsidR="00B80BC7">
        <w:rPr>
          <w:noProof/>
        </w:rPr>
        <w:t>3</w:t>
      </w:r>
      <w:r>
        <w:rPr>
          <w:noProof/>
        </w:rPr>
        <w:fldChar w:fldCharType="end"/>
      </w:r>
      <w:r w:rsidRPr="00811EA2">
        <w:t>.</w:t>
      </w:r>
      <w:r>
        <w:fldChar w:fldCharType="begin"/>
      </w:r>
      <w:r>
        <w:instrText xml:space="preserve"> SEQ Figure \* ARABIC \s 1 </w:instrText>
      </w:r>
      <w:r>
        <w:fldChar w:fldCharType="separate"/>
      </w:r>
      <w:r w:rsidR="00B80BC7">
        <w:rPr>
          <w:noProof/>
        </w:rPr>
        <w:t>10</w:t>
      </w:r>
      <w:r>
        <w:fldChar w:fldCharType="end"/>
      </w:r>
      <w:bookmarkEnd w:id="130"/>
      <w:r w:rsidRPr="00811EA2">
        <w:tab/>
      </w:r>
      <w:r>
        <w:t>Seasonal interaction with elasticity estimate</w:t>
      </w:r>
      <w:bookmarkEnd w:id="131"/>
      <w:bookmarkEnd w:id="132"/>
    </w:p>
    <w:p w:rsidR="00265EBA" w:rsidRDefault="00265EBA" w:rsidP="00265EBA">
      <w:pPr>
        <w:keepNext/>
      </w:pPr>
      <w:r>
        <w:rPr>
          <w:noProof/>
          <w:lang w:val="en-AU" w:eastAsia="en-AU"/>
        </w:rPr>
        <w:drawing>
          <wp:inline distT="0" distB="0" distL="0" distR="0" wp14:anchorId="5FD9D36C" wp14:editId="4290C128">
            <wp:extent cx="4645834" cy="2220686"/>
            <wp:effectExtent l="0" t="0" r="2540" b="825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265EBA" w:rsidRDefault="00265EBA" w:rsidP="00265EBA">
      <w:pPr>
        <w:pStyle w:val="TableNotesLast0"/>
      </w:pPr>
      <w:r>
        <w:t xml:space="preserve"> Source:</w:t>
      </w:r>
      <w:r>
        <w:tab/>
      </w:r>
      <w:r>
        <w:fldChar w:fldCharType="begin"/>
      </w:r>
      <w:r>
        <w:instrText xml:space="preserve"> ADDIN EN.CITE &lt;EndNote&gt;&lt;Cite&gt;&lt;Author&gt;ICRC&lt;/Author&gt;&lt;Year&gt;2016&lt;/Year&gt;&lt;RecNum&gt;697&lt;/RecNum&gt;&lt;DisplayText&gt;ICRC (2016a)&lt;/DisplayText&gt;&lt;record&gt;&lt;rec-number&gt;697&lt;/rec-number&gt;&lt;foreign-keys&gt;&lt;key app="EN" db-id="5xwt9zxa6r5fesevwr5xzp97r95ev9wx9zpw" timestamp="1458518329"&gt;697&lt;/key&gt;&lt;key app="ENWeb" db-id=""&gt;0&lt;/key&gt;&lt;/foreign-keys&gt;&lt;ref-type name="AAA ICRC Water References"&gt;40&lt;/ref-type&gt;&lt;contributors&gt;&lt;authors&gt;&lt;author&gt;ICRC,&lt;/author&gt;&lt;/authors&gt;&lt;/contributors&gt;&lt;titles&gt;&lt;title&gt;Technical paper 1: Price elasticity of water demand in the ACT&lt;/title&gt;&lt;/titles&gt;&lt;volume&gt;Report 1 of 2016&lt;/volume&gt;&lt;dates&gt;&lt;year&gt;2016&lt;/year&gt;&lt;pub-dates&gt;&lt;date&gt;February 2016&lt;/date&gt;&lt;/pub-dates&gt;&lt;/dates&gt;&lt;pub-location&gt;Canberra&lt;/pub-location&gt;&lt;publisher&gt;Independent Competition and Regulatory Commission&lt;/publisher&gt;&lt;urls&gt;&lt;/urls&gt;&lt;/record&gt;&lt;/Cite&gt;&lt;/EndNote&gt;</w:instrText>
      </w:r>
      <w:r>
        <w:fldChar w:fldCharType="separate"/>
      </w:r>
      <w:hyperlink w:anchor="_ENREF_24" w:tooltip="ICRC, 2016 #697" w:history="1">
        <w:r w:rsidR="00A2488A">
          <w:rPr>
            <w:noProof/>
          </w:rPr>
          <w:t>ICRC (2016a</w:t>
        </w:r>
      </w:hyperlink>
      <w:r>
        <w:rPr>
          <w:noProof/>
        </w:rPr>
        <w:t>)</w:t>
      </w:r>
      <w:r>
        <w:fldChar w:fldCharType="end"/>
      </w:r>
      <w:r>
        <w:t>: 36.</w:t>
      </w:r>
    </w:p>
    <w:p w:rsidR="00916CE3" w:rsidRDefault="00F579DA" w:rsidP="003D2B45">
      <w:r w:rsidRPr="00F579DA">
        <w:t xml:space="preserve">As for </w:t>
      </w:r>
      <w:r w:rsidR="00422CC6">
        <w:t xml:space="preserve">Mr Knee’s </w:t>
      </w:r>
      <w:r w:rsidRPr="00F579DA">
        <w:t>second concern</w:t>
      </w:r>
      <w:r w:rsidR="003D2B45">
        <w:t xml:space="preserve"> about the structural integrity of the time series data</w:t>
      </w:r>
      <w:r w:rsidRPr="00F579DA">
        <w:t>,</w:t>
      </w:r>
      <w:r w:rsidR="003D2B45">
        <w:t xml:space="preserve"> in its 2015 forecasting work on ACT dam releases data, the Commission found evidence that there may have been a structural break in the relationship between water demand and climate</w:t>
      </w:r>
      <w:r w:rsidR="00063DD4">
        <w:t xml:space="preserve">, not in 2010 as suggested by Mr Knee, but </w:t>
      </w:r>
      <w:r w:rsidR="003D2B45">
        <w:t xml:space="preserve">in about July 2006. </w:t>
      </w:r>
      <w:r w:rsidR="005C6C0E">
        <w:t xml:space="preserve">The location of the breakpoint was established visually, as shown in </w:t>
      </w:r>
      <w:r w:rsidR="005C6C0E">
        <w:fldChar w:fldCharType="begin"/>
      </w:r>
      <w:r w:rsidR="005C6C0E">
        <w:instrText xml:space="preserve"> REF _Ref457464439 \h </w:instrText>
      </w:r>
      <w:r w:rsidR="005C6C0E">
        <w:fldChar w:fldCharType="separate"/>
      </w:r>
      <w:r w:rsidR="00B80BC7" w:rsidRPr="00DB3C19">
        <w:t xml:space="preserve">Figure </w:t>
      </w:r>
      <w:r w:rsidR="00B80BC7">
        <w:rPr>
          <w:noProof/>
        </w:rPr>
        <w:t>3</w:t>
      </w:r>
      <w:r w:rsidR="00B80BC7" w:rsidRPr="00811EA2">
        <w:t>.</w:t>
      </w:r>
      <w:r w:rsidR="00B80BC7">
        <w:rPr>
          <w:noProof/>
        </w:rPr>
        <w:t>11</w:t>
      </w:r>
      <w:r w:rsidR="005C6C0E">
        <w:fldChar w:fldCharType="end"/>
      </w:r>
      <w:r w:rsidR="005C6C0E">
        <w:t xml:space="preserve">, and statistically using Chow and CUSUM tests. </w:t>
      </w:r>
      <w:r w:rsidR="003D2B45">
        <w:t xml:space="preserve">The Commission also found that since then, it </w:t>
      </w:r>
      <w:r w:rsidR="003D2B45" w:rsidRPr="008A55E9">
        <w:t xml:space="preserve">appears that there may be a </w:t>
      </w:r>
      <w:r w:rsidR="003D2B45" w:rsidRPr="00D26A77">
        <w:t xml:space="preserve">new and stable relationship between water sales and </w:t>
      </w:r>
      <w:r w:rsidR="003D2B45">
        <w:t xml:space="preserve">weather </w:t>
      </w:r>
      <w:r w:rsidR="003D2B45" w:rsidRPr="00D26A77">
        <w:t>variables.</w:t>
      </w:r>
      <w:r w:rsidR="003D2B45">
        <w:rPr>
          <w:rStyle w:val="FootnoteReference"/>
        </w:rPr>
        <w:footnoteReference w:id="67"/>
      </w:r>
      <w:r w:rsidR="004F518A">
        <w:t xml:space="preserve"> </w:t>
      </w:r>
      <w:r w:rsidR="005C6C0E">
        <w:t>In line with this hypothesis, the Commission’s preferred releases forecasting model was estimated using weather and releases data from July 2006 onwards.</w:t>
      </w:r>
    </w:p>
    <w:p w:rsidR="00916CE3" w:rsidRPr="00811EA2" w:rsidRDefault="00916CE3" w:rsidP="00916CE3">
      <w:pPr>
        <w:pStyle w:val="FigureName"/>
        <w:keepNext/>
      </w:pPr>
      <w:bookmarkStart w:id="133" w:name="_Ref457464439"/>
      <w:bookmarkStart w:id="134" w:name="_Toc460572277"/>
      <w:r w:rsidRPr="00DB3C19">
        <w:lastRenderedPageBreak/>
        <w:t xml:space="preserve">Figure </w:t>
      </w:r>
      <w:r>
        <w:fldChar w:fldCharType="begin"/>
      </w:r>
      <w:r>
        <w:instrText xml:space="preserve"> STYLEREF 1 \s </w:instrText>
      </w:r>
      <w:r>
        <w:fldChar w:fldCharType="separate"/>
      </w:r>
      <w:r w:rsidR="00B80BC7">
        <w:rPr>
          <w:noProof/>
        </w:rPr>
        <w:t>3</w:t>
      </w:r>
      <w:r>
        <w:rPr>
          <w:noProof/>
        </w:rPr>
        <w:fldChar w:fldCharType="end"/>
      </w:r>
      <w:r w:rsidRPr="00811EA2">
        <w:t>.</w:t>
      </w:r>
      <w:r>
        <w:fldChar w:fldCharType="begin"/>
      </w:r>
      <w:r>
        <w:instrText xml:space="preserve"> SEQ Figure \* ARABIC \s 1 </w:instrText>
      </w:r>
      <w:r>
        <w:fldChar w:fldCharType="separate"/>
      </w:r>
      <w:r w:rsidR="00B80BC7">
        <w:rPr>
          <w:noProof/>
        </w:rPr>
        <w:t>11</w:t>
      </w:r>
      <w:r>
        <w:fldChar w:fldCharType="end"/>
      </w:r>
      <w:bookmarkEnd w:id="133"/>
      <w:r w:rsidRPr="00811EA2">
        <w:tab/>
      </w:r>
      <w:r>
        <w:t>July 2006 breakpoint</w:t>
      </w:r>
      <w:bookmarkEnd w:id="134"/>
    </w:p>
    <w:p w:rsidR="00916CE3" w:rsidRDefault="00916CE3" w:rsidP="00916CE3">
      <w:pPr>
        <w:keepNext/>
      </w:pPr>
      <w:r>
        <w:rPr>
          <w:noProof/>
          <w:lang w:val="en-AU" w:eastAsia="en-AU"/>
        </w:rPr>
        <w:drawing>
          <wp:inline distT="0" distB="0" distL="0" distR="0" wp14:anchorId="464EFD16" wp14:editId="5F5021DD">
            <wp:extent cx="4896485" cy="2167255"/>
            <wp:effectExtent l="0" t="0" r="18415" b="444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916CE3" w:rsidRDefault="00916CE3" w:rsidP="00916CE3">
      <w:pPr>
        <w:pStyle w:val="TableNotesLast0"/>
      </w:pPr>
      <w:r>
        <w:t xml:space="preserve"> Source:</w:t>
      </w:r>
      <w:r>
        <w:tab/>
      </w:r>
      <w:r>
        <w:fldChar w:fldCharType="begin"/>
      </w:r>
      <w:r>
        <w:instrText xml:space="preserve"> ADDIN EN.CITE &lt;EndNote&gt;&lt;Cite&gt;&lt;Author&gt;ICRC&lt;/Author&gt;&lt;Year&gt;2015&lt;/Year&gt;&lt;RecNum&gt;643&lt;/RecNum&gt;&lt;DisplayText&gt;ICRC (2015b)&lt;/DisplayText&gt;&lt;record&gt;&lt;rec-number&gt;643&lt;/rec-number&gt;&lt;foreign-keys&gt;&lt;key app="EN" db-id="5xwt9zxa6r5fesevwr5xzp97r95ev9wx9zpw" timestamp="1446005790"&gt;643&lt;/key&gt;&lt;/foreign-keys&gt;&lt;ref-type name="AAA ICRC Water References"&gt;40&lt;/ref-type&gt;&lt;contributors&gt;&lt;authors&gt;&lt;author&gt;ICRC,&lt;/author&gt;&lt;/authors&gt;&lt;/contributors&gt;&lt;titles&gt;&lt;title&gt;Water Demand Forecasting Final Technical Paper&lt;/title&gt;&lt;/titles&gt;&lt;volume&gt;Report 2 of 2015&lt;/volume&gt;&lt;dates&gt;&lt;year&gt;2015&lt;/year&gt;&lt;pub-dates&gt;&lt;date&gt;April 2015&lt;/date&gt;&lt;/pub-dates&gt;&lt;/dates&gt;&lt;pub-location&gt;Canberra&lt;/pub-location&gt;&lt;publisher&gt;Independent Competition and Regulatory Commision&lt;/publisher&gt;&lt;urls&gt;&lt;/urls&gt;&lt;/record&gt;&lt;/Cite&gt;&lt;/EndNote&gt;</w:instrText>
      </w:r>
      <w:r>
        <w:fldChar w:fldCharType="separate"/>
      </w:r>
      <w:hyperlink w:anchor="_ENREF_23" w:tooltip="ICRC, 2015 #643" w:history="1">
        <w:r w:rsidR="00A2488A">
          <w:rPr>
            <w:noProof/>
          </w:rPr>
          <w:t>ICRC (2015b</w:t>
        </w:r>
      </w:hyperlink>
      <w:r>
        <w:rPr>
          <w:noProof/>
        </w:rPr>
        <w:t>)</w:t>
      </w:r>
      <w:r>
        <w:fldChar w:fldCharType="end"/>
      </w:r>
      <w:r>
        <w:t>: 16.</w:t>
      </w:r>
    </w:p>
    <w:p w:rsidR="003D2B45" w:rsidRDefault="003D2B45" w:rsidP="003D2B45">
      <w:r>
        <w:t>The unit record data for the elasticity analysis spans a</w:t>
      </w:r>
      <w:r w:rsidR="00993EAF">
        <w:t xml:space="preserve"> </w:t>
      </w:r>
      <w:r>
        <w:t>15½ year period from July 1999 to December 2015, which cuts across the structural break. As such, the Commission took steps to explore the effect of the hypothesized break on the demand equation estimation.</w:t>
      </w:r>
    </w:p>
    <w:p w:rsidR="003D2B45" w:rsidRDefault="003D2B45" w:rsidP="003D2B45">
      <w:r>
        <w:t xml:space="preserve">The first step involved the introduction of an additional water restrictions dummy variable. This dummy was set at 0 until the day after Stage 1 restrictions were lifted </w:t>
      </w:r>
      <w:r w:rsidR="005C55E0">
        <w:t xml:space="preserve">at the end of </w:t>
      </w:r>
      <w:r>
        <w:t xml:space="preserve">August 2010 and then at one for the remainder of the estimation period. This dummy was intended as </w:t>
      </w:r>
      <w:r w:rsidR="00A3630C">
        <w:t xml:space="preserve">a </w:t>
      </w:r>
      <w:r>
        <w:t>somewhat crude means to reflect the minimal bounce-back in water consumption following the removal of restrictions at the end of the Millennium Drought.</w:t>
      </w:r>
    </w:p>
    <w:p w:rsidR="00B27D2F" w:rsidRDefault="003D2B45" w:rsidP="003D2B45">
      <w:r>
        <w:t>The second step involved running regressions with the preferred specification over the entire period and the two sub-periods: July 1999 to June 2006 and July 2006 to December 2015. The result</w:t>
      </w:r>
      <w:r w:rsidR="00B27D2F">
        <w:t xml:space="preserve"> for standalone residential houses showed an elasticity estimate of -0.31 for the 1999 to 2006 period, implying a more elastic demand response to price than is the case over the entire 1999 to 2015 period. In contrast, the result from the post-structural break sub-period suggested a less elastic demand response of -0.04.</w:t>
      </w:r>
    </w:p>
    <w:p w:rsidR="00425692" w:rsidRPr="00F579DA" w:rsidRDefault="00B27D2F" w:rsidP="003D2B45">
      <w:r>
        <w:t>One interpretation of these results is that the reduction in elasticity simply reflects the change in consumer behaviour from one sub-period to the next. Anecdotal evidence suggests that households, in response to the years of water restrictions in place during the Millennium Drought, and new planning laws with a focus on potable water saving measures, have made investments in improving water use efficiency over the long-term. For example, less water-intensive gardens have been planted, more efficient irrigation systems have been installed, and rainwater tanks now provide some alternative to potable water. The end result is that ACT households may now have less scope to adjust their water consumption in response to price changes.</w:t>
      </w:r>
    </w:p>
    <w:p w:rsidR="00CF184D" w:rsidRDefault="00232375" w:rsidP="00232375">
      <w:pPr>
        <w:pStyle w:val="Heading4"/>
      </w:pPr>
      <w:r>
        <w:lastRenderedPageBreak/>
        <w:t>Draft position</w:t>
      </w:r>
    </w:p>
    <w:p w:rsidR="000E355D" w:rsidRDefault="00CE7E8D" w:rsidP="000E355D">
      <w:r>
        <w:t xml:space="preserve">The Commission’s draft position is that a drought or scarcity pricing arrangement that is revenue neutral and improves economic efficiency would be consistent with the </w:t>
      </w:r>
      <w:r w:rsidR="00062241">
        <w:t>draft</w:t>
      </w:r>
      <w:r>
        <w:t xml:space="preserve"> pricing principles.</w:t>
      </w:r>
    </w:p>
    <w:p w:rsidR="00CF184D" w:rsidRDefault="00122EF2" w:rsidP="00CE7E8D">
      <w:r>
        <w:t>While the current water security situation means that drought pricing arrangements are not likely to be required for some time, the Commission would expect such a proposal to be put forward should conditions change. The Commission would assess any proposal put forward on its merits.</w:t>
      </w:r>
    </w:p>
    <w:p w:rsidR="00CF184D" w:rsidRDefault="00901EFE" w:rsidP="00F22E2F">
      <w:pPr>
        <w:pStyle w:val="Heading3"/>
      </w:pPr>
      <w:r>
        <w:t>Differential pricing</w:t>
      </w:r>
    </w:p>
    <w:p w:rsidR="00217B33" w:rsidRDefault="00217B33" w:rsidP="00217B33">
      <w:pPr>
        <w:pStyle w:val="Heading4"/>
      </w:pPr>
      <w:r>
        <w:t>Background</w:t>
      </w:r>
    </w:p>
    <w:p w:rsidR="00512F8F" w:rsidRDefault="00512F8F" w:rsidP="00512F8F">
      <w:r>
        <w:t>Icon Water’s current water tariff structure does not differentiate between type of customer or by location.</w:t>
      </w:r>
    </w:p>
    <w:p w:rsidR="00512F8F" w:rsidRDefault="00512F8F" w:rsidP="00512F8F">
      <w:r>
        <w:t xml:space="preserve">As discussed in </w:t>
      </w:r>
      <w:r w:rsidR="00E214B8">
        <w:t>the issues paper</w:t>
      </w:r>
      <w:r>
        <w:t xml:space="preserve">, a number of utilities in other jurisdictions have different tariffs for residential and business customers. </w:t>
      </w:r>
      <w:r w:rsidRPr="009E3DA3">
        <w:t xml:space="preserve">Where there is a difference between the tariffs charged to each customer group, there appears to be a tendency for non-residential customers to face a comparable </w:t>
      </w:r>
      <w:r w:rsidR="00B14BFA">
        <w:t>supply</w:t>
      </w:r>
      <w:r w:rsidRPr="009E3DA3">
        <w:t xml:space="preserve"> charge to that of residential customers</w:t>
      </w:r>
      <w:r>
        <w:t>,</w:t>
      </w:r>
      <w:r w:rsidRPr="009E3DA3">
        <w:t xml:space="preserve"> but for non-residential customers to face a single </w:t>
      </w:r>
      <w:r w:rsidR="00535E01">
        <w:t>usage</w:t>
      </w:r>
      <w:r w:rsidRPr="009E3DA3">
        <w:t xml:space="preserve"> charge typically set at the lowest </w:t>
      </w:r>
      <w:r>
        <w:t>or middle residential tier.</w:t>
      </w:r>
    </w:p>
    <w:p w:rsidR="00512F8F" w:rsidRDefault="00512F8F" w:rsidP="00512F8F">
      <w:r>
        <w:t>Icon Water’s tariffs are applied equally across its customers in the ACT irrespective of their location. This is known as postage stamp pricing.</w:t>
      </w:r>
    </w:p>
    <w:p w:rsidR="00217B33" w:rsidRDefault="00217B33" w:rsidP="00217B33">
      <w:pPr>
        <w:pStyle w:val="Heading4"/>
      </w:pPr>
      <w:r>
        <w:t>Submissions</w:t>
      </w:r>
    </w:p>
    <w:p w:rsidR="00217B33" w:rsidRDefault="00D406A6" w:rsidP="00217B33">
      <w:r>
        <w:t>I</w:t>
      </w:r>
      <w:r w:rsidR="002010F8">
        <w:t>n its second submission Icon Water indicated that it is intending to discuss with its customers the i</w:t>
      </w:r>
      <w:r w:rsidR="002010F8" w:rsidRPr="002010F8">
        <w:t>ntroduc</w:t>
      </w:r>
      <w:r w:rsidR="002010F8">
        <w:t xml:space="preserve">tion of </w:t>
      </w:r>
      <w:r w:rsidR="002010F8" w:rsidRPr="002010F8">
        <w:t>separate residential and non-residential tariffs, with a higher supply charge for non-residential customers</w:t>
      </w:r>
      <w:r w:rsidR="000F3270">
        <w:t xml:space="preserve"> as a means to help manage the impacts on residential customer bills due to tariff structure reform</w:t>
      </w:r>
      <w:r w:rsidR="002010F8">
        <w:t>.</w:t>
      </w:r>
      <w:r w:rsidR="002010F8">
        <w:rPr>
          <w:rStyle w:val="FootnoteReference"/>
        </w:rPr>
        <w:footnoteReference w:id="68"/>
      </w:r>
    </w:p>
    <w:p w:rsidR="00E63EF2" w:rsidRDefault="002010F8" w:rsidP="00217B33">
      <w:r>
        <w:t>Other</w:t>
      </w:r>
      <w:r w:rsidR="009E2F2F">
        <w:t>s</w:t>
      </w:r>
      <w:r w:rsidR="00E63EF2">
        <w:t xml:space="preserve">, such as ACAT, </w:t>
      </w:r>
      <w:r>
        <w:t>did not support</w:t>
      </w:r>
      <w:r w:rsidR="00E63EF2">
        <w:t xml:space="preserve"> differential charging, at least for the </w:t>
      </w:r>
      <w:r w:rsidR="005A2069">
        <w:t>T</w:t>
      </w:r>
      <w:r w:rsidR="00E63EF2">
        <w:t xml:space="preserve">ier 2 </w:t>
      </w:r>
      <w:r w:rsidR="00535E01">
        <w:t>usage</w:t>
      </w:r>
      <w:r w:rsidR="00E63EF2">
        <w:t xml:space="preserve"> charge:</w:t>
      </w:r>
    </w:p>
    <w:p w:rsidR="00E63EF2" w:rsidRDefault="00E63EF2" w:rsidP="00E63EF2">
      <w:pPr>
        <w:pStyle w:val="Quote"/>
      </w:pPr>
      <w:r>
        <w:t>The second tier price path should be uniform for all usage and not reduced for users of more substantial volume.</w:t>
      </w:r>
      <w:r>
        <w:rPr>
          <w:rStyle w:val="FootnoteReference"/>
        </w:rPr>
        <w:footnoteReference w:id="69"/>
      </w:r>
    </w:p>
    <w:p w:rsidR="00217B33" w:rsidRDefault="00217B33" w:rsidP="009E2F2F">
      <w:pPr>
        <w:pStyle w:val="Heading4"/>
      </w:pPr>
      <w:r>
        <w:t>Commission’s consideration</w:t>
      </w:r>
    </w:p>
    <w:p w:rsidR="00234874" w:rsidRDefault="00D406A6" w:rsidP="00217B33">
      <w:r>
        <w:t xml:space="preserve">As discussed in </w:t>
      </w:r>
      <w:r>
        <w:fldChar w:fldCharType="begin"/>
      </w:r>
      <w:r>
        <w:instrText xml:space="preserve"> REF _Ref456961356 \r \h </w:instrText>
      </w:r>
      <w:r>
        <w:fldChar w:fldCharType="separate"/>
      </w:r>
      <w:r w:rsidR="00B80BC7">
        <w:t>2.2.2</w:t>
      </w:r>
      <w:r>
        <w:fldChar w:fldCharType="end"/>
      </w:r>
      <w:r>
        <w:t>, t</w:t>
      </w:r>
      <w:r w:rsidR="008C7C0D">
        <w:t xml:space="preserve">he Commission’s view is that tariff differentiation would be consistent with the </w:t>
      </w:r>
      <w:r w:rsidR="00062241">
        <w:t xml:space="preserve">draft </w:t>
      </w:r>
      <w:r w:rsidR="008C7C0D">
        <w:t>pricing principles, as long as there is no</w:t>
      </w:r>
      <w:r w:rsidR="00FE1991">
        <w:t xml:space="preserve"> economic</w:t>
      </w:r>
      <w:r w:rsidR="008C7C0D">
        <w:t xml:space="preserve"> cross-subsidy. That is, for each tariff class, prices should lie on or between an upper bound </w:t>
      </w:r>
      <w:r w:rsidR="008C7C0D">
        <w:lastRenderedPageBreak/>
        <w:t>reflecting the standalone cost of serving customers in that class and a lower bound reflecting the avoidable cost of not serving those customers.</w:t>
      </w:r>
    </w:p>
    <w:p w:rsidR="00826D7B" w:rsidRDefault="00826D7B" w:rsidP="00217B33">
      <w:r>
        <w:t xml:space="preserve">On the question of mitigating residential customer impacts due to moving to the alternative tariff structure, the Commission’s analysis suggests that higher </w:t>
      </w:r>
      <w:r w:rsidR="00B14BFA">
        <w:t>supply</w:t>
      </w:r>
      <w:r>
        <w:t xml:space="preserve"> charges for non-residential customers would have limited effect as they only account for about 5 per cent of total customer numbers. This is discussed further in Chapter </w:t>
      </w:r>
      <w:r>
        <w:fldChar w:fldCharType="begin"/>
      </w:r>
      <w:r>
        <w:instrText xml:space="preserve"> REF _Ref454886877 \r \h </w:instrText>
      </w:r>
      <w:r>
        <w:fldChar w:fldCharType="separate"/>
      </w:r>
      <w:r w:rsidR="00B80BC7">
        <w:t>5</w:t>
      </w:r>
      <w:r>
        <w:fldChar w:fldCharType="end"/>
      </w:r>
      <w:r>
        <w:t>.</w:t>
      </w:r>
    </w:p>
    <w:p w:rsidR="00217B33" w:rsidRDefault="00217B33" w:rsidP="00217B33">
      <w:pPr>
        <w:pStyle w:val="Heading4"/>
      </w:pPr>
      <w:r>
        <w:t>Draft position</w:t>
      </w:r>
    </w:p>
    <w:p w:rsidR="00217B33" w:rsidRDefault="00FE1991" w:rsidP="00217B33">
      <w:r>
        <w:t xml:space="preserve">Consistent with section </w:t>
      </w:r>
      <w:r>
        <w:fldChar w:fldCharType="begin"/>
      </w:r>
      <w:r>
        <w:instrText xml:space="preserve"> REF _Ref456961356 \r \h </w:instrText>
      </w:r>
      <w:r>
        <w:fldChar w:fldCharType="separate"/>
      </w:r>
      <w:r w:rsidR="00B80BC7">
        <w:t>2.2.2</w:t>
      </w:r>
      <w:r>
        <w:fldChar w:fldCharType="end"/>
      </w:r>
      <w:r>
        <w:t xml:space="preserve">, the Commission proposes a new pricing principle to clarify that tariff differentiation would be consistent with the </w:t>
      </w:r>
      <w:r w:rsidR="00CF5D71">
        <w:t xml:space="preserve">draft </w:t>
      </w:r>
      <w:r>
        <w:t>pricing principles, as long as there is no economic cross-subsidy.</w:t>
      </w:r>
    </w:p>
    <w:p w:rsidR="00217B33" w:rsidRPr="00217B33" w:rsidRDefault="00217B33" w:rsidP="00217B33"/>
    <w:p w:rsidR="00217B33" w:rsidRPr="00217B33" w:rsidRDefault="00217B33" w:rsidP="00217B33">
      <w:pPr>
        <w:pStyle w:val="Heading4"/>
        <w:sectPr w:rsidR="00217B33" w:rsidRPr="00217B33" w:rsidSect="00E12A27">
          <w:headerReference w:type="even" r:id="rId62"/>
          <w:headerReference w:type="default" r:id="rId63"/>
          <w:endnotePr>
            <w:numFmt w:val="decimal"/>
          </w:endnotePr>
          <w:type w:val="continuous"/>
          <w:pgSz w:w="11907" w:h="16840" w:code="9"/>
          <w:pgMar w:top="2268" w:right="2098" w:bottom="1701" w:left="2098" w:header="578" w:footer="578" w:gutter="0"/>
          <w:cols w:space="720"/>
          <w:docGrid w:linePitch="299"/>
        </w:sectPr>
      </w:pPr>
    </w:p>
    <w:p w:rsidR="00A51405" w:rsidRDefault="00E6551C" w:rsidP="00A51405">
      <w:pPr>
        <w:pStyle w:val="Heading1"/>
        <w:sectPr w:rsidR="00A51405" w:rsidSect="00FD0141">
          <w:headerReference w:type="even" r:id="rId64"/>
          <w:headerReference w:type="default" r:id="rId65"/>
          <w:endnotePr>
            <w:numFmt w:val="decimal"/>
          </w:endnotePr>
          <w:type w:val="oddPage"/>
          <w:pgSz w:w="11907" w:h="16840" w:code="9"/>
          <w:pgMar w:top="2268" w:right="2098" w:bottom="1701" w:left="2098" w:header="578" w:footer="578" w:gutter="0"/>
          <w:cols w:space="720"/>
          <w:noEndnote/>
          <w:docGrid w:linePitch="299"/>
        </w:sectPr>
      </w:pPr>
      <w:bookmarkStart w:id="135" w:name="_Ref448321607"/>
      <w:bookmarkStart w:id="136" w:name="_Ref448321716"/>
      <w:bookmarkStart w:id="137" w:name="_Ref456791968"/>
      <w:bookmarkStart w:id="138" w:name="_Ref456854830"/>
      <w:bookmarkStart w:id="139" w:name="_Toc460572219"/>
      <w:r>
        <w:lastRenderedPageBreak/>
        <w:t>S</w:t>
      </w:r>
      <w:r w:rsidR="00A51405">
        <w:t>ewerage services</w:t>
      </w:r>
      <w:bookmarkEnd w:id="135"/>
      <w:bookmarkEnd w:id="136"/>
      <w:r w:rsidR="00281CA5">
        <w:t xml:space="preserve"> tariffs</w:t>
      </w:r>
      <w:r>
        <w:t>: Options and analysis</w:t>
      </w:r>
      <w:bookmarkEnd w:id="137"/>
      <w:bookmarkEnd w:id="138"/>
      <w:bookmarkEnd w:id="139"/>
    </w:p>
    <w:p w:rsidR="00DC5D17" w:rsidRDefault="00DC5D17" w:rsidP="00DC5D17">
      <w:pPr>
        <w:pStyle w:val="Heading2"/>
      </w:pPr>
      <w:bookmarkStart w:id="140" w:name="_Toc460572220"/>
      <w:r>
        <w:t>Introduction</w:t>
      </w:r>
      <w:bookmarkEnd w:id="140"/>
    </w:p>
    <w:p w:rsidR="00DC5D17" w:rsidRPr="00A23109" w:rsidRDefault="00DC5D17" w:rsidP="00DC5D17">
      <w:r>
        <w:t xml:space="preserve">This chapter applies the draft assessment framework described in the Chapter </w:t>
      </w:r>
      <w:r>
        <w:fldChar w:fldCharType="begin"/>
      </w:r>
      <w:r>
        <w:instrText xml:space="preserve"> REF _Ref448923205 \r \h </w:instrText>
      </w:r>
      <w:r>
        <w:fldChar w:fldCharType="separate"/>
      </w:r>
      <w:r w:rsidR="00B80BC7">
        <w:t>2</w:t>
      </w:r>
      <w:r>
        <w:fldChar w:fldCharType="end"/>
      </w:r>
      <w:r>
        <w:t xml:space="preserve"> to evaluate whether Icon Water’s current sewerage services tariff structure is best placed to achieve the overarching economic efficiency objective, or whether an alternative structure is more likely to do so.</w:t>
      </w:r>
    </w:p>
    <w:p w:rsidR="00201419" w:rsidRDefault="00703096" w:rsidP="002B6726">
      <w:pPr>
        <w:pStyle w:val="Heading2"/>
      </w:pPr>
      <w:bookmarkStart w:id="141" w:name="_Toc460572221"/>
      <w:r>
        <w:t>Current t</w:t>
      </w:r>
      <w:r w:rsidR="00CF184D">
        <w:t>ariff structure</w:t>
      </w:r>
      <w:r>
        <w:t xml:space="preserve">: </w:t>
      </w:r>
      <w:r w:rsidR="00B14BFA">
        <w:t>Supply</w:t>
      </w:r>
      <w:r>
        <w:t xml:space="preserve"> charges only</w:t>
      </w:r>
      <w:bookmarkEnd w:id="141"/>
    </w:p>
    <w:p w:rsidR="00181D8D" w:rsidRDefault="00DC5D17" w:rsidP="0020199F">
      <w:r>
        <w:t>The current tariff structure for Icon Water’s regulated sewerage services</w:t>
      </w:r>
      <w:r w:rsidR="001B3D7A">
        <w:t xml:space="preserve"> comprises a</w:t>
      </w:r>
      <w:r w:rsidR="00B14BFA">
        <w:t>n</w:t>
      </w:r>
      <w:r w:rsidR="001B3D7A">
        <w:t xml:space="preserve"> annual supply charge for residential premises, and the same supply charge plus an annual charge per flushing fixture (in excess of two) for non-residential premises.</w:t>
      </w:r>
      <w:r w:rsidR="005203CD">
        <w:t xml:space="preserve"> Icon Water does not currently have a trade waste tariff.  </w:t>
      </w:r>
    </w:p>
    <w:p w:rsidR="00181D8D" w:rsidRDefault="00181D8D" w:rsidP="00F22E2F">
      <w:pPr>
        <w:pStyle w:val="Heading3"/>
      </w:pPr>
      <w:r>
        <w:t>Efficiency</w:t>
      </w:r>
    </w:p>
    <w:p w:rsidR="00074AB4" w:rsidRDefault="001F0EE8" w:rsidP="0020199F">
      <w:r>
        <w:t xml:space="preserve">In the technical paper on marginal cost pricing, the Commission concluded that, since there is no </w:t>
      </w:r>
      <w:r w:rsidR="00535E01">
        <w:t>usage</w:t>
      </w:r>
      <w:r>
        <w:t xml:space="preserve"> charge, this in itself implies that the current sewerage services structure, based entirely on </w:t>
      </w:r>
      <w:r w:rsidR="00B14BFA">
        <w:t>supply</w:t>
      </w:r>
      <w:r>
        <w:t xml:space="preserve"> charges, is incapable of providing suitable price signals to customers about the efficient costs of sewerage services in the ACT. As such, on the face of it, the current structure is not consistent with the first </w:t>
      </w:r>
      <w:r w:rsidR="00CF5D71">
        <w:t>draft</w:t>
      </w:r>
      <w:r>
        <w:t xml:space="preserve"> pricing principle.</w:t>
      </w:r>
    </w:p>
    <w:p w:rsidR="008D7B74" w:rsidRDefault="00280B1A" w:rsidP="0020199F">
      <w:r>
        <w:t xml:space="preserve">The second principle is not relevant as there is no change in structure. </w:t>
      </w:r>
      <w:r w:rsidR="008D7B74">
        <w:t xml:space="preserve">The current structure allows for differential charging, </w:t>
      </w:r>
      <w:r w:rsidR="00123094">
        <w:t xml:space="preserve">subject to </w:t>
      </w:r>
      <w:r w:rsidR="008D7B74">
        <w:t xml:space="preserve">principle </w:t>
      </w:r>
      <w:r>
        <w:t>3</w:t>
      </w:r>
      <w:r w:rsidR="008D7B74">
        <w:t xml:space="preserve">, and </w:t>
      </w:r>
      <w:r w:rsidR="00E35BF0">
        <w:t xml:space="preserve">with charges </w:t>
      </w:r>
      <w:r w:rsidR="008D7B74">
        <w:t>currently differentiate</w:t>
      </w:r>
      <w:r w:rsidR="00E35BF0">
        <w:t>d</w:t>
      </w:r>
      <w:r w:rsidR="008D7B74">
        <w:t xml:space="preserve"> between residential and commercial customers.</w:t>
      </w:r>
    </w:p>
    <w:p w:rsidR="00A51405" w:rsidRDefault="00B84135" w:rsidP="00F22E2F">
      <w:pPr>
        <w:pStyle w:val="Heading3"/>
      </w:pPr>
      <w:r>
        <w:t>Financial viability</w:t>
      </w:r>
    </w:p>
    <w:p w:rsidR="006A728E" w:rsidRDefault="0054129A" w:rsidP="00A51405">
      <w:r>
        <w:t xml:space="preserve">The current tariff structure is consistent with pricing principle </w:t>
      </w:r>
      <w:r w:rsidR="006A728E">
        <w:t>4</w:t>
      </w:r>
      <w:r>
        <w:t>, in that the level of prices can be set to fully recover the prudent and efficient costs of providing water services.</w:t>
      </w:r>
    </w:p>
    <w:p w:rsidR="00B84135" w:rsidRDefault="004D5607" w:rsidP="00A51405">
      <w:r>
        <w:t xml:space="preserve">As the current structure is entirely based on </w:t>
      </w:r>
      <w:r w:rsidR="00B14BFA">
        <w:t>supply</w:t>
      </w:r>
      <w:r>
        <w:t xml:space="preserve"> charges, Icon Water’s exposure to revenue risk </w:t>
      </w:r>
      <w:r w:rsidR="00E35BF0">
        <w:t xml:space="preserve">in relation to its sewerage services business </w:t>
      </w:r>
      <w:r>
        <w:t>is limited and therefore consistent with the f</w:t>
      </w:r>
      <w:r w:rsidR="006A728E">
        <w:t>ifth</w:t>
      </w:r>
      <w:r>
        <w:t xml:space="preserve"> pricing principle, which requires facilitating revenue recovery over a regulatory period.</w:t>
      </w:r>
    </w:p>
    <w:p w:rsidR="00B84135" w:rsidRDefault="00B84135" w:rsidP="00F22E2F">
      <w:pPr>
        <w:pStyle w:val="Heading3"/>
      </w:pPr>
      <w:r>
        <w:lastRenderedPageBreak/>
        <w:t>Community impact</w:t>
      </w:r>
    </w:p>
    <w:p w:rsidR="005F59FE" w:rsidRDefault="005F59FE" w:rsidP="005F59FE">
      <w:r>
        <w:t xml:space="preserve">The current structure is consistent with three of the four community impact principles. Retaining the current structure means no customer impacts and therefore no transition required under principle </w:t>
      </w:r>
      <w:r w:rsidR="006A728E">
        <w:t>7</w:t>
      </w:r>
      <w:r>
        <w:t>. It has been in place for a long time</w:t>
      </w:r>
      <w:r w:rsidR="00D85A5E">
        <w:t xml:space="preserve">, it is about as simple a tariff as you can get, </w:t>
      </w:r>
      <w:r>
        <w:t>and</w:t>
      </w:r>
      <w:r w:rsidR="00AF7583">
        <w:t>,</w:t>
      </w:r>
      <w:r>
        <w:t xml:space="preserve"> </w:t>
      </w:r>
      <w:r w:rsidR="00AF7583">
        <w:t>in line with principle 8, s</w:t>
      </w:r>
      <w:r>
        <w:t>hould be well understood by customers</w:t>
      </w:r>
      <w:r w:rsidR="00AF7583">
        <w:t>.</w:t>
      </w:r>
      <w:r>
        <w:t xml:space="preserve"> It was also introduced using a transparent methodology and subject to public scrutiny, as required by principle </w:t>
      </w:r>
      <w:r w:rsidR="006A728E">
        <w:t>9</w:t>
      </w:r>
      <w:r>
        <w:t>.</w:t>
      </w:r>
    </w:p>
    <w:p w:rsidR="00B84135" w:rsidRDefault="005F59FE" w:rsidP="005F59FE">
      <w:r>
        <w:t xml:space="preserve">The current structure </w:t>
      </w:r>
      <w:r w:rsidR="00F3007F">
        <w:t>is potentially incon</w:t>
      </w:r>
      <w:r>
        <w:t xml:space="preserve">sistent with principle </w:t>
      </w:r>
      <w:r w:rsidR="006A728E">
        <w:t>6</w:t>
      </w:r>
      <w:r>
        <w:t xml:space="preserve"> on the basis that it is not promoting the economically efficient use of Icon Water’s </w:t>
      </w:r>
      <w:r w:rsidR="00D85A5E">
        <w:t xml:space="preserve">sewerage </w:t>
      </w:r>
      <w:r>
        <w:t>infrastructure over any period of time.</w:t>
      </w:r>
    </w:p>
    <w:p w:rsidR="00B84135" w:rsidRDefault="00B84135" w:rsidP="00F22E2F">
      <w:pPr>
        <w:pStyle w:val="Heading3"/>
      </w:pPr>
      <w:r>
        <w:t>Summary</w:t>
      </w:r>
    </w:p>
    <w:p w:rsidR="00E63B0C" w:rsidRDefault="00E63B0C" w:rsidP="00E63B0C">
      <w:r>
        <w:fldChar w:fldCharType="begin"/>
      </w:r>
      <w:r>
        <w:instrText xml:space="preserve"> REF _Ref457472638 \h </w:instrText>
      </w:r>
      <w:r>
        <w:fldChar w:fldCharType="separate"/>
      </w:r>
      <w:r w:rsidR="00B80BC7" w:rsidRPr="003C3AEA">
        <w:t>Table</w:t>
      </w:r>
      <w:r w:rsidR="00B80BC7">
        <w:t xml:space="preserve"> </w:t>
      </w:r>
      <w:r w:rsidR="00B80BC7">
        <w:rPr>
          <w:noProof/>
        </w:rPr>
        <w:t>4</w:t>
      </w:r>
      <w:r w:rsidR="00B80BC7">
        <w:t>.</w:t>
      </w:r>
      <w:r w:rsidR="00B80BC7">
        <w:rPr>
          <w:noProof/>
        </w:rPr>
        <w:t>1</w:t>
      </w:r>
      <w:r>
        <w:fldChar w:fldCharType="end"/>
      </w:r>
      <w:r>
        <w:t xml:space="preserve"> shows the summary assessment of the current sewerage services tariff structure against the draft pricing principles.</w:t>
      </w:r>
    </w:p>
    <w:p w:rsidR="0052172E" w:rsidRDefault="0052172E" w:rsidP="0052172E">
      <w:pPr>
        <w:pStyle w:val="FigureName"/>
        <w:keepNext/>
      </w:pPr>
      <w:bookmarkStart w:id="142" w:name="_Ref457472638"/>
      <w:bookmarkStart w:id="143" w:name="_Toc460572251"/>
      <w:r w:rsidRPr="003C3AEA">
        <w:t>Table</w:t>
      </w:r>
      <w:r>
        <w:t xml:space="preserve"> </w:t>
      </w:r>
      <w:r>
        <w:fldChar w:fldCharType="begin"/>
      </w:r>
      <w:r>
        <w:instrText xml:space="preserve"> STYLEREF 1 \s </w:instrText>
      </w:r>
      <w:r>
        <w:fldChar w:fldCharType="separate"/>
      </w:r>
      <w:r w:rsidR="00B80BC7">
        <w:rPr>
          <w:noProof/>
        </w:rPr>
        <w:t>4</w:t>
      </w:r>
      <w:r>
        <w:fldChar w:fldCharType="end"/>
      </w:r>
      <w:r>
        <w:t>.</w:t>
      </w:r>
      <w:r>
        <w:fldChar w:fldCharType="begin"/>
      </w:r>
      <w:r>
        <w:instrText xml:space="preserve"> SEQ Table \* ARABIC \s 1 </w:instrText>
      </w:r>
      <w:r>
        <w:fldChar w:fldCharType="separate"/>
      </w:r>
      <w:r w:rsidR="00B80BC7">
        <w:rPr>
          <w:noProof/>
        </w:rPr>
        <w:t>1</w:t>
      </w:r>
      <w:r>
        <w:fldChar w:fldCharType="end"/>
      </w:r>
      <w:bookmarkEnd w:id="142"/>
      <w:r>
        <w:tab/>
        <w:t>Summary assessment of current sewerage services tariff structure</w:t>
      </w:r>
      <w:bookmarkEnd w:id="143"/>
    </w:p>
    <w:tbl>
      <w:tblPr>
        <w:tblW w:w="5324" w:type="pct"/>
        <w:tblBorders>
          <w:top w:val="single" w:sz="12" w:space="0" w:color="333399"/>
          <w:bottom w:val="single" w:sz="12" w:space="0" w:color="333399"/>
        </w:tblBorders>
        <w:tblCellMar>
          <w:left w:w="115" w:type="dxa"/>
          <w:right w:w="115" w:type="dxa"/>
        </w:tblCellMar>
        <w:tblLook w:val="0000" w:firstRow="0" w:lastRow="0" w:firstColumn="0" w:lastColumn="0" w:noHBand="0" w:noVBand="0"/>
      </w:tblPr>
      <w:tblGrid>
        <w:gridCol w:w="1127"/>
        <w:gridCol w:w="2013"/>
        <w:gridCol w:w="1163"/>
        <w:gridCol w:w="3908"/>
      </w:tblGrid>
      <w:tr w:rsidR="00576B1E" w:rsidRPr="00144F8C" w:rsidTr="00D90D0B">
        <w:trPr>
          <w:cantSplit/>
        </w:trPr>
        <w:tc>
          <w:tcPr>
            <w:tcW w:w="686" w:type="pct"/>
            <w:tcBorders>
              <w:top w:val="single" w:sz="12" w:space="0" w:color="1F497D" w:themeColor="text2"/>
              <w:left w:val="nil"/>
              <w:bottom w:val="single" w:sz="8" w:space="0" w:color="1F497D" w:themeColor="text2"/>
              <w:right w:val="nil"/>
            </w:tcBorders>
            <w:shd w:val="clear" w:color="auto" w:fill="DBE5F1" w:themeFill="accent1" w:themeFillTint="33"/>
          </w:tcPr>
          <w:p w:rsidR="00576B1E" w:rsidRDefault="00576B1E" w:rsidP="00D90D0B">
            <w:pPr>
              <w:pStyle w:val="TableHeadingLeft"/>
              <w:keepNext/>
            </w:pPr>
            <w:r>
              <w:t>Stream</w:t>
            </w:r>
          </w:p>
        </w:tc>
        <w:tc>
          <w:tcPr>
            <w:tcW w:w="1226" w:type="pct"/>
            <w:tcBorders>
              <w:top w:val="single" w:sz="12" w:space="0" w:color="1F497D" w:themeColor="text2"/>
              <w:left w:val="nil"/>
              <w:bottom w:val="single" w:sz="8" w:space="0" w:color="1F497D" w:themeColor="text2"/>
              <w:right w:val="nil"/>
            </w:tcBorders>
            <w:shd w:val="clear" w:color="auto" w:fill="DBE5F1" w:themeFill="accent1" w:themeFillTint="33"/>
            <w:vAlign w:val="bottom"/>
          </w:tcPr>
          <w:p w:rsidR="00576B1E" w:rsidRPr="00347ADB" w:rsidRDefault="00576B1E" w:rsidP="00D90D0B">
            <w:pPr>
              <w:pStyle w:val="TableHeadingLeft"/>
              <w:keepNext/>
            </w:pPr>
            <w:r>
              <w:t>Principles</w:t>
            </w:r>
          </w:p>
        </w:tc>
        <w:tc>
          <w:tcPr>
            <w:tcW w:w="708" w:type="pct"/>
            <w:tcBorders>
              <w:top w:val="single" w:sz="12" w:space="0" w:color="1F497D" w:themeColor="text2"/>
              <w:left w:val="nil"/>
              <w:bottom w:val="single" w:sz="8" w:space="0" w:color="1F497D" w:themeColor="text2"/>
              <w:right w:val="nil"/>
            </w:tcBorders>
            <w:shd w:val="clear" w:color="auto" w:fill="DBE5F1" w:themeFill="accent1" w:themeFillTint="33"/>
            <w:vAlign w:val="bottom"/>
          </w:tcPr>
          <w:p w:rsidR="00576B1E" w:rsidRPr="00347ADB" w:rsidRDefault="00576B1E" w:rsidP="00D90D0B">
            <w:pPr>
              <w:pStyle w:val="TableHeadingLeft"/>
              <w:keepNext/>
              <w:jc w:val="center"/>
            </w:pPr>
            <w:r>
              <w:t>Assessment</w:t>
            </w:r>
          </w:p>
        </w:tc>
        <w:tc>
          <w:tcPr>
            <w:tcW w:w="2380" w:type="pct"/>
            <w:tcBorders>
              <w:top w:val="single" w:sz="12" w:space="0" w:color="1F497D" w:themeColor="text2"/>
              <w:left w:val="nil"/>
              <w:bottom w:val="single" w:sz="8" w:space="0" w:color="1F497D" w:themeColor="text2"/>
              <w:right w:val="nil"/>
            </w:tcBorders>
            <w:shd w:val="clear" w:color="auto" w:fill="DBE5F1" w:themeFill="accent1" w:themeFillTint="33"/>
          </w:tcPr>
          <w:p w:rsidR="00576B1E" w:rsidRDefault="00576B1E" w:rsidP="00D90D0B">
            <w:pPr>
              <w:pStyle w:val="TableHeadingLeft"/>
              <w:keepNext/>
            </w:pPr>
            <w:r>
              <w:t>Comment</w:t>
            </w:r>
          </w:p>
        </w:tc>
      </w:tr>
      <w:tr w:rsidR="00576B1E" w:rsidRPr="00144F8C" w:rsidTr="00D90D0B">
        <w:trPr>
          <w:cantSplit/>
        </w:trPr>
        <w:tc>
          <w:tcPr>
            <w:tcW w:w="686" w:type="pct"/>
            <w:vMerge w:val="restart"/>
            <w:tcBorders>
              <w:top w:val="nil"/>
              <w:left w:val="nil"/>
              <w:right w:val="nil"/>
            </w:tcBorders>
            <w:shd w:val="clear" w:color="auto" w:fill="DDD9C3" w:themeFill="background2" w:themeFillShade="E6"/>
          </w:tcPr>
          <w:p w:rsidR="00576B1E" w:rsidRPr="00C11641" w:rsidRDefault="00576B1E" w:rsidP="00576B1E">
            <w:pPr>
              <w:pStyle w:val="TableHeadingLeft"/>
              <w:keepNext/>
            </w:pPr>
            <w:r>
              <w:t>Economic e</w:t>
            </w:r>
            <w:r w:rsidRPr="00C11641">
              <w:t>fficiency</w:t>
            </w:r>
          </w:p>
        </w:tc>
        <w:tc>
          <w:tcPr>
            <w:tcW w:w="1226" w:type="pct"/>
            <w:tcBorders>
              <w:top w:val="nil"/>
              <w:left w:val="nil"/>
              <w:bottom w:val="nil"/>
              <w:right w:val="nil"/>
            </w:tcBorders>
            <w:shd w:val="clear" w:color="auto" w:fill="DDD9C3" w:themeFill="background2" w:themeFillShade="E6"/>
          </w:tcPr>
          <w:p w:rsidR="00576B1E" w:rsidRPr="008D70AD" w:rsidRDefault="00576B1E" w:rsidP="00576B1E">
            <w:pPr>
              <w:pStyle w:val="TableHeadingLeft"/>
              <w:keepNext/>
              <w:rPr>
                <w:b w:val="0"/>
              </w:rPr>
            </w:pPr>
            <w:r w:rsidRPr="008D70AD">
              <w:rPr>
                <w:b w:val="0"/>
              </w:rPr>
              <w:t>1 Economic efficiency</w:t>
            </w:r>
          </w:p>
        </w:tc>
        <w:tc>
          <w:tcPr>
            <w:tcW w:w="708" w:type="pct"/>
            <w:tcBorders>
              <w:top w:val="nil"/>
              <w:left w:val="nil"/>
              <w:bottom w:val="nil"/>
              <w:right w:val="nil"/>
            </w:tcBorders>
            <w:shd w:val="clear" w:color="auto" w:fill="DDD9C3" w:themeFill="background2" w:themeFillShade="E6"/>
          </w:tcPr>
          <w:p w:rsidR="00576B1E" w:rsidRPr="008D70AD" w:rsidRDefault="00576B1E" w:rsidP="00576B1E">
            <w:pPr>
              <w:pStyle w:val="TableHeadingLeft"/>
              <w:keepNext/>
              <w:jc w:val="center"/>
              <w:rPr>
                <w:b w:val="0"/>
              </w:rPr>
            </w:pPr>
            <w:r>
              <w:rPr>
                <w:b w:val="0"/>
              </w:rPr>
              <w:sym w:font="Wingdings" w:char="F0FB"/>
            </w:r>
          </w:p>
        </w:tc>
        <w:tc>
          <w:tcPr>
            <w:tcW w:w="2380" w:type="pct"/>
            <w:tcBorders>
              <w:top w:val="nil"/>
              <w:left w:val="nil"/>
              <w:bottom w:val="nil"/>
              <w:right w:val="nil"/>
            </w:tcBorders>
            <w:shd w:val="clear" w:color="auto" w:fill="DDD9C3" w:themeFill="background2" w:themeFillShade="E6"/>
          </w:tcPr>
          <w:p w:rsidR="00576B1E" w:rsidRPr="008D70AD" w:rsidRDefault="00576B1E" w:rsidP="00576B1E">
            <w:pPr>
              <w:pStyle w:val="TableHeadingLeft"/>
              <w:keepNext/>
              <w:rPr>
                <w:b w:val="0"/>
              </w:rPr>
            </w:pPr>
            <w:r>
              <w:rPr>
                <w:b w:val="0"/>
              </w:rPr>
              <w:t>No usage component</w:t>
            </w:r>
          </w:p>
        </w:tc>
      </w:tr>
      <w:tr w:rsidR="00576B1E" w:rsidRPr="00144F8C" w:rsidTr="00D90D0B">
        <w:trPr>
          <w:cantSplit/>
        </w:trPr>
        <w:tc>
          <w:tcPr>
            <w:tcW w:w="686" w:type="pct"/>
            <w:vMerge/>
            <w:tcBorders>
              <w:left w:val="nil"/>
              <w:right w:val="nil"/>
            </w:tcBorders>
            <w:shd w:val="clear" w:color="auto" w:fill="DDD9C3" w:themeFill="background2" w:themeFillShade="E6"/>
          </w:tcPr>
          <w:p w:rsidR="00576B1E" w:rsidRDefault="00576B1E" w:rsidP="00576B1E">
            <w:pPr>
              <w:pStyle w:val="TableHeadingLeft"/>
              <w:keepNext/>
              <w:rPr>
                <w:b w:val="0"/>
              </w:rPr>
            </w:pPr>
          </w:p>
        </w:tc>
        <w:tc>
          <w:tcPr>
            <w:tcW w:w="1226" w:type="pct"/>
            <w:tcBorders>
              <w:top w:val="nil"/>
              <w:left w:val="nil"/>
              <w:bottom w:val="nil"/>
              <w:right w:val="nil"/>
            </w:tcBorders>
            <w:shd w:val="clear" w:color="auto" w:fill="DDD9C3" w:themeFill="background2" w:themeFillShade="E6"/>
          </w:tcPr>
          <w:p w:rsidR="00576B1E" w:rsidRDefault="00576B1E" w:rsidP="00576B1E">
            <w:pPr>
              <w:pStyle w:val="TableHeadingLeft"/>
              <w:keepNext/>
              <w:rPr>
                <w:b w:val="0"/>
              </w:rPr>
            </w:pPr>
            <w:r>
              <w:rPr>
                <w:b w:val="0"/>
              </w:rPr>
              <w:t>2 Cost-benefit</w:t>
            </w:r>
          </w:p>
        </w:tc>
        <w:tc>
          <w:tcPr>
            <w:tcW w:w="708" w:type="pct"/>
            <w:tcBorders>
              <w:top w:val="nil"/>
              <w:left w:val="nil"/>
              <w:bottom w:val="nil"/>
              <w:right w:val="nil"/>
            </w:tcBorders>
            <w:shd w:val="clear" w:color="auto" w:fill="DDD9C3" w:themeFill="background2" w:themeFillShade="E6"/>
          </w:tcPr>
          <w:p w:rsidR="00576B1E" w:rsidRDefault="00576B1E" w:rsidP="00576B1E">
            <w:pPr>
              <w:pStyle w:val="TableHeadingLeft"/>
              <w:keepNext/>
              <w:jc w:val="center"/>
              <w:rPr>
                <w:b w:val="0"/>
              </w:rPr>
            </w:pPr>
            <w:r>
              <w:rPr>
                <w:b w:val="0"/>
              </w:rPr>
              <w:t>N/A</w:t>
            </w:r>
          </w:p>
        </w:tc>
        <w:tc>
          <w:tcPr>
            <w:tcW w:w="2380" w:type="pct"/>
            <w:tcBorders>
              <w:top w:val="nil"/>
              <w:left w:val="nil"/>
              <w:bottom w:val="nil"/>
              <w:right w:val="nil"/>
            </w:tcBorders>
            <w:shd w:val="clear" w:color="auto" w:fill="DDD9C3" w:themeFill="background2" w:themeFillShade="E6"/>
          </w:tcPr>
          <w:p w:rsidR="00576B1E" w:rsidRDefault="00576B1E" w:rsidP="00576B1E">
            <w:pPr>
              <w:pStyle w:val="TableHeadingLeft"/>
              <w:keepNext/>
              <w:rPr>
                <w:b w:val="0"/>
              </w:rPr>
            </w:pPr>
            <w:r>
              <w:rPr>
                <w:b w:val="0"/>
              </w:rPr>
              <w:t>No change in structure</w:t>
            </w:r>
          </w:p>
        </w:tc>
      </w:tr>
      <w:tr w:rsidR="00576B1E" w:rsidRPr="00144F8C" w:rsidTr="00D90D0B">
        <w:trPr>
          <w:cantSplit/>
        </w:trPr>
        <w:tc>
          <w:tcPr>
            <w:tcW w:w="686" w:type="pct"/>
            <w:vMerge/>
            <w:tcBorders>
              <w:left w:val="nil"/>
              <w:bottom w:val="nil"/>
              <w:right w:val="nil"/>
            </w:tcBorders>
            <w:shd w:val="clear" w:color="auto" w:fill="DDD9C3" w:themeFill="background2" w:themeFillShade="E6"/>
          </w:tcPr>
          <w:p w:rsidR="00576B1E" w:rsidRDefault="00576B1E" w:rsidP="00576B1E">
            <w:pPr>
              <w:pStyle w:val="TableHeadingLeft"/>
              <w:keepNext/>
              <w:rPr>
                <w:b w:val="0"/>
              </w:rPr>
            </w:pPr>
          </w:p>
        </w:tc>
        <w:tc>
          <w:tcPr>
            <w:tcW w:w="1226" w:type="pct"/>
            <w:tcBorders>
              <w:top w:val="nil"/>
              <w:left w:val="nil"/>
              <w:bottom w:val="nil"/>
              <w:right w:val="nil"/>
            </w:tcBorders>
            <w:shd w:val="clear" w:color="auto" w:fill="DDD9C3" w:themeFill="background2" w:themeFillShade="E6"/>
          </w:tcPr>
          <w:p w:rsidR="00576B1E" w:rsidRPr="008D70AD" w:rsidRDefault="00576B1E" w:rsidP="00576B1E">
            <w:pPr>
              <w:pStyle w:val="TableHeadingLeft"/>
              <w:keepNext/>
              <w:rPr>
                <w:b w:val="0"/>
              </w:rPr>
            </w:pPr>
            <w:r>
              <w:rPr>
                <w:b w:val="0"/>
              </w:rPr>
              <w:t>3 Cross-subsidy</w:t>
            </w:r>
          </w:p>
        </w:tc>
        <w:tc>
          <w:tcPr>
            <w:tcW w:w="708" w:type="pct"/>
            <w:tcBorders>
              <w:top w:val="nil"/>
              <w:left w:val="nil"/>
              <w:bottom w:val="nil"/>
              <w:right w:val="nil"/>
            </w:tcBorders>
            <w:shd w:val="clear" w:color="auto" w:fill="DDD9C3" w:themeFill="background2" w:themeFillShade="E6"/>
          </w:tcPr>
          <w:p w:rsidR="00576B1E" w:rsidRDefault="00576B1E" w:rsidP="00576B1E">
            <w:pPr>
              <w:pStyle w:val="TableHeadingLeft"/>
              <w:keepNext/>
              <w:jc w:val="center"/>
              <w:rPr>
                <w:b w:val="0"/>
              </w:rPr>
            </w:pPr>
            <w:r>
              <w:rPr>
                <w:b w:val="0"/>
              </w:rPr>
              <w:sym w:font="Wingdings" w:char="F0FC"/>
            </w:r>
          </w:p>
        </w:tc>
        <w:tc>
          <w:tcPr>
            <w:tcW w:w="2380" w:type="pct"/>
            <w:tcBorders>
              <w:top w:val="nil"/>
              <w:left w:val="nil"/>
              <w:bottom w:val="nil"/>
              <w:right w:val="nil"/>
            </w:tcBorders>
            <w:shd w:val="clear" w:color="auto" w:fill="DDD9C3" w:themeFill="background2" w:themeFillShade="E6"/>
          </w:tcPr>
          <w:p w:rsidR="00576B1E" w:rsidRDefault="00576B1E" w:rsidP="00576B1E">
            <w:pPr>
              <w:pStyle w:val="TableHeadingLeft"/>
              <w:keepNext/>
              <w:rPr>
                <w:b w:val="0"/>
              </w:rPr>
            </w:pPr>
            <w:r>
              <w:rPr>
                <w:b w:val="0"/>
              </w:rPr>
              <w:t>Provides for differentiation between customer classes</w:t>
            </w:r>
          </w:p>
        </w:tc>
      </w:tr>
      <w:tr w:rsidR="00576B1E" w:rsidRPr="00144F8C" w:rsidTr="00D90D0B">
        <w:trPr>
          <w:cantSplit/>
        </w:trPr>
        <w:tc>
          <w:tcPr>
            <w:tcW w:w="686" w:type="pct"/>
            <w:vMerge w:val="restart"/>
            <w:tcBorders>
              <w:top w:val="nil"/>
              <w:left w:val="nil"/>
              <w:right w:val="nil"/>
            </w:tcBorders>
            <w:shd w:val="clear" w:color="auto" w:fill="FDE9D9" w:themeFill="accent6" w:themeFillTint="33"/>
          </w:tcPr>
          <w:p w:rsidR="00576B1E" w:rsidRPr="00C11641" w:rsidRDefault="00576B1E" w:rsidP="00576B1E">
            <w:pPr>
              <w:pStyle w:val="TableHeadingLeft"/>
              <w:keepNext/>
            </w:pPr>
            <w:r w:rsidRPr="00C11641">
              <w:t>Financial viability</w:t>
            </w:r>
          </w:p>
        </w:tc>
        <w:tc>
          <w:tcPr>
            <w:tcW w:w="1226" w:type="pct"/>
            <w:tcBorders>
              <w:top w:val="nil"/>
              <w:left w:val="nil"/>
              <w:bottom w:val="nil"/>
              <w:right w:val="nil"/>
            </w:tcBorders>
            <w:shd w:val="clear" w:color="auto" w:fill="FDE9D9" w:themeFill="accent6" w:themeFillTint="33"/>
          </w:tcPr>
          <w:p w:rsidR="00576B1E" w:rsidRPr="008D70AD" w:rsidRDefault="00576B1E" w:rsidP="00576B1E">
            <w:pPr>
              <w:pStyle w:val="TableHeadingLeft"/>
              <w:keepNext/>
              <w:rPr>
                <w:b w:val="0"/>
              </w:rPr>
            </w:pPr>
            <w:r>
              <w:rPr>
                <w:b w:val="0"/>
              </w:rPr>
              <w:t>4</w:t>
            </w:r>
            <w:r w:rsidRPr="008D70AD">
              <w:rPr>
                <w:b w:val="0"/>
              </w:rPr>
              <w:t xml:space="preserve"> Full cost recovery</w:t>
            </w:r>
          </w:p>
        </w:tc>
        <w:tc>
          <w:tcPr>
            <w:tcW w:w="708" w:type="pct"/>
            <w:tcBorders>
              <w:top w:val="nil"/>
              <w:left w:val="nil"/>
              <w:bottom w:val="nil"/>
              <w:right w:val="nil"/>
            </w:tcBorders>
            <w:shd w:val="clear" w:color="auto" w:fill="FDE9D9" w:themeFill="accent6" w:themeFillTint="33"/>
          </w:tcPr>
          <w:p w:rsidR="00576B1E" w:rsidRPr="008D70AD" w:rsidRDefault="00576B1E" w:rsidP="00576B1E">
            <w:pPr>
              <w:pStyle w:val="TableHeadingLeft"/>
              <w:keepNext/>
              <w:jc w:val="center"/>
              <w:rPr>
                <w:b w:val="0"/>
              </w:rPr>
            </w:pPr>
            <w:r>
              <w:rPr>
                <w:b w:val="0"/>
              </w:rPr>
              <w:sym w:font="Wingdings" w:char="F0FC"/>
            </w:r>
          </w:p>
        </w:tc>
        <w:tc>
          <w:tcPr>
            <w:tcW w:w="2380" w:type="pct"/>
            <w:tcBorders>
              <w:top w:val="nil"/>
              <w:left w:val="nil"/>
              <w:bottom w:val="nil"/>
              <w:right w:val="nil"/>
            </w:tcBorders>
            <w:shd w:val="clear" w:color="auto" w:fill="FDE9D9" w:themeFill="accent6" w:themeFillTint="33"/>
          </w:tcPr>
          <w:p w:rsidR="00576B1E" w:rsidRPr="008D70AD" w:rsidRDefault="00576B1E" w:rsidP="00576B1E">
            <w:pPr>
              <w:pStyle w:val="TableHeadingLeft"/>
              <w:keepNext/>
              <w:rPr>
                <w:b w:val="0"/>
              </w:rPr>
            </w:pPr>
            <w:r>
              <w:rPr>
                <w:b w:val="0"/>
              </w:rPr>
              <w:t>Price levels can be set to recover revenue requirement</w:t>
            </w:r>
          </w:p>
        </w:tc>
      </w:tr>
      <w:tr w:rsidR="00576B1E" w:rsidRPr="00144F8C" w:rsidTr="00D90D0B">
        <w:trPr>
          <w:cantSplit/>
        </w:trPr>
        <w:tc>
          <w:tcPr>
            <w:tcW w:w="686" w:type="pct"/>
            <w:vMerge/>
            <w:tcBorders>
              <w:left w:val="nil"/>
              <w:bottom w:val="nil"/>
              <w:right w:val="nil"/>
            </w:tcBorders>
            <w:shd w:val="clear" w:color="auto" w:fill="FDE9D9" w:themeFill="accent6" w:themeFillTint="33"/>
          </w:tcPr>
          <w:p w:rsidR="00576B1E" w:rsidRDefault="00576B1E" w:rsidP="00576B1E">
            <w:pPr>
              <w:pStyle w:val="TableTextLeft"/>
              <w:keepNext/>
              <w:rPr>
                <w:b/>
              </w:rPr>
            </w:pPr>
          </w:p>
        </w:tc>
        <w:tc>
          <w:tcPr>
            <w:tcW w:w="1226" w:type="pct"/>
            <w:tcBorders>
              <w:top w:val="nil"/>
              <w:left w:val="nil"/>
              <w:bottom w:val="nil"/>
              <w:right w:val="nil"/>
            </w:tcBorders>
            <w:shd w:val="clear" w:color="auto" w:fill="FDE9D9" w:themeFill="accent6" w:themeFillTint="33"/>
          </w:tcPr>
          <w:p w:rsidR="00576B1E" w:rsidRPr="008D70AD" w:rsidRDefault="00576B1E" w:rsidP="00576B1E">
            <w:pPr>
              <w:pStyle w:val="TableTextLeft"/>
              <w:keepNext/>
            </w:pPr>
            <w:r>
              <w:t>5</w:t>
            </w:r>
            <w:r w:rsidRPr="008D70AD">
              <w:t xml:space="preserve"> Revenue sustainability</w:t>
            </w:r>
          </w:p>
        </w:tc>
        <w:tc>
          <w:tcPr>
            <w:tcW w:w="708" w:type="pct"/>
            <w:tcBorders>
              <w:top w:val="nil"/>
              <w:left w:val="nil"/>
              <w:bottom w:val="nil"/>
              <w:right w:val="nil"/>
            </w:tcBorders>
            <w:shd w:val="clear" w:color="auto" w:fill="FDE9D9" w:themeFill="accent6" w:themeFillTint="33"/>
          </w:tcPr>
          <w:p w:rsidR="00576B1E" w:rsidRPr="008D70AD" w:rsidRDefault="00576B1E" w:rsidP="00576B1E">
            <w:pPr>
              <w:pStyle w:val="TableTextLeft"/>
              <w:keepNext/>
              <w:jc w:val="center"/>
            </w:pPr>
            <w:r>
              <w:rPr>
                <w:b/>
              </w:rPr>
              <w:sym w:font="Wingdings" w:char="F0FC"/>
            </w:r>
          </w:p>
        </w:tc>
        <w:tc>
          <w:tcPr>
            <w:tcW w:w="2380" w:type="pct"/>
            <w:tcBorders>
              <w:top w:val="nil"/>
              <w:left w:val="nil"/>
              <w:bottom w:val="nil"/>
              <w:right w:val="nil"/>
            </w:tcBorders>
            <w:shd w:val="clear" w:color="auto" w:fill="FDE9D9" w:themeFill="accent6" w:themeFillTint="33"/>
          </w:tcPr>
          <w:p w:rsidR="00576B1E" w:rsidRPr="008D70AD" w:rsidRDefault="00576B1E" w:rsidP="00576B1E">
            <w:pPr>
              <w:pStyle w:val="TableTextLeft"/>
              <w:keepNext/>
            </w:pPr>
            <w:r>
              <w:t xml:space="preserve">Limited revenue risk as based entirely on </w:t>
            </w:r>
            <w:r w:rsidR="00B14BFA">
              <w:t>supply</w:t>
            </w:r>
            <w:r>
              <w:t xml:space="preserve"> charges</w:t>
            </w:r>
          </w:p>
        </w:tc>
      </w:tr>
      <w:tr w:rsidR="00576B1E" w:rsidRPr="00144F8C" w:rsidTr="00D90D0B">
        <w:trPr>
          <w:cantSplit/>
          <w:trHeight w:val="318"/>
        </w:trPr>
        <w:tc>
          <w:tcPr>
            <w:tcW w:w="686" w:type="pct"/>
            <w:vMerge w:val="restart"/>
            <w:tcBorders>
              <w:top w:val="nil"/>
              <w:left w:val="nil"/>
              <w:right w:val="nil"/>
            </w:tcBorders>
            <w:shd w:val="clear" w:color="auto" w:fill="DBE5F1" w:themeFill="accent1" w:themeFillTint="33"/>
          </w:tcPr>
          <w:p w:rsidR="00576B1E" w:rsidRDefault="00576B1E" w:rsidP="00576B1E">
            <w:pPr>
              <w:pStyle w:val="TableTextLeft"/>
              <w:keepNext/>
              <w:rPr>
                <w:b/>
              </w:rPr>
            </w:pPr>
            <w:r>
              <w:rPr>
                <w:b/>
              </w:rPr>
              <w:t>Community impact</w:t>
            </w:r>
          </w:p>
        </w:tc>
        <w:tc>
          <w:tcPr>
            <w:tcW w:w="1226" w:type="pct"/>
            <w:tcBorders>
              <w:top w:val="nil"/>
              <w:left w:val="nil"/>
              <w:bottom w:val="nil"/>
              <w:right w:val="nil"/>
            </w:tcBorders>
            <w:shd w:val="clear" w:color="auto" w:fill="DBE5F1" w:themeFill="accent1" w:themeFillTint="33"/>
          </w:tcPr>
          <w:p w:rsidR="00576B1E" w:rsidRPr="008D70AD" w:rsidRDefault="00576B1E" w:rsidP="00576B1E">
            <w:pPr>
              <w:pStyle w:val="TableTextLeft"/>
              <w:keepNext/>
            </w:pPr>
            <w:r>
              <w:t>6</w:t>
            </w:r>
            <w:r w:rsidRPr="008D70AD">
              <w:t xml:space="preserve"> Stability over time</w:t>
            </w:r>
          </w:p>
        </w:tc>
        <w:tc>
          <w:tcPr>
            <w:tcW w:w="708" w:type="pct"/>
            <w:tcBorders>
              <w:top w:val="nil"/>
              <w:left w:val="nil"/>
              <w:bottom w:val="nil"/>
              <w:right w:val="nil"/>
            </w:tcBorders>
            <w:shd w:val="clear" w:color="auto" w:fill="DBE5F1" w:themeFill="accent1" w:themeFillTint="33"/>
          </w:tcPr>
          <w:p w:rsidR="00576B1E" w:rsidRPr="008D70AD" w:rsidRDefault="00576B1E" w:rsidP="00576B1E">
            <w:pPr>
              <w:pStyle w:val="TableTextLeft"/>
              <w:keepNext/>
              <w:jc w:val="center"/>
            </w:pPr>
            <w:r>
              <w:rPr>
                <w:b/>
              </w:rPr>
              <w:sym w:font="Wingdings" w:char="F0FB"/>
            </w:r>
          </w:p>
        </w:tc>
        <w:tc>
          <w:tcPr>
            <w:tcW w:w="2380" w:type="pct"/>
            <w:tcBorders>
              <w:top w:val="nil"/>
              <w:left w:val="nil"/>
              <w:bottom w:val="nil"/>
              <w:right w:val="nil"/>
            </w:tcBorders>
            <w:shd w:val="clear" w:color="auto" w:fill="DBE5F1" w:themeFill="accent1" w:themeFillTint="33"/>
          </w:tcPr>
          <w:p w:rsidR="00576B1E" w:rsidRPr="008D70AD" w:rsidRDefault="00576B1E" w:rsidP="00576B1E">
            <w:pPr>
              <w:pStyle w:val="TableTextLeft"/>
              <w:keepNext/>
            </w:pPr>
            <w:r>
              <w:t>Not efficient over any period</w:t>
            </w:r>
          </w:p>
        </w:tc>
      </w:tr>
      <w:tr w:rsidR="00576B1E" w:rsidRPr="00144F8C" w:rsidTr="00D90D0B">
        <w:trPr>
          <w:cantSplit/>
          <w:trHeight w:val="318"/>
        </w:trPr>
        <w:tc>
          <w:tcPr>
            <w:tcW w:w="686" w:type="pct"/>
            <w:vMerge/>
            <w:tcBorders>
              <w:left w:val="nil"/>
              <w:right w:val="nil"/>
            </w:tcBorders>
            <w:shd w:val="clear" w:color="auto" w:fill="DBE5F1" w:themeFill="accent1" w:themeFillTint="33"/>
          </w:tcPr>
          <w:p w:rsidR="00576B1E" w:rsidRDefault="00576B1E" w:rsidP="00576B1E">
            <w:pPr>
              <w:pStyle w:val="TableTextLeft"/>
              <w:keepNext/>
              <w:jc w:val="center"/>
              <w:rPr>
                <w:b/>
              </w:rPr>
            </w:pPr>
          </w:p>
        </w:tc>
        <w:tc>
          <w:tcPr>
            <w:tcW w:w="1226" w:type="pct"/>
            <w:tcBorders>
              <w:top w:val="nil"/>
              <w:left w:val="nil"/>
              <w:bottom w:val="nil"/>
              <w:right w:val="nil"/>
            </w:tcBorders>
            <w:shd w:val="clear" w:color="auto" w:fill="DBE5F1" w:themeFill="accent1" w:themeFillTint="33"/>
          </w:tcPr>
          <w:p w:rsidR="00576B1E" w:rsidRPr="008D70AD" w:rsidRDefault="00576B1E" w:rsidP="00576B1E">
            <w:pPr>
              <w:pStyle w:val="TableTextLeft"/>
              <w:keepNext/>
            </w:pPr>
            <w:r>
              <w:t>7</w:t>
            </w:r>
            <w:r w:rsidRPr="008D70AD">
              <w:t xml:space="preserve"> Transition arrangements</w:t>
            </w:r>
          </w:p>
        </w:tc>
        <w:tc>
          <w:tcPr>
            <w:tcW w:w="708" w:type="pct"/>
            <w:tcBorders>
              <w:top w:val="nil"/>
              <w:left w:val="nil"/>
              <w:bottom w:val="nil"/>
              <w:right w:val="nil"/>
            </w:tcBorders>
            <w:shd w:val="clear" w:color="auto" w:fill="DBE5F1" w:themeFill="accent1" w:themeFillTint="33"/>
          </w:tcPr>
          <w:p w:rsidR="00576B1E" w:rsidRPr="00576B1E" w:rsidRDefault="00576B1E" w:rsidP="00576B1E">
            <w:pPr>
              <w:pStyle w:val="TableTextLeft"/>
              <w:keepNext/>
              <w:jc w:val="center"/>
            </w:pPr>
            <w:r w:rsidRPr="00576B1E">
              <w:t>N/A</w:t>
            </w:r>
          </w:p>
        </w:tc>
        <w:tc>
          <w:tcPr>
            <w:tcW w:w="2380" w:type="pct"/>
            <w:tcBorders>
              <w:top w:val="nil"/>
              <w:left w:val="nil"/>
              <w:bottom w:val="nil"/>
              <w:right w:val="nil"/>
            </w:tcBorders>
            <w:shd w:val="clear" w:color="auto" w:fill="DBE5F1" w:themeFill="accent1" w:themeFillTint="33"/>
          </w:tcPr>
          <w:p w:rsidR="00576B1E" w:rsidRPr="008D70AD" w:rsidRDefault="00576B1E" w:rsidP="00576B1E">
            <w:pPr>
              <w:pStyle w:val="TableTextLeft"/>
              <w:keepNext/>
            </w:pPr>
            <w:r>
              <w:t>None required as no change</w:t>
            </w:r>
          </w:p>
        </w:tc>
      </w:tr>
      <w:tr w:rsidR="00576B1E" w:rsidRPr="00144F8C" w:rsidTr="00D90D0B">
        <w:trPr>
          <w:cantSplit/>
          <w:trHeight w:val="200"/>
        </w:trPr>
        <w:tc>
          <w:tcPr>
            <w:tcW w:w="686" w:type="pct"/>
            <w:vMerge/>
            <w:tcBorders>
              <w:left w:val="nil"/>
              <w:right w:val="nil"/>
            </w:tcBorders>
            <w:shd w:val="clear" w:color="auto" w:fill="DBE5F1" w:themeFill="accent1" w:themeFillTint="33"/>
          </w:tcPr>
          <w:p w:rsidR="00576B1E" w:rsidRDefault="00576B1E" w:rsidP="00576B1E">
            <w:pPr>
              <w:pStyle w:val="TableTextLeft"/>
              <w:keepNext/>
              <w:jc w:val="center"/>
              <w:rPr>
                <w:b/>
              </w:rPr>
            </w:pPr>
          </w:p>
        </w:tc>
        <w:tc>
          <w:tcPr>
            <w:tcW w:w="1226" w:type="pct"/>
            <w:tcBorders>
              <w:top w:val="nil"/>
              <w:left w:val="nil"/>
              <w:bottom w:val="nil"/>
              <w:right w:val="nil"/>
            </w:tcBorders>
            <w:shd w:val="clear" w:color="auto" w:fill="DBE5F1" w:themeFill="accent1" w:themeFillTint="33"/>
          </w:tcPr>
          <w:p w:rsidR="00576B1E" w:rsidRPr="008D70AD" w:rsidRDefault="00576B1E" w:rsidP="00576B1E">
            <w:pPr>
              <w:pStyle w:val="TableTextLeft"/>
              <w:keepNext/>
            </w:pPr>
            <w:r>
              <w:t>8</w:t>
            </w:r>
            <w:r w:rsidRPr="008D70AD">
              <w:t xml:space="preserve"> Simplicity</w:t>
            </w:r>
          </w:p>
        </w:tc>
        <w:tc>
          <w:tcPr>
            <w:tcW w:w="708" w:type="pct"/>
            <w:tcBorders>
              <w:top w:val="nil"/>
              <w:left w:val="nil"/>
              <w:bottom w:val="nil"/>
              <w:right w:val="nil"/>
            </w:tcBorders>
            <w:shd w:val="clear" w:color="auto" w:fill="DBE5F1" w:themeFill="accent1" w:themeFillTint="33"/>
          </w:tcPr>
          <w:p w:rsidR="00576B1E" w:rsidRPr="008D70AD" w:rsidRDefault="00576B1E" w:rsidP="00576B1E">
            <w:pPr>
              <w:pStyle w:val="TableTextLeft"/>
              <w:keepNext/>
              <w:jc w:val="center"/>
            </w:pPr>
            <w:r>
              <w:rPr>
                <w:b/>
              </w:rPr>
              <w:sym w:font="Wingdings" w:char="F0FC"/>
            </w:r>
          </w:p>
        </w:tc>
        <w:tc>
          <w:tcPr>
            <w:tcW w:w="2380" w:type="pct"/>
            <w:tcBorders>
              <w:top w:val="nil"/>
              <w:left w:val="nil"/>
              <w:bottom w:val="nil"/>
              <w:right w:val="nil"/>
            </w:tcBorders>
            <w:shd w:val="clear" w:color="auto" w:fill="DBE5F1" w:themeFill="accent1" w:themeFillTint="33"/>
          </w:tcPr>
          <w:p w:rsidR="00576B1E" w:rsidRPr="008D70AD" w:rsidRDefault="00576B1E" w:rsidP="00576B1E">
            <w:pPr>
              <w:pStyle w:val="TableTextLeft"/>
              <w:keepNext/>
            </w:pPr>
            <w:r>
              <w:t>In place for many years and easily understood</w:t>
            </w:r>
          </w:p>
        </w:tc>
      </w:tr>
      <w:tr w:rsidR="00576B1E" w:rsidRPr="00144F8C" w:rsidTr="00D90D0B">
        <w:trPr>
          <w:cantSplit/>
        </w:trPr>
        <w:tc>
          <w:tcPr>
            <w:tcW w:w="686" w:type="pct"/>
            <w:vMerge/>
            <w:tcBorders>
              <w:left w:val="nil"/>
              <w:bottom w:val="single" w:sz="12" w:space="0" w:color="1F497D" w:themeColor="text2"/>
              <w:right w:val="nil"/>
            </w:tcBorders>
            <w:shd w:val="clear" w:color="auto" w:fill="DBE5F1" w:themeFill="accent1" w:themeFillTint="33"/>
          </w:tcPr>
          <w:p w:rsidR="00576B1E" w:rsidRDefault="00576B1E" w:rsidP="00576B1E">
            <w:pPr>
              <w:pStyle w:val="TableTextLeft"/>
              <w:keepNext/>
              <w:jc w:val="center"/>
              <w:rPr>
                <w:b/>
              </w:rPr>
            </w:pPr>
          </w:p>
        </w:tc>
        <w:tc>
          <w:tcPr>
            <w:tcW w:w="1226" w:type="pct"/>
            <w:tcBorders>
              <w:top w:val="nil"/>
              <w:left w:val="nil"/>
              <w:bottom w:val="single" w:sz="12" w:space="0" w:color="1F497D" w:themeColor="text2"/>
              <w:right w:val="nil"/>
            </w:tcBorders>
            <w:shd w:val="clear" w:color="auto" w:fill="DBE5F1" w:themeFill="accent1" w:themeFillTint="33"/>
          </w:tcPr>
          <w:p w:rsidR="00576B1E" w:rsidRPr="008D70AD" w:rsidRDefault="00576B1E" w:rsidP="00576B1E">
            <w:pPr>
              <w:pStyle w:val="TableTextLeft"/>
              <w:keepNext/>
            </w:pPr>
            <w:r>
              <w:t>9</w:t>
            </w:r>
            <w:r w:rsidRPr="008D70AD">
              <w:t xml:space="preserve"> Transparency</w:t>
            </w:r>
          </w:p>
        </w:tc>
        <w:tc>
          <w:tcPr>
            <w:tcW w:w="708" w:type="pct"/>
            <w:tcBorders>
              <w:top w:val="nil"/>
              <w:left w:val="nil"/>
              <w:bottom w:val="single" w:sz="12" w:space="0" w:color="1F497D" w:themeColor="text2"/>
              <w:right w:val="nil"/>
            </w:tcBorders>
            <w:shd w:val="clear" w:color="auto" w:fill="DBE5F1" w:themeFill="accent1" w:themeFillTint="33"/>
          </w:tcPr>
          <w:p w:rsidR="00576B1E" w:rsidRPr="008D70AD" w:rsidRDefault="00576B1E" w:rsidP="00576B1E">
            <w:pPr>
              <w:pStyle w:val="TableTextLeft"/>
              <w:keepNext/>
              <w:jc w:val="center"/>
            </w:pPr>
            <w:r>
              <w:rPr>
                <w:b/>
              </w:rPr>
              <w:sym w:font="Wingdings" w:char="F0FC"/>
            </w:r>
          </w:p>
        </w:tc>
        <w:tc>
          <w:tcPr>
            <w:tcW w:w="2380" w:type="pct"/>
            <w:tcBorders>
              <w:top w:val="nil"/>
              <w:left w:val="nil"/>
              <w:bottom w:val="single" w:sz="12" w:space="0" w:color="1F497D" w:themeColor="text2"/>
              <w:right w:val="nil"/>
            </w:tcBorders>
            <w:shd w:val="clear" w:color="auto" w:fill="DBE5F1" w:themeFill="accent1" w:themeFillTint="33"/>
          </w:tcPr>
          <w:p w:rsidR="00576B1E" w:rsidRPr="008D70AD" w:rsidRDefault="00576B1E" w:rsidP="00576B1E">
            <w:pPr>
              <w:pStyle w:val="TableTextLeft"/>
              <w:keepNext/>
            </w:pPr>
            <w:r>
              <w:t>Originally set through a transparent and public process</w:t>
            </w:r>
          </w:p>
        </w:tc>
      </w:tr>
    </w:tbl>
    <w:p w:rsidR="00CF184D" w:rsidRDefault="005E410B" w:rsidP="00CF184D">
      <w:pPr>
        <w:pStyle w:val="Heading2"/>
      </w:pPr>
      <w:bookmarkStart w:id="144" w:name="_Toc460572222"/>
      <w:r>
        <w:t>Alternative</w:t>
      </w:r>
      <w:r w:rsidR="00D66923">
        <w:t xml:space="preserve"> tariff structure</w:t>
      </w:r>
      <w:r w:rsidR="003F7086">
        <w:t>: t</w:t>
      </w:r>
      <w:r>
        <w:t>wo-part tariff, single usage charge</w:t>
      </w:r>
      <w:r w:rsidR="00D66923">
        <w:t xml:space="preserve"> set with reference to short-run marginal cost</w:t>
      </w:r>
      <w:bookmarkEnd w:id="144"/>
    </w:p>
    <w:p w:rsidR="00010075" w:rsidRDefault="00010075" w:rsidP="00010075">
      <w:pPr>
        <w:pStyle w:val="Heading3"/>
      </w:pPr>
      <w:r>
        <w:t>Efficiency</w:t>
      </w:r>
    </w:p>
    <w:p w:rsidR="00FC0618" w:rsidRDefault="006837F4" w:rsidP="00FC0618">
      <w:r>
        <w:t>In the technical paper on marginal cost pricing,</w:t>
      </w:r>
      <w:r w:rsidR="00FC0618">
        <w:t xml:space="preserve"> the Commission chose to focus on the short- rather than long-run marginal cost of sewerage services, for two reasons.</w:t>
      </w:r>
    </w:p>
    <w:p w:rsidR="00FC0618" w:rsidRDefault="00FC0618" w:rsidP="00FC0618">
      <w:r>
        <w:t xml:space="preserve">The first is, as noted earlier in relation to water, the Commission’s general view is that, in principle, the objective of economic efficiency is best served by setting prices with reference to short- rather than long-run marginal cost. </w:t>
      </w:r>
    </w:p>
    <w:p w:rsidR="00FC0618" w:rsidRDefault="00FC0618" w:rsidP="00010075">
      <w:r>
        <w:t xml:space="preserve">Second, we are primarily concerned with marginal cost with respect to changes in the quantity or volume of services provided through the central sewerage network, that is the central treatment plants and trunk sewer pipes, as opposed to the suburb-level </w:t>
      </w:r>
      <w:r>
        <w:lastRenderedPageBreak/>
        <w:t>collection network. Given that the capacity of Icon Water’s central sewerage network is sized to deal with rainfall events, there is currently no immediate need to augment capacity for reasons of expanding demand.</w:t>
      </w:r>
    </w:p>
    <w:p w:rsidR="00010075" w:rsidRDefault="00FC0618" w:rsidP="00010075">
      <w:r>
        <w:t xml:space="preserve">The </w:t>
      </w:r>
      <w:r w:rsidR="00010075">
        <w:t>short-run marginal cost of sewerage services in the ACT</w:t>
      </w:r>
      <w:r>
        <w:t xml:space="preserve"> presented in the </w:t>
      </w:r>
      <w:r w:rsidR="00D12F4B">
        <w:t xml:space="preserve">technical </w:t>
      </w:r>
      <w:r>
        <w:t>paper comprises</w:t>
      </w:r>
      <w:r w:rsidR="00010075">
        <w:t>:</w:t>
      </w:r>
    </w:p>
    <w:p w:rsidR="00010075" w:rsidRDefault="00010075" w:rsidP="00010075">
      <w:pPr>
        <w:pStyle w:val="Bullet"/>
      </w:pPr>
      <w:r>
        <w:t xml:space="preserve">treatment cost </w:t>
      </w:r>
      <w:r>
        <w:sym w:font="Symbol" w:char="F02D"/>
      </w:r>
      <w:r>
        <w:t xml:space="preserve"> the cost of chemicals, electricity, fuel and freight to treat an additional kilolitre of sewage at the L</w:t>
      </w:r>
      <w:r w:rsidR="00D24362">
        <w:t xml:space="preserve">ower </w:t>
      </w:r>
      <w:r>
        <w:t>M</w:t>
      </w:r>
      <w:r w:rsidR="00D24362">
        <w:t xml:space="preserve">olonglo </w:t>
      </w:r>
      <w:r>
        <w:t>W</w:t>
      </w:r>
      <w:r w:rsidR="00D24362">
        <w:t xml:space="preserve">ater </w:t>
      </w:r>
      <w:r>
        <w:t>Q</w:t>
      </w:r>
      <w:r w:rsidR="00D24362">
        <w:t xml:space="preserve">uality </w:t>
      </w:r>
      <w:r>
        <w:t>C</w:t>
      </w:r>
      <w:r w:rsidR="00D24362">
        <w:t xml:space="preserve">ontrol </w:t>
      </w:r>
      <w:r>
        <w:t>C</w:t>
      </w:r>
      <w:r w:rsidR="00D24362">
        <w:t>entre</w:t>
      </w:r>
      <w:r>
        <w:t>; and</w:t>
      </w:r>
    </w:p>
    <w:p w:rsidR="00010075" w:rsidRDefault="00010075" w:rsidP="00010075">
      <w:pPr>
        <w:pStyle w:val="BulletLast"/>
      </w:pPr>
      <w:r>
        <w:t xml:space="preserve">pumping </w:t>
      </w:r>
      <w:r>
        <w:sym w:font="Symbol" w:char="F02D"/>
      </w:r>
      <w:r>
        <w:t xml:space="preserve"> the electricity costs to pump an additional kilolitre of sewage through the sewerage network to the treatment plant.</w:t>
      </w:r>
      <w:r>
        <w:rPr>
          <w:rStyle w:val="FootnoteReference"/>
        </w:rPr>
        <w:footnoteReference w:id="70"/>
      </w:r>
      <w:r>
        <w:t xml:space="preserve"> </w:t>
      </w:r>
    </w:p>
    <w:p w:rsidR="00010075" w:rsidRDefault="00010075" w:rsidP="00010075">
      <w:r>
        <w:t>Icon Water estimates the marginal treatment cost at $0.25 per kL, and the marginal pumping cost at $0.005 per kL, for a total short-run marginal cost of about 0.26 per kL.</w:t>
      </w:r>
    </w:p>
    <w:p w:rsidR="00FA573E" w:rsidRDefault="008B2EF7" w:rsidP="00010075">
      <w:r>
        <w:t>In the technical paper, in line with</w:t>
      </w:r>
      <w:r w:rsidR="00FA573E">
        <w:t xml:space="preserve"> principle 1</w:t>
      </w:r>
      <w:r w:rsidR="00CC263C">
        <w:t xml:space="preserve">, </w:t>
      </w:r>
      <w:r>
        <w:t xml:space="preserve">the Commission indicated that </w:t>
      </w:r>
      <w:r w:rsidR="00CC263C">
        <w:t xml:space="preserve">a more efficient structure would entail a multi-part tariff which would include a sewerage </w:t>
      </w:r>
      <w:r w:rsidR="00535E01">
        <w:t xml:space="preserve">usage </w:t>
      </w:r>
      <w:r w:rsidR="00CC263C">
        <w:t>charge set with reference to marginal cost.</w:t>
      </w:r>
    </w:p>
    <w:p w:rsidR="00DA6402" w:rsidRDefault="00FA573E" w:rsidP="00FA573E">
      <w:r>
        <w:t xml:space="preserve">Icon Water submitted that as </w:t>
      </w:r>
      <w:r w:rsidRPr="00B72E23">
        <w:t xml:space="preserve">the marginal cost of sewage discharge represents </w:t>
      </w:r>
      <w:r>
        <w:t xml:space="preserve">only </w:t>
      </w:r>
      <w:r w:rsidRPr="00B72E23">
        <w:t>seven per cent of the total amount that needs to be recovered in tariffs, which is mostly fixed or sunk expenditure</w:t>
      </w:r>
      <w:r>
        <w:t xml:space="preserve">, there would be limited economic efficiency benefits from introducing a sewerage </w:t>
      </w:r>
      <w:r w:rsidR="00535E01">
        <w:t xml:space="preserve">usage </w:t>
      </w:r>
      <w:r>
        <w:t xml:space="preserve">charge, but there may be </w:t>
      </w:r>
      <w:r w:rsidRPr="005C346E">
        <w:t>significant impacts on individual customer bills.</w:t>
      </w:r>
      <w:r w:rsidR="00DA6402">
        <w:t xml:space="preserve"> </w:t>
      </w:r>
      <w:r>
        <w:t>There are also likely to be significant administrative costs associated with designing and implementing a proxy measure for sewage discharge in the absence of metering.</w:t>
      </w:r>
      <w:r w:rsidRPr="00FA573E">
        <w:t xml:space="preserve"> </w:t>
      </w:r>
      <w:r w:rsidR="005D2938">
        <w:t>Icon Water would also face additional revenue risk</w:t>
      </w:r>
      <w:r w:rsidR="00736D13">
        <w:t xml:space="preserve"> for its sewerage services business</w:t>
      </w:r>
      <w:r w:rsidR="003F7719">
        <w:t>.</w:t>
      </w:r>
    </w:p>
    <w:p w:rsidR="00FA573E" w:rsidRDefault="00FA573E" w:rsidP="00FA573E">
      <w:r>
        <w:t xml:space="preserve">As such, a move to the alternative structure </w:t>
      </w:r>
      <w:r w:rsidR="00D74CB8">
        <w:t xml:space="preserve">is likely to be </w:t>
      </w:r>
      <w:r>
        <w:t>inconsistent with principle 2</w:t>
      </w:r>
      <w:r w:rsidR="00EE1538">
        <w:t>,</w:t>
      </w:r>
      <w:r>
        <w:t xml:space="preserve"> which requires that the efficiency benefits of a change in structure need to outweigh the costs of the change.</w:t>
      </w:r>
    </w:p>
    <w:p w:rsidR="00FA573E" w:rsidRDefault="00FA573E" w:rsidP="00010075">
      <w:r>
        <w:t xml:space="preserve">The </w:t>
      </w:r>
      <w:r w:rsidR="00EE1538">
        <w:t>alternative tariff structure provides for differential pricing, subject to p</w:t>
      </w:r>
      <w:r>
        <w:t xml:space="preserve">rinciple </w:t>
      </w:r>
      <w:r w:rsidR="00EE1538">
        <w:t>3.</w:t>
      </w:r>
    </w:p>
    <w:p w:rsidR="00010075" w:rsidRDefault="00010075" w:rsidP="00010075">
      <w:pPr>
        <w:pStyle w:val="Heading3"/>
      </w:pPr>
      <w:r>
        <w:t>Financial viability</w:t>
      </w:r>
    </w:p>
    <w:p w:rsidR="001E4B1B" w:rsidRDefault="001E4B1B" w:rsidP="001E4B1B">
      <w:r>
        <w:t>The alternative tariff structure is consistent with pricing principle 4, in that the level of prices can be set to fully recover the prudent and efficient costs of providing water services.</w:t>
      </w:r>
    </w:p>
    <w:p w:rsidR="00010075" w:rsidRDefault="001E4B1B" w:rsidP="00010075">
      <w:r>
        <w:t xml:space="preserve">The advent of a usage component, which would require annual </w:t>
      </w:r>
      <w:r w:rsidR="00027532">
        <w:t xml:space="preserve">volume </w:t>
      </w:r>
      <w:r>
        <w:t xml:space="preserve">forecasting, would increase Icon Water’s exposure to revenue risk compared to the current tariff which is based entirely on </w:t>
      </w:r>
      <w:r w:rsidR="00B14BFA">
        <w:t>supply</w:t>
      </w:r>
      <w:r>
        <w:t xml:space="preserve"> charges. Consistency with the fifth pricing principle, </w:t>
      </w:r>
      <w:r>
        <w:lastRenderedPageBreak/>
        <w:t>which requires facilitating revenue recovery over a regulatory period, may require the introduction of some form of overs and unders arrangement.</w:t>
      </w:r>
    </w:p>
    <w:p w:rsidR="00010075" w:rsidRDefault="00010075" w:rsidP="00010075">
      <w:pPr>
        <w:pStyle w:val="Heading3"/>
      </w:pPr>
      <w:r>
        <w:t>Community impact</w:t>
      </w:r>
    </w:p>
    <w:p w:rsidR="00223F11" w:rsidRDefault="00223F11" w:rsidP="00223F11">
      <w:r>
        <w:t xml:space="preserve">The alternative structure is consistent with </w:t>
      </w:r>
      <w:r w:rsidR="002C7680">
        <w:t xml:space="preserve">three </w:t>
      </w:r>
      <w:r w:rsidR="00F03168">
        <w:t xml:space="preserve">of the four </w:t>
      </w:r>
      <w:r>
        <w:t>community impact principles.</w:t>
      </w:r>
    </w:p>
    <w:p w:rsidR="00223F11" w:rsidRDefault="00223F11" w:rsidP="00223F11">
      <w:r>
        <w:t>It is consistent with principle 6 on the basis that it will promote the economically efficient use of Icon Water’s sewerage infrastructure over time.</w:t>
      </w:r>
    </w:p>
    <w:p w:rsidR="00333BE2" w:rsidRDefault="00333BE2" w:rsidP="00333BE2">
      <w:r>
        <w:fldChar w:fldCharType="begin"/>
      </w:r>
      <w:r>
        <w:instrText xml:space="preserve"> REF _Ref453681487 \h </w:instrText>
      </w:r>
      <w:r>
        <w:fldChar w:fldCharType="separate"/>
      </w:r>
      <w:r w:rsidR="00B80BC7" w:rsidRPr="00E33D9E">
        <w:t xml:space="preserve">Figure </w:t>
      </w:r>
      <w:r w:rsidR="00B80BC7">
        <w:rPr>
          <w:noProof/>
        </w:rPr>
        <w:t>4</w:t>
      </w:r>
      <w:r w:rsidR="00B80BC7" w:rsidRPr="00E33D9E">
        <w:t>.</w:t>
      </w:r>
      <w:r w:rsidR="00B80BC7">
        <w:rPr>
          <w:noProof/>
        </w:rPr>
        <w:t>1</w:t>
      </w:r>
      <w:r>
        <w:fldChar w:fldCharType="end"/>
      </w:r>
      <w:r>
        <w:t xml:space="preserve"> shows the indicative supply and fixture charges that would be required to recover the same revenue for Icon Water as 2015</w:t>
      </w:r>
      <w:r>
        <w:sym w:font="Symbol" w:char="F02D"/>
      </w:r>
      <w:r>
        <w:t xml:space="preserve">16 prices should a sewage </w:t>
      </w:r>
      <w:r w:rsidR="00535E01">
        <w:t xml:space="preserve">usage </w:t>
      </w:r>
      <w:r>
        <w:t xml:space="preserve">charge be introduced at the short-run marginal cost of $0.26 per kL. The indicative annual charges are about </w:t>
      </w:r>
      <w:r w:rsidR="00C74851">
        <w:t>six</w:t>
      </w:r>
      <w:r>
        <w:t xml:space="preserve"> per cent lower than the current charges.</w:t>
      </w:r>
    </w:p>
    <w:p w:rsidR="00333BE2" w:rsidRDefault="00333BE2" w:rsidP="00333BE2">
      <w:pPr>
        <w:pStyle w:val="FigureName0"/>
        <w:rPr>
          <w:lang w:val="en-AU"/>
        </w:rPr>
      </w:pPr>
      <w:bookmarkStart w:id="145" w:name="_Ref453681487"/>
      <w:bookmarkStart w:id="146" w:name="_Toc453920918"/>
      <w:bookmarkStart w:id="147" w:name="_Toc460572278"/>
      <w:r w:rsidRPr="00E33D9E">
        <w:t xml:space="preserve">Figure </w:t>
      </w:r>
      <w:r w:rsidRPr="00E33D9E">
        <w:fldChar w:fldCharType="begin"/>
      </w:r>
      <w:r w:rsidRPr="00E33D9E">
        <w:instrText xml:space="preserve"> STYLEREF 1 \s </w:instrText>
      </w:r>
      <w:r w:rsidRPr="00E33D9E">
        <w:fldChar w:fldCharType="separate"/>
      </w:r>
      <w:r w:rsidR="00B80BC7">
        <w:rPr>
          <w:noProof/>
        </w:rPr>
        <w:t>4</w:t>
      </w:r>
      <w:r w:rsidRPr="00E33D9E">
        <w:fldChar w:fldCharType="end"/>
      </w:r>
      <w:r w:rsidRPr="00E33D9E">
        <w:t>.</w:t>
      </w:r>
      <w:r w:rsidRPr="00E33D9E">
        <w:fldChar w:fldCharType="begin"/>
      </w:r>
      <w:r w:rsidRPr="00E33D9E">
        <w:instrText xml:space="preserve"> SEQ Figure \* ARABIC \s 1 </w:instrText>
      </w:r>
      <w:r w:rsidRPr="00E33D9E">
        <w:fldChar w:fldCharType="separate"/>
      </w:r>
      <w:r w:rsidR="00B80BC7">
        <w:rPr>
          <w:noProof/>
        </w:rPr>
        <w:t>1</w:t>
      </w:r>
      <w:r w:rsidRPr="00E33D9E">
        <w:fldChar w:fldCharType="end"/>
      </w:r>
      <w:bookmarkEnd w:id="145"/>
      <w:r>
        <w:tab/>
        <w:t xml:space="preserve">Indicative sewerage service supply and fixture charges, with </w:t>
      </w:r>
      <w:r w:rsidR="00535E01">
        <w:t>usage</w:t>
      </w:r>
      <w:r>
        <w:t xml:space="preserve"> charge set at short-run marginal cost</w:t>
      </w:r>
      <w:bookmarkEnd w:id="146"/>
      <w:bookmarkEnd w:id="147"/>
    </w:p>
    <w:p w:rsidR="00333BE2" w:rsidRDefault="00641340" w:rsidP="00333BE2">
      <w:pPr>
        <w:rPr>
          <w:b/>
          <w:lang w:val="en-AU"/>
        </w:rPr>
      </w:pPr>
      <w:r>
        <w:rPr>
          <w:noProof/>
          <w:lang w:val="en-AU" w:eastAsia="en-AU"/>
        </w:rPr>
        <w:drawing>
          <wp:inline distT="0" distB="0" distL="0" distR="0" wp14:anchorId="202FF234" wp14:editId="6A6B8357">
            <wp:extent cx="4896485" cy="2704465"/>
            <wp:effectExtent l="0" t="0" r="18415" b="63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333BE2" w:rsidRDefault="00333BE2" w:rsidP="00333BE2">
      <w:pPr>
        <w:pStyle w:val="TableNotesLast0"/>
        <w:rPr>
          <w:lang w:val="en-AU"/>
        </w:rPr>
      </w:pPr>
      <w:r>
        <w:rPr>
          <w:lang w:val="en-AU"/>
        </w:rPr>
        <w:t>Source:</w:t>
      </w:r>
      <w:r>
        <w:rPr>
          <w:lang w:val="en-AU"/>
        </w:rPr>
        <w:tab/>
      </w:r>
      <w:r>
        <w:rPr>
          <w:lang w:val="en-AU"/>
        </w:rPr>
        <w:fldChar w:fldCharType="begin"/>
      </w:r>
      <w:r>
        <w:rPr>
          <w:lang w:val="en-AU"/>
        </w:rPr>
        <w:instrText xml:space="preserve"> ADDIN EN.CITE &lt;EndNote&gt;&lt;Cite&gt;&lt;Author&gt;ICRC&lt;/Author&gt;&lt;Year&gt;2016&lt;/Year&gt;&lt;RecNum&gt;727&lt;/RecNum&gt;&lt;DisplayText&gt;ICRC (2016b)&lt;/DisplayText&gt;&lt;record&gt;&lt;rec-number&gt;727&lt;/rec-number&gt;&lt;foreign-keys&gt;&lt;key app="EN" db-id="5xwt9zxa6r5fesevwr5xzp97r95ev9wx9zpw" timestamp="1465197388"&gt;727&lt;/key&gt;&lt;/foreign-keys&gt;&lt;ref-type name="AAA ICRC Water References"&gt;40&lt;/ref-type&gt;&lt;contributors&gt;&lt;authors&gt;&lt;author&gt;ICRC,&lt;/author&gt;&lt;/authors&gt;&lt;/contributors&gt;&lt;titles&gt;&lt;title&gt;Technical paper 2: Marginal cost pricing in the ACT&lt;/title&gt;&lt;/titles&gt;&lt;volume&gt;Report 4 of 2016&lt;/volume&gt;&lt;dates&gt;&lt;year&gt;2016&lt;/year&gt;&lt;pub-dates&gt;&lt;date&gt;June 2016&lt;/date&gt;&lt;/pub-dates&gt;&lt;/dates&gt;&lt;pub-location&gt;Canberra&lt;/pub-location&gt;&lt;publisher&gt;Independent Competition and Regulatory Commission&lt;/publisher&gt;&lt;urls&gt;&lt;/urls&gt;&lt;/record&gt;&lt;/Cite&gt;&lt;/EndNote&gt;</w:instrText>
      </w:r>
      <w:r>
        <w:rPr>
          <w:lang w:val="en-AU"/>
        </w:rPr>
        <w:fldChar w:fldCharType="separate"/>
      </w:r>
      <w:hyperlink w:anchor="_ENREF_25" w:tooltip="ICRC, 2016 #727" w:history="1">
        <w:r w:rsidR="00A2488A">
          <w:rPr>
            <w:noProof/>
            <w:lang w:val="en-AU"/>
          </w:rPr>
          <w:t>ICRC (2016b</w:t>
        </w:r>
      </w:hyperlink>
      <w:r>
        <w:rPr>
          <w:noProof/>
          <w:lang w:val="en-AU"/>
        </w:rPr>
        <w:t>)</w:t>
      </w:r>
      <w:r>
        <w:rPr>
          <w:lang w:val="en-AU"/>
        </w:rPr>
        <w:fldChar w:fldCharType="end"/>
      </w:r>
      <w:r>
        <w:rPr>
          <w:lang w:val="en-AU"/>
        </w:rPr>
        <w:t>: 66.</w:t>
      </w:r>
    </w:p>
    <w:p w:rsidR="00333BE2" w:rsidRDefault="00EF77AA" w:rsidP="00223F11">
      <w:r>
        <w:rPr>
          <w:lang w:val="en-AU"/>
        </w:rPr>
        <w:t>At face value therefore, t</w:t>
      </w:r>
      <w:r w:rsidR="00333BE2">
        <w:rPr>
          <w:lang w:val="en-AU"/>
        </w:rPr>
        <w:t>he distributional impacts of such a change in tariff structure and price levels are likely to be relatively small,</w:t>
      </w:r>
      <w:r w:rsidR="00223F11">
        <w:t xml:space="preserve"> </w:t>
      </w:r>
      <w:r w:rsidR="00333BE2">
        <w:t xml:space="preserve">and </w:t>
      </w:r>
      <w:r w:rsidR="00223F11">
        <w:t xml:space="preserve">therefore </w:t>
      </w:r>
      <w:r w:rsidR="00333BE2">
        <w:t xml:space="preserve">unlikely to require a </w:t>
      </w:r>
      <w:r w:rsidR="00223F11">
        <w:t xml:space="preserve">transition </w:t>
      </w:r>
      <w:r w:rsidR="00333BE2">
        <w:t xml:space="preserve">period </w:t>
      </w:r>
      <w:r w:rsidR="00223F11">
        <w:t>under principle 7</w:t>
      </w:r>
      <w:r w:rsidR="00333BE2">
        <w:t>.</w:t>
      </w:r>
      <w:r>
        <w:t xml:space="preserve"> However, </w:t>
      </w:r>
      <w:r w:rsidR="00091D06">
        <w:t xml:space="preserve">should water use be adopted as the proxy for sewage discharge, </w:t>
      </w:r>
      <w:r>
        <w:t>the</w:t>
      </w:r>
      <w:r w:rsidR="00091D06">
        <w:t>re is potential for significant distributional impacts on high volume water users.</w:t>
      </w:r>
      <w:r w:rsidR="00027532">
        <w:t xml:space="preserve"> Under these circumstances, a transition period would be required.</w:t>
      </w:r>
    </w:p>
    <w:p w:rsidR="00E92BC9" w:rsidRDefault="00FD6A87" w:rsidP="00223F11">
      <w:r>
        <w:t xml:space="preserve">The alternative structure </w:t>
      </w:r>
      <w:r w:rsidR="00E92BC9">
        <w:t xml:space="preserve">would be more complicated than the current tariff structure as it would have two rather than one price component. Moreover, </w:t>
      </w:r>
      <w:r w:rsidR="00EF77AA">
        <w:t xml:space="preserve">the requirement for </w:t>
      </w:r>
      <w:r w:rsidR="00E92BC9">
        <w:t xml:space="preserve">a proxy for sewage discharge would further complicate the arrangements, </w:t>
      </w:r>
      <w:r w:rsidR="007E2CBB">
        <w:t xml:space="preserve">leading to </w:t>
      </w:r>
      <w:r w:rsidR="00E92BC9">
        <w:t xml:space="preserve">inconsistency with </w:t>
      </w:r>
      <w:r w:rsidR="00223F11">
        <w:t>principle 8.</w:t>
      </w:r>
    </w:p>
    <w:p w:rsidR="00010075" w:rsidRDefault="00E92BC9" w:rsidP="00010075">
      <w:r>
        <w:lastRenderedPageBreak/>
        <w:t xml:space="preserve">Should the alternative tariff be introduced, it would be through </w:t>
      </w:r>
      <w:r w:rsidR="00223F11">
        <w:t>a transparent methodology and subject to public scrutiny, as required by principle 9.</w:t>
      </w:r>
    </w:p>
    <w:p w:rsidR="00010075" w:rsidRDefault="00010075" w:rsidP="00010075">
      <w:pPr>
        <w:pStyle w:val="Heading3"/>
      </w:pPr>
      <w:r>
        <w:t>Summary</w:t>
      </w:r>
    </w:p>
    <w:p w:rsidR="00AF7911" w:rsidRPr="00444496" w:rsidRDefault="00AF7911" w:rsidP="00AF7911">
      <w:r>
        <w:fldChar w:fldCharType="begin"/>
      </w:r>
      <w:r>
        <w:instrText xml:space="preserve"> REF _Ref457477524 \h </w:instrText>
      </w:r>
      <w:r>
        <w:fldChar w:fldCharType="separate"/>
      </w:r>
      <w:r w:rsidR="00B80BC7" w:rsidRPr="003C3AEA">
        <w:t>Table</w:t>
      </w:r>
      <w:r w:rsidR="00B80BC7">
        <w:t xml:space="preserve"> </w:t>
      </w:r>
      <w:r w:rsidR="00B80BC7">
        <w:rPr>
          <w:noProof/>
        </w:rPr>
        <w:t>4</w:t>
      </w:r>
      <w:r w:rsidR="00B80BC7">
        <w:t>.</w:t>
      </w:r>
      <w:r w:rsidR="00B80BC7">
        <w:rPr>
          <w:noProof/>
        </w:rPr>
        <w:t>2</w:t>
      </w:r>
      <w:r>
        <w:fldChar w:fldCharType="end"/>
      </w:r>
      <w:r>
        <w:t xml:space="preserve"> shows the summary assessment of the alternative water tariff structure against the draft pricing principles. The alternative structure, subject to an appropriate transition period to comply with principle </w:t>
      </w:r>
      <w:r w:rsidR="001D3DB0">
        <w:t>7</w:t>
      </w:r>
      <w:r>
        <w:t xml:space="preserve">, is consistent with </w:t>
      </w:r>
      <w:r w:rsidR="00C74851">
        <w:t xml:space="preserve">seven </w:t>
      </w:r>
      <w:r w:rsidR="004E0459">
        <w:t xml:space="preserve">of the </w:t>
      </w:r>
      <w:r>
        <w:t>pricing principles</w:t>
      </w:r>
      <w:r w:rsidR="004E0459">
        <w:t xml:space="preserve">. It is inconsistent with </w:t>
      </w:r>
      <w:r w:rsidR="008010CF">
        <w:t>the second</w:t>
      </w:r>
      <w:r w:rsidR="004E0459">
        <w:t xml:space="preserve"> and eighth principles, </w:t>
      </w:r>
      <w:r>
        <w:t>which require</w:t>
      </w:r>
      <w:r w:rsidR="008010CF">
        <w:t xml:space="preserve"> that the benefits of any change outweigh the costs</w:t>
      </w:r>
      <w:r w:rsidR="004E0459">
        <w:t xml:space="preserve"> and that the tariff is simple to understand and implement</w:t>
      </w:r>
      <w:r>
        <w:t>.</w:t>
      </w:r>
    </w:p>
    <w:p w:rsidR="00AF7911" w:rsidRDefault="00AF7911" w:rsidP="00AF7911">
      <w:pPr>
        <w:pStyle w:val="FigureName"/>
        <w:keepNext/>
      </w:pPr>
      <w:bookmarkStart w:id="148" w:name="_Ref457477524"/>
      <w:bookmarkStart w:id="149" w:name="_Toc460572252"/>
      <w:r w:rsidRPr="003C3AEA">
        <w:t>Table</w:t>
      </w:r>
      <w:r>
        <w:t xml:space="preserve"> </w:t>
      </w:r>
      <w:r>
        <w:fldChar w:fldCharType="begin"/>
      </w:r>
      <w:r>
        <w:instrText xml:space="preserve"> STYLEREF 1 \s </w:instrText>
      </w:r>
      <w:r>
        <w:fldChar w:fldCharType="separate"/>
      </w:r>
      <w:r w:rsidR="00B80BC7">
        <w:rPr>
          <w:noProof/>
        </w:rPr>
        <w:t>4</w:t>
      </w:r>
      <w:r>
        <w:fldChar w:fldCharType="end"/>
      </w:r>
      <w:r>
        <w:t>.</w:t>
      </w:r>
      <w:r>
        <w:fldChar w:fldCharType="begin"/>
      </w:r>
      <w:r>
        <w:instrText xml:space="preserve"> SEQ Table \* ARABIC \s 1 </w:instrText>
      </w:r>
      <w:r>
        <w:fldChar w:fldCharType="separate"/>
      </w:r>
      <w:r w:rsidR="00B80BC7">
        <w:rPr>
          <w:noProof/>
        </w:rPr>
        <w:t>2</w:t>
      </w:r>
      <w:r>
        <w:fldChar w:fldCharType="end"/>
      </w:r>
      <w:bookmarkEnd w:id="148"/>
      <w:r>
        <w:tab/>
        <w:t>Summary assessment of the alternative sewerage services tariff structure</w:t>
      </w:r>
      <w:bookmarkEnd w:id="149"/>
    </w:p>
    <w:tbl>
      <w:tblPr>
        <w:tblW w:w="5324" w:type="pct"/>
        <w:tblBorders>
          <w:top w:val="single" w:sz="12" w:space="0" w:color="333399"/>
          <w:bottom w:val="single" w:sz="12" w:space="0" w:color="333399"/>
        </w:tblBorders>
        <w:tblCellMar>
          <w:left w:w="115" w:type="dxa"/>
          <w:right w:w="115" w:type="dxa"/>
        </w:tblCellMar>
        <w:tblLook w:val="0000" w:firstRow="0" w:lastRow="0" w:firstColumn="0" w:lastColumn="0" w:noHBand="0" w:noVBand="0"/>
      </w:tblPr>
      <w:tblGrid>
        <w:gridCol w:w="1127"/>
        <w:gridCol w:w="2013"/>
        <w:gridCol w:w="1163"/>
        <w:gridCol w:w="3908"/>
      </w:tblGrid>
      <w:tr w:rsidR="00AF7911" w:rsidRPr="00144F8C" w:rsidTr="00D90D0B">
        <w:trPr>
          <w:cantSplit/>
        </w:trPr>
        <w:tc>
          <w:tcPr>
            <w:tcW w:w="686" w:type="pct"/>
            <w:tcBorders>
              <w:top w:val="single" w:sz="12" w:space="0" w:color="1F497D" w:themeColor="text2"/>
              <w:left w:val="nil"/>
              <w:bottom w:val="single" w:sz="8" w:space="0" w:color="1F497D" w:themeColor="text2"/>
              <w:right w:val="nil"/>
            </w:tcBorders>
            <w:shd w:val="clear" w:color="auto" w:fill="DBE5F1" w:themeFill="accent1" w:themeFillTint="33"/>
          </w:tcPr>
          <w:p w:rsidR="00AF7911" w:rsidRDefault="00AF7911" w:rsidP="00D90D0B">
            <w:pPr>
              <w:pStyle w:val="TableHeadingLeft"/>
              <w:keepNext/>
            </w:pPr>
            <w:r>
              <w:t>Stream</w:t>
            </w:r>
          </w:p>
        </w:tc>
        <w:tc>
          <w:tcPr>
            <w:tcW w:w="1226" w:type="pct"/>
            <w:tcBorders>
              <w:top w:val="single" w:sz="12" w:space="0" w:color="1F497D" w:themeColor="text2"/>
              <w:left w:val="nil"/>
              <w:bottom w:val="single" w:sz="8" w:space="0" w:color="1F497D" w:themeColor="text2"/>
              <w:right w:val="nil"/>
            </w:tcBorders>
            <w:shd w:val="clear" w:color="auto" w:fill="DBE5F1" w:themeFill="accent1" w:themeFillTint="33"/>
            <w:vAlign w:val="bottom"/>
          </w:tcPr>
          <w:p w:rsidR="00AF7911" w:rsidRPr="00347ADB" w:rsidRDefault="00AF7911" w:rsidP="00D90D0B">
            <w:pPr>
              <w:pStyle w:val="TableHeadingLeft"/>
              <w:keepNext/>
            </w:pPr>
            <w:r>
              <w:t>Principles</w:t>
            </w:r>
          </w:p>
        </w:tc>
        <w:tc>
          <w:tcPr>
            <w:tcW w:w="708" w:type="pct"/>
            <w:tcBorders>
              <w:top w:val="single" w:sz="12" w:space="0" w:color="1F497D" w:themeColor="text2"/>
              <w:left w:val="nil"/>
              <w:bottom w:val="single" w:sz="8" w:space="0" w:color="1F497D" w:themeColor="text2"/>
              <w:right w:val="nil"/>
            </w:tcBorders>
            <w:shd w:val="clear" w:color="auto" w:fill="DBE5F1" w:themeFill="accent1" w:themeFillTint="33"/>
            <w:vAlign w:val="bottom"/>
          </w:tcPr>
          <w:p w:rsidR="00AF7911" w:rsidRPr="00347ADB" w:rsidRDefault="00AF7911" w:rsidP="00D90D0B">
            <w:pPr>
              <w:pStyle w:val="TableHeadingLeft"/>
              <w:keepNext/>
              <w:jc w:val="center"/>
            </w:pPr>
            <w:r>
              <w:t>Assessment</w:t>
            </w:r>
          </w:p>
        </w:tc>
        <w:tc>
          <w:tcPr>
            <w:tcW w:w="2380" w:type="pct"/>
            <w:tcBorders>
              <w:top w:val="single" w:sz="12" w:space="0" w:color="1F497D" w:themeColor="text2"/>
              <w:left w:val="nil"/>
              <w:bottom w:val="single" w:sz="8" w:space="0" w:color="1F497D" w:themeColor="text2"/>
              <w:right w:val="nil"/>
            </w:tcBorders>
            <w:shd w:val="clear" w:color="auto" w:fill="DBE5F1" w:themeFill="accent1" w:themeFillTint="33"/>
          </w:tcPr>
          <w:p w:rsidR="00AF7911" w:rsidRDefault="00AF7911" w:rsidP="00D90D0B">
            <w:pPr>
              <w:pStyle w:val="TableHeadingLeft"/>
              <w:keepNext/>
            </w:pPr>
            <w:r>
              <w:t>Comment</w:t>
            </w:r>
          </w:p>
        </w:tc>
      </w:tr>
      <w:tr w:rsidR="00AF7911" w:rsidRPr="00144F8C" w:rsidTr="00D90D0B">
        <w:trPr>
          <w:cantSplit/>
        </w:trPr>
        <w:tc>
          <w:tcPr>
            <w:tcW w:w="686" w:type="pct"/>
            <w:vMerge w:val="restart"/>
            <w:tcBorders>
              <w:top w:val="nil"/>
              <w:left w:val="nil"/>
              <w:right w:val="nil"/>
            </w:tcBorders>
            <w:shd w:val="clear" w:color="auto" w:fill="DDD9C3" w:themeFill="background2" w:themeFillShade="E6"/>
          </w:tcPr>
          <w:p w:rsidR="00AF7911" w:rsidRPr="00C11641" w:rsidRDefault="00AF7911" w:rsidP="00D90D0B">
            <w:pPr>
              <w:pStyle w:val="TableHeadingLeft"/>
              <w:keepNext/>
            </w:pPr>
            <w:r>
              <w:t>Economic e</w:t>
            </w:r>
            <w:r w:rsidRPr="00C11641">
              <w:t>fficiency</w:t>
            </w:r>
          </w:p>
        </w:tc>
        <w:tc>
          <w:tcPr>
            <w:tcW w:w="1226" w:type="pct"/>
            <w:tcBorders>
              <w:top w:val="nil"/>
              <w:left w:val="nil"/>
              <w:bottom w:val="nil"/>
              <w:right w:val="nil"/>
            </w:tcBorders>
            <w:shd w:val="clear" w:color="auto" w:fill="DDD9C3" w:themeFill="background2" w:themeFillShade="E6"/>
          </w:tcPr>
          <w:p w:rsidR="00AF7911" w:rsidRPr="008D70AD" w:rsidRDefault="00AF7911" w:rsidP="00D90D0B">
            <w:pPr>
              <w:pStyle w:val="TableHeadingLeft"/>
              <w:keepNext/>
              <w:rPr>
                <w:b w:val="0"/>
              </w:rPr>
            </w:pPr>
            <w:r w:rsidRPr="008D70AD">
              <w:rPr>
                <w:b w:val="0"/>
              </w:rPr>
              <w:t>1 Economic efficiency</w:t>
            </w:r>
          </w:p>
        </w:tc>
        <w:tc>
          <w:tcPr>
            <w:tcW w:w="708" w:type="pct"/>
            <w:tcBorders>
              <w:top w:val="nil"/>
              <w:left w:val="nil"/>
              <w:bottom w:val="nil"/>
              <w:right w:val="nil"/>
            </w:tcBorders>
            <w:shd w:val="clear" w:color="auto" w:fill="DDD9C3" w:themeFill="background2" w:themeFillShade="E6"/>
          </w:tcPr>
          <w:p w:rsidR="00AF7911" w:rsidRPr="008D70AD" w:rsidRDefault="00AF7911" w:rsidP="00D90D0B">
            <w:pPr>
              <w:pStyle w:val="TableHeadingLeft"/>
              <w:keepNext/>
              <w:jc w:val="center"/>
              <w:rPr>
                <w:b w:val="0"/>
              </w:rPr>
            </w:pPr>
            <w:r>
              <w:rPr>
                <w:b w:val="0"/>
              </w:rPr>
              <w:sym w:font="Wingdings" w:char="F0FC"/>
            </w:r>
          </w:p>
        </w:tc>
        <w:tc>
          <w:tcPr>
            <w:tcW w:w="2380" w:type="pct"/>
            <w:tcBorders>
              <w:top w:val="nil"/>
              <w:left w:val="nil"/>
              <w:bottom w:val="nil"/>
              <w:right w:val="nil"/>
            </w:tcBorders>
            <w:shd w:val="clear" w:color="auto" w:fill="DDD9C3" w:themeFill="background2" w:themeFillShade="E6"/>
          </w:tcPr>
          <w:p w:rsidR="00AF7911" w:rsidRPr="008D70AD" w:rsidRDefault="00E1582C" w:rsidP="00E1582C">
            <w:pPr>
              <w:pStyle w:val="TableHeadingLeft"/>
              <w:keepNext/>
              <w:rPr>
                <w:b w:val="0"/>
              </w:rPr>
            </w:pPr>
            <w:r>
              <w:rPr>
                <w:b w:val="0"/>
              </w:rPr>
              <w:t>S</w:t>
            </w:r>
            <w:r w:rsidR="00AF7911">
              <w:rPr>
                <w:b w:val="0"/>
              </w:rPr>
              <w:t xml:space="preserve">ingle </w:t>
            </w:r>
            <w:r>
              <w:rPr>
                <w:b w:val="0"/>
              </w:rPr>
              <w:t xml:space="preserve">sewage usage </w:t>
            </w:r>
            <w:r w:rsidR="00AF7911">
              <w:rPr>
                <w:b w:val="0"/>
              </w:rPr>
              <w:t>charge set with reference to marginal cost</w:t>
            </w:r>
          </w:p>
        </w:tc>
      </w:tr>
      <w:tr w:rsidR="00AF7911" w:rsidRPr="00144F8C" w:rsidTr="00D90D0B">
        <w:trPr>
          <w:cantSplit/>
        </w:trPr>
        <w:tc>
          <w:tcPr>
            <w:tcW w:w="686" w:type="pct"/>
            <w:vMerge/>
            <w:tcBorders>
              <w:left w:val="nil"/>
              <w:right w:val="nil"/>
            </w:tcBorders>
            <w:shd w:val="clear" w:color="auto" w:fill="DDD9C3" w:themeFill="background2" w:themeFillShade="E6"/>
          </w:tcPr>
          <w:p w:rsidR="00AF7911" w:rsidRDefault="00AF7911" w:rsidP="00D90D0B">
            <w:pPr>
              <w:pStyle w:val="TableHeadingLeft"/>
              <w:keepNext/>
              <w:rPr>
                <w:b w:val="0"/>
              </w:rPr>
            </w:pPr>
          </w:p>
        </w:tc>
        <w:tc>
          <w:tcPr>
            <w:tcW w:w="1226" w:type="pct"/>
            <w:tcBorders>
              <w:top w:val="nil"/>
              <w:left w:val="nil"/>
              <w:bottom w:val="nil"/>
              <w:right w:val="nil"/>
            </w:tcBorders>
            <w:shd w:val="clear" w:color="auto" w:fill="DDD9C3" w:themeFill="background2" w:themeFillShade="E6"/>
          </w:tcPr>
          <w:p w:rsidR="00AF7911" w:rsidRDefault="00AF7911" w:rsidP="00D90D0B">
            <w:pPr>
              <w:pStyle w:val="TableHeadingLeft"/>
              <w:keepNext/>
              <w:rPr>
                <w:b w:val="0"/>
              </w:rPr>
            </w:pPr>
            <w:r>
              <w:rPr>
                <w:b w:val="0"/>
              </w:rPr>
              <w:t>2 Cost-benefit</w:t>
            </w:r>
          </w:p>
        </w:tc>
        <w:tc>
          <w:tcPr>
            <w:tcW w:w="708" w:type="pct"/>
            <w:tcBorders>
              <w:top w:val="nil"/>
              <w:left w:val="nil"/>
              <w:bottom w:val="nil"/>
              <w:right w:val="nil"/>
            </w:tcBorders>
            <w:shd w:val="clear" w:color="auto" w:fill="DDD9C3" w:themeFill="background2" w:themeFillShade="E6"/>
          </w:tcPr>
          <w:p w:rsidR="00AF7911" w:rsidRDefault="00E1582C" w:rsidP="00D90D0B">
            <w:pPr>
              <w:pStyle w:val="TableHeadingLeft"/>
              <w:keepNext/>
              <w:jc w:val="center"/>
              <w:rPr>
                <w:b w:val="0"/>
              </w:rPr>
            </w:pPr>
            <w:r>
              <w:rPr>
                <w:b w:val="0"/>
              </w:rPr>
              <w:sym w:font="Wingdings" w:char="F0FB"/>
            </w:r>
          </w:p>
        </w:tc>
        <w:tc>
          <w:tcPr>
            <w:tcW w:w="2380" w:type="pct"/>
            <w:tcBorders>
              <w:top w:val="nil"/>
              <w:left w:val="nil"/>
              <w:bottom w:val="nil"/>
              <w:right w:val="nil"/>
            </w:tcBorders>
            <w:shd w:val="clear" w:color="auto" w:fill="DDD9C3" w:themeFill="background2" w:themeFillShade="E6"/>
          </w:tcPr>
          <w:p w:rsidR="00AF7911" w:rsidRDefault="000C5B56" w:rsidP="00BF332A">
            <w:pPr>
              <w:pStyle w:val="TableHeadingLeft"/>
              <w:keepNext/>
              <w:rPr>
                <w:b w:val="0"/>
              </w:rPr>
            </w:pPr>
            <w:r>
              <w:rPr>
                <w:b w:val="0"/>
              </w:rPr>
              <w:t xml:space="preserve">Limited efficiency benefits </w:t>
            </w:r>
            <w:r w:rsidR="00BF332A">
              <w:rPr>
                <w:b w:val="0"/>
              </w:rPr>
              <w:t xml:space="preserve">unlikely to </w:t>
            </w:r>
            <w:r w:rsidR="00AF7911">
              <w:rPr>
                <w:b w:val="0"/>
              </w:rPr>
              <w:t>outweigh the costs of moving to this tariff structure</w:t>
            </w:r>
          </w:p>
        </w:tc>
      </w:tr>
      <w:tr w:rsidR="00AF7911" w:rsidRPr="00144F8C" w:rsidTr="00D90D0B">
        <w:trPr>
          <w:cantSplit/>
        </w:trPr>
        <w:tc>
          <w:tcPr>
            <w:tcW w:w="686" w:type="pct"/>
            <w:vMerge/>
            <w:tcBorders>
              <w:left w:val="nil"/>
              <w:bottom w:val="nil"/>
              <w:right w:val="nil"/>
            </w:tcBorders>
            <w:shd w:val="clear" w:color="auto" w:fill="DDD9C3" w:themeFill="background2" w:themeFillShade="E6"/>
          </w:tcPr>
          <w:p w:rsidR="00AF7911" w:rsidRDefault="00AF7911" w:rsidP="00D90D0B">
            <w:pPr>
              <w:pStyle w:val="TableHeadingLeft"/>
              <w:keepNext/>
              <w:rPr>
                <w:b w:val="0"/>
              </w:rPr>
            </w:pPr>
          </w:p>
        </w:tc>
        <w:tc>
          <w:tcPr>
            <w:tcW w:w="1226" w:type="pct"/>
            <w:tcBorders>
              <w:top w:val="nil"/>
              <w:left w:val="nil"/>
              <w:bottom w:val="nil"/>
              <w:right w:val="nil"/>
            </w:tcBorders>
            <w:shd w:val="clear" w:color="auto" w:fill="DDD9C3" w:themeFill="background2" w:themeFillShade="E6"/>
          </w:tcPr>
          <w:p w:rsidR="00AF7911" w:rsidRPr="008D70AD" w:rsidRDefault="00AF7911" w:rsidP="00D90D0B">
            <w:pPr>
              <w:pStyle w:val="TableHeadingLeft"/>
              <w:keepNext/>
              <w:rPr>
                <w:b w:val="0"/>
              </w:rPr>
            </w:pPr>
            <w:r>
              <w:rPr>
                <w:b w:val="0"/>
              </w:rPr>
              <w:t>3 Cross-subsidy</w:t>
            </w:r>
          </w:p>
        </w:tc>
        <w:tc>
          <w:tcPr>
            <w:tcW w:w="708" w:type="pct"/>
            <w:tcBorders>
              <w:top w:val="nil"/>
              <w:left w:val="nil"/>
              <w:bottom w:val="nil"/>
              <w:right w:val="nil"/>
            </w:tcBorders>
            <w:shd w:val="clear" w:color="auto" w:fill="DDD9C3" w:themeFill="background2" w:themeFillShade="E6"/>
          </w:tcPr>
          <w:p w:rsidR="00AF7911" w:rsidRDefault="00AF7911" w:rsidP="00D90D0B">
            <w:pPr>
              <w:pStyle w:val="TableHeadingLeft"/>
              <w:keepNext/>
              <w:jc w:val="center"/>
              <w:rPr>
                <w:b w:val="0"/>
              </w:rPr>
            </w:pPr>
            <w:r>
              <w:rPr>
                <w:b w:val="0"/>
              </w:rPr>
              <w:sym w:font="Wingdings" w:char="F0FC"/>
            </w:r>
          </w:p>
        </w:tc>
        <w:tc>
          <w:tcPr>
            <w:tcW w:w="2380" w:type="pct"/>
            <w:tcBorders>
              <w:top w:val="nil"/>
              <w:left w:val="nil"/>
              <w:bottom w:val="nil"/>
              <w:right w:val="nil"/>
            </w:tcBorders>
            <w:shd w:val="clear" w:color="auto" w:fill="DDD9C3" w:themeFill="background2" w:themeFillShade="E6"/>
          </w:tcPr>
          <w:p w:rsidR="00AF7911" w:rsidRDefault="00AF7911" w:rsidP="00D90D0B">
            <w:pPr>
              <w:pStyle w:val="TableHeadingLeft"/>
              <w:keepNext/>
              <w:rPr>
                <w:b w:val="0"/>
              </w:rPr>
            </w:pPr>
            <w:r>
              <w:rPr>
                <w:b w:val="0"/>
              </w:rPr>
              <w:t>Provides for differentiation between customer classes</w:t>
            </w:r>
          </w:p>
        </w:tc>
      </w:tr>
      <w:tr w:rsidR="00AF7911" w:rsidRPr="00144F8C" w:rsidTr="00D90D0B">
        <w:trPr>
          <w:cantSplit/>
        </w:trPr>
        <w:tc>
          <w:tcPr>
            <w:tcW w:w="686" w:type="pct"/>
            <w:vMerge w:val="restart"/>
            <w:tcBorders>
              <w:top w:val="nil"/>
              <w:left w:val="nil"/>
              <w:right w:val="nil"/>
            </w:tcBorders>
            <w:shd w:val="clear" w:color="auto" w:fill="FDE9D9" w:themeFill="accent6" w:themeFillTint="33"/>
          </w:tcPr>
          <w:p w:rsidR="00AF7911" w:rsidRPr="00C11641" w:rsidRDefault="00AF7911" w:rsidP="00D90D0B">
            <w:pPr>
              <w:pStyle w:val="TableHeadingLeft"/>
              <w:keepNext/>
            </w:pPr>
            <w:r w:rsidRPr="00C11641">
              <w:t>Financial viability</w:t>
            </w:r>
          </w:p>
        </w:tc>
        <w:tc>
          <w:tcPr>
            <w:tcW w:w="1226" w:type="pct"/>
            <w:tcBorders>
              <w:top w:val="nil"/>
              <w:left w:val="nil"/>
              <w:bottom w:val="nil"/>
              <w:right w:val="nil"/>
            </w:tcBorders>
            <w:shd w:val="clear" w:color="auto" w:fill="FDE9D9" w:themeFill="accent6" w:themeFillTint="33"/>
          </w:tcPr>
          <w:p w:rsidR="00AF7911" w:rsidRPr="008D70AD" w:rsidRDefault="00AF7911" w:rsidP="00D90D0B">
            <w:pPr>
              <w:pStyle w:val="TableHeadingLeft"/>
              <w:keepNext/>
              <w:rPr>
                <w:b w:val="0"/>
              </w:rPr>
            </w:pPr>
            <w:r>
              <w:rPr>
                <w:b w:val="0"/>
              </w:rPr>
              <w:t>4</w:t>
            </w:r>
            <w:r w:rsidRPr="008D70AD">
              <w:rPr>
                <w:b w:val="0"/>
              </w:rPr>
              <w:t xml:space="preserve"> Full cost recovery</w:t>
            </w:r>
          </w:p>
        </w:tc>
        <w:tc>
          <w:tcPr>
            <w:tcW w:w="708" w:type="pct"/>
            <w:tcBorders>
              <w:top w:val="nil"/>
              <w:left w:val="nil"/>
              <w:bottom w:val="nil"/>
              <w:right w:val="nil"/>
            </w:tcBorders>
            <w:shd w:val="clear" w:color="auto" w:fill="FDE9D9" w:themeFill="accent6" w:themeFillTint="33"/>
          </w:tcPr>
          <w:p w:rsidR="00AF7911" w:rsidRPr="008D70AD" w:rsidRDefault="00AF7911" w:rsidP="00D90D0B">
            <w:pPr>
              <w:pStyle w:val="TableHeadingLeft"/>
              <w:keepNext/>
              <w:jc w:val="center"/>
              <w:rPr>
                <w:b w:val="0"/>
              </w:rPr>
            </w:pPr>
            <w:r>
              <w:rPr>
                <w:b w:val="0"/>
              </w:rPr>
              <w:sym w:font="Wingdings" w:char="F0FC"/>
            </w:r>
          </w:p>
        </w:tc>
        <w:tc>
          <w:tcPr>
            <w:tcW w:w="2380" w:type="pct"/>
            <w:tcBorders>
              <w:top w:val="nil"/>
              <w:left w:val="nil"/>
              <w:bottom w:val="nil"/>
              <w:right w:val="nil"/>
            </w:tcBorders>
            <w:shd w:val="clear" w:color="auto" w:fill="FDE9D9" w:themeFill="accent6" w:themeFillTint="33"/>
          </w:tcPr>
          <w:p w:rsidR="00AF7911" w:rsidRPr="008D70AD" w:rsidRDefault="00AF7911" w:rsidP="00D90D0B">
            <w:pPr>
              <w:pStyle w:val="TableHeadingLeft"/>
              <w:keepNext/>
              <w:rPr>
                <w:b w:val="0"/>
              </w:rPr>
            </w:pPr>
            <w:r>
              <w:rPr>
                <w:b w:val="0"/>
              </w:rPr>
              <w:t>Price levels can be set to recover the revenue requirement</w:t>
            </w:r>
          </w:p>
        </w:tc>
      </w:tr>
      <w:tr w:rsidR="00AF7911" w:rsidRPr="00144F8C" w:rsidTr="00D90D0B">
        <w:trPr>
          <w:cantSplit/>
        </w:trPr>
        <w:tc>
          <w:tcPr>
            <w:tcW w:w="686" w:type="pct"/>
            <w:vMerge/>
            <w:tcBorders>
              <w:left w:val="nil"/>
              <w:bottom w:val="nil"/>
              <w:right w:val="nil"/>
            </w:tcBorders>
            <w:shd w:val="clear" w:color="auto" w:fill="FDE9D9" w:themeFill="accent6" w:themeFillTint="33"/>
          </w:tcPr>
          <w:p w:rsidR="00AF7911" w:rsidRDefault="00AF7911" w:rsidP="00D90D0B">
            <w:pPr>
              <w:pStyle w:val="TableTextLeft"/>
              <w:keepNext/>
              <w:rPr>
                <w:b/>
              </w:rPr>
            </w:pPr>
          </w:p>
        </w:tc>
        <w:tc>
          <w:tcPr>
            <w:tcW w:w="1226" w:type="pct"/>
            <w:tcBorders>
              <w:top w:val="nil"/>
              <w:left w:val="nil"/>
              <w:bottom w:val="nil"/>
              <w:right w:val="nil"/>
            </w:tcBorders>
            <w:shd w:val="clear" w:color="auto" w:fill="FDE9D9" w:themeFill="accent6" w:themeFillTint="33"/>
          </w:tcPr>
          <w:p w:rsidR="00AF7911" w:rsidRPr="008D70AD" w:rsidRDefault="00AF7911" w:rsidP="00D90D0B">
            <w:pPr>
              <w:pStyle w:val="TableTextLeft"/>
              <w:keepNext/>
            </w:pPr>
            <w:r>
              <w:t>5</w:t>
            </w:r>
            <w:r w:rsidRPr="008D70AD">
              <w:t xml:space="preserve"> Revenue sustainability</w:t>
            </w:r>
          </w:p>
        </w:tc>
        <w:tc>
          <w:tcPr>
            <w:tcW w:w="708" w:type="pct"/>
            <w:tcBorders>
              <w:top w:val="nil"/>
              <w:left w:val="nil"/>
              <w:bottom w:val="nil"/>
              <w:right w:val="nil"/>
            </w:tcBorders>
            <w:shd w:val="clear" w:color="auto" w:fill="FDE9D9" w:themeFill="accent6" w:themeFillTint="33"/>
          </w:tcPr>
          <w:p w:rsidR="00AF7911" w:rsidRPr="008D70AD" w:rsidRDefault="00AF7911" w:rsidP="00D90D0B">
            <w:pPr>
              <w:pStyle w:val="TableTextLeft"/>
              <w:keepNext/>
              <w:jc w:val="center"/>
            </w:pPr>
            <w:r>
              <w:rPr>
                <w:b/>
              </w:rPr>
              <w:sym w:font="Wingdings" w:char="F0FC"/>
            </w:r>
          </w:p>
        </w:tc>
        <w:tc>
          <w:tcPr>
            <w:tcW w:w="2380" w:type="pct"/>
            <w:tcBorders>
              <w:top w:val="nil"/>
              <w:left w:val="nil"/>
              <w:bottom w:val="nil"/>
              <w:right w:val="nil"/>
            </w:tcBorders>
            <w:shd w:val="clear" w:color="auto" w:fill="FDE9D9" w:themeFill="accent6" w:themeFillTint="33"/>
          </w:tcPr>
          <w:p w:rsidR="00AF7911" w:rsidRPr="008D70AD" w:rsidRDefault="00AF7911" w:rsidP="00990A87">
            <w:pPr>
              <w:pStyle w:val="TableTextLeft"/>
              <w:keepNext/>
            </w:pPr>
            <w:r>
              <w:t xml:space="preserve">Revenue risk will </w:t>
            </w:r>
            <w:r w:rsidR="00990A87">
              <w:t>increase with the introduction of a usage charge</w:t>
            </w:r>
          </w:p>
        </w:tc>
      </w:tr>
      <w:tr w:rsidR="00AF7911" w:rsidRPr="00144F8C" w:rsidTr="00D90D0B">
        <w:trPr>
          <w:cantSplit/>
          <w:trHeight w:val="318"/>
        </w:trPr>
        <w:tc>
          <w:tcPr>
            <w:tcW w:w="686" w:type="pct"/>
            <w:vMerge w:val="restart"/>
            <w:tcBorders>
              <w:top w:val="nil"/>
              <w:left w:val="nil"/>
              <w:right w:val="nil"/>
            </w:tcBorders>
            <w:shd w:val="clear" w:color="auto" w:fill="DBE5F1" w:themeFill="accent1" w:themeFillTint="33"/>
          </w:tcPr>
          <w:p w:rsidR="00AF7911" w:rsidRDefault="00AF7911" w:rsidP="00D90D0B">
            <w:pPr>
              <w:pStyle w:val="TableTextLeft"/>
              <w:keepNext/>
              <w:rPr>
                <w:b/>
              </w:rPr>
            </w:pPr>
            <w:r>
              <w:rPr>
                <w:b/>
              </w:rPr>
              <w:t>Community impact</w:t>
            </w:r>
          </w:p>
        </w:tc>
        <w:tc>
          <w:tcPr>
            <w:tcW w:w="1226" w:type="pct"/>
            <w:tcBorders>
              <w:top w:val="nil"/>
              <w:left w:val="nil"/>
              <w:bottom w:val="nil"/>
              <w:right w:val="nil"/>
            </w:tcBorders>
            <w:shd w:val="clear" w:color="auto" w:fill="DBE5F1" w:themeFill="accent1" w:themeFillTint="33"/>
          </w:tcPr>
          <w:p w:rsidR="00AF7911" w:rsidRPr="008D70AD" w:rsidRDefault="00AF7911" w:rsidP="00D90D0B">
            <w:pPr>
              <w:pStyle w:val="TableTextLeft"/>
              <w:keepNext/>
            </w:pPr>
            <w:r>
              <w:t>6</w:t>
            </w:r>
            <w:r w:rsidRPr="008D70AD">
              <w:t xml:space="preserve"> Stability over time</w:t>
            </w:r>
          </w:p>
        </w:tc>
        <w:tc>
          <w:tcPr>
            <w:tcW w:w="708" w:type="pct"/>
            <w:tcBorders>
              <w:top w:val="nil"/>
              <w:left w:val="nil"/>
              <w:bottom w:val="nil"/>
              <w:right w:val="nil"/>
            </w:tcBorders>
            <w:shd w:val="clear" w:color="auto" w:fill="DBE5F1" w:themeFill="accent1" w:themeFillTint="33"/>
          </w:tcPr>
          <w:p w:rsidR="00AF7911" w:rsidRPr="008D70AD" w:rsidRDefault="00AF7911" w:rsidP="00D90D0B">
            <w:pPr>
              <w:pStyle w:val="TableTextLeft"/>
              <w:keepNext/>
              <w:jc w:val="center"/>
            </w:pPr>
            <w:r>
              <w:rPr>
                <w:b/>
              </w:rPr>
              <w:sym w:font="Wingdings" w:char="F0FC"/>
            </w:r>
          </w:p>
        </w:tc>
        <w:tc>
          <w:tcPr>
            <w:tcW w:w="2380" w:type="pct"/>
            <w:tcBorders>
              <w:top w:val="nil"/>
              <w:left w:val="nil"/>
              <w:bottom w:val="nil"/>
              <w:right w:val="nil"/>
            </w:tcBorders>
            <w:shd w:val="clear" w:color="auto" w:fill="DBE5F1" w:themeFill="accent1" w:themeFillTint="33"/>
          </w:tcPr>
          <w:p w:rsidR="00AF7911" w:rsidRPr="008D70AD" w:rsidRDefault="00AF7911" w:rsidP="00D90D0B">
            <w:pPr>
              <w:pStyle w:val="TableTextLeft"/>
              <w:keepNext/>
            </w:pPr>
            <w:r>
              <w:t>Usage charge can be adjusted over time as the marginal cost changes</w:t>
            </w:r>
          </w:p>
        </w:tc>
      </w:tr>
      <w:tr w:rsidR="00AF7911" w:rsidRPr="00144F8C" w:rsidTr="00D90D0B">
        <w:trPr>
          <w:cantSplit/>
          <w:trHeight w:val="318"/>
        </w:trPr>
        <w:tc>
          <w:tcPr>
            <w:tcW w:w="686" w:type="pct"/>
            <w:vMerge/>
            <w:tcBorders>
              <w:left w:val="nil"/>
              <w:right w:val="nil"/>
            </w:tcBorders>
            <w:shd w:val="clear" w:color="auto" w:fill="DBE5F1" w:themeFill="accent1" w:themeFillTint="33"/>
          </w:tcPr>
          <w:p w:rsidR="00AF7911" w:rsidRDefault="00AF7911" w:rsidP="00D90D0B">
            <w:pPr>
              <w:pStyle w:val="TableTextLeft"/>
              <w:keepNext/>
              <w:jc w:val="center"/>
              <w:rPr>
                <w:b/>
              </w:rPr>
            </w:pPr>
          </w:p>
        </w:tc>
        <w:tc>
          <w:tcPr>
            <w:tcW w:w="1226" w:type="pct"/>
            <w:tcBorders>
              <w:top w:val="nil"/>
              <w:left w:val="nil"/>
              <w:bottom w:val="nil"/>
              <w:right w:val="nil"/>
            </w:tcBorders>
            <w:shd w:val="clear" w:color="auto" w:fill="DBE5F1" w:themeFill="accent1" w:themeFillTint="33"/>
          </w:tcPr>
          <w:p w:rsidR="00AF7911" w:rsidRPr="008D70AD" w:rsidRDefault="00AF7911" w:rsidP="00D90D0B">
            <w:pPr>
              <w:pStyle w:val="TableTextLeft"/>
              <w:keepNext/>
            </w:pPr>
            <w:r>
              <w:t>7</w:t>
            </w:r>
            <w:r w:rsidRPr="008D70AD">
              <w:t xml:space="preserve"> Transition arrangements</w:t>
            </w:r>
          </w:p>
        </w:tc>
        <w:tc>
          <w:tcPr>
            <w:tcW w:w="708" w:type="pct"/>
            <w:tcBorders>
              <w:top w:val="nil"/>
              <w:left w:val="nil"/>
              <w:bottom w:val="nil"/>
              <w:right w:val="nil"/>
            </w:tcBorders>
            <w:shd w:val="clear" w:color="auto" w:fill="DBE5F1" w:themeFill="accent1" w:themeFillTint="33"/>
          </w:tcPr>
          <w:p w:rsidR="00AF7911" w:rsidRPr="008D70AD" w:rsidRDefault="00AF7911" w:rsidP="001D3DB0">
            <w:pPr>
              <w:pStyle w:val="TableTextLeft"/>
              <w:keepNext/>
              <w:jc w:val="center"/>
            </w:pPr>
            <w:r>
              <w:rPr>
                <w:b/>
              </w:rPr>
              <w:sym w:font="Wingdings" w:char="F0FC"/>
            </w:r>
          </w:p>
        </w:tc>
        <w:tc>
          <w:tcPr>
            <w:tcW w:w="2380" w:type="pct"/>
            <w:tcBorders>
              <w:top w:val="nil"/>
              <w:left w:val="nil"/>
              <w:bottom w:val="nil"/>
              <w:right w:val="nil"/>
            </w:tcBorders>
            <w:shd w:val="clear" w:color="auto" w:fill="DBE5F1" w:themeFill="accent1" w:themeFillTint="33"/>
          </w:tcPr>
          <w:p w:rsidR="00AF7911" w:rsidRPr="008D70AD" w:rsidRDefault="004F0B12" w:rsidP="004F0B12">
            <w:pPr>
              <w:pStyle w:val="TableTextLeft"/>
              <w:keepNext/>
            </w:pPr>
            <w:r>
              <w:t>C</w:t>
            </w:r>
            <w:r w:rsidR="00AF7911">
              <w:t xml:space="preserve">ustomer impacts </w:t>
            </w:r>
            <w:r>
              <w:t>would depend on proxy volume measure</w:t>
            </w:r>
          </w:p>
        </w:tc>
      </w:tr>
      <w:tr w:rsidR="00AF7911" w:rsidRPr="00144F8C" w:rsidTr="00D90D0B">
        <w:trPr>
          <w:cantSplit/>
          <w:trHeight w:val="200"/>
        </w:trPr>
        <w:tc>
          <w:tcPr>
            <w:tcW w:w="686" w:type="pct"/>
            <w:vMerge/>
            <w:tcBorders>
              <w:left w:val="nil"/>
              <w:right w:val="nil"/>
            </w:tcBorders>
            <w:shd w:val="clear" w:color="auto" w:fill="DBE5F1" w:themeFill="accent1" w:themeFillTint="33"/>
          </w:tcPr>
          <w:p w:rsidR="00AF7911" w:rsidRDefault="00AF7911" w:rsidP="00D90D0B">
            <w:pPr>
              <w:pStyle w:val="TableTextLeft"/>
              <w:keepNext/>
              <w:jc w:val="center"/>
              <w:rPr>
                <w:b/>
              </w:rPr>
            </w:pPr>
          </w:p>
        </w:tc>
        <w:tc>
          <w:tcPr>
            <w:tcW w:w="1226" w:type="pct"/>
            <w:tcBorders>
              <w:top w:val="nil"/>
              <w:left w:val="nil"/>
              <w:bottom w:val="nil"/>
              <w:right w:val="nil"/>
            </w:tcBorders>
            <w:shd w:val="clear" w:color="auto" w:fill="DBE5F1" w:themeFill="accent1" w:themeFillTint="33"/>
          </w:tcPr>
          <w:p w:rsidR="00AF7911" w:rsidRPr="008D70AD" w:rsidRDefault="00AF7911" w:rsidP="00D90D0B">
            <w:pPr>
              <w:pStyle w:val="TableTextLeft"/>
              <w:keepNext/>
            </w:pPr>
            <w:r>
              <w:t>8</w:t>
            </w:r>
            <w:r w:rsidRPr="008D70AD">
              <w:t xml:space="preserve"> Simplicity</w:t>
            </w:r>
          </w:p>
        </w:tc>
        <w:tc>
          <w:tcPr>
            <w:tcW w:w="708" w:type="pct"/>
            <w:tcBorders>
              <w:top w:val="nil"/>
              <w:left w:val="nil"/>
              <w:bottom w:val="nil"/>
              <w:right w:val="nil"/>
            </w:tcBorders>
            <w:shd w:val="clear" w:color="auto" w:fill="DBE5F1" w:themeFill="accent1" w:themeFillTint="33"/>
          </w:tcPr>
          <w:p w:rsidR="00AF7911" w:rsidRPr="008D70AD" w:rsidRDefault="009B6988" w:rsidP="00D90D0B">
            <w:pPr>
              <w:pStyle w:val="TableTextLeft"/>
              <w:keepNext/>
              <w:jc w:val="center"/>
            </w:pPr>
            <w:r>
              <w:sym w:font="Wingdings" w:char="F0FB"/>
            </w:r>
          </w:p>
        </w:tc>
        <w:tc>
          <w:tcPr>
            <w:tcW w:w="2380" w:type="pct"/>
            <w:tcBorders>
              <w:top w:val="nil"/>
              <w:left w:val="nil"/>
              <w:bottom w:val="nil"/>
              <w:right w:val="nil"/>
            </w:tcBorders>
            <w:shd w:val="clear" w:color="auto" w:fill="DBE5F1" w:themeFill="accent1" w:themeFillTint="33"/>
          </w:tcPr>
          <w:p w:rsidR="00AF7911" w:rsidRPr="008D70AD" w:rsidRDefault="00990A87" w:rsidP="00990A87">
            <w:pPr>
              <w:pStyle w:val="TableTextLeft"/>
              <w:keepNext/>
            </w:pPr>
            <w:r>
              <w:t xml:space="preserve">More complicated than </w:t>
            </w:r>
            <w:r w:rsidR="00AF7911">
              <w:t xml:space="preserve">current </w:t>
            </w:r>
            <w:r w:rsidR="00B14BFA">
              <w:t>supply</w:t>
            </w:r>
            <w:r>
              <w:t xml:space="preserve"> charge </w:t>
            </w:r>
            <w:r w:rsidR="00AF7911">
              <w:t xml:space="preserve">structure  </w:t>
            </w:r>
          </w:p>
        </w:tc>
      </w:tr>
      <w:tr w:rsidR="00AF7911" w:rsidRPr="00144F8C" w:rsidTr="00D90D0B">
        <w:trPr>
          <w:cantSplit/>
        </w:trPr>
        <w:tc>
          <w:tcPr>
            <w:tcW w:w="686" w:type="pct"/>
            <w:vMerge/>
            <w:tcBorders>
              <w:left w:val="nil"/>
              <w:bottom w:val="single" w:sz="12" w:space="0" w:color="1F497D" w:themeColor="text2"/>
              <w:right w:val="nil"/>
            </w:tcBorders>
            <w:shd w:val="clear" w:color="auto" w:fill="DBE5F1" w:themeFill="accent1" w:themeFillTint="33"/>
          </w:tcPr>
          <w:p w:rsidR="00AF7911" w:rsidRDefault="00AF7911" w:rsidP="00D90D0B">
            <w:pPr>
              <w:pStyle w:val="TableTextLeft"/>
              <w:keepNext/>
              <w:jc w:val="center"/>
              <w:rPr>
                <w:b/>
              </w:rPr>
            </w:pPr>
          </w:p>
        </w:tc>
        <w:tc>
          <w:tcPr>
            <w:tcW w:w="1226" w:type="pct"/>
            <w:tcBorders>
              <w:top w:val="nil"/>
              <w:left w:val="nil"/>
              <w:bottom w:val="single" w:sz="12" w:space="0" w:color="1F497D" w:themeColor="text2"/>
              <w:right w:val="nil"/>
            </w:tcBorders>
            <w:shd w:val="clear" w:color="auto" w:fill="DBE5F1" w:themeFill="accent1" w:themeFillTint="33"/>
          </w:tcPr>
          <w:p w:rsidR="00AF7911" w:rsidRPr="008D70AD" w:rsidRDefault="00AF7911" w:rsidP="00D90D0B">
            <w:pPr>
              <w:pStyle w:val="TableTextLeft"/>
              <w:keepNext/>
            </w:pPr>
            <w:r>
              <w:t>9</w:t>
            </w:r>
            <w:r w:rsidRPr="008D70AD">
              <w:t xml:space="preserve"> Transparency</w:t>
            </w:r>
          </w:p>
        </w:tc>
        <w:tc>
          <w:tcPr>
            <w:tcW w:w="708" w:type="pct"/>
            <w:tcBorders>
              <w:top w:val="nil"/>
              <w:left w:val="nil"/>
              <w:bottom w:val="single" w:sz="12" w:space="0" w:color="1F497D" w:themeColor="text2"/>
              <w:right w:val="nil"/>
            </w:tcBorders>
            <w:shd w:val="clear" w:color="auto" w:fill="DBE5F1" w:themeFill="accent1" w:themeFillTint="33"/>
          </w:tcPr>
          <w:p w:rsidR="00AF7911" w:rsidRPr="008D70AD" w:rsidRDefault="00AF7911" w:rsidP="00D90D0B">
            <w:pPr>
              <w:pStyle w:val="TableTextLeft"/>
              <w:keepNext/>
              <w:jc w:val="center"/>
            </w:pPr>
            <w:r>
              <w:rPr>
                <w:b/>
              </w:rPr>
              <w:sym w:font="Wingdings" w:char="F0FC"/>
            </w:r>
          </w:p>
        </w:tc>
        <w:tc>
          <w:tcPr>
            <w:tcW w:w="2380" w:type="pct"/>
            <w:tcBorders>
              <w:top w:val="nil"/>
              <w:left w:val="nil"/>
              <w:bottom w:val="single" w:sz="12" w:space="0" w:color="1F497D" w:themeColor="text2"/>
              <w:right w:val="nil"/>
            </w:tcBorders>
            <w:shd w:val="clear" w:color="auto" w:fill="DBE5F1" w:themeFill="accent1" w:themeFillTint="33"/>
          </w:tcPr>
          <w:p w:rsidR="00AF7911" w:rsidRPr="008D70AD" w:rsidRDefault="00AF7911" w:rsidP="009B6988">
            <w:pPr>
              <w:pStyle w:val="TableTextLeft"/>
              <w:keepNext/>
            </w:pPr>
            <w:r>
              <w:t>W</w:t>
            </w:r>
            <w:r w:rsidR="009B6988">
              <w:t>ould</w:t>
            </w:r>
            <w:r>
              <w:t xml:space="preserve"> be set through a transparent and public process</w:t>
            </w:r>
          </w:p>
        </w:tc>
      </w:tr>
    </w:tbl>
    <w:p w:rsidR="005E410B" w:rsidRDefault="005E410B" w:rsidP="005E410B">
      <w:pPr>
        <w:pStyle w:val="Heading2"/>
      </w:pPr>
      <w:bookmarkStart w:id="150" w:name="_Toc460572223"/>
      <w:r>
        <w:t>Submissions and Commission’s consideration</w:t>
      </w:r>
      <w:bookmarkEnd w:id="150"/>
    </w:p>
    <w:p w:rsidR="005E410B" w:rsidRDefault="005E410B" w:rsidP="00F22E2F">
      <w:pPr>
        <w:pStyle w:val="Heading3"/>
      </w:pPr>
      <w:r>
        <w:t>Submissions</w:t>
      </w:r>
    </w:p>
    <w:p w:rsidR="009F0BC1" w:rsidRDefault="00AB35C8" w:rsidP="005E410B">
      <w:r>
        <w:t xml:space="preserve">In addition to comments noted </w:t>
      </w:r>
      <w:r w:rsidR="00EC014B">
        <w:t>above</w:t>
      </w:r>
      <w:r>
        <w:t xml:space="preserve">, </w:t>
      </w:r>
      <w:r w:rsidR="009F0BC1">
        <w:t>Icon Water further stated that:</w:t>
      </w:r>
    </w:p>
    <w:p w:rsidR="009F0BC1" w:rsidRDefault="009F0BC1" w:rsidP="009F0BC1">
      <w:pPr>
        <w:pStyle w:val="Quote"/>
      </w:pPr>
      <w:r w:rsidRPr="009F0BC1">
        <w:t>Any benefits from introducing volumetric sewerage services pricing would be significantly lower than benefits from other tariff structure reforms discussed in this submission. Icon Water’s view is that sewerage pricing reform in the period commencing in 2018 should focus on introducing a trade waste charging regime.</w:t>
      </w:r>
      <w:r>
        <w:rPr>
          <w:rStyle w:val="FootnoteReference"/>
        </w:rPr>
        <w:footnoteReference w:id="71"/>
      </w:r>
    </w:p>
    <w:p w:rsidR="00D8572C" w:rsidRPr="00D8572C" w:rsidRDefault="00D8572C" w:rsidP="00D8572C">
      <w:r w:rsidRPr="00D8572C">
        <w:lastRenderedPageBreak/>
        <w:t xml:space="preserve">Icon Water also noted that during spells of dry weather, there may actually be cost savings from customer </w:t>
      </w:r>
      <w:r>
        <w:t xml:space="preserve">sewage </w:t>
      </w:r>
      <w:r w:rsidRPr="00D8572C">
        <w:t>discharge in some circumstances due to avoided flushing</w:t>
      </w:r>
      <w:r>
        <w:t xml:space="preserve"> by Icon Water</w:t>
      </w:r>
      <w:r w:rsidR="002867DC">
        <w:t xml:space="preserve"> to clear sewerage pipes</w:t>
      </w:r>
      <w:r w:rsidRPr="00D8572C">
        <w:t>.</w:t>
      </w:r>
      <w:r>
        <w:rPr>
          <w:rStyle w:val="FootnoteReference"/>
        </w:rPr>
        <w:footnoteReference w:id="72"/>
      </w:r>
    </w:p>
    <w:p w:rsidR="004D3492" w:rsidRDefault="005203CD" w:rsidP="004D3492">
      <w:r w:rsidRPr="004D3492">
        <w:t xml:space="preserve">The Federal Golf Club submitted that </w:t>
      </w:r>
      <w:r w:rsidR="004D3492">
        <w:t>it did not support a sewage usage charge based on water usage:</w:t>
      </w:r>
    </w:p>
    <w:p w:rsidR="004D3492" w:rsidRDefault="004D3492" w:rsidP="004D3492">
      <w:pPr>
        <w:pStyle w:val="Quote"/>
      </w:pPr>
      <w:r>
        <w:t xml:space="preserve">We </w:t>
      </w:r>
      <w:r w:rsidRPr="004D3492">
        <w:t>would not like to see a water proxy used for the sewerage charge – I think this would be unfair for large water users like ourselves</w:t>
      </w:r>
      <w:r>
        <w:t>.</w:t>
      </w:r>
      <w:r>
        <w:rPr>
          <w:rStyle w:val="FootnoteReference"/>
        </w:rPr>
        <w:footnoteReference w:id="73"/>
      </w:r>
    </w:p>
    <w:p w:rsidR="00303AB7" w:rsidRPr="00303AB7" w:rsidRDefault="00303AB7" w:rsidP="00303AB7">
      <w:r>
        <w:t xml:space="preserve">Dr David Denham submitted that </w:t>
      </w:r>
      <w:r w:rsidR="00B11730">
        <w:t xml:space="preserve">he would support a scheme involving sewage </w:t>
      </w:r>
      <w:r w:rsidR="00535E01">
        <w:t xml:space="preserve">usage </w:t>
      </w:r>
      <w:r w:rsidR="00B11730">
        <w:t>charges where large users pay more.</w:t>
      </w:r>
      <w:r w:rsidR="00B11730">
        <w:rPr>
          <w:rStyle w:val="FootnoteReference"/>
        </w:rPr>
        <w:footnoteReference w:id="74"/>
      </w:r>
    </w:p>
    <w:p w:rsidR="005E410B" w:rsidRDefault="005E410B" w:rsidP="00F22E2F">
      <w:pPr>
        <w:pStyle w:val="Heading3"/>
      </w:pPr>
      <w:r>
        <w:t>Commission’s consideration</w:t>
      </w:r>
    </w:p>
    <w:p w:rsidR="00666BD7" w:rsidRDefault="00EC014B" w:rsidP="00666BD7">
      <w:r>
        <w:t>I</w:t>
      </w:r>
      <w:r w:rsidR="00666BD7">
        <w:t xml:space="preserve">n contrast to Icon Water’s one-part </w:t>
      </w:r>
      <w:r w:rsidR="00B14BFA">
        <w:t>supply</w:t>
      </w:r>
      <w:r w:rsidR="00666BD7">
        <w:t xml:space="preserve"> charge tariff, a number of utilities in other jurisdictions apply a two-part tariff </w:t>
      </w:r>
      <w:r w:rsidR="00666BD7" w:rsidRPr="00981C58">
        <w:t>for sewerage services</w:t>
      </w:r>
      <w:r w:rsidR="00666BD7">
        <w:t xml:space="preserve">–a supply charge and a </w:t>
      </w:r>
      <w:r w:rsidR="00535E01">
        <w:t>usage</w:t>
      </w:r>
      <w:r w:rsidR="00666BD7">
        <w:t>-based rate.</w:t>
      </w:r>
    </w:p>
    <w:p w:rsidR="00666BD7" w:rsidRDefault="00666BD7" w:rsidP="00666BD7">
      <w:r w:rsidRPr="0010007A">
        <w:t xml:space="preserve">Unlike the economic literature on pricing of water, there is almost no literature on the pricing of </w:t>
      </w:r>
      <w:r>
        <w:t>sewerage services</w:t>
      </w:r>
      <w:r w:rsidRPr="0010007A">
        <w:t xml:space="preserve">. </w:t>
      </w:r>
      <w:r>
        <w:t xml:space="preserve">Nonetheless, the argument for applying a </w:t>
      </w:r>
      <w:r w:rsidR="00535E01">
        <w:t>usage</w:t>
      </w:r>
      <w:r>
        <w:t xml:space="preserve"> rate based on the sewage volume disposed of through the sewerage system is essentially the same–that is, to </w:t>
      </w:r>
      <w:r w:rsidRPr="00916457">
        <w:t xml:space="preserve">communicate the costs of providing </w:t>
      </w:r>
      <w:r>
        <w:t xml:space="preserve">sewerage </w:t>
      </w:r>
      <w:r w:rsidRPr="00916457">
        <w:t xml:space="preserve">services to customers and, in theory, allow customers to balance the costs and benefits of producing </w:t>
      </w:r>
      <w:r>
        <w:t>sewage</w:t>
      </w:r>
      <w:r w:rsidRPr="00916457">
        <w:t xml:space="preserve"> such that they would produce an efficient level.</w:t>
      </w:r>
    </w:p>
    <w:p w:rsidR="001B7C16" w:rsidRDefault="001B7C16" w:rsidP="001B7C16">
      <w:r>
        <w:t xml:space="preserve">The critical </w:t>
      </w:r>
      <w:r w:rsidR="00F069FD">
        <w:t xml:space="preserve">question </w:t>
      </w:r>
      <w:r>
        <w:t xml:space="preserve">is whether </w:t>
      </w:r>
      <w:r w:rsidR="00912D4D">
        <w:t xml:space="preserve">the economic efficiency benefits </w:t>
      </w:r>
      <w:r w:rsidR="00F069FD">
        <w:t>outweigh the costs of moving</w:t>
      </w:r>
      <w:r w:rsidR="00970D6B">
        <w:t xml:space="preserve"> from the current tariff </w:t>
      </w:r>
      <w:r w:rsidR="00F069FD">
        <w:t xml:space="preserve">to </w:t>
      </w:r>
      <w:r w:rsidR="00970D6B">
        <w:t xml:space="preserve">one </w:t>
      </w:r>
      <w:r w:rsidR="00F069FD">
        <w:t>with a single usage charge set with reference to marginal cost. Icon Water’s view is that the answer to this question is a clear no.</w:t>
      </w:r>
      <w:r w:rsidR="00970D6B" w:rsidRPr="00970D6B">
        <w:t xml:space="preserve"> </w:t>
      </w:r>
      <w:r w:rsidR="00970D6B">
        <w:t>The Commission agrees with this for several reasons.</w:t>
      </w:r>
    </w:p>
    <w:p w:rsidR="00C371A5" w:rsidRDefault="00F069FD" w:rsidP="00BB19BF">
      <w:r>
        <w:t xml:space="preserve">The first </w:t>
      </w:r>
      <w:r w:rsidR="00970D6B">
        <w:t>concerns t</w:t>
      </w:r>
      <w:r>
        <w:t xml:space="preserve">he practical difficulty associated with introducing usage-based pricing </w:t>
      </w:r>
      <w:r w:rsidR="00970D6B">
        <w:t>given that</w:t>
      </w:r>
      <w:r w:rsidRPr="008446AB">
        <w:t xml:space="preserve"> </w:t>
      </w:r>
      <w:r>
        <w:t xml:space="preserve">sewage </w:t>
      </w:r>
      <w:r w:rsidRPr="008446AB">
        <w:t xml:space="preserve">is not metered and no information is available on the volume of </w:t>
      </w:r>
      <w:r>
        <w:t xml:space="preserve">sewage </w:t>
      </w:r>
      <w:r w:rsidRPr="008446AB">
        <w:t xml:space="preserve">produced by any particular customer. In addition, there is currently no way in which to monitor the type or strength of </w:t>
      </w:r>
      <w:r>
        <w:t xml:space="preserve">sewage </w:t>
      </w:r>
      <w:r w:rsidRPr="008446AB">
        <w:t>produced and therefore the cost associated with trea</w:t>
      </w:r>
      <w:r>
        <w:t>tment.</w:t>
      </w:r>
    </w:p>
    <w:p w:rsidR="00BB19BF" w:rsidRPr="00BB19BF" w:rsidRDefault="00F069FD" w:rsidP="00BB19BF">
      <w:r>
        <w:t>Other utilities have sidestepped the metering issue by using water consumption as a proxy for discharge into the sewerage system. The premise here is that there is a direct relationship between the amount of indoor water used and the volume of sewage that is discharged into the sewerage network. This approach therefore requires the application of a seasonal factor, to account for the seasonal pattern of outdoor water use.</w:t>
      </w:r>
      <w:r w:rsidR="00C371A5">
        <w:t xml:space="preserve"> </w:t>
      </w:r>
      <w:r w:rsidR="00240538">
        <w:t xml:space="preserve">The </w:t>
      </w:r>
      <w:r w:rsidR="00240538">
        <w:lastRenderedPageBreak/>
        <w:t>complexit</w:t>
      </w:r>
      <w:r w:rsidR="00C371A5">
        <w:t>ies</w:t>
      </w:r>
      <w:r w:rsidR="00240538">
        <w:t xml:space="preserve"> underlying this approach should not be underestimated, as a quick </w:t>
      </w:r>
      <w:r w:rsidR="0015304A">
        <w:t>perusal</w:t>
      </w:r>
      <w:r w:rsidR="00C371A5">
        <w:t xml:space="preserve"> </w:t>
      </w:r>
      <w:r w:rsidR="00240538">
        <w:t>of Melbourne’s City West Water pricing handbook will reveal.</w:t>
      </w:r>
      <w:r w:rsidR="00240538">
        <w:rPr>
          <w:rStyle w:val="FootnoteReference"/>
        </w:rPr>
        <w:footnoteReference w:id="75"/>
      </w:r>
    </w:p>
    <w:p w:rsidR="00752D68" w:rsidRDefault="00C371A5" w:rsidP="00752D68">
      <w:r>
        <w:t xml:space="preserve">The second reason is that </w:t>
      </w:r>
      <w:r w:rsidR="00752D68">
        <w:t>adding a usage component requires a forecast of sewage discharge in order to calculate prices in advance of the regulatory year. If water is used as a proxy, any revenue uncertainty associated with water volumes would then be extended to Icon Water’s sewerage services business.</w:t>
      </w:r>
    </w:p>
    <w:p w:rsidR="001B7C16" w:rsidRDefault="00710A58" w:rsidP="00666BD7">
      <w:r>
        <w:t xml:space="preserve">The third reason is that, as noted by Icon Water, </w:t>
      </w:r>
      <w:r w:rsidRPr="000040CD">
        <w:t xml:space="preserve">lower volumes </w:t>
      </w:r>
      <w:r>
        <w:t xml:space="preserve">entering the sewerage network </w:t>
      </w:r>
      <w:r w:rsidRPr="000040CD">
        <w:t>do not necessarily translate into reduced costs for</w:t>
      </w:r>
      <w:r>
        <w:t xml:space="preserve"> Icon Water</w:t>
      </w:r>
      <w:r w:rsidRPr="000040CD">
        <w:t>.</w:t>
      </w:r>
      <w:r>
        <w:t xml:space="preserve"> For example, low sewage volumes during a drought can result in difficulties moving sewage through the network. A classic example of this was played out in the Zimbabwean city of Bulawayo in 2012, which involved a simultaneous ‘big flush’ by all community residents to move congealed sewage through the system.</w:t>
      </w:r>
      <w:r>
        <w:rPr>
          <w:rStyle w:val="FootnoteReference"/>
        </w:rPr>
        <w:footnoteReference w:id="76"/>
      </w:r>
    </w:p>
    <w:p w:rsidR="005E410B" w:rsidRDefault="005E410B" w:rsidP="00F22E2F">
      <w:pPr>
        <w:pStyle w:val="Heading3"/>
      </w:pPr>
      <w:r>
        <w:t>Draft position</w:t>
      </w:r>
    </w:p>
    <w:p w:rsidR="005E410B" w:rsidRPr="00B84135" w:rsidRDefault="005E410B" w:rsidP="005E410B">
      <w:r>
        <w:t xml:space="preserve">The Commission’s draft position is </w:t>
      </w:r>
      <w:r w:rsidR="009D14C1">
        <w:t>that</w:t>
      </w:r>
      <w:r w:rsidR="00251C30">
        <w:t xml:space="preserve">, particularly in the absence of reliable measure of actual discharge volumes, </w:t>
      </w:r>
      <w:r w:rsidR="009D14C1">
        <w:t xml:space="preserve">it is </w:t>
      </w:r>
      <w:r w:rsidR="00320D1B">
        <w:t>un</w:t>
      </w:r>
      <w:r w:rsidR="009D14C1">
        <w:t xml:space="preserve">likely that </w:t>
      </w:r>
      <w:r w:rsidR="00251C30">
        <w:t xml:space="preserve">any potential economic </w:t>
      </w:r>
      <w:r w:rsidR="00730237">
        <w:t>efficiency benefits of</w:t>
      </w:r>
      <w:r w:rsidR="009D14C1">
        <w:t xml:space="preserve"> introducing a sewage </w:t>
      </w:r>
      <w:r w:rsidR="00535E01">
        <w:t xml:space="preserve">usage </w:t>
      </w:r>
      <w:r w:rsidR="009D14C1">
        <w:t xml:space="preserve">charge </w:t>
      </w:r>
      <w:r w:rsidR="00320D1B">
        <w:t xml:space="preserve">will </w:t>
      </w:r>
      <w:r w:rsidR="009D14C1">
        <w:t>outweigh the costs.</w:t>
      </w:r>
      <w:r w:rsidR="00251C30">
        <w:t xml:space="preserve"> </w:t>
      </w:r>
      <w:r w:rsidR="0053648F">
        <w:t xml:space="preserve">The </w:t>
      </w:r>
      <w:r w:rsidR="00CD502B">
        <w:t xml:space="preserve">Commission therefore recommends that the current </w:t>
      </w:r>
      <w:r w:rsidR="00B14BFA">
        <w:t>supply</w:t>
      </w:r>
      <w:r w:rsidR="00CD502B">
        <w:t xml:space="preserve"> charge tarif</w:t>
      </w:r>
      <w:r w:rsidR="00251C30">
        <w:t>f structure should be retained.</w:t>
      </w:r>
    </w:p>
    <w:p w:rsidR="00CF184D" w:rsidRDefault="005E410B" w:rsidP="005E410B">
      <w:pPr>
        <w:pStyle w:val="Heading2"/>
      </w:pPr>
      <w:bookmarkStart w:id="151" w:name="_Toc460572224"/>
      <w:r>
        <w:t>Trade waste pricing</w:t>
      </w:r>
      <w:bookmarkEnd w:id="151"/>
    </w:p>
    <w:p w:rsidR="00E043C3" w:rsidRDefault="00E043C3" w:rsidP="00E043C3">
      <w:pPr>
        <w:pStyle w:val="Heading3"/>
      </w:pPr>
      <w:r>
        <w:t>Background</w:t>
      </w:r>
    </w:p>
    <w:p w:rsidR="008A2CA3" w:rsidRDefault="008A4F05" w:rsidP="008A4F05">
      <w:r>
        <w:t xml:space="preserve">In the ACT, non-domestic </w:t>
      </w:r>
      <w:r w:rsidRPr="00691089">
        <w:t>sewage</w:t>
      </w:r>
      <w:r>
        <w:t xml:space="preserve">, also </w:t>
      </w:r>
      <w:r w:rsidRPr="00691089">
        <w:t xml:space="preserve">known as </w:t>
      </w:r>
      <w:r>
        <w:t>t</w:t>
      </w:r>
      <w:r w:rsidRPr="00691089">
        <w:t>rade waste</w:t>
      </w:r>
      <w:r>
        <w:t xml:space="preserve">, that requires more effort to treat than standard residential sewage, must be approved by Icon Water </w:t>
      </w:r>
      <w:r w:rsidRPr="00691089">
        <w:t>before discharge</w:t>
      </w:r>
      <w:r>
        <w:t xml:space="preserve"> into the sewer</w:t>
      </w:r>
      <w:r w:rsidRPr="00691089">
        <w:t xml:space="preserve">. </w:t>
      </w:r>
      <w:r>
        <w:t>Icon Water notes that t</w:t>
      </w:r>
      <w:r w:rsidRPr="00691089">
        <w:t xml:space="preserve">his </w:t>
      </w:r>
      <w:r>
        <w:t xml:space="preserve">category also includes discharges from </w:t>
      </w:r>
      <w:r w:rsidRPr="00691089">
        <w:t>sewage recycling plants, cooling towers, rainwater filters,</w:t>
      </w:r>
      <w:r>
        <w:t xml:space="preserve"> garbage bin enclosures, pumped </w:t>
      </w:r>
      <w:r w:rsidRPr="00691089">
        <w:t>sewage and stormwater run-off directed to the sewer.</w:t>
      </w:r>
    </w:p>
    <w:p w:rsidR="008A4F05" w:rsidRPr="000040CD" w:rsidRDefault="008A4F05" w:rsidP="008A2CA3">
      <w:r>
        <w:t>In contrast to many other water and sewerage utilities however, Icon Water does not currently have a specific pricing regime for trade waste.</w:t>
      </w:r>
      <w:r w:rsidR="008A2CA3">
        <w:t xml:space="preserve"> </w:t>
      </w:r>
      <w:r w:rsidRPr="000040CD">
        <w:t>Paragraph 66(iii) of the N</w:t>
      </w:r>
      <w:r>
        <w:t xml:space="preserve">ational </w:t>
      </w:r>
      <w:r w:rsidRPr="000040CD">
        <w:t>W</w:t>
      </w:r>
      <w:r>
        <w:t xml:space="preserve">ater </w:t>
      </w:r>
      <w:r w:rsidRPr="000040CD">
        <w:t>I</w:t>
      </w:r>
      <w:r>
        <w:t>nitiative</w:t>
      </w:r>
      <w:r w:rsidRPr="000040CD">
        <w:t xml:space="preserve"> states that state</w:t>
      </w:r>
      <w:r>
        <w:t>s and territories agree to the:</w:t>
      </w:r>
    </w:p>
    <w:p w:rsidR="008A4F05" w:rsidRDefault="008A4F05" w:rsidP="008A4F05">
      <w:pPr>
        <w:pStyle w:val="Quote"/>
        <w:keepNext/>
      </w:pPr>
      <w:r w:rsidRPr="000040CD">
        <w:lastRenderedPageBreak/>
        <w:t>review and development of pricing policies for trade wastes that encourage the most cost effective methods of treating industrial wastes, whether at the source or at downstream plants, by 2006</w:t>
      </w:r>
      <w:r>
        <w:t>.</w:t>
      </w:r>
      <w:r w:rsidRPr="000040CD">
        <w:rPr>
          <w:rStyle w:val="FootnoteReference"/>
        </w:rPr>
        <w:footnoteReference w:id="77"/>
      </w:r>
    </w:p>
    <w:p w:rsidR="00E043C3" w:rsidRDefault="00E043C3" w:rsidP="00E043C3">
      <w:pPr>
        <w:pStyle w:val="Heading3"/>
      </w:pPr>
      <w:r>
        <w:t>Submissions</w:t>
      </w:r>
    </w:p>
    <w:p w:rsidR="008A4F05" w:rsidRDefault="008A4F05" w:rsidP="00E043C3">
      <w:r>
        <w:t>ACAT submitted that:</w:t>
      </w:r>
    </w:p>
    <w:p w:rsidR="00E043C3" w:rsidRPr="008A4F05" w:rsidRDefault="008A4F05" w:rsidP="008A4F05">
      <w:pPr>
        <w:pStyle w:val="Quote"/>
      </w:pPr>
      <w:r w:rsidRPr="008A4F05">
        <w:t xml:space="preserve">The </w:t>
      </w:r>
      <w:r>
        <w:t xml:space="preserve">[sewerage charging] </w:t>
      </w:r>
      <w:r w:rsidRPr="008A4F05">
        <w:t>system should ensure large</w:t>
      </w:r>
      <w:r>
        <w:t xml:space="preserve"> </w:t>
      </w:r>
      <w:r w:rsidRPr="008A4F05">
        <w:t>businesses are paying appropriately for quantity and toxicity of the</w:t>
      </w:r>
      <w:r>
        <w:t xml:space="preserve"> </w:t>
      </w:r>
      <w:r w:rsidRPr="008A4F05">
        <w:t>waste discharged into the sewerage system.</w:t>
      </w:r>
    </w:p>
    <w:p w:rsidR="008A4F05" w:rsidRDefault="008A4F05" w:rsidP="00E043C3">
      <w:r>
        <w:t xml:space="preserve">In </w:t>
      </w:r>
      <w:r w:rsidR="00242255">
        <w:t xml:space="preserve">its </w:t>
      </w:r>
      <w:r>
        <w:t>submissions, Icon Water indicated that it is working towards introducing a trade waste charging regime in 20-18 to signal the costs imposed on the sewerage network by non-domestic discharge and align with the National Water Initiative principles.</w:t>
      </w:r>
      <w:r>
        <w:rPr>
          <w:rStyle w:val="FootnoteReference"/>
        </w:rPr>
        <w:footnoteReference w:id="78"/>
      </w:r>
      <w:r>
        <w:t xml:space="preserve">    </w:t>
      </w:r>
    </w:p>
    <w:p w:rsidR="00E043C3" w:rsidRDefault="00E043C3" w:rsidP="00E043C3">
      <w:pPr>
        <w:pStyle w:val="Heading3"/>
      </w:pPr>
      <w:r>
        <w:t>Commission’s consideration</w:t>
      </w:r>
    </w:p>
    <w:p w:rsidR="00E043C3" w:rsidRDefault="003F5F7C" w:rsidP="00E043C3">
      <w:r>
        <w:t>Consistent with cost-reflective pricing, the Commission has in the past noted that where Icon Water incurs material trade waste–related increased costs, these higher costs should be passed on to the relevant customers.</w:t>
      </w:r>
      <w:r w:rsidR="007E0686">
        <w:t xml:space="preserve"> </w:t>
      </w:r>
      <w:r>
        <w:t xml:space="preserve">The Commission welcomes Icon Water’s commitment to introducing a trade waste pricing regime in the forthcoming regulatory period </w:t>
      </w:r>
    </w:p>
    <w:p w:rsidR="00E043C3" w:rsidRDefault="00E043C3" w:rsidP="00E043C3">
      <w:pPr>
        <w:pStyle w:val="Heading3"/>
      </w:pPr>
      <w:r>
        <w:t>Draft position</w:t>
      </w:r>
    </w:p>
    <w:p w:rsidR="00E043C3" w:rsidRDefault="00B13F01" w:rsidP="00E043C3">
      <w:r>
        <w:t>The Commission supports the introduction of trade waste pricing to ensure that the actual costs imposed on the sewerage network are signalled to customers. The Commission will assess Icon Water’s trade waste pricing proposal</w:t>
      </w:r>
      <w:r w:rsidRPr="00B13F01">
        <w:t xml:space="preserve"> </w:t>
      </w:r>
      <w:r>
        <w:t>on its merits, when presented in the lead up to the next regulatory period.</w:t>
      </w:r>
    </w:p>
    <w:p w:rsidR="00B13F01" w:rsidRDefault="00B13F01" w:rsidP="00E043C3"/>
    <w:p w:rsidR="00B13F01" w:rsidRDefault="00B13F01" w:rsidP="00E043C3"/>
    <w:p w:rsidR="00E043C3" w:rsidRDefault="00E043C3" w:rsidP="00E043C3"/>
    <w:p w:rsidR="00E043C3" w:rsidRPr="00E043C3" w:rsidRDefault="00E043C3" w:rsidP="00E043C3">
      <w:pPr>
        <w:sectPr w:rsidR="00E043C3" w:rsidRPr="00E043C3" w:rsidSect="00E12A27">
          <w:headerReference w:type="even" r:id="rId67"/>
          <w:headerReference w:type="default" r:id="rId68"/>
          <w:endnotePr>
            <w:numFmt w:val="decimal"/>
          </w:endnotePr>
          <w:type w:val="continuous"/>
          <w:pgSz w:w="11907" w:h="16840" w:code="9"/>
          <w:pgMar w:top="2268" w:right="2098" w:bottom="1701" w:left="2098" w:header="578" w:footer="578" w:gutter="0"/>
          <w:cols w:space="720"/>
          <w:docGrid w:linePitch="299"/>
        </w:sectPr>
      </w:pPr>
    </w:p>
    <w:p w:rsidR="00A51405" w:rsidRDefault="00CE6140" w:rsidP="00A51405">
      <w:pPr>
        <w:pStyle w:val="Heading1"/>
        <w:sectPr w:rsidR="00A51405" w:rsidSect="00FD0141">
          <w:headerReference w:type="even" r:id="rId69"/>
          <w:headerReference w:type="default" r:id="rId70"/>
          <w:endnotePr>
            <w:numFmt w:val="decimal"/>
          </w:endnotePr>
          <w:type w:val="oddPage"/>
          <w:pgSz w:w="11907" w:h="16840" w:code="9"/>
          <w:pgMar w:top="2268" w:right="2098" w:bottom="1701" w:left="2098" w:header="578" w:footer="578" w:gutter="0"/>
          <w:cols w:space="720"/>
          <w:noEndnote/>
          <w:docGrid w:linePitch="299"/>
        </w:sectPr>
      </w:pPr>
      <w:bookmarkStart w:id="152" w:name="_Ref454886877"/>
      <w:bookmarkStart w:id="153" w:name="_Ref454888001"/>
      <w:bookmarkStart w:id="154" w:name="_Ref454888010"/>
      <w:bookmarkStart w:id="155" w:name="_Ref454888018"/>
      <w:bookmarkStart w:id="156" w:name="_Ref454888029"/>
      <w:bookmarkStart w:id="157" w:name="_Ref454888039"/>
      <w:bookmarkStart w:id="158" w:name="_Toc460572225"/>
      <w:bookmarkStart w:id="159" w:name="_Ref460828934"/>
      <w:bookmarkStart w:id="160" w:name="_Ref460828950"/>
      <w:r>
        <w:lastRenderedPageBreak/>
        <w:t>Implementation</w:t>
      </w:r>
      <w:bookmarkEnd w:id="152"/>
      <w:bookmarkEnd w:id="153"/>
      <w:bookmarkEnd w:id="154"/>
      <w:bookmarkEnd w:id="155"/>
      <w:bookmarkEnd w:id="156"/>
      <w:bookmarkEnd w:id="157"/>
      <w:r w:rsidR="003A13F4">
        <w:t xml:space="preserve"> and transition</w:t>
      </w:r>
      <w:bookmarkEnd w:id="158"/>
      <w:bookmarkEnd w:id="159"/>
      <w:bookmarkEnd w:id="160"/>
      <w:r>
        <w:t xml:space="preserve"> </w:t>
      </w:r>
    </w:p>
    <w:p w:rsidR="002B6726" w:rsidRDefault="00B950A2" w:rsidP="002B6726">
      <w:pPr>
        <w:pStyle w:val="Heading2"/>
      </w:pPr>
      <w:bookmarkStart w:id="161" w:name="_Toc460572226"/>
      <w:r>
        <w:t>Introduction</w:t>
      </w:r>
      <w:bookmarkEnd w:id="161"/>
    </w:p>
    <w:p w:rsidR="007B7FEA" w:rsidRDefault="007B7FEA" w:rsidP="00CA2E35">
      <w:r>
        <w:t xml:space="preserve">The Commission’s draft position, as concluded in Chapter </w:t>
      </w:r>
      <w:r>
        <w:fldChar w:fldCharType="begin"/>
      </w:r>
      <w:r>
        <w:instrText xml:space="preserve"> REF _Ref433615233 \r \h </w:instrText>
      </w:r>
      <w:r>
        <w:fldChar w:fldCharType="separate"/>
      </w:r>
      <w:r w:rsidR="00B80BC7">
        <w:t>3</w:t>
      </w:r>
      <w:r>
        <w:fldChar w:fldCharType="end"/>
      </w:r>
      <w:r>
        <w:t>, is that</w:t>
      </w:r>
      <w:r w:rsidR="007A05F6">
        <w:t xml:space="preserve"> given the current circumstances the</w:t>
      </w:r>
      <w:r>
        <w:t xml:space="preserve"> water tariff structure</w:t>
      </w:r>
      <w:r w:rsidR="007A05F6">
        <w:t xml:space="preserve"> could be improved</w:t>
      </w:r>
      <w:r>
        <w:t xml:space="preserve"> in order to maximise the social welfare of the ACT community. </w:t>
      </w:r>
    </w:p>
    <w:p w:rsidR="00A10652" w:rsidRDefault="007B7FEA" w:rsidP="00CA2E35">
      <w:r>
        <w:t xml:space="preserve">Three things are relevant to the implementation of the alternative cost-reflective water tariff structure. First is when the implementation process should start. Second is who should take responsibility for implementation, </w:t>
      </w:r>
      <w:r w:rsidR="00DF4FD5">
        <w:t>the Commission or Icon Water. T</w:t>
      </w:r>
      <w:r>
        <w:t xml:space="preserve">hird is the </w:t>
      </w:r>
      <w:r w:rsidR="00210DA5">
        <w:t xml:space="preserve">length of the </w:t>
      </w:r>
      <w:r>
        <w:t>transition period required in order to meet the requirements of pricing principle 7. These are addressed in t</w:t>
      </w:r>
      <w:r w:rsidR="004C240D">
        <w:t>u</w:t>
      </w:r>
      <w:r>
        <w:t>rn.</w:t>
      </w:r>
    </w:p>
    <w:p w:rsidR="00A10652" w:rsidRDefault="00A10652" w:rsidP="00A10652">
      <w:pPr>
        <w:pStyle w:val="Heading2"/>
      </w:pPr>
      <w:bookmarkStart w:id="162" w:name="_Toc460572227"/>
      <w:r>
        <w:t>Implementation start</w:t>
      </w:r>
      <w:bookmarkEnd w:id="162"/>
    </w:p>
    <w:p w:rsidR="00846E64" w:rsidRDefault="00846E64" w:rsidP="00846E64">
      <w:pPr>
        <w:pStyle w:val="Heading3"/>
      </w:pPr>
      <w:r>
        <w:t>Background</w:t>
      </w:r>
    </w:p>
    <w:p w:rsidR="00210DA5" w:rsidRDefault="00884285" w:rsidP="00CA2E35">
      <w:r>
        <w:t xml:space="preserve">In the issues paper, the Commission discussed </w:t>
      </w:r>
      <w:r w:rsidR="00210DA5">
        <w:t>the two implementation alternatives</w:t>
      </w:r>
      <w:r>
        <w:t>.</w:t>
      </w:r>
      <w:r w:rsidR="00210DA5">
        <w:t xml:space="preserve"> The first is to start </w:t>
      </w:r>
      <w:r w:rsidR="007A05F6">
        <w:t>applying a new tariff structure</w:t>
      </w:r>
      <w:r w:rsidR="00210DA5">
        <w:t xml:space="preserve"> </w:t>
      </w:r>
      <w:r w:rsidR="00D11D7E">
        <w:t xml:space="preserve">during </w:t>
      </w:r>
      <w:r w:rsidR="00210DA5">
        <w:t>this regulatory period, which, given the timing of the final tariff review report, would mean from 1 July 2017. This would entail a variation of the substitute price direction. The second option is to start applying the new tariff structures from the start of the next regulatory period, that is from 1 July 2018, under a new price direction.</w:t>
      </w:r>
    </w:p>
    <w:p w:rsidR="00846E64" w:rsidRDefault="00846E64" w:rsidP="00846E64">
      <w:pPr>
        <w:pStyle w:val="Heading3"/>
      </w:pPr>
      <w:r>
        <w:t>Commission’s consideration</w:t>
      </w:r>
    </w:p>
    <w:p w:rsidR="00D11D7E" w:rsidRDefault="003F4488" w:rsidP="00CA2E35">
      <w:r>
        <w:t xml:space="preserve">The Commission’s preference is to </w:t>
      </w:r>
      <w:r w:rsidR="00DD64BF">
        <w:t xml:space="preserve">commence the implementation process at the start of the next regulatory period, that is from 1 July 2018, for two reasons. </w:t>
      </w:r>
    </w:p>
    <w:p w:rsidR="00C21273" w:rsidRDefault="00C21273" w:rsidP="00CA2E35">
      <w:r>
        <w:t>I</w:t>
      </w:r>
      <w:r w:rsidR="00DD64BF">
        <w:t>t will be more straightforward to start applying a new tariff structure at the same time as all the elements that go into determining Icon Water’s revenue requirement are reset.</w:t>
      </w:r>
    </w:p>
    <w:p w:rsidR="00884285" w:rsidRDefault="00D11D7E" w:rsidP="00CA2E35">
      <w:r>
        <w:t>Sta</w:t>
      </w:r>
      <w:r w:rsidR="00C21273">
        <w:t>rting from July 2018 would also allow Icon to take a greater role in proposing a new tariff structure It would also allow</w:t>
      </w:r>
      <w:r w:rsidR="008B4F6A">
        <w:t xml:space="preserve"> for Icon Water to consult on proposed tariffs as part of its main submission to the price investigation process leading up to</w:t>
      </w:r>
      <w:r>
        <w:t xml:space="preserve"> the next regulatory period</w:t>
      </w:r>
      <w:r w:rsidR="008B4F6A">
        <w:t xml:space="preserve">.  </w:t>
      </w:r>
      <w:r w:rsidR="007D2BE5">
        <w:t xml:space="preserve"> </w:t>
      </w:r>
    </w:p>
    <w:p w:rsidR="00DD64BF" w:rsidRDefault="00846E64" w:rsidP="00846E64">
      <w:pPr>
        <w:pStyle w:val="Heading3"/>
      </w:pPr>
      <w:r>
        <w:t>Draft position</w:t>
      </w:r>
    </w:p>
    <w:p w:rsidR="00DD64BF" w:rsidRDefault="00E469D8" w:rsidP="00CA2E35">
      <w:r>
        <w:t xml:space="preserve">The Commission’s draft position is that the </w:t>
      </w:r>
      <w:r w:rsidR="00FC2FEB">
        <w:t xml:space="preserve">transition to the alternative </w:t>
      </w:r>
      <w:r>
        <w:t xml:space="preserve">water tariff structure, and the introduction </w:t>
      </w:r>
      <w:r w:rsidR="00FC2FEB">
        <w:t>of trade waste pricing</w:t>
      </w:r>
      <w:r w:rsidR="00C21273">
        <w:t xml:space="preserve"> should be considered as part of the next pricing review and any c</w:t>
      </w:r>
      <w:r w:rsidR="001B0AB1">
        <w:t>hange would</w:t>
      </w:r>
      <w:r w:rsidR="00E7198E">
        <w:t xml:space="preserve"> </w:t>
      </w:r>
      <w:r w:rsidR="00C21273">
        <w:t>commence</w:t>
      </w:r>
      <w:r w:rsidR="00FC2FEB">
        <w:t xml:space="preserve"> from 1 July 2018.</w:t>
      </w:r>
    </w:p>
    <w:p w:rsidR="009B4BE3" w:rsidRDefault="00AF4F35" w:rsidP="002401EA">
      <w:pPr>
        <w:pStyle w:val="Heading2"/>
      </w:pPr>
      <w:bookmarkStart w:id="163" w:name="_Toc460572228"/>
      <w:r>
        <w:lastRenderedPageBreak/>
        <w:t>R</w:t>
      </w:r>
      <w:bookmarkStart w:id="164" w:name="_GoBack"/>
      <w:bookmarkEnd w:id="164"/>
      <w:r>
        <w:t xml:space="preserve">esponsibility for tariff </w:t>
      </w:r>
      <w:r w:rsidR="002401EA">
        <w:t>structure</w:t>
      </w:r>
      <w:r>
        <w:t xml:space="preserve"> and prices</w:t>
      </w:r>
      <w:bookmarkEnd w:id="163"/>
      <w:r w:rsidR="002401EA">
        <w:t xml:space="preserve"> </w:t>
      </w:r>
    </w:p>
    <w:p w:rsidR="005266B0" w:rsidRDefault="008446EE" w:rsidP="00CA2E35">
      <w:r>
        <w:t>T</w:t>
      </w:r>
      <w:r w:rsidR="001B3E64">
        <w:t xml:space="preserve">he </w:t>
      </w:r>
      <w:r w:rsidR="00ED6AEC">
        <w:t xml:space="preserve">interaction between the form of price control that will apply in the next regulatory period and the structure of tariffs and the potential dual role of the </w:t>
      </w:r>
      <w:r w:rsidR="00CF5D71">
        <w:t>draft</w:t>
      </w:r>
      <w:r w:rsidR="00ED6AEC">
        <w:t xml:space="preserve"> assessment framework was discussed</w:t>
      </w:r>
      <w:r w:rsidR="008923E0">
        <w:t xml:space="preserve"> in section </w:t>
      </w:r>
      <w:r w:rsidR="008923E0">
        <w:fldChar w:fldCharType="begin"/>
      </w:r>
      <w:r w:rsidR="008923E0">
        <w:instrText xml:space="preserve"> REF _Ref457818201 \r \h </w:instrText>
      </w:r>
      <w:r w:rsidR="008923E0">
        <w:fldChar w:fldCharType="separate"/>
      </w:r>
      <w:r w:rsidR="00B80BC7">
        <w:t>2.4</w:t>
      </w:r>
      <w:r w:rsidR="008923E0">
        <w:fldChar w:fldCharType="end"/>
      </w:r>
      <w:r w:rsidR="00ED6AEC">
        <w:t>.</w:t>
      </w:r>
    </w:p>
    <w:p w:rsidR="005D4068" w:rsidRDefault="00ED6AEC" w:rsidP="005D4068">
      <w:r>
        <w:t>The Commission’s draft position is that</w:t>
      </w:r>
      <w:r w:rsidR="00A4564F">
        <w:t xml:space="preserve"> </w:t>
      </w:r>
      <w:r>
        <w:t xml:space="preserve">the tariff </w:t>
      </w:r>
      <w:r w:rsidR="00A4564F">
        <w:t>review should remain open to the possibility of either the Commission or Icon Water being responsible for the structure of tariffs and the level of constituent prices from 1 July 2018.</w:t>
      </w:r>
      <w:r w:rsidR="00967285">
        <w:t xml:space="preserve"> </w:t>
      </w:r>
      <w:r w:rsidR="005D4068">
        <w:t xml:space="preserve">The Commission’s preference is for Icon Water to take responsibility for tariff structures and price levels moving forward. Icon Water is best placed to engage with its customers on tariff reform and pricing more generally, and has already started a discussion on these matters with customers.  </w:t>
      </w:r>
    </w:p>
    <w:p w:rsidR="00ED6AEC" w:rsidRDefault="00967285" w:rsidP="00CA2E35">
      <w:r>
        <w:t xml:space="preserve">The final decision on this matter will be made as part of the price investigation process leading up to the start of the next regulatory period. </w:t>
      </w:r>
      <w:r w:rsidR="008446EE">
        <w:t xml:space="preserve">The key point to note is that, irrespective of the final decision, tariff structures </w:t>
      </w:r>
      <w:r w:rsidR="00574A50">
        <w:t xml:space="preserve">and constituent prices </w:t>
      </w:r>
      <w:r w:rsidR="008446EE">
        <w:t>will be subject to the pricing principles</w:t>
      </w:r>
      <w:r w:rsidR="00574A50">
        <w:t>,</w:t>
      </w:r>
      <w:r w:rsidR="008446EE">
        <w:t xml:space="preserve"> and the </w:t>
      </w:r>
      <w:r w:rsidR="00574A50">
        <w:t xml:space="preserve">price </w:t>
      </w:r>
      <w:r w:rsidR="008446EE">
        <w:t>levels will also be consistent with Icon Water’s allowed revenue requirement.</w:t>
      </w:r>
    </w:p>
    <w:p w:rsidR="00E96B9B" w:rsidRDefault="00E96B9B" w:rsidP="00E96B9B">
      <w:pPr>
        <w:pStyle w:val="Heading2"/>
      </w:pPr>
      <w:bookmarkStart w:id="165" w:name="_Toc460572229"/>
      <w:r>
        <w:t xml:space="preserve">Transition </w:t>
      </w:r>
      <w:r w:rsidR="00EF4B04">
        <w:t xml:space="preserve">to </w:t>
      </w:r>
      <w:r>
        <w:t xml:space="preserve">the </w:t>
      </w:r>
      <w:r w:rsidR="00EF4B04">
        <w:t xml:space="preserve">alternative </w:t>
      </w:r>
      <w:r w:rsidR="00884285">
        <w:t>water tariff</w:t>
      </w:r>
      <w:r w:rsidR="00EF4B04">
        <w:t xml:space="preserve"> structure</w:t>
      </w:r>
      <w:bookmarkEnd w:id="165"/>
    </w:p>
    <w:p w:rsidR="00E31807" w:rsidRPr="00E31807" w:rsidRDefault="007C492C" w:rsidP="007C492C">
      <w:pPr>
        <w:pStyle w:val="Heading3"/>
      </w:pPr>
      <w:r>
        <w:t>Background</w:t>
      </w:r>
    </w:p>
    <w:p w:rsidR="00417B2C" w:rsidRDefault="0077618C" w:rsidP="00176496">
      <w:r>
        <w:t>Principle 7 requires that any change in tariff structures and prices that will have substantial impacts on customers should be phased in over a transition period to allow customers reasonable time to adjust to the change.</w:t>
      </w:r>
    </w:p>
    <w:p w:rsidR="0077618C" w:rsidRPr="00176496" w:rsidRDefault="00264604" w:rsidP="00176496">
      <w:r>
        <w:t xml:space="preserve">It is clear, as </w:t>
      </w:r>
      <w:r w:rsidR="003654F6">
        <w:t xml:space="preserve">discussed </w:t>
      </w:r>
      <w:r>
        <w:t xml:space="preserve">in section </w:t>
      </w:r>
      <w:r>
        <w:fldChar w:fldCharType="begin"/>
      </w:r>
      <w:r>
        <w:instrText xml:space="preserve"> REF _Ref457805442 \r \h </w:instrText>
      </w:r>
      <w:r>
        <w:fldChar w:fldCharType="separate"/>
      </w:r>
      <w:r w:rsidR="00B80BC7">
        <w:t>3.3</w:t>
      </w:r>
      <w:r>
        <w:fldChar w:fldCharType="end"/>
      </w:r>
      <w:r w:rsidR="00682198">
        <w:t xml:space="preserve"> and illustrated in </w:t>
      </w:r>
      <w:r w:rsidR="00682198">
        <w:fldChar w:fldCharType="begin"/>
      </w:r>
      <w:r w:rsidR="00682198">
        <w:instrText xml:space="preserve"> REF _Ref457226990 \h </w:instrText>
      </w:r>
      <w:r w:rsidR="00682198">
        <w:fldChar w:fldCharType="separate"/>
      </w:r>
      <w:r w:rsidR="00B80BC7" w:rsidRPr="00E33D9E">
        <w:t xml:space="preserve">Figure </w:t>
      </w:r>
      <w:r w:rsidR="00B80BC7">
        <w:rPr>
          <w:noProof/>
        </w:rPr>
        <w:t>3</w:t>
      </w:r>
      <w:r w:rsidR="00B80BC7" w:rsidRPr="00E33D9E">
        <w:t>.</w:t>
      </w:r>
      <w:r w:rsidR="00B80BC7">
        <w:rPr>
          <w:noProof/>
        </w:rPr>
        <w:t>6</w:t>
      </w:r>
      <w:r w:rsidR="00682198">
        <w:fldChar w:fldCharType="end"/>
      </w:r>
      <w:r>
        <w:t xml:space="preserve">, that moving directly to the alternative water tariff structure would have substantial </w:t>
      </w:r>
      <w:r w:rsidR="00D8011F">
        <w:t>distributional impacts</w:t>
      </w:r>
      <w:r>
        <w:t xml:space="preserve"> on customers, and </w:t>
      </w:r>
      <w:r w:rsidR="00D8011F">
        <w:t xml:space="preserve">negative impacts in particular on </w:t>
      </w:r>
      <w:r>
        <w:t>low volume water users.</w:t>
      </w:r>
    </w:p>
    <w:p w:rsidR="007C492C" w:rsidRDefault="007C492C" w:rsidP="007C492C">
      <w:pPr>
        <w:pStyle w:val="Heading3"/>
      </w:pPr>
      <w:r>
        <w:t>Submissions</w:t>
      </w:r>
    </w:p>
    <w:p w:rsidR="00375E06" w:rsidRDefault="00375E06" w:rsidP="00375E06">
      <w:r>
        <w:t xml:space="preserve">In its recent customer consultation on tariff structures, Icon Water asked respondents about the length of the transition period they would prefer in moving towards two tariff options, both with a higher </w:t>
      </w:r>
      <w:r w:rsidR="00B14BFA">
        <w:t>supply</w:t>
      </w:r>
      <w:r>
        <w:t xml:space="preserve"> charge and lower usage charges. In its second submission, Icon Water provided the results of this transition question:</w:t>
      </w:r>
    </w:p>
    <w:p w:rsidR="007C492C" w:rsidRDefault="00375E06" w:rsidP="00375E06">
      <w:pPr>
        <w:pStyle w:val="Quote"/>
      </w:pPr>
      <w:r>
        <w:t>Figure 7 shows most respondents opted for either a quick transition of five years or less or a long transition of more than ten years. For both tariff options, more than half of respondents preferred a quick transition and they were evenly split between an immediate transition and a transition applied evenly over five years.</w:t>
      </w:r>
      <w:r>
        <w:rPr>
          <w:rStyle w:val="FootnoteReference"/>
        </w:rPr>
        <w:footnoteReference w:id="79"/>
      </w:r>
    </w:p>
    <w:p w:rsidR="007C492C" w:rsidRDefault="007C492C" w:rsidP="007C492C">
      <w:pPr>
        <w:pStyle w:val="Heading3"/>
      </w:pPr>
      <w:r>
        <w:lastRenderedPageBreak/>
        <w:t>Commission’s consideration</w:t>
      </w:r>
    </w:p>
    <w:p w:rsidR="00AA0D94" w:rsidRDefault="00AA0D94" w:rsidP="00AA0D94">
      <w:pPr>
        <w:pStyle w:val="Heading4"/>
      </w:pPr>
      <w:r>
        <w:t>Introduction</w:t>
      </w:r>
    </w:p>
    <w:p w:rsidR="002D3255" w:rsidRDefault="003654F6" w:rsidP="003654F6">
      <w:r>
        <w:t>Moving directly from the current to the alternative structure would have substantial distributional impacts on customers, and negative impacts in particular on low volume water users.</w:t>
      </w:r>
    </w:p>
    <w:p w:rsidR="003654F6" w:rsidRDefault="003654F6" w:rsidP="003654F6">
      <w:r>
        <w:t>In order to gauge a suitable transition period, the Commission analysed the likely distributional impacts of moving from the current structure to the alternative, more efficient structure, on residential and commercial customers.</w:t>
      </w:r>
      <w:r w:rsidRPr="00BD47E2">
        <w:t xml:space="preserve"> </w:t>
      </w:r>
      <w:r w:rsidR="00C55082">
        <w:t>For the purposes of this analysis, the proportion of houses, units and flats and commercial customers by water use is calculated using consumption data from 2013</w:t>
      </w:r>
      <w:r w:rsidR="00C55082">
        <w:sym w:font="Symbol" w:char="F02D"/>
      </w:r>
      <w:r w:rsidR="00C55082">
        <w:t>14, which Icon Water considers a relatively normal consumption year.</w:t>
      </w:r>
    </w:p>
    <w:p w:rsidR="003654F6" w:rsidRDefault="003654F6" w:rsidP="003654F6">
      <w:r>
        <w:t>The key trade-off in determining the appropriate length of the transition period is that between minimising annual customer bill impacts and delaying the efficiency benefits that will flow from rapidly applying the cost-reflective structure.</w:t>
      </w:r>
    </w:p>
    <w:p w:rsidR="002D3255" w:rsidRDefault="003654F6" w:rsidP="003654F6">
      <w:r>
        <w:t xml:space="preserve">The Commission’s </w:t>
      </w:r>
      <w:r w:rsidR="006061D3">
        <w:t xml:space="preserve">view </w:t>
      </w:r>
      <w:r>
        <w:t>is that a transition period of 10 years would achieve this balance. The transition process involves gradually increasing the supply charge until it reaches the desired level while at the same time bringing down the Tier 2 usage charge towards the Tier 1 charge until there is only one.</w:t>
      </w:r>
      <w:r w:rsidR="002D3255">
        <w:rPr>
          <w:rStyle w:val="FootnoteReference"/>
        </w:rPr>
        <w:footnoteReference w:id="80"/>
      </w:r>
    </w:p>
    <w:p w:rsidR="00EA6C1E" w:rsidRDefault="00EA6C1E" w:rsidP="00EA6C1E">
      <w:pPr>
        <w:pStyle w:val="Heading4"/>
      </w:pPr>
      <w:r>
        <w:t>Indicative transition options</w:t>
      </w:r>
    </w:p>
    <w:p w:rsidR="003C1D68" w:rsidRDefault="003C1D68" w:rsidP="003C1D68">
      <w:r>
        <w:t xml:space="preserve">For indicative purposes only, the Commission has examined two transition paths, as shown in </w:t>
      </w:r>
      <w:r>
        <w:fldChar w:fldCharType="begin"/>
      </w:r>
      <w:r>
        <w:instrText xml:space="preserve"> REF _Ref460394220 \h </w:instrText>
      </w:r>
      <w:r>
        <w:fldChar w:fldCharType="separate"/>
      </w:r>
      <w:r w:rsidR="00B80BC7" w:rsidRPr="003C3AEA">
        <w:t>Table</w:t>
      </w:r>
      <w:r w:rsidR="00B80BC7">
        <w:t xml:space="preserve"> </w:t>
      </w:r>
      <w:r w:rsidR="00B80BC7">
        <w:rPr>
          <w:noProof/>
        </w:rPr>
        <w:t>5</w:t>
      </w:r>
      <w:r w:rsidR="00B80BC7">
        <w:t>.</w:t>
      </w:r>
      <w:r w:rsidR="00B80BC7">
        <w:rPr>
          <w:noProof/>
        </w:rPr>
        <w:t>1</w:t>
      </w:r>
      <w:r>
        <w:fldChar w:fldCharType="end"/>
      </w:r>
      <w:r>
        <w:t xml:space="preserve">. The options should be treated with caution as they are based on current cost estimates </w:t>
      </w:r>
      <w:r w:rsidR="00734DAB">
        <w:t xml:space="preserve">and supply conditions. These will </w:t>
      </w:r>
      <w:r>
        <w:t xml:space="preserve">vary as conditions change. </w:t>
      </w:r>
      <w:r w:rsidR="00734DAB">
        <w:t>The balance between the usage charge and the supply charge may also vary as supply conditions change.</w:t>
      </w:r>
    </w:p>
    <w:p w:rsidR="003C1D68" w:rsidRDefault="003C1D68" w:rsidP="003C1D68">
      <w:pPr>
        <w:pStyle w:val="FigureName"/>
        <w:keepNext/>
      </w:pPr>
      <w:bookmarkStart w:id="166" w:name="_Ref460394220"/>
      <w:bookmarkStart w:id="167" w:name="_Toc460572253"/>
      <w:r w:rsidRPr="003C3AEA">
        <w:lastRenderedPageBreak/>
        <w:t>Table</w:t>
      </w:r>
      <w:r>
        <w:t xml:space="preserve"> </w:t>
      </w:r>
      <w:r>
        <w:fldChar w:fldCharType="begin"/>
      </w:r>
      <w:r>
        <w:instrText xml:space="preserve"> STYLEREF 1 \s </w:instrText>
      </w:r>
      <w:r>
        <w:fldChar w:fldCharType="separate"/>
      </w:r>
      <w:r w:rsidR="00B80BC7">
        <w:rPr>
          <w:noProof/>
        </w:rPr>
        <w:t>5</w:t>
      </w:r>
      <w:r>
        <w:fldChar w:fldCharType="end"/>
      </w:r>
      <w:r>
        <w:t>.</w:t>
      </w:r>
      <w:r>
        <w:fldChar w:fldCharType="begin"/>
      </w:r>
      <w:r>
        <w:instrText xml:space="preserve"> SEQ Table \* ARABIC \s 1 </w:instrText>
      </w:r>
      <w:r>
        <w:fldChar w:fldCharType="separate"/>
      </w:r>
      <w:r w:rsidR="00B80BC7">
        <w:rPr>
          <w:noProof/>
        </w:rPr>
        <w:t>1</w:t>
      </w:r>
      <w:r>
        <w:fldChar w:fldCharType="end"/>
      </w:r>
      <w:bookmarkEnd w:id="166"/>
      <w:r>
        <w:tab/>
        <w:t>Current and indicative alternative water tariffs</w:t>
      </w:r>
      <w:bookmarkEnd w:id="167"/>
    </w:p>
    <w:tbl>
      <w:tblPr>
        <w:tblW w:w="5473" w:type="pct"/>
        <w:tblBorders>
          <w:top w:val="single" w:sz="12" w:space="0" w:color="333399"/>
          <w:bottom w:val="single" w:sz="12" w:space="0" w:color="333399"/>
        </w:tblBorders>
        <w:tblLayout w:type="fixed"/>
        <w:tblCellMar>
          <w:left w:w="115" w:type="dxa"/>
          <w:right w:w="115" w:type="dxa"/>
        </w:tblCellMar>
        <w:tblLook w:val="0000" w:firstRow="0" w:lastRow="0" w:firstColumn="0" w:lastColumn="0" w:noHBand="0" w:noVBand="0"/>
      </w:tblPr>
      <w:tblGrid>
        <w:gridCol w:w="3686"/>
        <w:gridCol w:w="1278"/>
        <w:gridCol w:w="819"/>
        <w:gridCol w:w="886"/>
        <w:gridCol w:w="886"/>
        <w:gridCol w:w="885"/>
      </w:tblGrid>
      <w:tr w:rsidR="003C1D68" w:rsidRPr="00144F8C" w:rsidTr="00CC6917">
        <w:trPr>
          <w:cantSplit/>
        </w:trPr>
        <w:tc>
          <w:tcPr>
            <w:tcW w:w="2184" w:type="pct"/>
            <w:tcBorders>
              <w:top w:val="single" w:sz="12" w:space="0" w:color="1F497D" w:themeColor="text2"/>
              <w:left w:val="nil"/>
              <w:bottom w:val="single" w:sz="8" w:space="0" w:color="1F497D" w:themeColor="text2"/>
              <w:right w:val="nil"/>
            </w:tcBorders>
            <w:shd w:val="clear" w:color="auto" w:fill="DBE5F1" w:themeFill="accent1" w:themeFillTint="33"/>
          </w:tcPr>
          <w:p w:rsidR="003C1D68" w:rsidRPr="00347ADB" w:rsidRDefault="003C1D68" w:rsidP="00CC6917">
            <w:pPr>
              <w:pStyle w:val="TableHeadingLeft"/>
              <w:keepNext/>
            </w:pPr>
            <w:r>
              <w:t>Tariffs</w:t>
            </w:r>
          </w:p>
        </w:tc>
        <w:tc>
          <w:tcPr>
            <w:tcW w:w="757" w:type="pct"/>
            <w:tcBorders>
              <w:top w:val="single" w:sz="12" w:space="0" w:color="1F497D" w:themeColor="text2"/>
              <w:left w:val="nil"/>
              <w:bottom w:val="single" w:sz="8" w:space="0" w:color="1F497D" w:themeColor="text2"/>
              <w:right w:val="nil"/>
            </w:tcBorders>
            <w:shd w:val="clear" w:color="auto" w:fill="DBE5F1" w:themeFill="accent1" w:themeFillTint="33"/>
          </w:tcPr>
          <w:p w:rsidR="003C1D68" w:rsidRDefault="003C1D68" w:rsidP="00CC6917">
            <w:pPr>
              <w:pStyle w:val="TableHeadingLeft"/>
              <w:keepNext/>
              <w:jc w:val="right"/>
            </w:pPr>
            <w:r>
              <w:t>Year 1</w:t>
            </w:r>
          </w:p>
        </w:tc>
        <w:tc>
          <w:tcPr>
            <w:tcW w:w="485" w:type="pct"/>
            <w:tcBorders>
              <w:top w:val="single" w:sz="12" w:space="0" w:color="1F497D" w:themeColor="text2"/>
              <w:left w:val="nil"/>
              <w:bottom w:val="single" w:sz="8" w:space="0" w:color="1F497D" w:themeColor="text2"/>
              <w:right w:val="nil"/>
            </w:tcBorders>
            <w:shd w:val="clear" w:color="auto" w:fill="DBE5F1" w:themeFill="accent1" w:themeFillTint="33"/>
          </w:tcPr>
          <w:p w:rsidR="003C1D68" w:rsidRPr="00174360" w:rsidRDefault="003C1D68" w:rsidP="00CC6917">
            <w:pPr>
              <w:pStyle w:val="TableHeadingLeft"/>
              <w:keepNext/>
              <w:jc w:val="right"/>
            </w:pPr>
            <w:r>
              <w:t>Year 2</w:t>
            </w:r>
          </w:p>
        </w:tc>
        <w:tc>
          <w:tcPr>
            <w:tcW w:w="525" w:type="pct"/>
            <w:tcBorders>
              <w:top w:val="single" w:sz="12" w:space="0" w:color="1F497D" w:themeColor="text2"/>
              <w:left w:val="nil"/>
              <w:bottom w:val="single" w:sz="8" w:space="0" w:color="1F497D" w:themeColor="text2"/>
              <w:right w:val="nil"/>
            </w:tcBorders>
            <w:shd w:val="clear" w:color="auto" w:fill="DBE5F1" w:themeFill="accent1" w:themeFillTint="33"/>
          </w:tcPr>
          <w:p w:rsidR="003C1D68" w:rsidRPr="00174360" w:rsidRDefault="003C1D68" w:rsidP="00CC6917">
            <w:pPr>
              <w:pStyle w:val="TableHeadingLeft"/>
              <w:keepNext/>
              <w:jc w:val="right"/>
            </w:pPr>
            <w:r>
              <w:t>Year 3</w:t>
            </w:r>
            <w:r w:rsidRPr="00174360">
              <w:t xml:space="preserve"> </w:t>
            </w:r>
          </w:p>
        </w:tc>
        <w:tc>
          <w:tcPr>
            <w:tcW w:w="525" w:type="pct"/>
            <w:tcBorders>
              <w:top w:val="single" w:sz="12" w:space="0" w:color="1F497D" w:themeColor="text2"/>
              <w:left w:val="nil"/>
              <w:bottom w:val="single" w:sz="8" w:space="0" w:color="1F497D" w:themeColor="text2"/>
              <w:right w:val="nil"/>
            </w:tcBorders>
            <w:shd w:val="clear" w:color="auto" w:fill="DBE5F1" w:themeFill="accent1" w:themeFillTint="33"/>
          </w:tcPr>
          <w:p w:rsidR="003C1D68" w:rsidRPr="00174360" w:rsidRDefault="003C1D68" w:rsidP="00CC6917">
            <w:pPr>
              <w:pStyle w:val="TableHeadingLeft"/>
              <w:keepNext/>
              <w:jc w:val="right"/>
            </w:pPr>
            <w:r>
              <w:t>Year 4</w:t>
            </w:r>
          </w:p>
        </w:tc>
        <w:tc>
          <w:tcPr>
            <w:tcW w:w="524" w:type="pct"/>
            <w:tcBorders>
              <w:top w:val="single" w:sz="12" w:space="0" w:color="1F497D" w:themeColor="text2"/>
              <w:left w:val="nil"/>
              <w:bottom w:val="single" w:sz="8" w:space="0" w:color="1F497D" w:themeColor="text2"/>
              <w:right w:val="nil"/>
            </w:tcBorders>
            <w:shd w:val="clear" w:color="auto" w:fill="DBE5F1" w:themeFill="accent1" w:themeFillTint="33"/>
          </w:tcPr>
          <w:p w:rsidR="003C1D68" w:rsidRPr="00174360" w:rsidRDefault="003C1D68" w:rsidP="00CC6917">
            <w:pPr>
              <w:pStyle w:val="TableHeadingLeft"/>
              <w:keepNext/>
              <w:jc w:val="right"/>
            </w:pPr>
            <w:r>
              <w:t>Year 5</w:t>
            </w:r>
          </w:p>
        </w:tc>
      </w:tr>
      <w:tr w:rsidR="003C1D68" w:rsidRPr="00144F8C" w:rsidTr="00CC6917">
        <w:trPr>
          <w:cantSplit/>
        </w:trPr>
        <w:tc>
          <w:tcPr>
            <w:tcW w:w="2184" w:type="pct"/>
            <w:tcBorders>
              <w:top w:val="nil"/>
              <w:left w:val="nil"/>
              <w:bottom w:val="nil"/>
              <w:right w:val="nil"/>
            </w:tcBorders>
          </w:tcPr>
          <w:p w:rsidR="003C1D68" w:rsidRDefault="003C1D68" w:rsidP="00CC6917">
            <w:pPr>
              <w:pStyle w:val="TableHeadingLeft"/>
              <w:keepNext/>
            </w:pPr>
            <w:r>
              <w:t xml:space="preserve">Current tariff </w:t>
            </w:r>
            <w:r>
              <w:softHyphen/>
            </w:r>
            <w:r>
              <w:softHyphen/>
              <w:t xml:space="preserve"> </w:t>
            </w:r>
            <w:r>
              <w:sym w:font="Symbol" w:char="F02D"/>
            </w:r>
            <w:r>
              <w:t xml:space="preserve"> 2015</w:t>
            </w:r>
            <w:r>
              <w:softHyphen/>
            </w:r>
            <w:r>
              <w:sym w:font="Symbol" w:char="F02D"/>
            </w:r>
            <w:r>
              <w:t>16</w:t>
            </w:r>
          </w:p>
        </w:tc>
        <w:tc>
          <w:tcPr>
            <w:tcW w:w="757" w:type="pct"/>
            <w:tcBorders>
              <w:top w:val="nil"/>
              <w:left w:val="nil"/>
              <w:right w:val="nil"/>
            </w:tcBorders>
          </w:tcPr>
          <w:p w:rsidR="003C1D68" w:rsidRPr="003949F4" w:rsidRDefault="003C1D68" w:rsidP="00CC6917">
            <w:pPr>
              <w:pStyle w:val="TableTextRight"/>
            </w:pPr>
          </w:p>
        </w:tc>
        <w:tc>
          <w:tcPr>
            <w:tcW w:w="485" w:type="pct"/>
            <w:tcBorders>
              <w:top w:val="nil"/>
              <w:left w:val="nil"/>
              <w:right w:val="nil"/>
            </w:tcBorders>
          </w:tcPr>
          <w:p w:rsidR="003C1D68" w:rsidRPr="003949F4" w:rsidRDefault="003C1D68" w:rsidP="00CC6917">
            <w:pPr>
              <w:pStyle w:val="TableTextRight"/>
            </w:pPr>
          </w:p>
        </w:tc>
        <w:tc>
          <w:tcPr>
            <w:tcW w:w="525" w:type="pct"/>
            <w:tcBorders>
              <w:top w:val="nil"/>
              <w:left w:val="nil"/>
              <w:right w:val="nil"/>
            </w:tcBorders>
          </w:tcPr>
          <w:p w:rsidR="003C1D68" w:rsidRPr="003949F4" w:rsidRDefault="003C1D68" w:rsidP="00CC6917">
            <w:pPr>
              <w:pStyle w:val="TableTextRight"/>
            </w:pPr>
          </w:p>
        </w:tc>
        <w:tc>
          <w:tcPr>
            <w:tcW w:w="525" w:type="pct"/>
            <w:tcBorders>
              <w:top w:val="nil"/>
              <w:left w:val="nil"/>
              <w:right w:val="nil"/>
            </w:tcBorders>
          </w:tcPr>
          <w:p w:rsidR="003C1D68" w:rsidRPr="003949F4" w:rsidRDefault="003C1D68" w:rsidP="00CC6917">
            <w:pPr>
              <w:pStyle w:val="TableTextRight"/>
            </w:pPr>
          </w:p>
        </w:tc>
        <w:tc>
          <w:tcPr>
            <w:tcW w:w="524" w:type="pct"/>
            <w:tcBorders>
              <w:top w:val="nil"/>
              <w:left w:val="nil"/>
              <w:right w:val="nil"/>
            </w:tcBorders>
          </w:tcPr>
          <w:p w:rsidR="003C1D68" w:rsidRPr="003949F4" w:rsidRDefault="003C1D68" w:rsidP="00CC6917">
            <w:pPr>
              <w:pStyle w:val="TableTextRight"/>
            </w:pPr>
          </w:p>
        </w:tc>
      </w:tr>
      <w:tr w:rsidR="003C1D68" w:rsidRPr="00144F8C" w:rsidTr="00CC6917">
        <w:trPr>
          <w:cantSplit/>
        </w:trPr>
        <w:tc>
          <w:tcPr>
            <w:tcW w:w="2184" w:type="pct"/>
            <w:tcBorders>
              <w:top w:val="nil"/>
              <w:left w:val="nil"/>
              <w:bottom w:val="nil"/>
              <w:right w:val="nil"/>
            </w:tcBorders>
          </w:tcPr>
          <w:p w:rsidR="003C1D68" w:rsidRDefault="003C1D68" w:rsidP="00CC6917">
            <w:pPr>
              <w:pStyle w:val="TableHeadingLeft"/>
              <w:keepNext/>
            </w:pPr>
            <w:r>
              <w:t xml:space="preserve">Supply charge </w:t>
            </w:r>
            <w:r w:rsidRPr="00EF2F36">
              <w:rPr>
                <w:b w:val="0"/>
              </w:rPr>
              <w:t>($/year)</w:t>
            </w:r>
          </w:p>
        </w:tc>
        <w:tc>
          <w:tcPr>
            <w:tcW w:w="757" w:type="pct"/>
            <w:tcBorders>
              <w:top w:val="nil"/>
              <w:left w:val="nil"/>
              <w:right w:val="nil"/>
            </w:tcBorders>
          </w:tcPr>
          <w:p w:rsidR="003C1D68" w:rsidRPr="003949F4" w:rsidRDefault="003C1D68" w:rsidP="00CC6917">
            <w:pPr>
              <w:pStyle w:val="TableTextRight"/>
            </w:pPr>
            <w:r>
              <w:t>101.48</w:t>
            </w:r>
          </w:p>
        </w:tc>
        <w:tc>
          <w:tcPr>
            <w:tcW w:w="485" w:type="pct"/>
            <w:tcBorders>
              <w:top w:val="nil"/>
              <w:left w:val="nil"/>
              <w:right w:val="nil"/>
            </w:tcBorders>
          </w:tcPr>
          <w:p w:rsidR="003C1D68" w:rsidRPr="003949F4" w:rsidRDefault="003C1D68" w:rsidP="00CC6917">
            <w:pPr>
              <w:pStyle w:val="TableTextRight"/>
            </w:pPr>
          </w:p>
        </w:tc>
        <w:tc>
          <w:tcPr>
            <w:tcW w:w="525" w:type="pct"/>
            <w:tcBorders>
              <w:top w:val="nil"/>
              <w:left w:val="nil"/>
              <w:right w:val="nil"/>
            </w:tcBorders>
          </w:tcPr>
          <w:p w:rsidR="003C1D68" w:rsidRPr="003949F4" w:rsidRDefault="003C1D68" w:rsidP="00CC6917">
            <w:pPr>
              <w:pStyle w:val="TableTextRight"/>
            </w:pPr>
          </w:p>
        </w:tc>
        <w:tc>
          <w:tcPr>
            <w:tcW w:w="525" w:type="pct"/>
            <w:tcBorders>
              <w:top w:val="nil"/>
              <w:left w:val="nil"/>
              <w:right w:val="nil"/>
            </w:tcBorders>
          </w:tcPr>
          <w:p w:rsidR="003C1D68" w:rsidRPr="003949F4" w:rsidRDefault="003C1D68" w:rsidP="00CC6917">
            <w:pPr>
              <w:pStyle w:val="TableTextRight"/>
            </w:pPr>
          </w:p>
        </w:tc>
        <w:tc>
          <w:tcPr>
            <w:tcW w:w="524" w:type="pct"/>
            <w:tcBorders>
              <w:top w:val="nil"/>
              <w:left w:val="nil"/>
              <w:right w:val="nil"/>
            </w:tcBorders>
          </w:tcPr>
          <w:p w:rsidR="003C1D68" w:rsidRPr="003949F4" w:rsidRDefault="003C1D68" w:rsidP="00CC6917">
            <w:pPr>
              <w:pStyle w:val="TableTextRight"/>
            </w:pPr>
          </w:p>
        </w:tc>
      </w:tr>
      <w:tr w:rsidR="003C1D68" w:rsidRPr="00144F8C" w:rsidTr="00CC6917">
        <w:trPr>
          <w:cantSplit/>
        </w:trPr>
        <w:tc>
          <w:tcPr>
            <w:tcW w:w="2184" w:type="pct"/>
            <w:tcBorders>
              <w:top w:val="nil"/>
              <w:left w:val="nil"/>
              <w:bottom w:val="nil"/>
              <w:right w:val="nil"/>
            </w:tcBorders>
          </w:tcPr>
          <w:p w:rsidR="003C1D68" w:rsidRDefault="003C1D68" w:rsidP="00CC6917">
            <w:pPr>
              <w:pStyle w:val="TableHeadingLeft"/>
              <w:keepNext/>
            </w:pPr>
            <w:r>
              <w:t xml:space="preserve">Tier 1 price </w:t>
            </w:r>
            <w:r w:rsidRPr="00EF2F36">
              <w:rPr>
                <w:b w:val="0"/>
              </w:rPr>
              <w:t>($/kL)</w:t>
            </w:r>
          </w:p>
        </w:tc>
        <w:tc>
          <w:tcPr>
            <w:tcW w:w="757" w:type="pct"/>
            <w:tcBorders>
              <w:top w:val="nil"/>
              <w:left w:val="nil"/>
              <w:right w:val="nil"/>
            </w:tcBorders>
          </w:tcPr>
          <w:p w:rsidR="003C1D68" w:rsidRPr="003949F4" w:rsidRDefault="003C1D68" w:rsidP="00CC6917">
            <w:pPr>
              <w:pStyle w:val="TableTextRight"/>
            </w:pPr>
            <w:r>
              <w:t>2.61</w:t>
            </w:r>
          </w:p>
        </w:tc>
        <w:tc>
          <w:tcPr>
            <w:tcW w:w="485" w:type="pct"/>
            <w:tcBorders>
              <w:top w:val="nil"/>
              <w:left w:val="nil"/>
              <w:right w:val="nil"/>
            </w:tcBorders>
          </w:tcPr>
          <w:p w:rsidR="003C1D68" w:rsidRPr="003949F4" w:rsidRDefault="003C1D68" w:rsidP="00CC6917">
            <w:pPr>
              <w:pStyle w:val="TableTextRight"/>
            </w:pPr>
          </w:p>
        </w:tc>
        <w:tc>
          <w:tcPr>
            <w:tcW w:w="525" w:type="pct"/>
            <w:tcBorders>
              <w:top w:val="nil"/>
              <w:left w:val="nil"/>
              <w:right w:val="nil"/>
            </w:tcBorders>
          </w:tcPr>
          <w:p w:rsidR="003C1D68" w:rsidRPr="003949F4" w:rsidRDefault="003C1D68" w:rsidP="00CC6917">
            <w:pPr>
              <w:pStyle w:val="TableTextRight"/>
            </w:pPr>
          </w:p>
        </w:tc>
        <w:tc>
          <w:tcPr>
            <w:tcW w:w="525" w:type="pct"/>
            <w:tcBorders>
              <w:top w:val="nil"/>
              <w:left w:val="nil"/>
              <w:right w:val="nil"/>
            </w:tcBorders>
          </w:tcPr>
          <w:p w:rsidR="003C1D68" w:rsidRPr="003949F4" w:rsidRDefault="003C1D68" w:rsidP="00CC6917">
            <w:pPr>
              <w:pStyle w:val="TableTextRight"/>
            </w:pPr>
          </w:p>
        </w:tc>
        <w:tc>
          <w:tcPr>
            <w:tcW w:w="524" w:type="pct"/>
            <w:tcBorders>
              <w:top w:val="nil"/>
              <w:left w:val="nil"/>
              <w:right w:val="nil"/>
            </w:tcBorders>
          </w:tcPr>
          <w:p w:rsidR="003C1D68" w:rsidRPr="003949F4" w:rsidRDefault="003C1D68" w:rsidP="00CC6917">
            <w:pPr>
              <w:pStyle w:val="TableTextRight"/>
            </w:pPr>
          </w:p>
        </w:tc>
      </w:tr>
      <w:tr w:rsidR="003C1D68" w:rsidRPr="00144F8C" w:rsidTr="00CC6917">
        <w:trPr>
          <w:cantSplit/>
        </w:trPr>
        <w:tc>
          <w:tcPr>
            <w:tcW w:w="2184" w:type="pct"/>
            <w:tcBorders>
              <w:top w:val="nil"/>
              <w:left w:val="nil"/>
              <w:bottom w:val="nil"/>
              <w:right w:val="nil"/>
            </w:tcBorders>
          </w:tcPr>
          <w:p w:rsidR="003C1D68" w:rsidRDefault="003C1D68" w:rsidP="00CC6917">
            <w:pPr>
              <w:pStyle w:val="TableHeadingLeft"/>
              <w:keepNext/>
            </w:pPr>
            <w:r w:rsidRPr="00EF2F36">
              <w:t>Tier 2 price</w:t>
            </w:r>
            <w:r>
              <w:t xml:space="preserve"> </w:t>
            </w:r>
            <w:r w:rsidRPr="00932E8D">
              <w:rPr>
                <w:b w:val="0"/>
              </w:rPr>
              <w:t>($/kL)</w:t>
            </w:r>
          </w:p>
        </w:tc>
        <w:tc>
          <w:tcPr>
            <w:tcW w:w="757" w:type="pct"/>
            <w:tcBorders>
              <w:top w:val="nil"/>
              <w:left w:val="nil"/>
              <w:right w:val="nil"/>
            </w:tcBorders>
          </w:tcPr>
          <w:p w:rsidR="003C1D68" w:rsidRPr="003949F4" w:rsidRDefault="003C1D68" w:rsidP="00CC6917">
            <w:pPr>
              <w:pStyle w:val="TableTextRight"/>
            </w:pPr>
            <w:r>
              <w:t>5.24</w:t>
            </w:r>
          </w:p>
        </w:tc>
        <w:tc>
          <w:tcPr>
            <w:tcW w:w="485" w:type="pct"/>
            <w:tcBorders>
              <w:top w:val="nil"/>
              <w:left w:val="nil"/>
              <w:right w:val="nil"/>
            </w:tcBorders>
          </w:tcPr>
          <w:p w:rsidR="003C1D68" w:rsidRPr="003949F4" w:rsidRDefault="003C1D68" w:rsidP="00CC6917">
            <w:pPr>
              <w:pStyle w:val="TableTextRight"/>
            </w:pPr>
          </w:p>
        </w:tc>
        <w:tc>
          <w:tcPr>
            <w:tcW w:w="525" w:type="pct"/>
            <w:tcBorders>
              <w:top w:val="nil"/>
              <w:left w:val="nil"/>
              <w:right w:val="nil"/>
            </w:tcBorders>
          </w:tcPr>
          <w:p w:rsidR="003C1D68" w:rsidRPr="003949F4" w:rsidRDefault="003C1D68" w:rsidP="00CC6917">
            <w:pPr>
              <w:pStyle w:val="TableTextRight"/>
            </w:pPr>
          </w:p>
        </w:tc>
        <w:tc>
          <w:tcPr>
            <w:tcW w:w="525" w:type="pct"/>
            <w:tcBorders>
              <w:top w:val="nil"/>
              <w:left w:val="nil"/>
              <w:right w:val="nil"/>
            </w:tcBorders>
          </w:tcPr>
          <w:p w:rsidR="003C1D68" w:rsidRPr="003949F4" w:rsidRDefault="003C1D68" w:rsidP="00CC6917">
            <w:pPr>
              <w:pStyle w:val="TableTextRight"/>
            </w:pPr>
          </w:p>
        </w:tc>
        <w:tc>
          <w:tcPr>
            <w:tcW w:w="524" w:type="pct"/>
            <w:tcBorders>
              <w:top w:val="nil"/>
              <w:left w:val="nil"/>
              <w:right w:val="nil"/>
            </w:tcBorders>
          </w:tcPr>
          <w:p w:rsidR="003C1D68" w:rsidRPr="003949F4" w:rsidRDefault="003C1D68" w:rsidP="00CC6917">
            <w:pPr>
              <w:pStyle w:val="TableTextRight"/>
            </w:pPr>
          </w:p>
        </w:tc>
      </w:tr>
      <w:tr w:rsidR="003C1D68" w:rsidRPr="00144F8C" w:rsidTr="00CC6917">
        <w:trPr>
          <w:cantSplit/>
        </w:trPr>
        <w:tc>
          <w:tcPr>
            <w:tcW w:w="2184" w:type="pct"/>
            <w:tcBorders>
              <w:top w:val="nil"/>
              <w:left w:val="nil"/>
              <w:bottom w:val="nil"/>
              <w:right w:val="nil"/>
            </w:tcBorders>
          </w:tcPr>
          <w:p w:rsidR="003C1D68" w:rsidRDefault="003C1D68" w:rsidP="00CC6917">
            <w:pPr>
              <w:pStyle w:val="TableHeadingLeft"/>
              <w:keepNext/>
            </w:pPr>
          </w:p>
        </w:tc>
        <w:tc>
          <w:tcPr>
            <w:tcW w:w="757" w:type="pct"/>
            <w:tcBorders>
              <w:top w:val="nil"/>
              <w:left w:val="nil"/>
              <w:right w:val="nil"/>
            </w:tcBorders>
          </w:tcPr>
          <w:p w:rsidR="003C1D68" w:rsidRPr="003949F4" w:rsidRDefault="003C1D68" w:rsidP="00CC6917">
            <w:pPr>
              <w:pStyle w:val="TableTextRight"/>
            </w:pPr>
          </w:p>
        </w:tc>
        <w:tc>
          <w:tcPr>
            <w:tcW w:w="485" w:type="pct"/>
            <w:tcBorders>
              <w:top w:val="nil"/>
              <w:left w:val="nil"/>
              <w:right w:val="nil"/>
            </w:tcBorders>
          </w:tcPr>
          <w:p w:rsidR="003C1D68" w:rsidRPr="003949F4" w:rsidRDefault="003C1D68" w:rsidP="00CC6917">
            <w:pPr>
              <w:pStyle w:val="TableTextRight"/>
            </w:pPr>
          </w:p>
        </w:tc>
        <w:tc>
          <w:tcPr>
            <w:tcW w:w="525" w:type="pct"/>
            <w:tcBorders>
              <w:top w:val="nil"/>
              <w:left w:val="nil"/>
              <w:right w:val="nil"/>
            </w:tcBorders>
          </w:tcPr>
          <w:p w:rsidR="003C1D68" w:rsidRPr="003949F4" w:rsidRDefault="003C1D68" w:rsidP="00CC6917">
            <w:pPr>
              <w:pStyle w:val="TableTextRight"/>
            </w:pPr>
          </w:p>
        </w:tc>
        <w:tc>
          <w:tcPr>
            <w:tcW w:w="525" w:type="pct"/>
            <w:tcBorders>
              <w:top w:val="nil"/>
              <w:left w:val="nil"/>
              <w:right w:val="nil"/>
            </w:tcBorders>
          </w:tcPr>
          <w:p w:rsidR="003C1D68" w:rsidRPr="003949F4" w:rsidRDefault="003C1D68" w:rsidP="00CC6917">
            <w:pPr>
              <w:pStyle w:val="TableTextRight"/>
            </w:pPr>
          </w:p>
        </w:tc>
        <w:tc>
          <w:tcPr>
            <w:tcW w:w="524" w:type="pct"/>
            <w:tcBorders>
              <w:top w:val="nil"/>
              <w:left w:val="nil"/>
              <w:right w:val="nil"/>
            </w:tcBorders>
          </w:tcPr>
          <w:p w:rsidR="003C1D68" w:rsidRPr="003949F4" w:rsidRDefault="003C1D68" w:rsidP="00CC6917">
            <w:pPr>
              <w:pStyle w:val="TableTextRight"/>
            </w:pPr>
          </w:p>
        </w:tc>
      </w:tr>
      <w:tr w:rsidR="003C1D68" w:rsidRPr="00144F8C" w:rsidTr="00CC6917">
        <w:trPr>
          <w:cantSplit/>
        </w:trPr>
        <w:tc>
          <w:tcPr>
            <w:tcW w:w="2184" w:type="pct"/>
            <w:tcBorders>
              <w:top w:val="nil"/>
              <w:left w:val="nil"/>
              <w:bottom w:val="nil"/>
              <w:right w:val="nil"/>
            </w:tcBorders>
          </w:tcPr>
          <w:p w:rsidR="003C1D68" w:rsidRPr="00DD58D7" w:rsidRDefault="003C1D68" w:rsidP="00CC6917">
            <w:pPr>
              <w:pStyle w:val="TableHeadingLeft"/>
              <w:keepNext/>
            </w:pPr>
            <w:r>
              <w:t xml:space="preserve">Option A. One usage charge </w:t>
            </w:r>
            <w:r>
              <w:sym w:font="Symbol" w:char="F02D"/>
            </w:r>
            <w:r>
              <w:rPr>
                <w:b w:val="0"/>
              </w:rPr>
              <w:t xml:space="preserve"> </w:t>
            </w:r>
            <w:r w:rsidRPr="00EF2F36">
              <w:rPr>
                <w:b w:val="0"/>
              </w:rPr>
              <w:t>set at long-run marginal cost</w:t>
            </w:r>
          </w:p>
        </w:tc>
        <w:tc>
          <w:tcPr>
            <w:tcW w:w="757" w:type="pct"/>
            <w:tcBorders>
              <w:top w:val="nil"/>
              <w:left w:val="nil"/>
              <w:right w:val="nil"/>
            </w:tcBorders>
          </w:tcPr>
          <w:p w:rsidR="003C1D68" w:rsidRPr="003949F4" w:rsidRDefault="003C1D68" w:rsidP="00CC6917">
            <w:pPr>
              <w:pStyle w:val="TableTextRight"/>
            </w:pPr>
          </w:p>
        </w:tc>
        <w:tc>
          <w:tcPr>
            <w:tcW w:w="485" w:type="pct"/>
            <w:tcBorders>
              <w:top w:val="nil"/>
              <w:left w:val="nil"/>
              <w:right w:val="nil"/>
            </w:tcBorders>
          </w:tcPr>
          <w:p w:rsidR="003C1D68" w:rsidRPr="003949F4" w:rsidRDefault="003C1D68" w:rsidP="00CC6917">
            <w:pPr>
              <w:pStyle w:val="TableTextRight"/>
            </w:pPr>
          </w:p>
        </w:tc>
        <w:tc>
          <w:tcPr>
            <w:tcW w:w="525" w:type="pct"/>
            <w:tcBorders>
              <w:top w:val="nil"/>
              <w:left w:val="nil"/>
              <w:right w:val="nil"/>
            </w:tcBorders>
          </w:tcPr>
          <w:p w:rsidR="003C1D68" w:rsidRPr="003949F4" w:rsidRDefault="003C1D68" w:rsidP="00CC6917">
            <w:pPr>
              <w:pStyle w:val="TableTextRight"/>
            </w:pPr>
          </w:p>
        </w:tc>
        <w:tc>
          <w:tcPr>
            <w:tcW w:w="525" w:type="pct"/>
            <w:tcBorders>
              <w:top w:val="nil"/>
              <w:left w:val="nil"/>
              <w:right w:val="nil"/>
            </w:tcBorders>
          </w:tcPr>
          <w:p w:rsidR="003C1D68" w:rsidRPr="003949F4" w:rsidRDefault="003C1D68" w:rsidP="00CC6917">
            <w:pPr>
              <w:pStyle w:val="TableTextRight"/>
            </w:pPr>
          </w:p>
        </w:tc>
        <w:tc>
          <w:tcPr>
            <w:tcW w:w="524" w:type="pct"/>
            <w:tcBorders>
              <w:top w:val="nil"/>
              <w:left w:val="nil"/>
              <w:right w:val="nil"/>
            </w:tcBorders>
          </w:tcPr>
          <w:p w:rsidR="003C1D68" w:rsidRPr="003949F4" w:rsidRDefault="003C1D68" w:rsidP="00CC6917">
            <w:pPr>
              <w:pStyle w:val="TableTextRight"/>
            </w:pPr>
          </w:p>
        </w:tc>
      </w:tr>
      <w:tr w:rsidR="003C1D68" w:rsidRPr="00144F8C" w:rsidTr="00CC6917">
        <w:trPr>
          <w:cantSplit/>
        </w:trPr>
        <w:tc>
          <w:tcPr>
            <w:tcW w:w="2184" w:type="pct"/>
            <w:tcBorders>
              <w:top w:val="nil"/>
              <w:left w:val="nil"/>
              <w:bottom w:val="nil"/>
              <w:right w:val="nil"/>
            </w:tcBorders>
          </w:tcPr>
          <w:p w:rsidR="003C1D68" w:rsidRDefault="003C1D68" w:rsidP="00CC6917">
            <w:pPr>
              <w:pStyle w:val="TableHeadingLeft"/>
              <w:keepNext/>
              <w:rPr>
                <w:b w:val="0"/>
              </w:rPr>
            </w:pPr>
            <w:r>
              <w:t xml:space="preserve">Supply charge </w:t>
            </w:r>
            <w:r w:rsidRPr="00EF2F36">
              <w:rPr>
                <w:b w:val="0"/>
              </w:rPr>
              <w:t>($/year)</w:t>
            </w:r>
          </w:p>
        </w:tc>
        <w:tc>
          <w:tcPr>
            <w:tcW w:w="757" w:type="pct"/>
            <w:tcBorders>
              <w:left w:val="nil"/>
              <w:right w:val="nil"/>
            </w:tcBorders>
          </w:tcPr>
          <w:p w:rsidR="003C1D68" w:rsidRPr="003949F4" w:rsidRDefault="003C1D68" w:rsidP="00CC6917">
            <w:pPr>
              <w:pStyle w:val="TableTextRight"/>
            </w:pPr>
            <w:r w:rsidRPr="003949F4">
              <w:t>125.20</w:t>
            </w:r>
          </w:p>
        </w:tc>
        <w:tc>
          <w:tcPr>
            <w:tcW w:w="485" w:type="pct"/>
            <w:tcBorders>
              <w:left w:val="nil"/>
              <w:right w:val="nil"/>
            </w:tcBorders>
            <w:vAlign w:val="bottom"/>
          </w:tcPr>
          <w:p w:rsidR="003C1D68" w:rsidRPr="003949F4" w:rsidRDefault="003C1D68" w:rsidP="00CC6917">
            <w:pPr>
              <w:pStyle w:val="TableTextRight"/>
            </w:pPr>
            <w:r w:rsidRPr="003949F4">
              <w:t>149.29</w:t>
            </w:r>
          </w:p>
        </w:tc>
        <w:tc>
          <w:tcPr>
            <w:tcW w:w="525" w:type="pct"/>
            <w:tcBorders>
              <w:left w:val="nil"/>
              <w:right w:val="nil"/>
            </w:tcBorders>
            <w:vAlign w:val="bottom"/>
          </w:tcPr>
          <w:p w:rsidR="003C1D68" w:rsidRPr="003949F4" w:rsidRDefault="003C1D68" w:rsidP="00CC6917">
            <w:pPr>
              <w:pStyle w:val="TableTextRight"/>
            </w:pPr>
            <w:r w:rsidRPr="003949F4">
              <w:t>178.00</w:t>
            </w:r>
          </w:p>
        </w:tc>
        <w:tc>
          <w:tcPr>
            <w:tcW w:w="525" w:type="pct"/>
            <w:tcBorders>
              <w:left w:val="nil"/>
              <w:right w:val="nil"/>
            </w:tcBorders>
            <w:vAlign w:val="bottom"/>
          </w:tcPr>
          <w:p w:rsidR="003C1D68" w:rsidRPr="003949F4" w:rsidRDefault="003C1D68" w:rsidP="00CC6917">
            <w:pPr>
              <w:pStyle w:val="TableTextRight"/>
            </w:pPr>
            <w:r w:rsidRPr="003949F4">
              <w:t>212.25</w:t>
            </w:r>
          </w:p>
        </w:tc>
        <w:tc>
          <w:tcPr>
            <w:tcW w:w="524" w:type="pct"/>
            <w:tcBorders>
              <w:left w:val="nil"/>
              <w:right w:val="nil"/>
            </w:tcBorders>
            <w:vAlign w:val="bottom"/>
          </w:tcPr>
          <w:p w:rsidR="003C1D68" w:rsidRPr="003949F4" w:rsidRDefault="003C1D68" w:rsidP="00CC6917">
            <w:pPr>
              <w:pStyle w:val="TableTextRight"/>
            </w:pPr>
            <w:r w:rsidRPr="003949F4">
              <w:t>253.08</w:t>
            </w:r>
          </w:p>
        </w:tc>
      </w:tr>
      <w:tr w:rsidR="003C1D68" w:rsidRPr="00144F8C" w:rsidTr="00CC6917">
        <w:trPr>
          <w:cantSplit/>
        </w:trPr>
        <w:tc>
          <w:tcPr>
            <w:tcW w:w="2184" w:type="pct"/>
            <w:tcBorders>
              <w:top w:val="nil"/>
              <w:left w:val="nil"/>
              <w:bottom w:val="nil"/>
              <w:right w:val="nil"/>
            </w:tcBorders>
          </w:tcPr>
          <w:p w:rsidR="003C1D68" w:rsidRPr="00174360" w:rsidRDefault="003C1D68" w:rsidP="00CC6917">
            <w:pPr>
              <w:pStyle w:val="TableHeadingLeft"/>
              <w:keepNext/>
            </w:pPr>
            <w:r>
              <w:t xml:space="preserve">Tier 1 price </w:t>
            </w:r>
            <w:r w:rsidRPr="00EF2F36">
              <w:rPr>
                <w:b w:val="0"/>
              </w:rPr>
              <w:t>($/kL)</w:t>
            </w:r>
          </w:p>
        </w:tc>
        <w:tc>
          <w:tcPr>
            <w:tcW w:w="757" w:type="pct"/>
            <w:tcBorders>
              <w:left w:val="nil"/>
              <w:right w:val="nil"/>
            </w:tcBorders>
          </w:tcPr>
          <w:p w:rsidR="003C1D68" w:rsidRPr="003949F4" w:rsidRDefault="003C1D68" w:rsidP="00CC6917">
            <w:pPr>
              <w:pStyle w:val="TableTextRight"/>
            </w:pPr>
            <w:r w:rsidRPr="003949F4">
              <w:t>2.61</w:t>
            </w:r>
          </w:p>
        </w:tc>
        <w:tc>
          <w:tcPr>
            <w:tcW w:w="485" w:type="pct"/>
            <w:tcBorders>
              <w:left w:val="nil"/>
              <w:right w:val="nil"/>
            </w:tcBorders>
            <w:vAlign w:val="bottom"/>
          </w:tcPr>
          <w:p w:rsidR="003C1D68" w:rsidRPr="003949F4" w:rsidRDefault="003C1D68" w:rsidP="00CC6917">
            <w:pPr>
              <w:pStyle w:val="TableTextRight"/>
            </w:pPr>
            <w:r w:rsidRPr="003949F4">
              <w:t>2.61</w:t>
            </w:r>
          </w:p>
        </w:tc>
        <w:tc>
          <w:tcPr>
            <w:tcW w:w="525" w:type="pct"/>
            <w:tcBorders>
              <w:left w:val="nil"/>
              <w:right w:val="nil"/>
            </w:tcBorders>
            <w:vAlign w:val="bottom"/>
          </w:tcPr>
          <w:p w:rsidR="003C1D68" w:rsidRPr="003949F4" w:rsidRDefault="003C1D68" w:rsidP="00CC6917">
            <w:pPr>
              <w:pStyle w:val="TableTextRight"/>
            </w:pPr>
            <w:r w:rsidRPr="003949F4">
              <w:t>2.61</w:t>
            </w:r>
          </w:p>
        </w:tc>
        <w:tc>
          <w:tcPr>
            <w:tcW w:w="525" w:type="pct"/>
            <w:tcBorders>
              <w:left w:val="nil"/>
              <w:right w:val="nil"/>
            </w:tcBorders>
            <w:vAlign w:val="bottom"/>
          </w:tcPr>
          <w:p w:rsidR="003C1D68" w:rsidRPr="003949F4" w:rsidRDefault="003C1D68" w:rsidP="00CC6917">
            <w:pPr>
              <w:pStyle w:val="TableTextRight"/>
            </w:pPr>
            <w:r w:rsidRPr="003949F4">
              <w:t>2.61</w:t>
            </w:r>
          </w:p>
        </w:tc>
        <w:tc>
          <w:tcPr>
            <w:tcW w:w="524" w:type="pct"/>
            <w:tcBorders>
              <w:left w:val="nil"/>
              <w:right w:val="nil"/>
            </w:tcBorders>
            <w:vAlign w:val="bottom"/>
          </w:tcPr>
          <w:p w:rsidR="003C1D68" w:rsidRPr="003949F4" w:rsidRDefault="003C1D68" w:rsidP="00CC6917">
            <w:pPr>
              <w:pStyle w:val="TableTextRight"/>
            </w:pPr>
            <w:r w:rsidRPr="003949F4">
              <w:t>2.61</w:t>
            </w:r>
          </w:p>
        </w:tc>
      </w:tr>
      <w:tr w:rsidR="003C1D68" w:rsidRPr="00144F8C" w:rsidTr="00CC6917">
        <w:trPr>
          <w:cantSplit/>
        </w:trPr>
        <w:tc>
          <w:tcPr>
            <w:tcW w:w="2184" w:type="pct"/>
            <w:tcBorders>
              <w:top w:val="nil"/>
              <w:left w:val="nil"/>
              <w:bottom w:val="nil"/>
              <w:right w:val="nil"/>
            </w:tcBorders>
          </w:tcPr>
          <w:p w:rsidR="003C1D68" w:rsidRDefault="003C1D68" w:rsidP="00CC6917">
            <w:pPr>
              <w:pStyle w:val="TableHeadingLeft"/>
              <w:keepNext/>
              <w:rPr>
                <w:b w:val="0"/>
              </w:rPr>
            </w:pPr>
            <w:r w:rsidRPr="00EF2F36">
              <w:t>Tier 2 price</w:t>
            </w:r>
            <w:r>
              <w:t xml:space="preserve"> </w:t>
            </w:r>
            <w:r w:rsidRPr="00932E8D">
              <w:rPr>
                <w:b w:val="0"/>
              </w:rPr>
              <w:t>($/kL)</w:t>
            </w:r>
          </w:p>
        </w:tc>
        <w:tc>
          <w:tcPr>
            <w:tcW w:w="757" w:type="pct"/>
            <w:tcBorders>
              <w:left w:val="nil"/>
              <w:right w:val="nil"/>
            </w:tcBorders>
          </w:tcPr>
          <w:p w:rsidR="003C1D68" w:rsidRPr="003949F4" w:rsidRDefault="003C1D68" w:rsidP="00CC6917">
            <w:pPr>
              <w:pStyle w:val="TableTextRight"/>
            </w:pPr>
            <w:r w:rsidRPr="003949F4">
              <w:t>5.02</w:t>
            </w:r>
          </w:p>
        </w:tc>
        <w:tc>
          <w:tcPr>
            <w:tcW w:w="485" w:type="pct"/>
            <w:tcBorders>
              <w:left w:val="nil"/>
              <w:right w:val="nil"/>
            </w:tcBorders>
            <w:vAlign w:val="bottom"/>
          </w:tcPr>
          <w:p w:rsidR="003C1D68" w:rsidRPr="003949F4" w:rsidRDefault="003C1D68" w:rsidP="00CC6917">
            <w:pPr>
              <w:pStyle w:val="TableTextRight"/>
            </w:pPr>
            <w:r w:rsidRPr="003949F4">
              <w:t>4.80</w:t>
            </w:r>
          </w:p>
        </w:tc>
        <w:tc>
          <w:tcPr>
            <w:tcW w:w="525" w:type="pct"/>
            <w:tcBorders>
              <w:left w:val="nil"/>
              <w:right w:val="nil"/>
            </w:tcBorders>
            <w:vAlign w:val="bottom"/>
          </w:tcPr>
          <w:p w:rsidR="003C1D68" w:rsidRPr="003949F4" w:rsidRDefault="003C1D68" w:rsidP="00CC6917">
            <w:pPr>
              <w:pStyle w:val="TableTextRight"/>
            </w:pPr>
            <w:r w:rsidRPr="003949F4">
              <w:t>4.53</w:t>
            </w:r>
          </w:p>
        </w:tc>
        <w:tc>
          <w:tcPr>
            <w:tcW w:w="525" w:type="pct"/>
            <w:tcBorders>
              <w:left w:val="nil"/>
              <w:right w:val="nil"/>
            </w:tcBorders>
            <w:vAlign w:val="bottom"/>
          </w:tcPr>
          <w:p w:rsidR="003C1D68" w:rsidRPr="003949F4" w:rsidRDefault="003C1D68" w:rsidP="00CC6917">
            <w:pPr>
              <w:pStyle w:val="TableTextRight"/>
            </w:pPr>
            <w:r w:rsidRPr="003949F4">
              <w:t>4.21</w:t>
            </w:r>
          </w:p>
        </w:tc>
        <w:tc>
          <w:tcPr>
            <w:tcW w:w="524" w:type="pct"/>
            <w:tcBorders>
              <w:left w:val="nil"/>
              <w:right w:val="nil"/>
            </w:tcBorders>
            <w:vAlign w:val="bottom"/>
          </w:tcPr>
          <w:p w:rsidR="003C1D68" w:rsidRPr="003949F4" w:rsidRDefault="003C1D68" w:rsidP="00CC6917">
            <w:pPr>
              <w:pStyle w:val="TableTextRight"/>
            </w:pPr>
            <w:r w:rsidRPr="003949F4">
              <w:t>3.84</w:t>
            </w:r>
          </w:p>
        </w:tc>
      </w:tr>
      <w:tr w:rsidR="003C1D68" w:rsidRPr="00144F8C" w:rsidTr="00CC6917">
        <w:trPr>
          <w:cantSplit/>
        </w:trPr>
        <w:tc>
          <w:tcPr>
            <w:tcW w:w="2184" w:type="pct"/>
            <w:tcBorders>
              <w:top w:val="nil"/>
              <w:left w:val="nil"/>
              <w:bottom w:val="nil"/>
              <w:right w:val="nil"/>
            </w:tcBorders>
          </w:tcPr>
          <w:p w:rsidR="003C1D68" w:rsidRDefault="003C1D68" w:rsidP="00CC6917">
            <w:pPr>
              <w:pStyle w:val="TableTextLeft"/>
              <w:keepNext/>
              <w:rPr>
                <w:b/>
              </w:rPr>
            </w:pPr>
          </w:p>
        </w:tc>
        <w:tc>
          <w:tcPr>
            <w:tcW w:w="757" w:type="pct"/>
            <w:tcBorders>
              <w:left w:val="nil"/>
              <w:right w:val="nil"/>
            </w:tcBorders>
          </w:tcPr>
          <w:p w:rsidR="003C1D68" w:rsidRPr="003949F4" w:rsidRDefault="003C1D68" w:rsidP="00CC6917">
            <w:pPr>
              <w:pStyle w:val="TableTextRight"/>
            </w:pPr>
          </w:p>
        </w:tc>
        <w:tc>
          <w:tcPr>
            <w:tcW w:w="485" w:type="pct"/>
            <w:tcBorders>
              <w:left w:val="nil"/>
              <w:right w:val="nil"/>
            </w:tcBorders>
          </w:tcPr>
          <w:p w:rsidR="003C1D68" w:rsidRPr="003949F4" w:rsidRDefault="003C1D68" w:rsidP="00CC6917">
            <w:pPr>
              <w:pStyle w:val="TableTextRight"/>
            </w:pPr>
          </w:p>
        </w:tc>
        <w:tc>
          <w:tcPr>
            <w:tcW w:w="525" w:type="pct"/>
            <w:tcBorders>
              <w:left w:val="nil"/>
              <w:right w:val="nil"/>
            </w:tcBorders>
          </w:tcPr>
          <w:p w:rsidR="003C1D68" w:rsidRPr="003949F4" w:rsidRDefault="003C1D68" w:rsidP="00CC6917">
            <w:pPr>
              <w:pStyle w:val="TableTextRight"/>
            </w:pPr>
          </w:p>
        </w:tc>
        <w:tc>
          <w:tcPr>
            <w:tcW w:w="525" w:type="pct"/>
            <w:tcBorders>
              <w:left w:val="nil"/>
              <w:right w:val="nil"/>
            </w:tcBorders>
          </w:tcPr>
          <w:p w:rsidR="003C1D68" w:rsidRPr="003949F4" w:rsidRDefault="003C1D68" w:rsidP="00CC6917">
            <w:pPr>
              <w:pStyle w:val="TableTextRight"/>
            </w:pPr>
          </w:p>
        </w:tc>
        <w:tc>
          <w:tcPr>
            <w:tcW w:w="524" w:type="pct"/>
            <w:tcBorders>
              <w:left w:val="nil"/>
              <w:right w:val="nil"/>
            </w:tcBorders>
          </w:tcPr>
          <w:p w:rsidR="003C1D68" w:rsidRPr="003949F4" w:rsidRDefault="003C1D68" w:rsidP="00CC6917">
            <w:pPr>
              <w:pStyle w:val="TableTextRight"/>
            </w:pPr>
          </w:p>
        </w:tc>
      </w:tr>
      <w:tr w:rsidR="003C1D68" w:rsidRPr="00144F8C" w:rsidTr="00CC6917">
        <w:trPr>
          <w:cantSplit/>
        </w:trPr>
        <w:tc>
          <w:tcPr>
            <w:tcW w:w="2184" w:type="pct"/>
            <w:tcBorders>
              <w:top w:val="nil"/>
              <w:left w:val="nil"/>
              <w:bottom w:val="nil"/>
              <w:right w:val="nil"/>
            </w:tcBorders>
          </w:tcPr>
          <w:p w:rsidR="003C1D68" w:rsidRDefault="003C1D68" w:rsidP="00CC6917">
            <w:pPr>
              <w:pStyle w:val="TableTextLeft"/>
              <w:keepNext/>
            </w:pPr>
            <w:r>
              <w:rPr>
                <w:b/>
              </w:rPr>
              <w:t xml:space="preserve">Option B: One usage charge </w:t>
            </w:r>
            <w:r>
              <w:rPr>
                <w:b/>
              </w:rPr>
              <w:sym w:font="Symbol" w:char="F02D"/>
            </w:r>
            <w:r w:rsidRPr="00EF2F36">
              <w:t xml:space="preserve"> set </w:t>
            </w:r>
            <w:r>
              <w:t>at current Tier 1 price</w:t>
            </w:r>
          </w:p>
        </w:tc>
        <w:tc>
          <w:tcPr>
            <w:tcW w:w="757" w:type="pct"/>
            <w:tcBorders>
              <w:left w:val="nil"/>
              <w:right w:val="nil"/>
            </w:tcBorders>
          </w:tcPr>
          <w:p w:rsidR="003C1D68" w:rsidRPr="003949F4" w:rsidRDefault="003C1D68" w:rsidP="00CC6917">
            <w:pPr>
              <w:pStyle w:val="TableTextRight"/>
            </w:pPr>
          </w:p>
        </w:tc>
        <w:tc>
          <w:tcPr>
            <w:tcW w:w="485" w:type="pct"/>
            <w:tcBorders>
              <w:left w:val="nil"/>
              <w:right w:val="nil"/>
            </w:tcBorders>
          </w:tcPr>
          <w:p w:rsidR="003C1D68" w:rsidRPr="003949F4" w:rsidRDefault="003C1D68" w:rsidP="00CC6917">
            <w:pPr>
              <w:pStyle w:val="TableTextRight"/>
            </w:pPr>
          </w:p>
        </w:tc>
        <w:tc>
          <w:tcPr>
            <w:tcW w:w="525" w:type="pct"/>
            <w:tcBorders>
              <w:left w:val="nil"/>
              <w:right w:val="nil"/>
            </w:tcBorders>
          </w:tcPr>
          <w:p w:rsidR="003C1D68" w:rsidRPr="003949F4" w:rsidRDefault="003C1D68" w:rsidP="00CC6917">
            <w:pPr>
              <w:pStyle w:val="TableTextRight"/>
            </w:pPr>
          </w:p>
        </w:tc>
        <w:tc>
          <w:tcPr>
            <w:tcW w:w="525" w:type="pct"/>
            <w:tcBorders>
              <w:left w:val="nil"/>
              <w:right w:val="nil"/>
            </w:tcBorders>
          </w:tcPr>
          <w:p w:rsidR="003C1D68" w:rsidRPr="003949F4" w:rsidRDefault="003C1D68" w:rsidP="00CC6917">
            <w:pPr>
              <w:pStyle w:val="TableTextRight"/>
            </w:pPr>
          </w:p>
        </w:tc>
        <w:tc>
          <w:tcPr>
            <w:tcW w:w="524" w:type="pct"/>
            <w:tcBorders>
              <w:left w:val="nil"/>
              <w:right w:val="nil"/>
            </w:tcBorders>
          </w:tcPr>
          <w:p w:rsidR="003C1D68" w:rsidRPr="003949F4" w:rsidRDefault="003C1D68" w:rsidP="00CC6917">
            <w:pPr>
              <w:pStyle w:val="TableTextRight"/>
            </w:pPr>
          </w:p>
        </w:tc>
      </w:tr>
      <w:tr w:rsidR="003C1D68" w:rsidRPr="00144F8C" w:rsidTr="00CC6917">
        <w:trPr>
          <w:cantSplit/>
        </w:trPr>
        <w:tc>
          <w:tcPr>
            <w:tcW w:w="2184" w:type="pct"/>
            <w:tcBorders>
              <w:top w:val="nil"/>
              <w:left w:val="nil"/>
              <w:bottom w:val="nil"/>
              <w:right w:val="nil"/>
            </w:tcBorders>
          </w:tcPr>
          <w:p w:rsidR="003C1D68" w:rsidRDefault="003C1D68" w:rsidP="00CC6917">
            <w:pPr>
              <w:pStyle w:val="TableHeadingLeft"/>
              <w:keepNext/>
              <w:rPr>
                <w:b w:val="0"/>
              </w:rPr>
            </w:pPr>
            <w:r>
              <w:t xml:space="preserve">Supply charge </w:t>
            </w:r>
            <w:r w:rsidRPr="00EF2F36">
              <w:rPr>
                <w:b w:val="0"/>
              </w:rPr>
              <w:t>($/year)</w:t>
            </w:r>
          </w:p>
        </w:tc>
        <w:tc>
          <w:tcPr>
            <w:tcW w:w="757" w:type="pct"/>
            <w:tcBorders>
              <w:left w:val="nil"/>
              <w:right w:val="nil"/>
            </w:tcBorders>
            <w:vAlign w:val="bottom"/>
          </w:tcPr>
          <w:p w:rsidR="003C1D68" w:rsidRDefault="003C1D68" w:rsidP="00CC6917">
            <w:pPr>
              <w:pStyle w:val="TableTextRight"/>
              <w:rPr>
                <w:lang w:eastAsia="en-GB"/>
              </w:rPr>
            </w:pPr>
            <w:r>
              <w:t>119.72</w:t>
            </w:r>
          </w:p>
        </w:tc>
        <w:tc>
          <w:tcPr>
            <w:tcW w:w="485" w:type="pct"/>
            <w:tcBorders>
              <w:left w:val="nil"/>
              <w:right w:val="nil"/>
            </w:tcBorders>
            <w:vAlign w:val="bottom"/>
          </w:tcPr>
          <w:p w:rsidR="003C1D68" w:rsidRDefault="003C1D68" w:rsidP="00CC6917">
            <w:pPr>
              <w:pStyle w:val="TableTextRight"/>
            </w:pPr>
            <w:r>
              <w:t>136.51</w:t>
            </w:r>
          </w:p>
        </w:tc>
        <w:tc>
          <w:tcPr>
            <w:tcW w:w="525" w:type="pct"/>
            <w:tcBorders>
              <w:left w:val="nil"/>
              <w:right w:val="nil"/>
            </w:tcBorders>
            <w:vAlign w:val="bottom"/>
          </w:tcPr>
          <w:p w:rsidR="003C1D68" w:rsidRDefault="003C1D68" w:rsidP="00CC6917">
            <w:pPr>
              <w:pStyle w:val="TableTextRight"/>
            </w:pPr>
            <w:r>
              <w:t>155.65</w:t>
            </w:r>
          </w:p>
        </w:tc>
        <w:tc>
          <w:tcPr>
            <w:tcW w:w="525" w:type="pct"/>
            <w:tcBorders>
              <w:left w:val="nil"/>
              <w:right w:val="nil"/>
            </w:tcBorders>
            <w:vAlign w:val="bottom"/>
          </w:tcPr>
          <w:p w:rsidR="003C1D68" w:rsidRDefault="003C1D68" w:rsidP="00CC6917">
            <w:pPr>
              <w:pStyle w:val="TableTextRight"/>
            </w:pPr>
            <w:r>
              <w:t>177.48</w:t>
            </w:r>
          </w:p>
        </w:tc>
        <w:tc>
          <w:tcPr>
            <w:tcW w:w="524" w:type="pct"/>
            <w:tcBorders>
              <w:left w:val="nil"/>
              <w:right w:val="nil"/>
            </w:tcBorders>
            <w:vAlign w:val="bottom"/>
          </w:tcPr>
          <w:p w:rsidR="003C1D68" w:rsidRDefault="003C1D68" w:rsidP="00CC6917">
            <w:pPr>
              <w:pStyle w:val="TableTextRight"/>
            </w:pPr>
            <w:r>
              <w:t>202.36</w:t>
            </w:r>
          </w:p>
        </w:tc>
      </w:tr>
      <w:tr w:rsidR="003C1D68" w:rsidRPr="00144F8C" w:rsidTr="00CC6917">
        <w:trPr>
          <w:cantSplit/>
        </w:trPr>
        <w:tc>
          <w:tcPr>
            <w:tcW w:w="2184" w:type="pct"/>
            <w:tcBorders>
              <w:top w:val="nil"/>
              <w:left w:val="nil"/>
              <w:bottom w:val="nil"/>
              <w:right w:val="nil"/>
            </w:tcBorders>
          </w:tcPr>
          <w:p w:rsidR="003C1D68" w:rsidRPr="00174360" w:rsidRDefault="003C1D68" w:rsidP="00CC6917">
            <w:pPr>
              <w:pStyle w:val="TableHeadingLeft"/>
              <w:keepNext/>
            </w:pPr>
            <w:r>
              <w:t xml:space="preserve">Tier 1 price </w:t>
            </w:r>
            <w:r w:rsidRPr="00EF2F36">
              <w:rPr>
                <w:b w:val="0"/>
              </w:rPr>
              <w:t>($/kL)</w:t>
            </w:r>
          </w:p>
        </w:tc>
        <w:tc>
          <w:tcPr>
            <w:tcW w:w="757" w:type="pct"/>
            <w:tcBorders>
              <w:left w:val="nil"/>
              <w:right w:val="nil"/>
            </w:tcBorders>
            <w:vAlign w:val="bottom"/>
          </w:tcPr>
          <w:p w:rsidR="003C1D68" w:rsidRDefault="003C1D68" w:rsidP="00CC6917">
            <w:pPr>
              <w:pStyle w:val="TableTextRight"/>
            </w:pPr>
            <w:r>
              <w:t>2.61</w:t>
            </w:r>
          </w:p>
        </w:tc>
        <w:tc>
          <w:tcPr>
            <w:tcW w:w="485" w:type="pct"/>
            <w:tcBorders>
              <w:left w:val="nil"/>
              <w:right w:val="nil"/>
            </w:tcBorders>
            <w:vAlign w:val="bottom"/>
          </w:tcPr>
          <w:p w:rsidR="003C1D68" w:rsidRDefault="003C1D68" w:rsidP="00CC6917">
            <w:pPr>
              <w:pStyle w:val="TableTextRight"/>
            </w:pPr>
            <w:r>
              <w:t>2.61</w:t>
            </w:r>
          </w:p>
        </w:tc>
        <w:tc>
          <w:tcPr>
            <w:tcW w:w="525" w:type="pct"/>
            <w:tcBorders>
              <w:left w:val="nil"/>
              <w:right w:val="nil"/>
            </w:tcBorders>
            <w:vAlign w:val="bottom"/>
          </w:tcPr>
          <w:p w:rsidR="003C1D68" w:rsidRDefault="003C1D68" w:rsidP="00CC6917">
            <w:pPr>
              <w:pStyle w:val="TableTextRight"/>
            </w:pPr>
            <w:r>
              <w:t>2.61</w:t>
            </w:r>
          </w:p>
        </w:tc>
        <w:tc>
          <w:tcPr>
            <w:tcW w:w="525" w:type="pct"/>
            <w:tcBorders>
              <w:left w:val="nil"/>
              <w:right w:val="nil"/>
            </w:tcBorders>
            <w:vAlign w:val="bottom"/>
          </w:tcPr>
          <w:p w:rsidR="003C1D68" w:rsidRDefault="003C1D68" w:rsidP="00CC6917">
            <w:pPr>
              <w:pStyle w:val="TableTextRight"/>
            </w:pPr>
            <w:r>
              <w:t>2.61</w:t>
            </w:r>
          </w:p>
        </w:tc>
        <w:tc>
          <w:tcPr>
            <w:tcW w:w="524" w:type="pct"/>
            <w:tcBorders>
              <w:left w:val="nil"/>
              <w:right w:val="nil"/>
            </w:tcBorders>
            <w:vAlign w:val="bottom"/>
          </w:tcPr>
          <w:p w:rsidR="003C1D68" w:rsidRDefault="003C1D68" w:rsidP="00CC6917">
            <w:pPr>
              <w:pStyle w:val="TableTextRight"/>
            </w:pPr>
            <w:r>
              <w:t>2.61</w:t>
            </w:r>
          </w:p>
        </w:tc>
      </w:tr>
      <w:tr w:rsidR="003C1D68" w:rsidRPr="00144F8C" w:rsidTr="00CC6917">
        <w:trPr>
          <w:cantSplit/>
        </w:trPr>
        <w:tc>
          <w:tcPr>
            <w:tcW w:w="2184" w:type="pct"/>
            <w:tcBorders>
              <w:top w:val="nil"/>
              <w:left w:val="nil"/>
              <w:bottom w:val="single" w:sz="12" w:space="0" w:color="1F497D" w:themeColor="text2"/>
              <w:right w:val="nil"/>
            </w:tcBorders>
          </w:tcPr>
          <w:p w:rsidR="003C1D68" w:rsidRDefault="003C1D68" w:rsidP="00CC6917">
            <w:pPr>
              <w:pStyle w:val="TableHeadingLeft"/>
              <w:keepNext/>
              <w:rPr>
                <w:b w:val="0"/>
              </w:rPr>
            </w:pPr>
            <w:r w:rsidRPr="00EF2F36">
              <w:t>Tier 2 price</w:t>
            </w:r>
            <w:r>
              <w:t xml:space="preserve"> </w:t>
            </w:r>
            <w:r w:rsidRPr="00932E8D">
              <w:rPr>
                <w:b w:val="0"/>
              </w:rPr>
              <w:t>($/kL)</w:t>
            </w:r>
          </w:p>
        </w:tc>
        <w:tc>
          <w:tcPr>
            <w:tcW w:w="757" w:type="pct"/>
            <w:tcBorders>
              <w:left w:val="nil"/>
              <w:bottom w:val="single" w:sz="12" w:space="0" w:color="1F497D" w:themeColor="text2"/>
              <w:right w:val="nil"/>
            </w:tcBorders>
            <w:vAlign w:val="bottom"/>
          </w:tcPr>
          <w:p w:rsidR="003C1D68" w:rsidRDefault="003C1D68" w:rsidP="00CC6917">
            <w:pPr>
              <w:pStyle w:val="TableTextRight"/>
            </w:pPr>
            <w:r>
              <w:t>5.07</w:t>
            </w:r>
          </w:p>
        </w:tc>
        <w:tc>
          <w:tcPr>
            <w:tcW w:w="485" w:type="pct"/>
            <w:tcBorders>
              <w:left w:val="nil"/>
              <w:bottom w:val="single" w:sz="12" w:space="0" w:color="1F497D" w:themeColor="text2"/>
              <w:right w:val="nil"/>
            </w:tcBorders>
            <w:vAlign w:val="bottom"/>
          </w:tcPr>
          <w:p w:rsidR="003C1D68" w:rsidRDefault="003C1D68" w:rsidP="00CC6917">
            <w:pPr>
              <w:pStyle w:val="TableTextRight"/>
            </w:pPr>
            <w:r>
              <w:t>4.92</w:t>
            </w:r>
          </w:p>
        </w:tc>
        <w:tc>
          <w:tcPr>
            <w:tcW w:w="525" w:type="pct"/>
            <w:tcBorders>
              <w:left w:val="nil"/>
              <w:bottom w:val="single" w:sz="12" w:space="0" w:color="1F497D" w:themeColor="text2"/>
              <w:right w:val="nil"/>
            </w:tcBorders>
            <w:vAlign w:val="bottom"/>
          </w:tcPr>
          <w:p w:rsidR="003C1D68" w:rsidRDefault="003C1D68" w:rsidP="00CC6917">
            <w:pPr>
              <w:pStyle w:val="TableTextRight"/>
            </w:pPr>
            <w:r>
              <w:t>4.74</w:t>
            </w:r>
          </w:p>
        </w:tc>
        <w:tc>
          <w:tcPr>
            <w:tcW w:w="525" w:type="pct"/>
            <w:tcBorders>
              <w:left w:val="nil"/>
              <w:bottom w:val="single" w:sz="12" w:space="0" w:color="1F497D" w:themeColor="text2"/>
              <w:right w:val="nil"/>
            </w:tcBorders>
            <w:vAlign w:val="bottom"/>
          </w:tcPr>
          <w:p w:rsidR="003C1D68" w:rsidRDefault="003C1D68" w:rsidP="00CC6917">
            <w:pPr>
              <w:pStyle w:val="TableTextRight"/>
            </w:pPr>
            <w:r>
              <w:t>4.54</w:t>
            </w:r>
          </w:p>
        </w:tc>
        <w:tc>
          <w:tcPr>
            <w:tcW w:w="524" w:type="pct"/>
            <w:tcBorders>
              <w:left w:val="nil"/>
              <w:bottom w:val="single" w:sz="12" w:space="0" w:color="1F497D" w:themeColor="text2"/>
              <w:right w:val="nil"/>
            </w:tcBorders>
            <w:vAlign w:val="bottom"/>
          </w:tcPr>
          <w:p w:rsidR="003C1D68" w:rsidRDefault="003C1D68" w:rsidP="00CC6917">
            <w:pPr>
              <w:pStyle w:val="TableTextRight"/>
            </w:pPr>
            <w:r>
              <w:t>4.31</w:t>
            </w:r>
          </w:p>
        </w:tc>
      </w:tr>
    </w:tbl>
    <w:p w:rsidR="003C1D68" w:rsidRDefault="003C1D68" w:rsidP="003C1D68"/>
    <w:tbl>
      <w:tblPr>
        <w:tblW w:w="5473" w:type="pct"/>
        <w:tblBorders>
          <w:top w:val="single" w:sz="12" w:space="0" w:color="333399"/>
          <w:bottom w:val="single" w:sz="12" w:space="0" w:color="333399"/>
        </w:tblBorders>
        <w:tblLayout w:type="fixed"/>
        <w:tblCellMar>
          <w:left w:w="115" w:type="dxa"/>
          <w:right w:w="115" w:type="dxa"/>
        </w:tblCellMar>
        <w:tblLook w:val="0000" w:firstRow="0" w:lastRow="0" w:firstColumn="0" w:lastColumn="0" w:noHBand="0" w:noVBand="0"/>
      </w:tblPr>
      <w:tblGrid>
        <w:gridCol w:w="4173"/>
        <w:gridCol w:w="790"/>
        <w:gridCol w:w="819"/>
        <w:gridCol w:w="886"/>
        <w:gridCol w:w="886"/>
        <w:gridCol w:w="886"/>
      </w:tblGrid>
      <w:tr w:rsidR="003C1D68" w:rsidRPr="00144F8C" w:rsidTr="00CC6917">
        <w:trPr>
          <w:cantSplit/>
        </w:trPr>
        <w:tc>
          <w:tcPr>
            <w:tcW w:w="2472" w:type="pct"/>
            <w:tcBorders>
              <w:top w:val="single" w:sz="12" w:space="0" w:color="1F497D" w:themeColor="text2"/>
              <w:left w:val="nil"/>
              <w:bottom w:val="single" w:sz="8" w:space="0" w:color="1F497D" w:themeColor="text2"/>
              <w:right w:val="nil"/>
            </w:tcBorders>
            <w:shd w:val="clear" w:color="auto" w:fill="DBE5F1" w:themeFill="accent1" w:themeFillTint="33"/>
          </w:tcPr>
          <w:p w:rsidR="003C1D68" w:rsidRPr="00347ADB" w:rsidRDefault="003C1D68" w:rsidP="00CC6917">
            <w:pPr>
              <w:pStyle w:val="TableHeadingLeft"/>
              <w:keepNext/>
            </w:pPr>
            <w:r>
              <w:t>Tariffs</w:t>
            </w:r>
          </w:p>
        </w:tc>
        <w:tc>
          <w:tcPr>
            <w:tcW w:w="468" w:type="pct"/>
            <w:tcBorders>
              <w:top w:val="single" w:sz="12" w:space="0" w:color="1F497D" w:themeColor="text2"/>
              <w:left w:val="nil"/>
              <w:bottom w:val="single" w:sz="8" w:space="0" w:color="1F497D" w:themeColor="text2"/>
              <w:right w:val="nil"/>
            </w:tcBorders>
            <w:shd w:val="clear" w:color="auto" w:fill="DBE5F1" w:themeFill="accent1" w:themeFillTint="33"/>
          </w:tcPr>
          <w:p w:rsidR="003C1D68" w:rsidRDefault="003C1D68" w:rsidP="00CC6917">
            <w:pPr>
              <w:pStyle w:val="TableHeadingLeft"/>
              <w:keepNext/>
              <w:jc w:val="right"/>
            </w:pPr>
            <w:r>
              <w:t>Year 6</w:t>
            </w:r>
          </w:p>
        </w:tc>
        <w:tc>
          <w:tcPr>
            <w:tcW w:w="485" w:type="pct"/>
            <w:tcBorders>
              <w:top w:val="single" w:sz="12" w:space="0" w:color="1F497D" w:themeColor="text2"/>
              <w:left w:val="nil"/>
              <w:bottom w:val="single" w:sz="8" w:space="0" w:color="1F497D" w:themeColor="text2"/>
              <w:right w:val="nil"/>
            </w:tcBorders>
            <w:shd w:val="clear" w:color="auto" w:fill="DBE5F1" w:themeFill="accent1" w:themeFillTint="33"/>
          </w:tcPr>
          <w:p w:rsidR="003C1D68" w:rsidRPr="00174360" w:rsidRDefault="003C1D68" w:rsidP="00CC6917">
            <w:pPr>
              <w:pStyle w:val="TableHeadingLeft"/>
              <w:keepNext/>
              <w:jc w:val="right"/>
            </w:pPr>
            <w:r>
              <w:t>Year 7</w:t>
            </w:r>
          </w:p>
        </w:tc>
        <w:tc>
          <w:tcPr>
            <w:tcW w:w="525" w:type="pct"/>
            <w:tcBorders>
              <w:top w:val="single" w:sz="12" w:space="0" w:color="1F497D" w:themeColor="text2"/>
              <w:left w:val="nil"/>
              <w:bottom w:val="single" w:sz="8" w:space="0" w:color="1F497D" w:themeColor="text2"/>
              <w:right w:val="nil"/>
            </w:tcBorders>
            <w:shd w:val="clear" w:color="auto" w:fill="DBE5F1" w:themeFill="accent1" w:themeFillTint="33"/>
          </w:tcPr>
          <w:p w:rsidR="003C1D68" w:rsidRPr="00174360" w:rsidRDefault="003C1D68" w:rsidP="00CC6917">
            <w:pPr>
              <w:pStyle w:val="TableHeadingLeft"/>
              <w:keepNext/>
              <w:jc w:val="right"/>
            </w:pPr>
            <w:r>
              <w:t>Year 8</w:t>
            </w:r>
            <w:r w:rsidRPr="00174360">
              <w:t xml:space="preserve"> </w:t>
            </w:r>
          </w:p>
        </w:tc>
        <w:tc>
          <w:tcPr>
            <w:tcW w:w="525" w:type="pct"/>
            <w:tcBorders>
              <w:top w:val="single" w:sz="12" w:space="0" w:color="1F497D" w:themeColor="text2"/>
              <w:left w:val="nil"/>
              <w:bottom w:val="single" w:sz="8" w:space="0" w:color="1F497D" w:themeColor="text2"/>
              <w:right w:val="nil"/>
            </w:tcBorders>
            <w:shd w:val="clear" w:color="auto" w:fill="DBE5F1" w:themeFill="accent1" w:themeFillTint="33"/>
          </w:tcPr>
          <w:p w:rsidR="003C1D68" w:rsidRPr="00174360" w:rsidRDefault="003C1D68" w:rsidP="00CC6917">
            <w:pPr>
              <w:pStyle w:val="TableHeadingLeft"/>
              <w:keepNext/>
              <w:jc w:val="right"/>
            </w:pPr>
            <w:r>
              <w:t>Year 9</w:t>
            </w:r>
          </w:p>
        </w:tc>
        <w:tc>
          <w:tcPr>
            <w:tcW w:w="525" w:type="pct"/>
            <w:tcBorders>
              <w:top w:val="single" w:sz="12" w:space="0" w:color="1F497D" w:themeColor="text2"/>
              <w:left w:val="nil"/>
              <w:bottom w:val="single" w:sz="8" w:space="0" w:color="1F497D" w:themeColor="text2"/>
              <w:right w:val="nil"/>
            </w:tcBorders>
            <w:shd w:val="clear" w:color="auto" w:fill="DBE5F1" w:themeFill="accent1" w:themeFillTint="33"/>
          </w:tcPr>
          <w:p w:rsidR="003C1D68" w:rsidRPr="00174360" w:rsidRDefault="003C1D68" w:rsidP="00CC6917">
            <w:pPr>
              <w:pStyle w:val="TableHeadingLeft"/>
              <w:keepNext/>
              <w:jc w:val="right"/>
            </w:pPr>
            <w:r>
              <w:t>Year 10</w:t>
            </w:r>
          </w:p>
        </w:tc>
      </w:tr>
      <w:tr w:rsidR="003C1D68" w:rsidRPr="00144F8C" w:rsidTr="00CC6917">
        <w:trPr>
          <w:cantSplit/>
        </w:trPr>
        <w:tc>
          <w:tcPr>
            <w:tcW w:w="2472" w:type="pct"/>
            <w:tcBorders>
              <w:top w:val="nil"/>
              <w:left w:val="nil"/>
              <w:bottom w:val="nil"/>
              <w:right w:val="nil"/>
            </w:tcBorders>
          </w:tcPr>
          <w:p w:rsidR="003C1D68" w:rsidRPr="00DD58D7" w:rsidRDefault="003C1D68" w:rsidP="00CC6917">
            <w:pPr>
              <w:pStyle w:val="TableHeadingLeft"/>
              <w:keepNext/>
            </w:pPr>
            <w:r>
              <w:t>Option A cont.</w:t>
            </w:r>
          </w:p>
        </w:tc>
        <w:tc>
          <w:tcPr>
            <w:tcW w:w="468" w:type="pct"/>
            <w:tcBorders>
              <w:top w:val="nil"/>
              <w:left w:val="nil"/>
              <w:right w:val="nil"/>
            </w:tcBorders>
          </w:tcPr>
          <w:p w:rsidR="003C1D68" w:rsidRPr="007D7B5E" w:rsidRDefault="003C1D68" w:rsidP="00CC6917">
            <w:pPr>
              <w:pStyle w:val="TableTextRight"/>
            </w:pPr>
          </w:p>
        </w:tc>
        <w:tc>
          <w:tcPr>
            <w:tcW w:w="485" w:type="pct"/>
            <w:tcBorders>
              <w:top w:val="nil"/>
              <w:left w:val="nil"/>
              <w:right w:val="nil"/>
            </w:tcBorders>
          </w:tcPr>
          <w:p w:rsidR="003C1D68" w:rsidRPr="007D7B5E" w:rsidRDefault="003C1D68" w:rsidP="00CC6917">
            <w:pPr>
              <w:pStyle w:val="TableTextRight"/>
            </w:pPr>
          </w:p>
        </w:tc>
        <w:tc>
          <w:tcPr>
            <w:tcW w:w="525" w:type="pct"/>
            <w:tcBorders>
              <w:top w:val="nil"/>
              <w:left w:val="nil"/>
              <w:right w:val="nil"/>
            </w:tcBorders>
          </w:tcPr>
          <w:p w:rsidR="003C1D68" w:rsidRDefault="003C1D68" w:rsidP="00CC6917">
            <w:pPr>
              <w:pStyle w:val="TableTextRight"/>
            </w:pPr>
          </w:p>
        </w:tc>
        <w:tc>
          <w:tcPr>
            <w:tcW w:w="525" w:type="pct"/>
            <w:tcBorders>
              <w:top w:val="nil"/>
              <w:left w:val="nil"/>
              <w:right w:val="nil"/>
            </w:tcBorders>
          </w:tcPr>
          <w:p w:rsidR="003C1D68" w:rsidRDefault="003C1D68" w:rsidP="00CC6917">
            <w:pPr>
              <w:pStyle w:val="TableTextRight"/>
            </w:pPr>
          </w:p>
        </w:tc>
        <w:tc>
          <w:tcPr>
            <w:tcW w:w="525" w:type="pct"/>
            <w:tcBorders>
              <w:top w:val="nil"/>
              <w:left w:val="nil"/>
              <w:right w:val="nil"/>
            </w:tcBorders>
          </w:tcPr>
          <w:p w:rsidR="003C1D68" w:rsidRDefault="003C1D68" w:rsidP="00CC6917">
            <w:pPr>
              <w:pStyle w:val="TableTextRight"/>
            </w:pPr>
          </w:p>
        </w:tc>
      </w:tr>
      <w:tr w:rsidR="003C1D68" w:rsidRPr="00144F8C" w:rsidTr="00CC6917">
        <w:trPr>
          <w:cantSplit/>
        </w:trPr>
        <w:tc>
          <w:tcPr>
            <w:tcW w:w="2472" w:type="pct"/>
            <w:tcBorders>
              <w:top w:val="nil"/>
              <w:left w:val="nil"/>
              <w:bottom w:val="nil"/>
              <w:right w:val="nil"/>
            </w:tcBorders>
          </w:tcPr>
          <w:p w:rsidR="003C1D68" w:rsidRDefault="003C1D68" w:rsidP="00CC6917">
            <w:pPr>
              <w:pStyle w:val="TableHeadingLeft"/>
              <w:keepNext/>
              <w:rPr>
                <w:b w:val="0"/>
              </w:rPr>
            </w:pPr>
            <w:r>
              <w:t xml:space="preserve">Supply charge </w:t>
            </w:r>
            <w:r w:rsidRPr="00EF2F36">
              <w:rPr>
                <w:b w:val="0"/>
              </w:rPr>
              <w:t>($/year)</w:t>
            </w:r>
          </w:p>
        </w:tc>
        <w:tc>
          <w:tcPr>
            <w:tcW w:w="468" w:type="pct"/>
            <w:tcBorders>
              <w:left w:val="nil"/>
              <w:right w:val="nil"/>
            </w:tcBorders>
            <w:vAlign w:val="bottom"/>
          </w:tcPr>
          <w:p w:rsidR="003C1D68" w:rsidRDefault="003C1D68" w:rsidP="00CC6917">
            <w:pPr>
              <w:pStyle w:val="TableTextRight"/>
            </w:pPr>
            <w:r>
              <w:t>301.77</w:t>
            </w:r>
          </w:p>
        </w:tc>
        <w:tc>
          <w:tcPr>
            <w:tcW w:w="485" w:type="pct"/>
            <w:tcBorders>
              <w:left w:val="nil"/>
              <w:right w:val="nil"/>
            </w:tcBorders>
            <w:vAlign w:val="bottom"/>
          </w:tcPr>
          <w:p w:rsidR="003C1D68" w:rsidRDefault="003C1D68" w:rsidP="00CC6917">
            <w:pPr>
              <w:pStyle w:val="TableTextRight"/>
              <w:rPr>
                <w:rFonts w:eastAsia="Times New Roman"/>
                <w:lang w:val="en-AU"/>
              </w:rPr>
            </w:pPr>
            <w:r>
              <w:t>359.82</w:t>
            </w:r>
          </w:p>
        </w:tc>
        <w:tc>
          <w:tcPr>
            <w:tcW w:w="525" w:type="pct"/>
            <w:tcBorders>
              <w:left w:val="nil"/>
              <w:right w:val="nil"/>
            </w:tcBorders>
            <w:vAlign w:val="bottom"/>
          </w:tcPr>
          <w:p w:rsidR="003C1D68" w:rsidRDefault="003C1D68" w:rsidP="00CC6917">
            <w:pPr>
              <w:pStyle w:val="TableTextRight"/>
            </w:pPr>
            <w:r>
              <w:t>429.04</w:t>
            </w:r>
          </w:p>
        </w:tc>
        <w:tc>
          <w:tcPr>
            <w:tcW w:w="525" w:type="pct"/>
            <w:tcBorders>
              <w:left w:val="nil"/>
              <w:right w:val="nil"/>
            </w:tcBorders>
            <w:vAlign w:val="bottom"/>
          </w:tcPr>
          <w:p w:rsidR="003C1D68" w:rsidRDefault="003C1D68" w:rsidP="00CC6917">
            <w:pPr>
              <w:pStyle w:val="TableTextRight"/>
            </w:pPr>
            <w:r>
              <w:t>511.58</w:t>
            </w:r>
          </w:p>
        </w:tc>
        <w:tc>
          <w:tcPr>
            <w:tcW w:w="525" w:type="pct"/>
            <w:tcBorders>
              <w:left w:val="nil"/>
              <w:right w:val="nil"/>
            </w:tcBorders>
            <w:vAlign w:val="bottom"/>
          </w:tcPr>
          <w:p w:rsidR="003C1D68" w:rsidRDefault="003C1D68" w:rsidP="00CC6917">
            <w:pPr>
              <w:pStyle w:val="TableTextRight"/>
            </w:pPr>
            <w:r>
              <w:t>610.00</w:t>
            </w:r>
          </w:p>
        </w:tc>
      </w:tr>
      <w:tr w:rsidR="003C1D68" w:rsidRPr="00144F8C" w:rsidTr="00CC6917">
        <w:trPr>
          <w:cantSplit/>
        </w:trPr>
        <w:tc>
          <w:tcPr>
            <w:tcW w:w="2472" w:type="pct"/>
            <w:tcBorders>
              <w:top w:val="nil"/>
              <w:left w:val="nil"/>
              <w:bottom w:val="nil"/>
              <w:right w:val="nil"/>
            </w:tcBorders>
          </w:tcPr>
          <w:p w:rsidR="003C1D68" w:rsidRPr="00174360" w:rsidRDefault="003C1D68" w:rsidP="00CC6917">
            <w:pPr>
              <w:pStyle w:val="TableHeadingLeft"/>
              <w:keepNext/>
            </w:pPr>
            <w:r>
              <w:t xml:space="preserve">Tier 1 price </w:t>
            </w:r>
            <w:r w:rsidRPr="00EF2F36">
              <w:rPr>
                <w:b w:val="0"/>
              </w:rPr>
              <w:t>($/kL)</w:t>
            </w:r>
          </w:p>
        </w:tc>
        <w:tc>
          <w:tcPr>
            <w:tcW w:w="468" w:type="pct"/>
            <w:tcBorders>
              <w:left w:val="nil"/>
              <w:right w:val="nil"/>
            </w:tcBorders>
            <w:vAlign w:val="bottom"/>
          </w:tcPr>
          <w:p w:rsidR="003C1D68" w:rsidRDefault="003C1D68" w:rsidP="00CC6917">
            <w:pPr>
              <w:pStyle w:val="TableTextRight"/>
            </w:pPr>
            <w:r>
              <w:t>2.61</w:t>
            </w:r>
          </w:p>
        </w:tc>
        <w:tc>
          <w:tcPr>
            <w:tcW w:w="485" w:type="pct"/>
            <w:tcBorders>
              <w:left w:val="nil"/>
              <w:right w:val="nil"/>
            </w:tcBorders>
            <w:vAlign w:val="bottom"/>
          </w:tcPr>
          <w:p w:rsidR="003C1D68" w:rsidRDefault="003C1D68" w:rsidP="00CC6917">
            <w:pPr>
              <w:pStyle w:val="TableTextRight"/>
            </w:pPr>
            <w:r>
              <w:t>2.61</w:t>
            </w:r>
          </w:p>
        </w:tc>
        <w:tc>
          <w:tcPr>
            <w:tcW w:w="525" w:type="pct"/>
            <w:tcBorders>
              <w:left w:val="nil"/>
              <w:right w:val="nil"/>
            </w:tcBorders>
            <w:vAlign w:val="bottom"/>
          </w:tcPr>
          <w:p w:rsidR="003C1D68" w:rsidRDefault="003C1D68" w:rsidP="00CC6917">
            <w:pPr>
              <w:pStyle w:val="TableTextRight"/>
            </w:pPr>
            <w:r>
              <w:t>2.44</w:t>
            </w:r>
          </w:p>
        </w:tc>
        <w:tc>
          <w:tcPr>
            <w:tcW w:w="525" w:type="pct"/>
            <w:tcBorders>
              <w:left w:val="nil"/>
              <w:right w:val="nil"/>
            </w:tcBorders>
            <w:vAlign w:val="bottom"/>
          </w:tcPr>
          <w:p w:rsidR="003C1D68" w:rsidRDefault="003C1D68" w:rsidP="00CC6917">
            <w:pPr>
              <w:pStyle w:val="TableTextRight"/>
            </w:pPr>
            <w:r>
              <w:t>2.12</w:t>
            </w:r>
          </w:p>
        </w:tc>
        <w:tc>
          <w:tcPr>
            <w:tcW w:w="525" w:type="pct"/>
            <w:tcBorders>
              <w:left w:val="nil"/>
              <w:right w:val="nil"/>
            </w:tcBorders>
            <w:vAlign w:val="bottom"/>
          </w:tcPr>
          <w:p w:rsidR="003C1D68" w:rsidRDefault="003C1D68" w:rsidP="00CC6917">
            <w:pPr>
              <w:pStyle w:val="TableTextRight"/>
            </w:pPr>
            <w:r>
              <w:t>1.74</w:t>
            </w:r>
          </w:p>
        </w:tc>
      </w:tr>
      <w:tr w:rsidR="003C1D68" w:rsidRPr="00144F8C" w:rsidTr="00CC6917">
        <w:trPr>
          <w:cantSplit/>
        </w:trPr>
        <w:tc>
          <w:tcPr>
            <w:tcW w:w="2472" w:type="pct"/>
            <w:tcBorders>
              <w:top w:val="nil"/>
              <w:left w:val="nil"/>
              <w:bottom w:val="nil"/>
              <w:right w:val="nil"/>
            </w:tcBorders>
          </w:tcPr>
          <w:p w:rsidR="003C1D68" w:rsidRDefault="003C1D68" w:rsidP="00CC6917">
            <w:pPr>
              <w:pStyle w:val="TableHeadingLeft"/>
              <w:keepNext/>
              <w:rPr>
                <w:b w:val="0"/>
              </w:rPr>
            </w:pPr>
            <w:r w:rsidRPr="00EF2F36">
              <w:t>Tier 2 price</w:t>
            </w:r>
            <w:r>
              <w:t xml:space="preserve"> </w:t>
            </w:r>
            <w:r w:rsidRPr="00932E8D">
              <w:rPr>
                <w:b w:val="0"/>
              </w:rPr>
              <w:t>($/kL)</w:t>
            </w:r>
          </w:p>
        </w:tc>
        <w:tc>
          <w:tcPr>
            <w:tcW w:w="468" w:type="pct"/>
            <w:tcBorders>
              <w:left w:val="nil"/>
              <w:right w:val="nil"/>
            </w:tcBorders>
            <w:vAlign w:val="bottom"/>
          </w:tcPr>
          <w:p w:rsidR="003C1D68" w:rsidRDefault="003C1D68" w:rsidP="00CC6917">
            <w:pPr>
              <w:pStyle w:val="TableTextRight"/>
            </w:pPr>
            <w:r>
              <w:t>3.39</w:t>
            </w:r>
          </w:p>
        </w:tc>
        <w:tc>
          <w:tcPr>
            <w:tcW w:w="485" w:type="pct"/>
            <w:tcBorders>
              <w:left w:val="nil"/>
              <w:right w:val="nil"/>
            </w:tcBorders>
            <w:vAlign w:val="bottom"/>
          </w:tcPr>
          <w:p w:rsidR="003C1D68" w:rsidRDefault="003C1D68" w:rsidP="00CC6917">
            <w:pPr>
              <w:pStyle w:val="TableTextRight"/>
            </w:pPr>
            <w:r>
              <w:t>2.85</w:t>
            </w:r>
          </w:p>
        </w:tc>
        <w:tc>
          <w:tcPr>
            <w:tcW w:w="525" w:type="pct"/>
            <w:tcBorders>
              <w:left w:val="nil"/>
              <w:right w:val="nil"/>
            </w:tcBorders>
            <w:vAlign w:val="bottom"/>
          </w:tcPr>
          <w:p w:rsidR="003C1D68" w:rsidRDefault="003C1D68" w:rsidP="00CC6917">
            <w:pPr>
              <w:pStyle w:val="TableTextRight"/>
            </w:pPr>
            <w:r>
              <w:t> </w:t>
            </w:r>
          </w:p>
        </w:tc>
        <w:tc>
          <w:tcPr>
            <w:tcW w:w="525" w:type="pct"/>
            <w:tcBorders>
              <w:left w:val="nil"/>
              <w:right w:val="nil"/>
            </w:tcBorders>
            <w:vAlign w:val="bottom"/>
          </w:tcPr>
          <w:p w:rsidR="003C1D68" w:rsidRDefault="003C1D68" w:rsidP="00CC6917">
            <w:pPr>
              <w:pStyle w:val="TableTextRight"/>
            </w:pPr>
            <w:r>
              <w:t> </w:t>
            </w:r>
          </w:p>
        </w:tc>
        <w:tc>
          <w:tcPr>
            <w:tcW w:w="525" w:type="pct"/>
            <w:tcBorders>
              <w:left w:val="nil"/>
              <w:right w:val="nil"/>
            </w:tcBorders>
            <w:vAlign w:val="bottom"/>
          </w:tcPr>
          <w:p w:rsidR="003C1D68" w:rsidRDefault="003C1D68" w:rsidP="00CC6917">
            <w:pPr>
              <w:pStyle w:val="TableTextRight"/>
            </w:pPr>
            <w:r>
              <w:t> </w:t>
            </w:r>
          </w:p>
        </w:tc>
      </w:tr>
      <w:tr w:rsidR="003C1D68" w:rsidRPr="00144F8C" w:rsidTr="00CC6917">
        <w:trPr>
          <w:cantSplit/>
        </w:trPr>
        <w:tc>
          <w:tcPr>
            <w:tcW w:w="2472" w:type="pct"/>
            <w:tcBorders>
              <w:top w:val="nil"/>
              <w:left w:val="nil"/>
              <w:bottom w:val="nil"/>
              <w:right w:val="nil"/>
            </w:tcBorders>
          </w:tcPr>
          <w:p w:rsidR="003C1D68" w:rsidRDefault="003C1D68" w:rsidP="00CC6917">
            <w:pPr>
              <w:pStyle w:val="TableTextLeft"/>
              <w:keepNext/>
              <w:rPr>
                <w:b/>
              </w:rPr>
            </w:pPr>
          </w:p>
        </w:tc>
        <w:tc>
          <w:tcPr>
            <w:tcW w:w="468" w:type="pct"/>
            <w:tcBorders>
              <w:left w:val="nil"/>
              <w:right w:val="nil"/>
            </w:tcBorders>
          </w:tcPr>
          <w:p w:rsidR="003C1D68" w:rsidRDefault="003C1D68" w:rsidP="00CC6917">
            <w:pPr>
              <w:pStyle w:val="TableTextRight"/>
            </w:pPr>
          </w:p>
        </w:tc>
        <w:tc>
          <w:tcPr>
            <w:tcW w:w="485" w:type="pct"/>
            <w:tcBorders>
              <w:left w:val="nil"/>
              <w:right w:val="nil"/>
            </w:tcBorders>
          </w:tcPr>
          <w:p w:rsidR="003C1D68" w:rsidRDefault="003C1D68" w:rsidP="00CC6917">
            <w:pPr>
              <w:pStyle w:val="TableTextRight"/>
            </w:pPr>
          </w:p>
        </w:tc>
        <w:tc>
          <w:tcPr>
            <w:tcW w:w="525" w:type="pct"/>
            <w:tcBorders>
              <w:left w:val="nil"/>
              <w:right w:val="nil"/>
            </w:tcBorders>
          </w:tcPr>
          <w:p w:rsidR="003C1D68" w:rsidRDefault="003C1D68" w:rsidP="00CC6917">
            <w:pPr>
              <w:pStyle w:val="TableTextRight"/>
            </w:pPr>
          </w:p>
        </w:tc>
        <w:tc>
          <w:tcPr>
            <w:tcW w:w="525" w:type="pct"/>
            <w:tcBorders>
              <w:left w:val="nil"/>
              <w:right w:val="nil"/>
            </w:tcBorders>
          </w:tcPr>
          <w:p w:rsidR="003C1D68" w:rsidRDefault="003C1D68" w:rsidP="00CC6917">
            <w:pPr>
              <w:pStyle w:val="TableTextRight"/>
            </w:pPr>
          </w:p>
        </w:tc>
        <w:tc>
          <w:tcPr>
            <w:tcW w:w="525" w:type="pct"/>
            <w:tcBorders>
              <w:left w:val="nil"/>
              <w:right w:val="nil"/>
            </w:tcBorders>
          </w:tcPr>
          <w:p w:rsidR="003C1D68" w:rsidRDefault="003C1D68" w:rsidP="00CC6917">
            <w:pPr>
              <w:pStyle w:val="TableTextRight"/>
            </w:pPr>
          </w:p>
        </w:tc>
      </w:tr>
      <w:tr w:rsidR="003C1D68" w:rsidRPr="00144F8C" w:rsidTr="00CC6917">
        <w:trPr>
          <w:cantSplit/>
        </w:trPr>
        <w:tc>
          <w:tcPr>
            <w:tcW w:w="2472" w:type="pct"/>
            <w:tcBorders>
              <w:top w:val="nil"/>
              <w:left w:val="nil"/>
              <w:bottom w:val="nil"/>
              <w:right w:val="nil"/>
            </w:tcBorders>
          </w:tcPr>
          <w:p w:rsidR="003C1D68" w:rsidRDefault="003C1D68" w:rsidP="00CC6917">
            <w:pPr>
              <w:pStyle w:val="TableTextLeft"/>
              <w:keepNext/>
            </w:pPr>
            <w:r>
              <w:rPr>
                <w:b/>
              </w:rPr>
              <w:t>Option B cont.</w:t>
            </w:r>
          </w:p>
        </w:tc>
        <w:tc>
          <w:tcPr>
            <w:tcW w:w="468" w:type="pct"/>
            <w:tcBorders>
              <w:left w:val="nil"/>
              <w:right w:val="nil"/>
            </w:tcBorders>
          </w:tcPr>
          <w:p w:rsidR="003C1D68" w:rsidRDefault="003C1D68" w:rsidP="00CC6917">
            <w:pPr>
              <w:pStyle w:val="TableTextRight"/>
            </w:pPr>
          </w:p>
        </w:tc>
        <w:tc>
          <w:tcPr>
            <w:tcW w:w="485" w:type="pct"/>
            <w:tcBorders>
              <w:left w:val="nil"/>
              <w:right w:val="nil"/>
            </w:tcBorders>
          </w:tcPr>
          <w:p w:rsidR="003C1D68" w:rsidRDefault="003C1D68" w:rsidP="00CC6917">
            <w:pPr>
              <w:pStyle w:val="TableTextRight"/>
            </w:pPr>
          </w:p>
        </w:tc>
        <w:tc>
          <w:tcPr>
            <w:tcW w:w="525" w:type="pct"/>
            <w:tcBorders>
              <w:left w:val="nil"/>
              <w:right w:val="nil"/>
            </w:tcBorders>
          </w:tcPr>
          <w:p w:rsidR="003C1D68" w:rsidRDefault="003C1D68" w:rsidP="00CC6917">
            <w:pPr>
              <w:pStyle w:val="TableTextRight"/>
            </w:pPr>
          </w:p>
        </w:tc>
        <w:tc>
          <w:tcPr>
            <w:tcW w:w="525" w:type="pct"/>
            <w:tcBorders>
              <w:left w:val="nil"/>
              <w:right w:val="nil"/>
            </w:tcBorders>
          </w:tcPr>
          <w:p w:rsidR="003C1D68" w:rsidRDefault="003C1D68" w:rsidP="00CC6917">
            <w:pPr>
              <w:pStyle w:val="TableTextRight"/>
            </w:pPr>
          </w:p>
        </w:tc>
        <w:tc>
          <w:tcPr>
            <w:tcW w:w="525" w:type="pct"/>
            <w:tcBorders>
              <w:left w:val="nil"/>
              <w:right w:val="nil"/>
            </w:tcBorders>
          </w:tcPr>
          <w:p w:rsidR="003C1D68" w:rsidRDefault="003C1D68" w:rsidP="00CC6917">
            <w:pPr>
              <w:pStyle w:val="TableTextRight"/>
            </w:pPr>
          </w:p>
        </w:tc>
      </w:tr>
      <w:tr w:rsidR="003C1D68" w:rsidRPr="00144F8C" w:rsidTr="00CC6917">
        <w:trPr>
          <w:cantSplit/>
        </w:trPr>
        <w:tc>
          <w:tcPr>
            <w:tcW w:w="2472" w:type="pct"/>
            <w:tcBorders>
              <w:top w:val="nil"/>
              <w:left w:val="nil"/>
              <w:bottom w:val="nil"/>
              <w:right w:val="nil"/>
            </w:tcBorders>
          </w:tcPr>
          <w:p w:rsidR="003C1D68" w:rsidRDefault="003C1D68" w:rsidP="00CC6917">
            <w:pPr>
              <w:pStyle w:val="TableHeadingLeft"/>
              <w:keepNext/>
              <w:rPr>
                <w:b w:val="0"/>
              </w:rPr>
            </w:pPr>
            <w:r>
              <w:t xml:space="preserve">Supply charge </w:t>
            </w:r>
            <w:r w:rsidRPr="00EF2F36">
              <w:rPr>
                <w:b w:val="0"/>
              </w:rPr>
              <w:t>($/year)</w:t>
            </w:r>
          </w:p>
        </w:tc>
        <w:tc>
          <w:tcPr>
            <w:tcW w:w="468" w:type="pct"/>
            <w:tcBorders>
              <w:left w:val="nil"/>
              <w:right w:val="nil"/>
            </w:tcBorders>
            <w:vAlign w:val="bottom"/>
          </w:tcPr>
          <w:p w:rsidR="003C1D68" w:rsidRDefault="003C1D68" w:rsidP="00CC6917">
            <w:pPr>
              <w:pStyle w:val="TableTextRight"/>
              <w:rPr>
                <w:lang w:eastAsia="en-GB"/>
              </w:rPr>
            </w:pPr>
            <w:r>
              <w:t>230.74</w:t>
            </w:r>
          </w:p>
        </w:tc>
        <w:tc>
          <w:tcPr>
            <w:tcW w:w="485" w:type="pct"/>
            <w:tcBorders>
              <w:left w:val="nil"/>
              <w:right w:val="nil"/>
            </w:tcBorders>
            <w:vAlign w:val="bottom"/>
          </w:tcPr>
          <w:p w:rsidR="003C1D68" w:rsidRDefault="003C1D68" w:rsidP="00CC6917">
            <w:pPr>
              <w:pStyle w:val="TableTextRight"/>
            </w:pPr>
            <w:r>
              <w:t>263.09</w:t>
            </w:r>
          </w:p>
        </w:tc>
        <w:tc>
          <w:tcPr>
            <w:tcW w:w="525" w:type="pct"/>
            <w:tcBorders>
              <w:left w:val="nil"/>
              <w:right w:val="nil"/>
            </w:tcBorders>
            <w:vAlign w:val="bottom"/>
          </w:tcPr>
          <w:p w:rsidR="003C1D68" w:rsidRDefault="003C1D68" w:rsidP="00CC6917">
            <w:pPr>
              <w:pStyle w:val="TableTextRight"/>
            </w:pPr>
            <w:r>
              <w:t>299.98</w:t>
            </w:r>
          </w:p>
        </w:tc>
        <w:tc>
          <w:tcPr>
            <w:tcW w:w="525" w:type="pct"/>
            <w:tcBorders>
              <w:left w:val="nil"/>
              <w:right w:val="nil"/>
            </w:tcBorders>
            <w:vAlign w:val="bottom"/>
          </w:tcPr>
          <w:p w:rsidR="003C1D68" w:rsidRDefault="003C1D68" w:rsidP="00CC6917">
            <w:pPr>
              <w:pStyle w:val="TableTextRight"/>
            </w:pPr>
            <w:r>
              <w:t>342.04</w:t>
            </w:r>
          </w:p>
        </w:tc>
        <w:tc>
          <w:tcPr>
            <w:tcW w:w="525" w:type="pct"/>
            <w:tcBorders>
              <w:left w:val="nil"/>
              <w:right w:val="nil"/>
            </w:tcBorders>
            <w:vAlign w:val="bottom"/>
          </w:tcPr>
          <w:p w:rsidR="003C1D68" w:rsidRDefault="003C1D68" w:rsidP="00CC6917">
            <w:pPr>
              <w:pStyle w:val="TableTextRight"/>
            </w:pPr>
            <w:r>
              <w:t>390.00</w:t>
            </w:r>
          </w:p>
        </w:tc>
      </w:tr>
      <w:tr w:rsidR="003C1D68" w:rsidRPr="00144F8C" w:rsidTr="00CC6917">
        <w:trPr>
          <w:cantSplit/>
        </w:trPr>
        <w:tc>
          <w:tcPr>
            <w:tcW w:w="2472" w:type="pct"/>
            <w:tcBorders>
              <w:top w:val="nil"/>
              <w:left w:val="nil"/>
              <w:bottom w:val="nil"/>
              <w:right w:val="nil"/>
            </w:tcBorders>
          </w:tcPr>
          <w:p w:rsidR="003C1D68" w:rsidRPr="00174360" w:rsidRDefault="003C1D68" w:rsidP="00CC6917">
            <w:pPr>
              <w:pStyle w:val="TableHeadingLeft"/>
              <w:keepNext/>
            </w:pPr>
            <w:r>
              <w:t xml:space="preserve">Tier 1 price </w:t>
            </w:r>
            <w:r w:rsidRPr="00EF2F36">
              <w:rPr>
                <w:b w:val="0"/>
              </w:rPr>
              <w:t>($/kL)</w:t>
            </w:r>
          </w:p>
        </w:tc>
        <w:tc>
          <w:tcPr>
            <w:tcW w:w="468" w:type="pct"/>
            <w:tcBorders>
              <w:left w:val="nil"/>
              <w:right w:val="nil"/>
            </w:tcBorders>
            <w:vAlign w:val="bottom"/>
          </w:tcPr>
          <w:p w:rsidR="003C1D68" w:rsidRDefault="003C1D68" w:rsidP="00CC6917">
            <w:pPr>
              <w:pStyle w:val="TableTextRight"/>
            </w:pPr>
            <w:r>
              <w:t>2.61</w:t>
            </w:r>
          </w:p>
        </w:tc>
        <w:tc>
          <w:tcPr>
            <w:tcW w:w="485" w:type="pct"/>
            <w:tcBorders>
              <w:left w:val="nil"/>
              <w:right w:val="nil"/>
            </w:tcBorders>
            <w:vAlign w:val="bottom"/>
          </w:tcPr>
          <w:p w:rsidR="003C1D68" w:rsidRDefault="003C1D68" w:rsidP="00CC6917">
            <w:pPr>
              <w:pStyle w:val="TableTextRight"/>
            </w:pPr>
            <w:r>
              <w:t>2.61</w:t>
            </w:r>
          </w:p>
        </w:tc>
        <w:tc>
          <w:tcPr>
            <w:tcW w:w="525" w:type="pct"/>
            <w:tcBorders>
              <w:left w:val="nil"/>
              <w:right w:val="nil"/>
            </w:tcBorders>
            <w:vAlign w:val="bottom"/>
          </w:tcPr>
          <w:p w:rsidR="003C1D68" w:rsidRDefault="003C1D68" w:rsidP="00CC6917">
            <w:pPr>
              <w:pStyle w:val="TableTextRight"/>
            </w:pPr>
            <w:r>
              <w:t>2.61</w:t>
            </w:r>
          </w:p>
        </w:tc>
        <w:tc>
          <w:tcPr>
            <w:tcW w:w="525" w:type="pct"/>
            <w:tcBorders>
              <w:left w:val="nil"/>
              <w:right w:val="nil"/>
            </w:tcBorders>
            <w:vAlign w:val="bottom"/>
          </w:tcPr>
          <w:p w:rsidR="003C1D68" w:rsidRDefault="003C1D68" w:rsidP="00CC6917">
            <w:pPr>
              <w:pStyle w:val="TableTextRight"/>
            </w:pPr>
            <w:r>
              <w:t>2.61</w:t>
            </w:r>
          </w:p>
        </w:tc>
        <w:tc>
          <w:tcPr>
            <w:tcW w:w="525" w:type="pct"/>
            <w:tcBorders>
              <w:left w:val="nil"/>
              <w:right w:val="nil"/>
            </w:tcBorders>
            <w:vAlign w:val="bottom"/>
          </w:tcPr>
          <w:p w:rsidR="003C1D68" w:rsidRDefault="003C1D68" w:rsidP="00CC6917">
            <w:pPr>
              <w:pStyle w:val="TableTextRight"/>
            </w:pPr>
            <w:r>
              <w:t>2.61</w:t>
            </w:r>
          </w:p>
        </w:tc>
      </w:tr>
      <w:tr w:rsidR="003C1D68" w:rsidRPr="00144F8C" w:rsidTr="00CC6917">
        <w:trPr>
          <w:cantSplit/>
        </w:trPr>
        <w:tc>
          <w:tcPr>
            <w:tcW w:w="2472" w:type="pct"/>
            <w:tcBorders>
              <w:top w:val="nil"/>
              <w:left w:val="nil"/>
              <w:bottom w:val="single" w:sz="12" w:space="0" w:color="1F497D" w:themeColor="text2"/>
              <w:right w:val="nil"/>
            </w:tcBorders>
          </w:tcPr>
          <w:p w:rsidR="003C1D68" w:rsidRDefault="003C1D68" w:rsidP="00CC6917">
            <w:pPr>
              <w:pStyle w:val="TableHeadingLeft"/>
              <w:keepNext/>
              <w:rPr>
                <w:b w:val="0"/>
              </w:rPr>
            </w:pPr>
            <w:r w:rsidRPr="00EF2F36">
              <w:t>Tier 2 price</w:t>
            </w:r>
            <w:r>
              <w:t xml:space="preserve"> </w:t>
            </w:r>
            <w:r w:rsidRPr="00932E8D">
              <w:rPr>
                <w:b w:val="0"/>
              </w:rPr>
              <w:t>($/kL)</w:t>
            </w:r>
          </w:p>
        </w:tc>
        <w:tc>
          <w:tcPr>
            <w:tcW w:w="468" w:type="pct"/>
            <w:tcBorders>
              <w:left w:val="nil"/>
              <w:bottom w:val="single" w:sz="12" w:space="0" w:color="1F497D" w:themeColor="text2"/>
              <w:right w:val="nil"/>
            </w:tcBorders>
            <w:vAlign w:val="bottom"/>
          </w:tcPr>
          <w:p w:rsidR="003C1D68" w:rsidRDefault="003C1D68" w:rsidP="00CC6917">
            <w:pPr>
              <w:pStyle w:val="TableTextRight"/>
            </w:pPr>
            <w:r>
              <w:t>4.04</w:t>
            </w:r>
          </w:p>
        </w:tc>
        <w:tc>
          <w:tcPr>
            <w:tcW w:w="485" w:type="pct"/>
            <w:tcBorders>
              <w:left w:val="nil"/>
              <w:bottom w:val="single" w:sz="12" w:space="0" w:color="1F497D" w:themeColor="text2"/>
              <w:right w:val="nil"/>
            </w:tcBorders>
            <w:vAlign w:val="bottom"/>
          </w:tcPr>
          <w:p w:rsidR="003C1D68" w:rsidRDefault="003C1D68" w:rsidP="00CC6917">
            <w:pPr>
              <w:pStyle w:val="TableTextRight"/>
            </w:pPr>
            <w:r>
              <w:t>3.74</w:t>
            </w:r>
          </w:p>
        </w:tc>
        <w:tc>
          <w:tcPr>
            <w:tcW w:w="525" w:type="pct"/>
            <w:tcBorders>
              <w:left w:val="nil"/>
              <w:bottom w:val="single" w:sz="12" w:space="0" w:color="1F497D" w:themeColor="text2"/>
              <w:right w:val="nil"/>
            </w:tcBorders>
            <w:vAlign w:val="bottom"/>
          </w:tcPr>
          <w:p w:rsidR="003C1D68" w:rsidRDefault="003C1D68" w:rsidP="00CC6917">
            <w:pPr>
              <w:pStyle w:val="TableTextRight"/>
            </w:pPr>
            <w:r>
              <w:t>3.40</w:t>
            </w:r>
          </w:p>
        </w:tc>
        <w:tc>
          <w:tcPr>
            <w:tcW w:w="525" w:type="pct"/>
            <w:tcBorders>
              <w:left w:val="nil"/>
              <w:bottom w:val="single" w:sz="12" w:space="0" w:color="1F497D" w:themeColor="text2"/>
              <w:right w:val="nil"/>
            </w:tcBorders>
            <w:vAlign w:val="bottom"/>
          </w:tcPr>
          <w:p w:rsidR="003C1D68" w:rsidRDefault="003C1D68" w:rsidP="00CC6917">
            <w:pPr>
              <w:pStyle w:val="TableTextRight"/>
            </w:pPr>
            <w:r>
              <w:t>3.01</w:t>
            </w:r>
          </w:p>
        </w:tc>
        <w:tc>
          <w:tcPr>
            <w:tcW w:w="525" w:type="pct"/>
            <w:tcBorders>
              <w:left w:val="nil"/>
              <w:bottom w:val="single" w:sz="12" w:space="0" w:color="1F497D" w:themeColor="text2"/>
              <w:right w:val="nil"/>
            </w:tcBorders>
            <w:vAlign w:val="bottom"/>
          </w:tcPr>
          <w:p w:rsidR="003C1D68" w:rsidRDefault="003C1D68" w:rsidP="00CC6917">
            <w:pPr>
              <w:pStyle w:val="TableTextRight"/>
            </w:pPr>
            <w:r>
              <w:t> </w:t>
            </w:r>
          </w:p>
        </w:tc>
      </w:tr>
    </w:tbl>
    <w:p w:rsidR="003C1D68" w:rsidRDefault="003C1D68" w:rsidP="003C1D68">
      <w:pPr>
        <w:pStyle w:val="TableNotesLast0"/>
      </w:pPr>
      <w:r>
        <w:t>Source:</w:t>
      </w:r>
      <w:r>
        <w:tab/>
        <w:t>Commission’s calculations.</w:t>
      </w:r>
    </w:p>
    <w:p w:rsidR="00734DAB" w:rsidRDefault="00734DAB" w:rsidP="00734DAB">
      <w:r>
        <w:t xml:space="preserve">Option A transitions over 10 years to one usage charge. The aim would be for the usage charge to be eventually set so that it reflects the cost of providing additional units of water (the estimated long-run marginal cost of providing more water). One usage charge is reached by year 8. Option B, transitions over 10 years to one usage charge set at the current Tier 1 level. </w:t>
      </w:r>
    </w:p>
    <w:p w:rsidR="00734DAB" w:rsidRDefault="00734DAB" w:rsidP="00734DAB">
      <w:r>
        <w:t>The level of both the usage and supply charges would depend on the costs and the supply conditions faced at the time. For indicative purposes</w:t>
      </w:r>
      <w:r w:rsidR="00E543E6">
        <w:t xml:space="preserve">, </w:t>
      </w:r>
      <w:r w:rsidR="00E543E6">
        <w:fldChar w:fldCharType="begin"/>
      </w:r>
      <w:r w:rsidR="00E543E6">
        <w:instrText xml:space="preserve"> REF _Ref460394220 \h </w:instrText>
      </w:r>
      <w:r w:rsidR="00E543E6">
        <w:fldChar w:fldCharType="separate"/>
      </w:r>
      <w:r w:rsidR="00B80BC7" w:rsidRPr="003C3AEA">
        <w:t>Table</w:t>
      </w:r>
      <w:r w:rsidR="00B80BC7">
        <w:t xml:space="preserve"> </w:t>
      </w:r>
      <w:r w:rsidR="00B80BC7">
        <w:rPr>
          <w:noProof/>
        </w:rPr>
        <w:t>5</w:t>
      </w:r>
      <w:r w:rsidR="00B80BC7">
        <w:t>.</w:t>
      </w:r>
      <w:r w:rsidR="00B80BC7">
        <w:rPr>
          <w:noProof/>
        </w:rPr>
        <w:t>1</w:t>
      </w:r>
      <w:r w:rsidR="00E543E6">
        <w:fldChar w:fldCharType="end"/>
      </w:r>
      <w:r w:rsidR="00E543E6">
        <w:t xml:space="preserve"> </w:t>
      </w:r>
      <w:r>
        <w:t xml:space="preserve">shows the possible changes to the tariffs using the current costs and expected water inflows and outflows. Option A would reach one usage charge earlier than Option B. It would also move to more fully reflect the marginal cost of providing additional water compared to option B. As a result it would have a higher fixed charge than option B. </w:t>
      </w:r>
    </w:p>
    <w:p w:rsidR="00734DAB" w:rsidRDefault="00734DAB" w:rsidP="00734DAB">
      <w:r>
        <w:lastRenderedPageBreak/>
        <w:t>The analysis undertaken by the Commission for the tariff review suggests that option A would be more efficient but would have greater distributional effects. The distributional impacts on low volume water users could be mitigated by raising the supply charge by the same annual percentage over the 10 years and by keeping the Tier</w:t>
      </w:r>
      <w:r w:rsidR="00E543E6">
        <w:t> </w:t>
      </w:r>
      <w:r>
        <w:t xml:space="preserve">1 charge at the current level until it can be reduced towards the end of the transition period. </w:t>
      </w:r>
    </w:p>
    <w:p w:rsidR="00734DAB" w:rsidRDefault="00734DAB" w:rsidP="00734DAB">
      <w:r>
        <w:t>Having only one usage charge, option B is likely to be more efficient than the current structure, and would reduce the negative distributional impacts on low volume water customers compared to option A. However, the usage charge would still be substantially higher than the estimated long-run marginal cost of providing additional water resulting in continued welfare losses for the ACT community.</w:t>
      </w:r>
    </w:p>
    <w:p w:rsidR="003C1D68" w:rsidRDefault="00734DAB" w:rsidP="00734DAB">
      <w:r w:rsidRPr="00DE3F79">
        <w:t>The Commission’s draft position is that</w:t>
      </w:r>
      <w:r>
        <w:t xml:space="preserve"> </w:t>
      </w:r>
      <w:r w:rsidRPr="00DE3F79">
        <w:t>option A</w:t>
      </w:r>
      <w:r>
        <w:t xml:space="preserve"> should provide a long term goal for the structure of water tariffs. Over the longer-term </w:t>
      </w:r>
      <w:r w:rsidRPr="00DE3F79">
        <w:t xml:space="preserve">with the transition period </w:t>
      </w:r>
      <w:r w:rsidRPr="000D7B3B">
        <w:t xml:space="preserve">discussed above applied to mitigate negative customer impacts, </w:t>
      </w:r>
      <w:r>
        <w:t xml:space="preserve">and subject to change as conditions change, </w:t>
      </w:r>
      <w:r w:rsidRPr="000D7B3B">
        <w:t>i</w:t>
      </w:r>
      <w:r>
        <w:t xml:space="preserve">t provides a better guide </w:t>
      </w:r>
      <w:r w:rsidRPr="000D7B3B">
        <w:t xml:space="preserve"> as it will provide the greatest efficiency benefits.</w:t>
      </w:r>
    </w:p>
    <w:p w:rsidR="00AA0D94" w:rsidRDefault="00C06F8C" w:rsidP="00AA0D94">
      <w:pPr>
        <w:pStyle w:val="Heading4"/>
      </w:pPr>
      <w:r>
        <w:t>R</w:t>
      </w:r>
      <w:r w:rsidR="00AA0D94">
        <w:t>esidential customer</w:t>
      </w:r>
      <w:r w:rsidR="005D0CFD">
        <w:t xml:space="preserve"> impact</w:t>
      </w:r>
      <w:r w:rsidR="00967DAC">
        <w:t xml:space="preserve"> </w:t>
      </w:r>
    </w:p>
    <w:p w:rsidR="00E67802" w:rsidRDefault="00E67802" w:rsidP="00E67802">
      <w:pPr>
        <w:pStyle w:val="Heading5"/>
      </w:pPr>
      <w:r>
        <w:t>Introduction</w:t>
      </w:r>
    </w:p>
    <w:p w:rsidR="00E568EE" w:rsidRDefault="00E568EE" w:rsidP="00DC5E9D">
      <w:r>
        <w:t xml:space="preserve">Residential customers </w:t>
      </w:r>
      <w:r w:rsidR="00052B9B">
        <w:t xml:space="preserve">comprise </w:t>
      </w:r>
      <w:r>
        <w:t xml:space="preserve">those in separately-metered standalone houses and </w:t>
      </w:r>
      <w:r w:rsidR="001479B2">
        <w:t xml:space="preserve">others </w:t>
      </w:r>
      <w:r>
        <w:t>living in units and flats.</w:t>
      </w:r>
    </w:p>
    <w:p w:rsidR="001169BF" w:rsidRDefault="00682922" w:rsidP="00DC5E9D">
      <w:r>
        <w:t xml:space="preserve">There are </w:t>
      </w:r>
      <w:r w:rsidR="001169BF">
        <w:t xml:space="preserve">currently </w:t>
      </w:r>
      <w:r w:rsidR="00761FAF">
        <w:t xml:space="preserve">about </w:t>
      </w:r>
      <w:r>
        <w:t>1</w:t>
      </w:r>
      <w:r w:rsidR="001169BF">
        <w:t>10</w:t>
      </w:r>
      <w:r w:rsidR="00761FAF">
        <w:t>,000</w:t>
      </w:r>
      <w:r>
        <w:t xml:space="preserve"> s</w:t>
      </w:r>
      <w:r w:rsidR="00E568EE">
        <w:t xml:space="preserve">tandalone </w:t>
      </w:r>
      <w:r>
        <w:t>residential customers, accounting for about 6</w:t>
      </w:r>
      <w:r w:rsidR="00761FAF">
        <w:t>5</w:t>
      </w:r>
      <w:r>
        <w:t xml:space="preserve"> per cent of Icon Water’s </w:t>
      </w:r>
      <w:r w:rsidR="002B1E32">
        <w:t xml:space="preserve">170,000 </w:t>
      </w:r>
      <w:r>
        <w:t>total water customers</w:t>
      </w:r>
      <w:r w:rsidR="002B1E32">
        <w:t>. T</w:t>
      </w:r>
      <w:r w:rsidR="00FB60BA">
        <w:t>otal water consumption by standalone residential customers in 2013</w:t>
      </w:r>
      <w:r w:rsidR="00FB60BA">
        <w:sym w:font="Symbol" w:char="F02D"/>
      </w:r>
      <w:r w:rsidR="00FB60BA">
        <w:t xml:space="preserve">14 was about 24 GL, or </w:t>
      </w:r>
      <w:r w:rsidR="00FB60BA" w:rsidRPr="00761FAF">
        <w:t>57</w:t>
      </w:r>
      <w:r w:rsidR="00761FAF">
        <w:t> </w:t>
      </w:r>
      <w:r w:rsidR="00FB60BA" w:rsidRPr="00761FAF">
        <w:t>per</w:t>
      </w:r>
      <w:r w:rsidR="00FB60BA">
        <w:t xml:space="preserve"> cent of the total </w:t>
      </w:r>
      <w:r w:rsidR="002B1E32">
        <w:t xml:space="preserve">42 GL </w:t>
      </w:r>
      <w:r w:rsidR="00FB60BA">
        <w:t>consum</w:t>
      </w:r>
      <w:r w:rsidR="002B1E32">
        <w:t>ed</w:t>
      </w:r>
      <w:r w:rsidR="00FB60BA">
        <w:t xml:space="preserve"> </w:t>
      </w:r>
      <w:r w:rsidR="00E3502D">
        <w:t>that year. The mean annual water consumption per customer in a standalone house in 2013</w:t>
      </w:r>
      <w:r w:rsidR="00E3502D">
        <w:sym w:font="Symbol" w:char="F02D"/>
      </w:r>
      <w:r w:rsidR="00E3502D">
        <w:t>14 was in the region of 218 kL.</w:t>
      </w:r>
      <w:r w:rsidR="007D3BB0">
        <w:rPr>
          <w:rStyle w:val="FootnoteReference"/>
        </w:rPr>
        <w:footnoteReference w:id="81"/>
      </w:r>
    </w:p>
    <w:p w:rsidR="001169BF" w:rsidRDefault="00C42D89" w:rsidP="00DC5E9D">
      <w:r>
        <w:t xml:space="preserve">Residential customers in units and flats number about </w:t>
      </w:r>
      <w:r w:rsidR="008A7F34">
        <w:t>5</w:t>
      </w:r>
      <w:r w:rsidR="00761FAF">
        <w:t>1,000</w:t>
      </w:r>
      <w:r w:rsidR="008A7F34">
        <w:t xml:space="preserve"> or 3</w:t>
      </w:r>
      <w:r w:rsidR="00761FAF">
        <w:t>0</w:t>
      </w:r>
      <w:r w:rsidR="008A7F34">
        <w:t xml:space="preserve"> per cent of total</w:t>
      </w:r>
      <w:r w:rsidR="00052B9B">
        <w:t xml:space="preserve"> customers</w:t>
      </w:r>
      <w:r w:rsidR="008A7F34">
        <w:t>.</w:t>
      </w:r>
      <w:r w:rsidR="00052B9B">
        <w:t xml:space="preserve"> Total</w:t>
      </w:r>
      <w:r w:rsidR="008A7F34">
        <w:t xml:space="preserve"> water consumption by </w:t>
      </w:r>
      <w:r w:rsidR="006E5A30">
        <w:t xml:space="preserve">units and flats customers </w:t>
      </w:r>
      <w:r w:rsidR="008A7F34">
        <w:t>in 2013</w:t>
      </w:r>
      <w:r w:rsidR="008A7F34">
        <w:sym w:font="Symbol" w:char="F02D"/>
      </w:r>
      <w:r w:rsidR="008A7F34">
        <w:t xml:space="preserve">14 was about 6.8 GL, or 16 per cent of </w:t>
      </w:r>
      <w:r w:rsidR="00B62742">
        <w:t xml:space="preserve">total </w:t>
      </w:r>
      <w:r w:rsidR="008A7F34">
        <w:t>consumption</w:t>
      </w:r>
      <w:r w:rsidR="00E3502D">
        <w:t xml:space="preserve"> The mean annual water consumption per customer in a unit or flat in 2013</w:t>
      </w:r>
      <w:r w:rsidR="00E3502D">
        <w:sym w:font="Symbol" w:char="F02D"/>
      </w:r>
      <w:r w:rsidR="00E3502D">
        <w:t>14 was in the region of 134 kL.</w:t>
      </w:r>
      <w:r w:rsidR="007D3BB0">
        <w:rPr>
          <w:rStyle w:val="FootnoteReference"/>
        </w:rPr>
        <w:footnoteReference w:id="82"/>
      </w:r>
    </w:p>
    <w:p w:rsidR="00083268" w:rsidRDefault="001169BF" w:rsidP="00DC5E9D">
      <w:r>
        <w:t>Total</w:t>
      </w:r>
      <w:r w:rsidR="00B62742">
        <w:t xml:space="preserve"> residential customers account for </w:t>
      </w:r>
      <w:r>
        <w:t xml:space="preserve">about </w:t>
      </w:r>
      <w:r w:rsidR="00B62742">
        <w:t>95 per cent Icon Water’s total water customers and 73 per cent of total water consumption in 2013</w:t>
      </w:r>
      <w:r w:rsidR="00B62742">
        <w:sym w:font="Symbol" w:char="F02D"/>
      </w:r>
      <w:r w:rsidR="0075319C">
        <w:t>14.</w:t>
      </w:r>
    </w:p>
    <w:p w:rsidR="0075319C" w:rsidRDefault="0075319C" w:rsidP="0075319C">
      <w:r>
        <w:fldChar w:fldCharType="begin"/>
      </w:r>
      <w:r>
        <w:instrText xml:space="preserve"> REF _Ref457829513 \h </w:instrText>
      </w:r>
      <w:r>
        <w:fldChar w:fldCharType="separate"/>
      </w:r>
      <w:r w:rsidR="00B80BC7" w:rsidRPr="00E33D9E">
        <w:t xml:space="preserve">Figure </w:t>
      </w:r>
      <w:r w:rsidR="00B80BC7">
        <w:rPr>
          <w:noProof/>
        </w:rPr>
        <w:t>5</w:t>
      </w:r>
      <w:r w:rsidR="00B80BC7" w:rsidRPr="00E33D9E">
        <w:t>.</w:t>
      </w:r>
      <w:r w:rsidR="00B80BC7">
        <w:rPr>
          <w:noProof/>
        </w:rPr>
        <w:t>1</w:t>
      </w:r>
      <w:r>
        <w:fldChar w:fldCharType="end"/>
      </w:r>
      <w:r>
        <w:t xml:space="preserve"> shows the </w:t>
      </w:r>
      <w:r w:rsidR="00F87729">
        <w:t xml:space="preserve">impact on </w:t>
      </w:r>
      <w:r>
        <w:t>water charges and combined water and sewerage services bill</w:t>
      </w:r>
      <w:r w:rsidR="00F87729">
        <w:t>s</w:t>
      </w:r>
      <w:r>
        <w:t xml:space="preserve"> over the full distribution by water use of</w:t>
      </w:r>
      <w:r w:rsidRPr="00D75FAA">
        <w:t xml:space="preserve"> </w:t>
      </w:r>
      <w:r>
        <w:t xml:space="preserve">customers in standalone houses and those in units and flats. While the prices and therefore bill impacts for a particular level of water use are the same for both categories, they exhibit different distributions </w:t>
      </w:r>
      <w:r>
        <w:lastRenderedPageBreak/>
        <w:t>by volume. This is characterised by standalone house customers having a greater proportion of high volume users, which is reflected in the mean consumption per customer noted earlier.</w:t>
      </w:r>
    </w:p>
    <w:p w:rsidR="0075319C" w:rsidRDefault="0075319C" w:rsidP="0075319C">
      <w:pPr>
        <w:pStyle w:val="FigureName0"/>
      </w:pPr>
      <w:bookmarkStart w:id="168" w:name="_Ref457829513"/>
      <w:bookmarkStart w:id="169" w:name="_Toc460572279"/>
      <w:r w:rsidRPr="00E33D9E">
        <w:t xml:space="preserve">Figure </w:t>
      </w:r>
      <w:r w:rsidRPr="00E33D9E">
        <w:fldChar w:fldCharType="begin"/>
      </w:r>
      <w:r w:rsidRPr="00E33D9E">
        <w:instrText xml:space="preserve"> STYLEREF 1 \s </w:instrText>
      </w:r>
      <w:r w:rsidRPr="00E33D9E">
        <w:fldChar w:fldCharType="separate"/>
      </w:r>
      <w:r w:rsidR="00B80BC7">
        <w:rPr>
          <w:noProof/>
        </w:rPr>
        <w:t>5</w:t>
      </w:r>
      <w:r w:rsidRPr="00E33D9E">
        <w:fldChar w:fldCharType="end"/>
      </w:r>
      <w:r w:rsidRPr="00E33D9E">
        <w:t>.</w:t>
      </w:r>
      <w:r w:rsidRPr="00E33D9E">
        <w:fldChar w:fldCharType="begin"/>
      </w:r>
      <w:r w:rsidRPr="00E33D9E">
        <w:instrText xml:space="preserve"> SEQ Figure \* ARABIC \s 1 </w:instrText>
      </w:r>
      <w:r w:rsidRPr="00E33D9E">
        <w:fldChar w:fldCharType="separate"/>
      </w:r>
      <w:r w:rsidR="00B80BC7">
        <w:rPr>
          <w:noProof/>
        </w:rPr>
        <w:t>1</w:t>
      </w:r>
      <w:r w:rsidRPr="00E33D9E">
        <w:fldChar w:fldCharType="end"/>
      </w:r>
      <w:bookmarkEnd w:id="168"/>
      <w:r>
        <w:tab/>
        <w:t>Year 1 impact, residential customers</w:t>
      </w:r>
      <w:bookmarkEnd w:id="169"/>
    </w:p>
    <w:tbl>
      <w:tblPr>
        <w:tblStyle w:val="TableGrid"/>
        <w:tblW w:w="84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56"/>
        <w:gridCol w:w="222"/>
        <w:gridCol w:w="222"/>
      </w:tblGrid>
      <w:tr w:rsidR="0075319C" w:rsidRPr="00832EEF" w:rsidTr="00A34978">
        <w:trPr>
          <w:trHeight w:val="4395"/>
        </w:trPr>
        <w:tc>
          <w:tcPr>
            <w:tcW w:w="7956" w:type="dxa"/>
          </w:tcPr>
          <w:p w:rsidR="0075319C" w:rsidRPr="00832EEF" w:rsidRDefault="00C716B5" w:rsidP="00A34978">
            <w:pPr>
              <w:keepNext/>
              <w:rPr>
                <w:b/>
              </w:rPr>
            </w:pPr>
            <w:r>
              <w:rPr>
                <w:noProof/>
                <w:lang w:val="en-AU" w:eastAsia="en-AU"/>
              </w:rPr>
              <w:drawing>
                <wp:inline distT="0" distB="0" distL="0" distR="0" wp14:anchorId="399A8144" wp14:editId="775DCD50">
                  <wp:extent cx="4896485" cy="2764155"/>
                  <wp:effectExtent l="0" t="0" r="18415" b="1714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75319C" w:rsidRPr="00832EEF" w:rsidRDefault="00C716B5" w:rsidP="00A34978">
            <w:pPr>
              <w:keepNext/>
              <w:rPr>
                <w:b/>
              </w:rPr>
            </w:pPr>
            <w:r>
              <w:rPr>
                <w:noProof/>
                <w:lang w:val="en-AU" w:eastAsia="en-AU"/>
              </w:rPr>
              <w:drawing>
                <wp:inline distT="0" distB="0" distL="0" distR="0" wp14:anchorId="649A7E6E" wp14:editId="15F13248">
                  <wp:extent cx="4896485" cy="2555875"/>
                  <wp:effectExtent l="0" t="0" r="18415" b="1587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c>
        <w:tc>
          <w:tcPr>
            <w:tcW w:w="222" w:type="dxa"/>
          </w:tcPr>
          <w:p w:rsidR="0075319C" w:rsidRPr="00832EEF" w:rsidRDefault="0075319C" w:rsidP="00A34978">
            <w:pPr>
              <w:keepNext/>
              <w:rPr>
                <w:b/>
                <w:noProof/>
                <w:lang w:val="en-AU" w:eastAsia="en-AU"/>
              </w:rPr>
            </w:pPr>
          </w:p>
        </w:tc>
        <w:tc>
          <w:tcPr>
            <w:tcW w:w="222" w:type="dxa"/>
          </w:tcPr>
          <w:p w:rsidR="0075319C" w:rsidRPr="00832EEF" w:rsidRDefault="0075319C" w:rsidP="00A34978">
            <w:pPr>
              <w:keepNext/>
              <w:rPr>
                <w:b/>
                <w:noProof/>
                <w:lang w:val="en-AU" w:eastAsia="en-AU"/>
              </w:rPr>
            </w:pPr>
          </w:p>
        </w:tc>
      </w:tr>
    </w:tbl>
    <w:p w:rsidR="0075319C" w:rsidRDefault="0075319C" w:rsidP="0075319C">
      <w:pPr>
        <w:pStyle w:val="TableNotesHanging"/>
      </w:pPr>
      <w:r>
        <w:t>Note:</w:t>
      </w:r>
      <w:r>
        <w:tab/>
        <w:t>The standalone customer distribution by water use presented in this figure is based on the normalised actual distribution while that for the units and flats customers is derived from a 10 per cent sample of ACP1 customers.</w:t>
      </w:r>
    </w:p>
    <w:p w:rsidR="0075319C" w:rsidRDefault="0075319C" w:rsidP="0075319C">
      <w:pPr>
        <w:pStyle w:val="TableNotesLast0"/>
        <w:keepNext/>
      </w:pPr>
      <w:r>
        <w:t>Source:</w:t>
      </w:r>
      <w:r>
        <w:tab/>
        <w:t>Commission’s calculations</w:t>
      </w:r>
      <w:r w:rsidR="00852376">
        <w:t>.</w:t>
      </w:r>
    </w:p>
    <w:p w:rsidR="00865B5B" w:rsidRPr="00865B5B" w:rsidRDefault="00865B5B" w:rsidP="00865B5B">
      <w:bookmarkStart w:id="170" w:name="_Toc348813964"/>
      <w:bookmarkStart w:id="171" w:name="_Toc452022163"/>
      <w:r>
        <w:t xml:space="preserve">Two things are clear from </w:t>
      </w:r>
      <w:r>
        <w:fldChar w:fldCharType="begin"/>
      </w:r>
      <w:r>
        <w:instrText xml:space="preserve"> REF _Ref457829513 \h </w:instrText>
      </w:r>
      <w:r>
        <w:fldChar w:fldCharType="separate"/>
      </w:r>
      <w:r w:rsidR="00B80BC7" w:rsidRPr="00E33D9E">
        <w:t xml:space="preserve">Figure </w:t>
      </w:r>
      <w:r w:rsidR="00B80BC7">
        <w:rPr>
          <w:noProof/>
        </w:rPr>
        <w:t>5</w:t>
      </w:r>
      <w:r w:rsidR="00B80BC7" w:rsidRPr="00E33D9E">
        <w:t>.</w:t>
      </w:r>
      <w:r w:rsidR="00B80BC7">
        <w:rPr>
          <w:noProof/>
        </w:rPr>
        <w:t>1</w:t>
      </w:r>
      <w:r>
        <w:fldChar w:fldCharType="end"/>
      </w:r>
      <w:r>
        <w:t>. First, charges and combined bills for low volume water users increase while those for high volume water users decrease, with the transition at the 300 kL per year level. Second, the combined bill impact on low volume customers is lower than that of the water charge alone due to the inclusion of sewerage charges, which form a large portion of their bills and only rise by the rate of inflation.</w:t>
      </w:r>
    </w:p>
    <w:p w:rsidR="0027521D" w:rsidRPr="00625889" w:rsidRDefault="0027521D" w:rsidP="0027521D">
      <w:pPr>
        <w:pStyle w:val="Heading5"/>
      </w:pPr>
      <w:r>
        <w:lastRenderedPageBreak/>
        <w:t>Water</w:t>
      </w:r>
      <w:bookmarkEnd w:id="170"/>
      <w:r>
        <w:t xml:space="preserve"> charges</w:t>
      </w:r>
      <w:bookmarkEnd w:id="171"/>
    </w:p>
    <w:p w:rsidR="0027521D" w:rsidRDefault="0027521D" w:rsidP="00B04CFE">
      <w:r>
        <w:fldChar w:fldCharType="begin"/>
      </w:r>
      <w:r>
        <w:instrText xml:space="preserve"> REF _Ref348854698 \h </w:instrText>
      </w:r>
      <w:r>
        <w:fldChar w:fldCharType="separate"/>
      </w:r>
      <w:r w:rsidR="00B80BC7">
        <w:t xml:space="preserve">Table </w:t>
      </w:r>
      <w:r w:rsidR="00B80BC7">
        <w:rPr>
          <w:noProof/>
        </w:rPr>
        <w:t>5</w:t>
      </w:r>
      <w:r w:rsidR="00B80BC7">
        <w:t>.</w:t>
      </w:r>
      <w:r w:rsidR="00B80BC7">
        <w:rPr>
          <w:noProof/>
        </w:rPr>
        <w:t>2</w:t>
      </w:r>
      <w:r>
        <w:fldChar w:fldCharType="end"/>
      </w:r>
      <w:r>
        <w:t xml:space="preserve"> shows the change in annual water charges from 201</w:t>
      </w:r>
      <w:r w:rsidR="00B716E2">
        <w:t>6</w:t>
      </w:r>
      <w:r>
        <w:t>–1</w:t>
      </w:r>
      <w:r w:rsidR="00B716E2">
        <w:t>7</w:t>
      </w:r>
      <w:r>
        <w:t xml:space="preserve"> to </w:t>
      </w:r>
      <w:r w:rsidR="00B716E2">
        <w:t>the first year of the transition to the alternative tariff</w:t>
      </w:r>
      <w:r>
        <w:t xml:space="preserve"> for residential customers at different consumption levels.</w:t>
      </w:r>
      <w:r w:rsidR="00B04CFE" w:rsidRPr="00B04CFE">
        <w:t xml:space="preserve"> </w:t>
      </w:r>
      <w:r w:rsidR="005557B5">
        <w:t xml:space="preserve">Water charges for low volume water customers increase while charges for customers using more than 300 kL per year decrease. </w:t>
      </w:r>
      <w:r w:rsidR="00B04CFE">
        <w:t xml:space="preserve">Customers consuming 200 kL per year face an annual water charge rise of </w:t>
      </w:r>
      <w:r w:rsidR="007900E7">
        <w:t>3.4</w:t>
      </w:r>
      <w:r w:rsidR="00B04CFE">
        <w:t xml:space="preserve"> per cent, or $</w:t>
      </w:r>
      <w:r w:rsidR="007900E7">
        <w:t>22</w:t>
      </w:r>
      <w:r w:rsidR="00B04CFE">
        <w:t>.</w:t>
      </w:r>
      <w:r w:rsidR="00B04CFE">
        <w:rPr>
          <w:rStyle w:val="FootnoteReference"/>
        </w:rPr>
        <w:footnoteReference w:id="83"/>
      </w:r>
      <w:r w:rsidR="00490B1A">
        <w:t xml:space="preserve"> </w:t>
      </w:r>
    </w:p>
    <w:p w:rsidR="0027521D" w:rsidRDefault="0027521D" w:rsidP="0027521D">
      <w:pPr>
        <w:pStyle w:val="TableName"/>
      </w:pPr>
      <w:bookmarkStart w:id="172" w:name="_Ref348854698"/>
      <w:bookmarkStart w:id="173" w:name="_Toc358386659"/>
      <w:bookmarkStart w:id="174" w:name="_Toc353533213"/>
      <w:bookmarkStart w:id="175" w:name="_Toc349572467"/>
      <w:bookmarkStart w:id="176" w:name="_Toc349571568"/>
      <w:bookmarkStart w:id="177" w:name="_Toc349563453"/>
      <w:bookmarkStart w:id="178" w:name="_Toc349563375"/>
      <w:bookmarkStart w:id="179" w:name="_Toc349563213"/>
      <w:bookmarkStart w:id="180" w:name="_Toc360001079"/>
      <w:bookmarkStart w:id="181" w:name="_Toc452022170"/>
      <w:bookmarkStart w:id="182" w:name="_Toc460572254"/>
      <w:r>
        <w:t xml:space="preserve">Table </w:t>
      </w:r>
      <w:r>
        <w:fldChar w:fldCharType="begin"/>
      </w:r>
      <w:r>
        <w:instrText xml:space="preserve"> STYLEREF 1 \s </w:instrText>
      </w:r>
      <w:r>
        <w:fldChar w:fldCharType="separate"/>
      </w:r>
      <w:r w:rsidR="00B80BC7">
        <w:rPr>
          <w:noProof/>
        </w:rPr>
        <w:t>5</w:t>
      </w:r>
      <w:r>
        <w:fldChar w:fldCharType="end"/>
      </w:r>
      <w:r>
        <w:t>.</w:t>
      </w:r>
      <w:r>
        <w:fldChar w:fldCharType="begin"/>
      </w:r>
      <w:r>
        <w:instrText xml:space="preserve"> SEQ Table \* ARABIC \s 1 </w:instrText>
      </w:r>
      <w:r>
        <w:fldChar w:fldCharType="separate"/>
      </w:r>
      <w:r w:rsidR="00B80BC7">
        <w:rPr>
          <w:noProof/>
        </w:rPr>
        <w:t>2</w:t>
      </w:r>
      <w:r>
        <w:fldChar w:fldCharType="end"/>
      </w:r>
      <w:bookmarkEnd w:id="172"/>
      <w:r>
        <w:tab/>
        <w:t>Change in annual water charges for residential customers ($, current prices)</w:t>
      </w:r>
      <w:bookmarkEnd w:id="173"/>
      <w:bookmarkEnd w:id="174"/>
      <w:bookmarkEnd w:id="175"/>
      <w:bookmarkEnd w:id="176"/>
      <w:bookmarkEnd w:id="177"/>
      <w:bookmarkEnd w:id="178"/>
      <w:bookmarkEnd w:id="179"/>
      <w:bookmarkEnd w:id="180"/>
      <w:bookmarkEnd w:id="181"/>
      <w:bookmarkEnd w:id="182"/>
    </w:p>
    <w:tbl>
      <w:tblPr>
        <w:tblW w:w="7280" w:type="dxa"/>
        <w:tblInd w:w="108" w:type="dxa"/>
        <w:tblLook w:val="04A0" w:firstRow="1" w:lastRow="0" w:firstColumn="1" w:lastColumn="0" w:noHBand="0" w:noVBand="1"/>
      </w:tblPr>
      <w:tblGrid>
        <w:gridCol w:w="1456"/>
        <w:gridCol w:w="1456"/>
        <w:gridCol w:w="1456"/>
        <w:gridCol w:w="1456"/>
        <w:gridCol w:w="1456"/>
      </w:tblGrid>
      <w:tr w:rsidR="0027521D" w:rsidTr="00982B32">
        <w:trPr>
          <w:trHeight w:val="454"/>
        </w:trPr>
        <w:tc>
          <w:tcPr>
            <w:tcW w:w="1456" w:type="dxa"/>
            <w:tcBorders>
              <w:top w:val="single" w:sz="12" w:space="0" w:color="1F497D"/>
              <w:left w:val="nil"/>
              <w:bottom w:val="single" w:sz="8" w:space="0" w:color="1F497D"/>
              <w:right w:val="nil"/>
            </w:tcBorders>
            <w:shd w:val="clear" w:color="auto" w:fill="DBE5F1"/>
            <w:vAlign w:val="bottom"/>
            <w:hideMark/>
          </w:tcPr>
          <w:p w:rsidR="0027521D" w:rsidRPr="00625889" w:rsidRDefault="0027521D" w:rsidP="00982B32">
            <w:pPr>
              <w:pStyle w:val="TableHeadingLeft"/>
            </w:pPr>
            <w:r>
              <w:t>Annual water consumption (kL)</w:t>
            </w:r>
          </w:p>
        </w:tc>
        <w:tc>
          <w:tcPr>
            <w:tcW w:w="1456" w:type="dxa"/>
            <w:tcBorders>
              <w:top w:val="single" w:sz="12" w:space="0" w:color="1F497D"/>
              <w:left w:val="nil"/>
              <w:bottom w:val="single" w:sz="8" w:space="0" w:color="1F497D"/>
              <w:right w:val="nil"/>
            </w:tcBorders>
            <w:shd w:val="clear" w:color="auto" w:fill="DBE5F1"/>
            <w:vAlign w:val="bottom"/>
            <w:hideMark/>
          </w:tcPr>
          <w:p w:rsidR="0027521D" w:rsidRPr="00625889" w:rsidRDefault="0027521D" w:rsidP="00982B32">
            <w:pPr>
              <w:pStyle w:val="TableHeadingRight"/>
            </w:pPr>
            <w:r>
              <w:t>Annual 2017–17 water charge</w:t>
            </w:r>
            <w:r w:rsidRPr="00625889">
              <w:t xml:space="preserve"> ($)</w:t>
            </w:r>
          </w:p>
        </w:tc>
        <w:tc>
          <w:tcPr>
            <w:tcW w:w="1456" w:type="dxa"/>
            <w:tcBorders>
              <w:top w:val="single" w:sz="12" w:space="0" w:color="1F497D"/>
              <w:left w:val="nil"/>
              <w:bottom w:val="single" w:sz="8" w:space="0" w:color="1F497D"/>
              <w:right w:val="nil"/>
            </w:tcBorders>
            <w:shd w:val="clear" w:color="auto" w:fill="DBE5F1"/>
            <w:vAlign w:val="bottom"/>
            <w:hideMark/>
          </w:tcPr>
          <w:p w:rsidR="0027521D" w:rsidRPr="00625889" w:rsidRDefault="0027521D" w:rsidP="00982B32">
            <w:pPr>
              <w:pStyle w:val="TableHeadingRight"/>
            </w:pPr>
            <w:r>
              <w:t>Annual Year 1 water charge</w:t>
            </w:r>
            <w:r w:rsidR="00C716B5">
              <w:t xml:space="preserve"> </w:t>
            </w:r>
            <w:r w:rsidRPr="00625889">
              <w:t>($)</w:t>
            </w:r>
          </w:p>
        </w:tc>
        <w:tc>
          <w:tcPr>
            <w:tcW w:w="1456" w:type="dxa"/>
            <w:tcBorders>
              <w:top w:val="single" w:sz="12" w:space="0" w:color="1F497D"/>
              <w:left w:val="nil"/>
              <w:bottom w:val="single" w:sz="8" w:space="0" w:color="1F497D"/>
              <w:right w:val="nil"/>
            </w:tcBorders>
            <w:shd w:val="clear" w:color="auto" w:fill="DBE5F1"/>
            <w:vAlign w:val="bottom"/>
            <w:hideMark/>
          </w:tcPr>
          <w:p w:rsidR="0027521D" w:rsidRPr="00625889" w:rsidRDefault="0027521D" w:rsidP="00982B32">
            <w:pPr>
              <w:pStyle w:val="TableHeadingRight"/>
            </w:pPr>
            <w:r>
              <w:t>Change in water charge</w:t>
            </w:r>
            <w:r w:rsidRPr="00625889">
              <w:t xml:space="preserve"> (%)</w:t>
            </w:r>
          </w:p>
        </w:tc>
        <w:tc>
          <w:tcPr>
            <w:tcW w:w="1456" w:type="dxa"/>
            <w:tcBorders>
              <w:top w:val="single" w:sz="12" w:space="0" w:color="1F497D"/>
              <w:left w:val="nil"/>
              <w:bottom w:val="single" w:sz="8" w:space="0" w:color="1F497D"/>
              <w:right w:val="nil"/>
            </w:tcBorders>
            <w:shd w:val="clear" w:color="auto" w:fill="DBE5F1"/>
            <w:vAlign w:val="bottom"/>
            <w:hideMark/>
          </w:tcPr>
          <w:p w:rsidR="0027521D" w:rsidRPr="00625889" w:rsidRDefault="0027521D" w:rsidP="00982B32">
            <w:pPr>
              <w:pStyle w:val="TableHeadingRight"/>
            </w:pPr>
            <w:r>
              <w:t xml:space="preserve">Change in water charge </w:t>
            </w:r>
            <w:r w:rsidRPr="00625889">
              <w:t>($)</w:t>
            </w:r>
          </w:p>
        </w:tc>
      </w:tr>
      <w:tr w:rsidR="007900E7" w:rsidTr="00982B32">
        <w:trPr>
          <w:trHeight w:val="300"/>
        </w:trPr>
        <w:tc>
          <w:tcPr>
            <w:tcW w:w="1456" w:type="dxa"/>
            <w:vAlign w:val="bottom"/>
            <w:hideMark/>
          </w:tcPr>
          <w:p w:rsidR="007900E7" w:rsidRPr="00625889" w:rsidRDefault="007900E7" w:rsidP="007900E7">
            <w:pPr>
              <w:pStyle w:val="TableTextLeft"/>
            </w:pPr>
            <w:r>
              <w:t>0</w:t>
            </w:r>
          </w:p>
        </w:tc>
        <w:tc>
          <w:tcPr>
            <w:tcW w:w="1456" w:type="dxa"/>
            <w:vAlign w:val="bottom"/>
          </w:tcPr>
          <w:p w:rsidR="007900E7" w:rsidRDefault="007900E7" w:rsidP="007900E7">
            <w:pPr>
              <w:pStyle w:val="TableTextRight"/>
              <w:rPr>
                <w:lang w:val="en-AU" w:eastAsia="en-AU"/>
              </w:rPr>
            </w:pPr>
            <w:r>
              <w:t>101</w:t>
            </w:r>
          </w:p>
        </w:tc>
        <w:tc>
          <w:tcPr>
            <w:tcW w:w="1456" w:type="dxa"/>
            <w:vAlign w:val="bottom"/>
          </w:tcPr>
          <w:p w:rsidR="007900E7" w:rsidRDefault="007900E7" w:rsidP="007900E7">
            <w:pPr>
              <w:pStyle w:val="TableTextRight"/>
              <w:rPr>
                <w:lang w:eastAsia="en-GB"/>
              </w:rPr>
            </w:pPr>
            <w:r>
              <w:t>125</w:t>
            </w:r>
          </w:p>
        </w:tc>
        <w:tc>
          <w:tcPr>
            <w:tcW w:w="1456" w:type="dxa"/>
            <w:vAlign w:val="bottom"/>
          </w:tcPr>
          <w:p w:rsidR="007900E7" w:rsidRDefault="007900E7" w:rsidP="007900E7">
            <w:pPr>
              <w:pStyle w:val="TableTextRight"/>
            </w:pPr>
            <w:r>
              <w:t>23.4%</w:t>
            </w:r>
          </w:p>
        </w:tc>
        <w:tc>
          <w:tcPr>
            <w:tcW w:w="1456" w:type="dxa"/>
            <w:vAlign w:val="bottom"/>
          </w:tcPr>
          <w:p w:rsidR="007900E7" w:rsidRDefault="007900E7" w:rsidP="007900E7">
            <w:pPr>
              <w:pStyle w:val="TableTextRight"/>
            </w:pPr>
            <w:r>
              <w:t>24</w:t>
            </w:r>
          </w:p>
        </w:tc>
      </w:tr>
      <w:tr w:rsidR="007900E7" w:rsidTr="00982B32">
        <w:trPr>
          <w:trHeight w:val="300"/>
        </w:trPr>
        <w:tc>
          <w:tcPr>
            <w:tcW w:w="1456" w:type="dxa"/>
            <w:vAlign w:val="bottom"/>
            <w:hideMark/>
          </w:tcPr>
          <w:p w:rsidR="007900E7" w:rsidRPr="00625889" w:rsidRDefault="007900E7" w:rsidP="007900E7">
            <w:pPr>
              <w:pStyle w:val="TableTextLeft"/>
            </w:pPr>
            <w:r>
              <w:t>50</w:t>
            </w:r>
          </w:p>
        </w:tc>
        <w:tc>
          <w:tcPr>
            <w:tcW w:w="1456" w:type="dxa"/>
            <w:vAlign w:val="bottom"/>
          </w:tcPr>
          <w:p w:rsidR="007900E7" w:rsidRDefault="007900E7" w:rsidP="007900E7">
            <w:pPr>
              <w:pStyle w:val="TableTextRight"/>
            </w:pPr>
            <w:r>
              <w:t>232</w:t>
            </w:r>
          </w:p>
        </w:tc>
        <w:tc>
          <w:tcPr>
            <w:tcW w:w="1456" w:type="dxa"/>
            <w:vAlign w:val="bottom"/>
          </w:tcPr>
          <w:p w:rsidR="007900E7" w:rsidRDefault="007900E7" w:rsidP="007900E7">
            <w:pPr>
              <w:pStyle w:val="TableTextRight"/>
            </w:pPr>
            <w:r>
              <w:t>256</w:t>
            </w:r>
          </w:p>
        </w:tc>
        <w:tc>
          <w:tcPr>
            <w:tcW w:w="1456" w:type="dxa"/>
            <w:vAlign w:val="bottom"/>
          </w:tcPr>
          <w:p w:rsidR="007900E7" w:rsidRDefault="007900E7" w:rsidP="007900E7">
            <w:pPr>
              <w:pStyle w:val="TableTextRight"/>
            </w:pPr>
            <w:r>
              <w:t>10.2%</w:t>
            </w:r>
          </w:p>
        </w:tc>
        <w:tc>
          <w:tcPr>
            <w:tcW w:w="1456" w:type="dxa"/>
            <w:vAlign w:val="bottom"/>
          </w:tcPr>
          <w:p w:rsidR="007900E7" w:rsidRDefault="007900E7" w:rsidP="007900E7">
            <w:pPr>
              <w:pStyle w:val="TableTextRight"/>
            </w:pPr>
            <w:r>
              <w:t>24</w:t>
            </w:r>
          </w:p>
        </w:tc>
      </w:tr>
      <w:tr w:rsidR="007900E7" w:rsidTr="00982B32">
        <w:trPr>
          <w:trHeight w:val="300"/>
        </w:trPr>
        <w:tc>
          <w:tcPr>
            <w:tcW w:w="1456" w:type="dxa"/>
            <w:vAlign w:val="bottom"/>
            <w:hideMark/>
          </w:tcPr>
          <w:p w:rsidR="007900E7" w:rsidRPr="00625889" w:rsidRDefault="007900E7" w:rsidP="007900E7">
            <w:pPr>
              <w:pStyle w:val="TableTextLeft"/>
            </w:pPr>
            <w:r>
              <w:t>100</w:t>
            </w:r>
          </w:p>
        </w:tc>
        <w:tc>
          <w:tcPr>
            <w:tcW w:w="1456" w:type="dxa"/>
            <w:vAlign w:val="bottom"/>
          </w:tcPr>
          <w:p w:rsidR="007900E7" w:rsidRDefault="007900E7" w:rsidP="007900E7">
            <w:pPr>
              <w:pStyle w:val="TableTextRight"/>
            </w:pPr>
            <w:r>
              <w:t>362</w:t>
            </w:r>
          </w:p>
        </w:tc>
        <w:tc>
          <w:tcPr>
            <w:tcW w:w="1456" w:type="dxa"/>
            <w:vAlign w:val="bottom"/>
          </w:tcPr>
          <w:p w:rsidR="007900E7" w:rsidRDefault="007900E7" w:rsidP="007900E7">
            <w:pPr>
              <w:pStyle w:val="TableTextRight"/>
            </w:pPr>
            <w:r>
              <w:t>386</w:t>
            </w:r>
          </w:p>
        </w:tc>
        <w:tc>
          <w:tcPr>
            <w:tcW w:w="1456" w:type="dxa"/>
            <w:vAlign w:val="bottom"/>
          </w:tcPr>
          <w:p w:rsidR="007900E7" w:rsidRDefault="007900E7" w:rsidP="007900E7">
            <w:pPr>
              <w:pStyle w:val="TableTextRight"/>
            </w:pPr>
            <w:r>
              <w:t>6.5%</w:t>
            </w:r>
          </w:p>
        </w:tc>
        <w:tc>
          <w:tcPr>
            <w:tcW w:w="1456" w:type="dxa"/>
            <w:vAlign w:val="bottom"/>
          </w:tcPr>
          <w:p w:rsidR="007900E7" w:rsidRDefault="007900E7" w:rsidP="007900E7">
            <w:pPr>
              <w:pStyle w:val="TableTextRight"/>
            </w:pPr>
            <w:r>
              <w:t>24</w:t>
            </w:r>
          </w:p>
        </w:tc>
      </w:tr>
      <w:tr w:rsidR="007900E7" w:rsidTr="00982B32">
        <w:trPr>
          <w:trHeight w:val="300"/>
        </w:trPr>
        <w:tc>
          <w:tcPr>
            <w:tcW w:w="1456" w:type="dxa"/>
            <w:vAlign w:val="bottom"/>
            <w:hideMark/>
          </w:tcPr>
          <w:p w:rsidR="007900E7" w:rsidRPr="00625889" w:rsidRDefault="007900E7" w:rsidP="007900E7">
            <w:pPr>
              <w:pStyle w:val="TableTextLeft"/>
            </w:pPr>
            <w:r>
              <w:t>150</w:t>
            </w:r>
          </w:p>
        </w:tc>
        <w:tc>
          <w:tcPr>
            <w:tcW w:w="1456" w:type="dxa"/>
            <w:vAlign w:val="bottom"/>
          </w:tcPr>
          <w:p w:rsidR="007900E7" w:rsidRDefault="007900E7" w:rsidP="007900E7">
            <w:pPr>
              <w:pStyle w:val="TableTextRight"/>
            </w:pPr>
            <w:r>
              <w:t>493</w:t>
            </w:r>
          </w:p>
        </w:tc>
        <w:tc>
          <w:tcPr>
            <w:tcW w:w="1456" w:type="dxa"/>
            <w:vAlign w:val="bottom"/>
          </w:tcPr>
          <w:p w:rsidR="007900E7" w:rsidRDefault="007900E7" w:rsidP="007900E7">
            <w:pPr>
              <w:pStyle w:val="TableTextRight"/>
            </w:pPr>
            <w:r>
              <w:t>517</w:t>
            </w:r>
          </w:p>
        </w:tc>
        <w:tc>
          <w:tcPr>
            <w:tcW w:w="1456" w:type="dxa"/>
            <w:vAlign w:val="bottom"/>
          </w:tcPr>
          <w:p w:rsidR="007900E7" w:rsidRDefault="007900E7" w:rsidP="007900E7">
            <w:pPr>
              <w:pStyle w:val="TableTextRight"/>
            </w:pPr>
            <w:r>
              <w:t>4.8%</w:t>
            </w:r>
          </w:p>
        </w:tc>
        <w:tc>
          <w:tcPr>
            <w:tcW w:w="1456" w:type="dxa"/>
            <w:vAlign w:val="bottom"/>
          </w:tcPr>
          <w:p w:rsidR="007900E7" w:rsidRDefault="007900E7" w:rsidP="007900E7">
            <w:pPr>
              <w:pStyle w:val="TableTextRight"/>
            </w:pPr>
            <w:r>
              <w:t>24</w:t>
            </w:r>
          </w:p>
        </w:tc>
      </w:tr>
      <w:tr w:rsidR="007900E7" w:rsidTr="00982B32">
        <w:trPr>
          <w:trHeight w:val="300"/>
        </w:trPr>
        <w:tc>
          <w:tcPr>
            <w:tcW w:w="1456" w:type="dxa"/>
            <w:shd w:val="clear" w:color="auto" w:fill="E5DFEC" w:themeFill="accent4" w:themeFillTint="33"/>
            <w:vAlign w:val="bottom"/>
            <w:hideMark/>
          </w:tcPr>
          <w:p w:rsidR="007900E7" w:rsidRPr="00625889" w:rsidRDefault="007900E7" w:rsidP="007900E7">
            <w:pPr>
              <w:pStyle w:val="TableHeadingLeft"/>
            </w:pPr>
            <w:r>
              <w:t>200</w:t>
            </w:r>
          </w:p>
        </w:tc>
        <w:tc>
          <w:tcPr>
            <w:tcW w:w="1456" w:type="dxa"/>
            <w:shd w:val="clear" w:color="auto" w:fill="E5DFEC" w:themeFill="accent4" w:themeFillTint="33"/>
            <w:vAlign w:val="bottom"/>
          </w:tcPr>
          <w:p w:rsidR="007900E7" w:rsidRDefault="007900E7" w:rsidP="007900E7">
            <w:pPr>
              <w:pStyle w:val="TableTextRight"/>
              <w:rPr>
                <w:b/>
                <w:bCs/>
              </w:rPr>
            </w:pPr>
            <w:r>
              <w:rPr>
                <w:b/>
                <w:bCs/>
              </w:rPr>
              <w:t>645</w:t>
            </w:r>
          </w:p>
        </w:tc>
        <w:tc>
          <w:tcPr>
            <w:tcW w:w="1456" w:type="dxa"/>
            <w:shd w:val="clear" w:color="auto" w:fill="E5DFEC" w:themeFill="accent4" w:themeFillTint="33"/>
            <w:vAlign w:val="bottom"/>
          </w:tcPr>
          <w:p w:rsidR="007900E7" w:rsidRDefault="007900E7" w:rsidP="007900E7">
            <w:pPr>
              <w:pStyle w:val="TableTextRight"/>
              <w:rPr>
                <w:b/>
                <w:bCs/>
              </w:rPr>
            </w:pPr>
            <w:r>
              <w:rPr>
                <w:b/>
                <w:bCs/>
              </w:rPr>
              <w:t>667</w:t>
            </w:r>
          </w:p>
        </w:tc>
        <w:tc>
          <w:tcPr>
            <w:tcW w:w="1456" w:type="dxa"/>
            <w:shd w:val="clear" w:color="auto" w:fill="E5DFEC" w:themeFill="accent4" w:themeFillTint="33"/>
            <w:vAlign w:val="bottom"/>
          </w:tcPr>
          <w:p w:rsidR="007900E7" w:rsidRDefault="007900E7" w:rsidP="007900E7">
            <w:pPr>
              <w:pStyle w:val="TableTextRight"/>
              <w:rPr>
                <w:b/>
                <w:bCs/>
              </w:rPr>
            </w:pPr>
            <w:r>
              <w:rPr>
                <w:b/>
                <w:bCs/>
              </w:rPr>
              <w:t>3.4%</w:t>
            </w:r>
          </w:p>
        </w:tc>
        <w:tc>
          <w:tcPr>
            <w:tcW w:w="1456" w:type="dxa"/>
            <w:shd w:val="clear" w:color="auto" w:fill="E5DFEC" w:themeFill="accent4" w:themeFillTint="33"/>
            <w:vAlign w:val="bottom"/>
          </w:tcPr>
          <w:p w:rsidR="007900E7" w:rsidRDefault="007900E7" w:rsidP="007900E7">
            <w:pPr>
              <w:pStyle w:val="TableTextRight"/>
              <w:rPr>
                <w:b/>
                <w:bCs/>
              </w:rPr>
            </w:pPr>
            <w:r>
              <w:rPr>
                <w:b/>
                <w:bCs/>
              </w:rPr>
              <w:t>22</w:t>
            </w:r>
          </w:p>
        </w:tc>
      </w:tr>
      <w:tr w:rsidR="007900E7" w:rsidTr="00982B32">
        <w:trPr>
          <w:trHeight w:val="300"/>
        </w:trPr>
        <w:tc>
          <w:tcPr>
            <w:tcW w:w="1456" w:type="dxa"/>
            <w:vAlign w:val="bottom"/>
            <w:hideMark/>
          </w:tcPr>
          <w:p w:rsidR="007900E7" w:rsidRPr="00625889" w:rsidRDefault="007900E7" w:rsidP="007900E7">
            <w:pPr>
              <w:pStyle w:val="TableTextLeft"/>
            </w:pPr>
            <w:r>
              <w:t>250</w:t>
            </w:r>
          </w:p>
        </w:tc>
        <w:tc>
          <w:tcPr>
            <w:tcW w:w="1456" w:type="dxa"/>
            <w:vAlign w:val="bottom"/>
          </w:tcPr>
          <w:p w:rsidR="007900E7" w:rsidRDefault="007900E7" w:rsidP="007900E7">
            <w:pPr>
              <w:pStyle w:val="TableTextRight"/>
            </w:pPr>
            <w:r>
              <w:t>885</w:t>
            </w:r>
          </w:p>
        </w:tc>
        <w:tc>
          <w:tcPr>
            <w:tcW w:w="1456" w:type="dxa"/>
            <w:vAlign w:val="bottom"/>
          </w:tcPr>
          <w:p w:rsidR="007900E7" w:rsidRDefault="007900E7" w:rsidP="007900E7">
            <w:pPr>
              <w:pStyle w:val="TableTextRight"/>
            </w:pPr>
            <w:r>
              <w:t>898</w:t>
            </w:r>
          </w:p>
        </w:tc>
        <w:tc>
          <w:tcPr>
            <w:tcW w:w="1456" w:type="dxa"/>
            <w:vAlign w:val="bottom"/>
          </w:tcPr>
          <w:p w:rsidR="007900E7" w:rsidRDefault="007900E7" w:rsidP="007900E7">
            <w:pPr>
              <w:pStyle w:val="TableTextRight"/>
            </w:pPr>
            <w:r>
              <w:t>1.4%</w:t>
            </w:r>
          </w:p>
        </w:tc>
        <w:tc>
          <w:tcPr>
            <w:tcW w:w="1456" w:type="dxa"/>
            <w:vAlign w:val="bottom"/>
          </w:tcPr>
          <w:p w:rsidR="007900E7" w:rsidRDefault="007900E7" w:rsidP="007900E7">
            <w:pPr>
              <w:pStyle w:val="TableTextRight"/>
            </w:pPr>
            <w:r>
              <w:t>13</w:t>
            </w:r>
          </w:p>
        </w:tc>
      </w:tr>
      <w:tr w:rsidR="007900E7" w:rsidTr="00982B32">
        <w:trPr>
          <w:trHeight w:val="300"/>
        </w:trPr>
        <w:tc>
          <w:tcPr>
            <w:tcW w:w="1456" w:type="dxa"/>
            <w:vAlign w:val="bottom"/>
            <w:hideMark/>
          </w:tcPr>
          <w:p w:rsidR="007900E7" w:rsidRPr="00625889" w:rsidRDefault="007900E7" w:rsidP="007900E7">
            <w:pPr>
              <w:pStyle w:val="TableTextLeft"/>
            </w:pPr>
            <w:r>
              <w:t>300</w:t>
            </w:r>
          </w:p>
        </w:tc>
        <w:tc>
          <w:tcPr>
            <w:tcW w:w="1456" w:type="dxa"/>
            <w:vAlign w:val="bottom"/>
          </w:tcPr>
          <w:p w:rsidR="007900E7" w:rsidRDefault="007900E7" w:rsidP="007900E7">
            <w:pPr>
              <w:pStyle w:val="TableTextRight"/>
            </w:pPr>
            <w:r>
              <w:t>1,147</w:t>
            </w:r>
          </w:p>
        </w:tc>
        <w:tc>
          <w:tcPr>
            <w:tcW w:w="1456" w:type="dxa"/>
            <w:vAlign w:val="bottom"/>
          </w:tcPr>
          <w:p w:rsidR="007900E7" w:rsidRDefault="007900E7" w:rsidP="007900E7">
            <w:pPr>
              <w:pStyle w:val="TableTextRight"/>
            </w:pPr>
            <w:r>
              <w:t>1,149</w:t>
            </w:r>
          </w:p>
        </w:tc>
        <w:tc>
          <w:tcPr>
            <w:tcW w:w="1456" w:type="dxa"/>
            <w:vAlign w:val="bottom"/>
          </w:tcPr>
          <w:p w:rsidR="007900E7" w:rsidRDefault="007900E7" w:rsidP="007900E7">
            <w:pPr>
              <w:pStyle w:val="TableTextRight"/>
            </w:pPr>
            <w:r>
              <w:t>0.2%</w:t>
            </w:r>
          </w:p>
        </w:tc>
        <w:tc>
          <w:tcPr>
            <w:tcW w:w="1456" w:type="dxa"/>
            <w:vAlign w:val="bottom"/>
          </w:tcPr>
          <w:p w:rsidR="007900E7" w:rsidRDefault="007900E7" w:rsidP="007900E7">
            <w:pPr>
              <w:pStyle w:val="TableTextRight"/>
            </w:pPr>
            <w:r>
              <w:t>2</w:t>
            </w:r>
          </w:p>
        </w:tc>
      </w:tr>
      <w:tr w:rsidR="007900E7" w:rsidTr="00982B32">
        <w:trPr>
          <w:trHeight w:val="300"/>
        </w:trPr>
        <w:tc>
          <w:tcPr>
            <w:tcW w:w="1456" w:type="dxa"/>
            <w:vAlign w:val="bottom"/>
            <w:hideMark/>
          </w:tcPr>
          <w:p w:rsidR="007900E7" w:rsidRPr="00625889" w:rsidRDefault="007900E7" w:rsidP="007900E7">
            <w:pPr>
              <w:pStyle w:val="TableTextLeft"/>
            </w:pPr>
            <w:r>
              <w:t>350</w:t>
            </w:r>
          </w:p>
        </w:tc>
        <w:tc>
          <w:tcPr>
            <w:tcW w:w="1456" w:type="dxa"/>
            <w:vAlign w:val="bottom"/>
          </w:tcPr>
          <w:p w:rsidR="007900E7" w:rsidRDefault="007900E7" w:rsidP="007900E7">
            <w:pPr>
              <w:pStyle w:val="TableTextRight"/>
            </w:pPr>
            <w:r>
              <w:t>1,409</w:t>
            </w:r>
          </w:p>
        </w:tc>
        <w:tc>
          <w:tcPr>
            <w:tcW w:w="1456" w:type="dxa"/>
            <w:vAlign w:val="bottom"/>
          </w:tcPr>
          <w:p w:rsidR="007900E7" w:rsidRDefault="007900E7" w:rsidP="007900E7">
            <w:pPr>
              <w:pStyle w:val="TableTextRight"/>
            </w:pPr>
            <w:r>
              <w:t>1,400</w:t>
            </w:r>
          </w:p>
        </w:tc>
        <w:tc>
          <w:tcPr>
            <w:tcW w:w="1456" w:type="dxa"/>
            <w:vAlign w:val="bottom"/>
          </w:tcPr>
          <w:p w:rsidR="007900E7" w:rsidRDefault="007900E7" w:rsidP="007900E7">
            <w:pPr>
              <w:pStyle w:val="TableTextRight"/>
            </w:pPr>
            <w:r>
              <w:t>-0.7%</w:t>
            </w:r>
          </w:p>
        </w:tc>
        <w:tc>
          <w:tcPr>
            <w:tcW w:w="1456" w:type="dxa"/>
            <w:vAlign w:val="bottom"/>
          </w:tcPr>
          <w:p w:rsidR="007900E7" w:rsidRDefault="007900E7" w:rsidP="007900E7">
            <w:pPr>
              <w:pStyle w:val="TableTextRight"/>
            </w:pPr>
            <w:r>
              <w:t>-9</w:t>
            </w:r>
          </w:p>
        </w:tc>
      </w:tr>
      <w:tr w:rsidR="007900E7" w:rsidTr="00982B32">
        <w:trPr>
          <w:trHeight w:val="300"/>
        </w:trPr>
        <w:tc>
          <w:tcPr>
            <w:tcW w:w="1456" w:type="dxa"/>
            <w:vAlign w:val="bottom"/>
            <w:hideMark/>
          </w:tcPr>
          <w:p w:rsidR="007900E7" w:rsidRPr="00625889" w:rsidRDefault="007900E7" w:rsidP="007900E7">
            <w:pPr>
              <w:pStyle w:val="TableTextLeft"/>
            </w:pPr>
            <w:r>
              <w:t>400</w:t>
            </w:r>
          </w:p>
        </w:tc>
        <w:tc>
          <w:tcPr>
            <w:tcW w:w="1456" w:type="dxa"/>
            <w:vAlign w:val="bottom"/>
          </w:tcPr>
          <w:p w:rsidR="007900E7" w:rsidRDefault="007900E7" w:rsidP="007900E7">
            <w:pPr>
              <w:pStyle w:val="TableTextRight"/>
            </w:pPr>
            <w:r>
              <w:t>1,671</w:t>
            </w:r>
          </w:p>
        </w:tc>
        <w:tc>
          <w:tcPr>
            <w:tcW w:w="1456" w:type="dxa"/>
            <w:vAlign w:val="bottom"/>
          </w:tcPr>
          <w:p w:rsidR="007900E7" w:rsidRDefault="007900E7" w:rsidP="007900E7">
            <w:pPr>
              <w:pStyle w:val="TableTextRight"/>
            </w:pPr>
            <w:r>
              <w:t>1,651</w:t>
            </w:r>
          </w:p>
        </w:tc>
        <w:tc>
          <w:tcPr>
            <w:tcW w:w="1456" w:type="dxa"/>
            <w:vAlign w:val="bottom"/>
          </w:tcPr>
          <w:p w:rsidR="007900E7" w:rsidRDefault="007900E7" w:rsidP="007900E7">
            <w:pPr>
              <w:pStyle w:val="TableTextRight"/>
            </w:pPr>
            <w:r>
              <w:t>-1.2%</w:t>
            </w:r>
          </w:p>
        </w:tc>
        <w:tc>
          <w:tcPr>
            <w:tcW w:w="1456" w:type="dxa"/>
            <w:vAlign w:val="bottom"/>
          </w:tcPr>
          <w:p w:rsidR="007900E7" w:rsidRDefault="007900E7" w:rsidP="007900E7">
            <w:pPr>
              <w:pStyle w:val="TableTextRight"/>
            </w:pPr>
            <w:r>
              <w:t>-20</w:t>
            </w:r>
          </w:p>
        </w:tc>
      </w:tr>
      <w:tr w:rsidR="00A614D5" w:rsidTr="00A614D5">
        <w:trPr>
          <w:trHeight w:val="315"/>
        </w:trPr>
        <w:tc>
          <w:tcPr>
            <w:tcW w:w="1456" w:type="dxa"/>
            <w:tcBorders>
              <w:top w:val="nil"/>
              <w:left w:val="nil"/>
              <w:bottom w:val="single" w:sz="12" w:space="0" w:color="1F497D"/>
              <w:right w:val="nil"/>
            </w:tcBorders>
            <w:vAlign w:val="bottom"/>
          </w:tcPr>
          <w:p w:rsidR="00A614D5" w:rsidRPr="00625889" w:rsidRDefault="00A614D5" w:rsidP="00A614D5">
            <w:pPr>
              <w:pStyle w:val="TableTextLeft"/>
            </w:pPr>
            <w:r>
              <w:t>500</w:t>
            </w:r>
          </w:p>
        </w:tc>
        <w:tc>
          <w:tcPr>
            <w:tcW w:w="1456" w:type="dxa"/>
            <w:tcBorders>
              <w:top w:val="nil"/>
              <w:left w:val="nil"/>
              <w:bottom w:val="single" w:sz="12" w:space="0" w:color="1F497D"/>
              <w:right w:val="nil"/>
            </w:tcBorders>
            <w:vAlign w:val="bottom"/>
          </w:tcPr>
          <w:p w:rsidR="00A614D5" w:rsidRDefault="00A614D5" w:rsidP="00A614D5">
            <w:pPr>
              <w:pStyle w:val="TableTextRight"/>
            </w:pPr>
            <w:r>
              <w:t>2,195</w:t>
            </w:r>
          </w:p>
        </w:tc>
        <w:tc>
          <w:tcPr>
            <w:tcW w:w="1456" w:type="dxa"/>
            <w:tcBorders>
              <w:top w:val="nil"/>
              <w:left w:val="nil"/>
              <w:bottom w:val="single" w:sz="12" w:space="0" w:color="1F497D"/>
              <w:right w:val="nil"/>
            </w:tcBorders>
            <w:vAlign w:val="bottom"/>
          </w:tcPr>
          <w:p w:rsidR="00A614D5" w:rsidRDefault="00A614D5" w:rsidP="00A614D5">
            <w:pPr>
              <w:pStyle w:val="TableTextRight"/>
            </w:pPr>
            <w:r>
              <w:t>2,153</w:t>
            </w:r>
          </w:p>
        </w:tc>
        <w:tc>
          <w:tcPr>
            <w:tcW w:w="1456" w:type="dxa"/>
            <w:tcBorders>
              <w:top w:val="nil"/>
              <w:left w:val="nil"/>
              <w:bottom w:val="single" w:sz="12" w:space="0" w:color="1F497D"/>
              <w:right w:val="nil"/>
            </w:tcBorders>
            <w:vAlign w:val="bottom"/>
          </w:tcPr>
          <w:p w:rsidR="00A614D5" w:rsidRDefault="00A614D5" w:rsidP="00A614D5">
            <w:pPr>
              <w:pStyle w:val="TableTextRight"/>
            </w:pPr>
            <w:r>
              <w:t>-1.9%</w:t>
            </w:r>
          </w:p>
        </w:tc>
        <w:tc>
          <w:tcPr>
            <w:tcW w:w="1456" w:type="dxa"/>
            <w:tcBorders>
              <w:top w:val="nil"/>
              <w:left w:val="nil"/>
              <w:bottom w:val="single" w:sz="12" w:space="0" w:color="1F497D"/>
              <w:right w:val="nil"/>
            </w:tcBorders>
            <w:vAlign w:val="bottom"/>
          </w:tcPr>
          <w:p w:rsidR="00A614D5" w:rsidRDefault="00A614D5" w:rsidP="00A614D5">
            <w:pPr>
              <w:pStyle w:val="TableTextRight"/>
            </w:pPr>
            <w:r>
              <w:t>-42</w:t>
            </w:r>
          </w:p>
        </w:tc>
      </w:tr>
    </w:tbl>
    <w:p w:rsidR="0027521D" w:rsidRDefault="00CA3BDC" w:rsidP="00CA3BDC">
      <w:pPr>
        <w:pStyle w:val="TableNotesLast0"/>
      </w:pPr>
      <w:r>
        <w:t>Source:</w:t>
      </w:r>
      <w:r>
        <w:tab/>
        <w:t>Commission’s calculations.</w:t>
      </w:r>
    </w:p>
    <w:p w:rsidR="0027521D" w:rsidRPr="00625889" w:rsidRDefault="0027521D" w:rsidP="00CA3BDC">
      <w:pPr>
        <w:pStyle w:val="Heading5"/>
      </w:pPr>
      <w:bookmarkStart w:id="183" w:name="_Toc348813966"/>
      <w:bookmarkStart w:id="184" w:name="_Toc452022164"/>
      <w:r>
        <w:t>Combined water and sewerage bill</w:t>
      </w:r>
      <w:bookmarkEnd w:id="183"/>
      <w:r>
        <w:t>s</w:t>
      </w:r>
      <w:bookmarkEnd w:id="184"/>
    </w:p>
    <w:p w:rsidR="0027521D" w:rsidRDefault="0027521D" w:rsidP="0027521D">
      <w:r>
        <w:fldChar w:fldCharType="begin"/>
      </w:r>
      <w:r>
        <w:instrText xml:space="preserve"> REF _Ref348855226 \h </w:instrText>
      </w:r>
      <w:r>
        <w:fldChar w:fldCharType="separate"/>
      </w:r>
      <w:r w:rsidR="00B80BC7">
        <w:t xml:space="preserve">Table </w:t>
      </w:r>
      <w:r w:rsidR="00B80BC7">
        <w:rPr>
          <w:noProof/>
        </w:rPr>
        <w:t>5</w:t>
      </w:r>
      <w:r w:rsidR="00B80BC7">
        <w:t>.</w:t>
      </w:r>
      <w:r w:rsidR="00B80BC7">
        <w:rPr>
          <w:noProof/>
        </w:rPr>
        <w:t>3</w:t>
      </w:r>
      <w:r>
        <w:fldChar w:fldCharType="end"/>
      </w:r>
      <w:r>
        <w:t xml:space="preserve"> shows the change from 201</w:t>
      </w:r>
      <w:r w:rsidR="00B04CFE">
        <w:t>6</w:t>
      </w:r>
      <w:r>
        <w:t>–1</w:t>
      </w:r>
      <w:r w:rsidR="00B04CFE">
        <w:t>7</w:t>
      </w:r>
      <w:r>
        <w:t xml:space="preserve"> to </w:t>
      </w:r>
      <w:r w:rsidR="00B04CFE">
        <w:t xml:space="preserve">the first year of the transition to the alternative tariff in </w:t>
      </w:r>
      <w:r>
        <w:t xml:space="preserve">the combined water and sewerage services bill for residential customers. </w:t>
      </w:r>
      <w:r w:rsidR="003B59A5">
        <w:t xml:space="preserve">The combined bill impacts show the same pattern as for water charges, with low volume water customers facing bill increases and high volume water customers facing bill reductions. However, </w:t>
      </w:r>
      <w:r w:rsidR="00B85BC3">
        <w:t xml:space="preserve">as discussed above, </w:t>
      </w:r>
      <w:r w:rsidR="003B59A5">
        <w:t xml:space="preserve">the combined </w:t>
      </w:r>
      <w:r w:rsidR="00D501FE">
        <w:t xml:space="preserve">bill </w:t>
      </w:r>
      <w:r w:rsidR="003B59A5">
        <w:t xml:space="preserve">impact on low volume customers is </w:t>
      </w:r>
      <w:r w:rsidR="00B85BC3">
        <w:t xml:space="preserve">lower than the water charges impact. </w:t>
      </w:r>
      <w:r w:rsidR="00E923C2">
        <w:t>For example, a customer consuming 50 kL of water per year will see an increase in their water charges of 1</w:t>
      </w:r>
      <w:r w:rsidR="005A6793">
        <w:t>0</w:t>
      </w:r>
      <w:r w:rsidR="00E923C2">
        <w:t>.</w:t>
      </w:r>
      <w:r w:rsidR="005A6793">
        <w:t>2</w:t>
      </w:r>
      <w:r w:rsidR="002A71DD">
        <w:t> </w:t>
      </w:r>
      <w:r w:rsidR="00E923C2">
        <w:t xml:space="preserve">per cent </w:t>
      </w:r>
      <w:r w:rsidR="002A71DD">
        <w:t xml:space="preserve">while their </w:t>
      </w:r>
      <w:r w:rsidR="00E923C2">
        <w:t xml:space="preserve">combined bill </w:t>
      </w:r>
      <w:r w:rsidR="002A71DD">
        <w:t xml:space="preserve">would increase by </w:t>
      </w:r>
      <w:r w:rsidR="005A6793">
        <w:t>4</w:t>
      </w:r>
      <w:r w:rsidR="00E923C2">
        <w:t>.</w:t>
      </w:r>
      <w:r w:rsidR="005A6793">
        <w:t>9</w:t>
      </w:r>
      <w:r w:rsidR="00E923C2">
        <w:t> per cent.</w:t>
      </w:r>
      <w:r w:rsidR="002A71DD">
        <w:t xml:space="preserve"> </w:t>
      </w:r>
      <w:r>
        <w:t xml:space="preserve">A customer consuming 200 kL of water per year will see an increase in their combined bill of </w:t>
      </w:r>
      <w:r w:rsidR="005A6793">
        <w:t>3</w:t>
      </w:r>
      <w:r>
        <w:t>.</w:t>
      </w:r>
      <w:r w:rsidR="005A6793">
        <w:t>0</w:t>
      </w:r>
      <w:r>
        <w:t> per cent, or $</w:t>
      </w:r>
      <w:r w:rsidR="005A6793">
        <w:t>35</w:t>
      </w:r>
      <w:r>
        <w:t>.</w:t>
      </w:r>
    </w:p>
    <w:p w:rsidR="0027521D" w:rsidRDefault="0027521D" w:rsidP="00B85BC3">
      <w:pPr>
        <w:pStyle w:val="TableName"/>
        <w:keepNext/>
      </w:pPr>
      <w:bookmarkStart w:id="185" w:name="_Ref348855226"/>
      <w:bookmarkStart w:id="186" w:name="_Toc358386662"/>
      <w:bookmarkStart w:id="187" w:name="_Toc353533216"/>
      <w:bookmarkStart w:id="188" w:name="_Toc349572470"/>
      <w:bookmarkStart w:id="189" w:name="_Toc349571571"/>
      <w:bookmarkStart w:id="190" w:name="_Toc349563456"/>
      <w:bookmarkStart w:id="191" w:name="_Toc349563378"/>
      <w:bookmarkStart w:id="192" w:name="_Toc349563216"/>
      <w:bookmarkStart w:id="193" w:name="_Toc360001082"/>
      <w:bookmarkStart w:id="194" w:name="_Toc452022172"/>
      <w:bookmarkStart w:id="195" w:name="_Toc460572255"/>
      <w:r>
        <w:lastRenderedPageBreak/>
        <w:t xml:space="preserve">Table </w:t>
      </w:r>
      <w:r>
        <w:fldChar w:fldCharType="begin"/>
      </w:r>
      <w:r>
        <w:instrText xml:space="preserve"> STYLEREF 1 \s </w:instrText>
      </w:r>
      <w:r>
        <w:fldChar w:fldCharType="separate"/>
      </w:r>
      <w:r w:rsidR="00B80BC7">
        <w:rPr>
          <w:noProof/>
        </w:rPr>
        <w:t>5</w:t>
      </w:r>
      <w:r>
        <w:fldChar w:fldCharType="end"/>
      </w:r>
      <w:r>
        <w:t>.</w:t>
      </w:r>
      <w:r>
        <w:fldChar w:fldCharType="begin"/>
      </w:r>
      <w:r>
        <w:instrText xml:space="preserve"> SEQ Table \* ARABIC \s 1 </w:instrText>
      </w:r>
      <w:r>
        <w:fldChar w:fldCharType="separate"/>
      </w:r>
      <w:r w:rsidR="00B80BC7">
        <w:rPr>
          <w:noProof/>
        </w:rPr>
        <w:t>3</w:t>
      </w:r>
      <w:r>
        <w:fldChar w:fldCharType="end"/>
      </w:r>
      <w:bookmarkEnd w:id="185"/>
      <w:r>
        <w:tab/>
        <w:t>Change in annual combined water and sewerage services bill for residential customers ($, current prices)</w:t>
      </w:r>
      <w:bookmarkEnd w:id="186"/>
      <w:bookmarkEnd w:id="187"/>
      <w:bookmarkEnd w:id="188"/>
      <w:bookmarkEnd w:id="189"/>
      <w:bookmarkEnd w:id="190"/>
      <w:bookmarkEnd w:id="191"/>
      <w:bookmarkEnd w:id="192"/>
      <w:bookmarkEnd w:id="193"/>
      <w:bookmarkEnd w:id="194"/>
      <w:bookmarkEnd w:id="195"/>
    </w:p>
    <w:tbl>
      <w:tblPr>
        <w:tblW w:w="7280" w:type="dxa"/>
        <w:tblInd w:w="108" w:type="dxa"/>
        <w:tblLook w:val="04A0" w:firstRow="1" w:lastRow="0" w:firstColumn="1" w:lastColumn="0" w:noHBand="0" w:noVBand="1"/>
      </w:tblPr>
      <w:tblGrid>
        <w:gridCol w:w="1456"/>
        <w:gridCol w:w="1456"/>
        <w:gridCol w:w="1456"/>
        <w:gridCol w:w="1456"/>
        <w:gridCol w:w="1456"/>
      </w:tblGrid>
      <w:tr w:rsidR="0027521D" w:rsidTr="00982B32">
        <w:trPr>
          <w:trHeight w:val="531"/>
        </w:trPr>
        <w:tc>
          <w:tcPr>
            <w:tcW w:w="1456" w:type="dxa"/>
            <w:tcBorders>
              <w:top w:val="single" w:sz="12" w:space="0" w:color="1F497D"/>
              <w:left w:val="nil"/>
              <w:bottom w:val="single" w:sz="8" w:space="0" w:color="1F497D"/>
              <w:right w:val="nil"/>
            </w:tcBorders>
            <w:shd w:val="clear" w:color="auto" w:fill="DBE5F1"/>
            <w:vAlign w:val="bottom"/>
            <w:hideMark/>
          </w:tcPr>
          <w:p w:rsidR="0027521D" w:rsidRPr="00625889" w:rsidRDefault="0027521D" w:rsidP="00B85BC3">
            <w:pPr>
              <w:pStyle w:val="TableHeadingLeft"/>
              <w:keepNext/>
            </w:pPr>
            <w:r>
              <w:t>Annual water consumption (kL)</w:t>
            </w:r>
          </w:p>
        </w:tc>
        <w:tc>
          <w:tcPr>
            <w:tcW w:w="1456" w:type="dxa"/>
            <w:tcBorders>
              <w:top w:val="single" w:sz="12" w:space="0" w:color="1F497D"/>
              <w:left w:val="nil"/>
              <w:bottom w:val="single" w:sz="8" w:space="0" w:color="1F497D"/>
              <w:right w:val="nil"/>
            </w:tcBorders>
            <w:shd w:val="clear" w:color="auto" w:fill="DBE5F1"/>
            <w:vAlign w:val="bottom"/>
            <w:hideMark/>
          </w:tcPr>
          <w:p w:rsidR="0027521D" w:rsidRPr="00625889" w:rsidRDefault="0027521D" w:rsidP="00B85BC3">
            <w:pPr>
              <w:pStyle w:val="TableHeadingRight"/>
              <w:keepNext/>
            </w:pPr>
            <w:r>
              <w:t xml:space="preserve">Annual </w:t>
            </w:r>
            <w:r w:rsidRPr="00625889">
              <w:t>201</w:t>
            </w:r>
            <w:r>
              <w:t>5</w:t>
            </w:r>
            <w:r w:rsidRPr="00625889">
              <w:t>–1</w:t>
            </w:r>
            <w:r>
              <w:t>6</w:t>
            </w:r>
            <w:r w:rsidRPr="00625889">
              <w:t xml:space="preserve"> combined bill ($)</w:t>
            </w:r>
          </w:p>
        </w:tc>
        <w:tc>
          <w:tcPr>
            <w:tcW w:w="1456" w:type="dxa"/>
            <w:tcBorders>
              <w:top w:val="single" w:sz="12" w:space="0" w:color="1F497D"/>
              <w:left w:val="nil"/>
              <w:bottom w:val="single" w:sz="8" w:space="0" w:color="1F497D"/>
              <w:right w:val="nil"/>
            </w:tcBorders>
            <w:shd w:val="clear" w:color="auto" w:fill="DBE5F1"/>
            <w:vAlign w:val="bottom"/>
            <w:hideMark/>
          </w:tcPr>
          <w:p w:rsidR="0027521D" w:rsidRPr="00625889" w:rsidRDefault="0027521D" w:rsidP="00B85BC3">
            <w:pPr>
              <w:pStyle w:val="TableHeadingRight"/>
              <w:keepNext/>
            </w:pPr>
            <w:r>
              <w:t>Annual 2016–17 combined bill ($)</w:t>
            </w:r>
          </w:p>
        </w:tc>
        <w:tc>
          <w:tcPr>
            <w:tcW w:w="1456" w:type="dxa"/>
            <w:tcBorders>
              <w:top w:val="single" w:sz="12" w:space="0" w:color="1F497D"/>
              <w:left w:val="nil"/>
              <w:bottom w:val="single" w:sz="8" w:space="0" w:color="1F497D"/>
              <w:right w:val="nil"/>
            </w:tcBorders>
            <w:shd w:val="clear" w:color="auto" w:fill="DBE5F1"/>
            <w:vAlign w:val="bottom"/>
            <w:hideMark/>
          </w:tcPr>
          <w:p w:rsidR="0027521D" w:rsidRPr="00625889" w:rsidRDefault="0027521D" w:rsidP="00B85BC3">
            <w:pPr>
              <w:pStyle w:val="TableHeadingRight"/>
              <w:keepNext/>
            </w:pPr>
            <w:r>
              <w:t>Change in combined bill (%)</w:t>
            </w:r>
          </w:p>
        </w:tc>
        <w:tc>
          <w:tcPr>
            <w:tcW w:w="1456" w:type="dxa"/>
            <w:tcBorders>
              <w:top w:val="single" w:sz="12" w:space="0" w:color="1F497D"/>
              <w:left w:val="nil"/>
              <w:bottom w:val="single" w:sz="8" w:space="0" w:color="1F497D"/>
              <w:right w:val="nil"/>
            </w:tcBorders>
            <w:shd w:val="clear" w:color="auto" w:fill="DBE5F1"/>
            <w:vAlign w:val="bottom"/>
            <w:hideMark/>
          </w:tcPr>
          <w:p w:rsidR="0027521D" w:rsidRPr="00625889" w:rsidRDefault="0027521D" w:rsidP="00B85BC3">
            <w:pPr>
              <w:pStyle w:val="TableHeadingRight"/>
              <w:keepNext/>
            </w:pPr>
            <w:r>
              <w:t>Change in combined bill ($)</w:t>
            </w:r>
          </w:p>
        </w:tc>
      </w:tr>
      <w:tr w:rsidR="005A6793" w:rsidTr="00982B32">
        <w:trPr>
          <w:trHeight w:val="300"/>
        </w:trPr>
        <w:tc>
          <w:tcPr>
            <w:tcW w:w="1456" w:type="dxa"/>
            <w:vAlign w:val="bottom"/>
            <w:hideMark/>
          </w:tcPr>
          <w:p w:rsidR="005A6793" w:rsidRPr="00625889" w:rsidRDefault="005A6793" w:rsidP="005A6793">
            <w:pPr>
              <w:pStyle w:val="TableTextLeft"/>
              <w:keepNext/>
            </w:pPr>
            <w:r>
              <w:t>0</w:t>
            </w:r>
          </w:p>
        </w:tc>
        <w:tc>
          <w:tcPr>
            <w:tcW w:w="1456" w:type="dxa"/>
            <w:vAlign w:val="bottom"/>
          </w:tcPr>
          <w:p w:rsidR="005A6793" w:rsidRDefault="005A6793" w:rsidP="005A6793">
            <w:pPr>
              <w:pStyle w:val="TableTextRight"/>
              <w:keepNext/>
              <w:rPr>
                <w:lang w:val="en-AU" w:eastAsia="en-AU"/>
              </w:rPr>
            </w:pPr>
            <w:r>
              <w:t>631</w:t>
            </w:r>
          </w:p>
        </w:tc>
        <w:tc>
          <w:tcPr>
            <w:tcW w:w="1456" w:type="dxa"/>
            <w:vAlign w:val="bottom"/>
          </w:tcPr>
          <w:p w:rsidR="005A6793" w:rsidRDefault="005A6793" w:rsidP="005A6793">
            <w:pPr>
              <w:pStyle w:val="TableTextRight"/>
              <w:rPr>
                <w:lang w:eastAsia="en-GB"/>
              </w:rPr>
            </w:pPr>
            <w:r>
              <w:t>668</w:t>
            </w:r>
          </w:p>
        </w:tc>
        <w:tc>
          <w:tcPr>
            <w:tcW w:w="1456" w:type="dxa"/>
            <w:vAlign w:val="bottom"/>
          </w:tcPr>
          <w:p w:rsidR="005A6793" w:rsidRDefault="005A6793" w:rsidP="005A6793">
            <w:pPr>
              <w:pStyle w:val="TableTextRight"/>
            </w:pPr>
            <w:r>
              <w:t>5.9%</w:t>
            </w:r>
          </w:p>
        </w:tc>
        <w:tc>
          <w:tcPr>
            <w:tcW w:w="1456" w:type="dxa"/>
            <w:vAlign w:val="bottom"/>
          </w:tcPr>
          <w:p w:rsidR="005A6793" w:rsidRDefault="005A6793" w:rsidP="005A6793">
            <w:pPr>
              <w:pStyle w:val="TableTextRight"/>
            </w:pPr>
            <w:r>
              <w:t>37</w:t>
            </w:r>
          </w:p>
        </w:tc>
      </w:tr>
      <w:tr w:rsidR="005A6793" w:rsidTr="00982B32">
        <w:trPr>
          <w:trHeight w:val="300"/>
        </w:trPr>
        <w:tc>
          <w:tcPr>
            <w:tcW w:w="1456" w:type="dxa"/>
            <w:vAlign w:val="bottom"/>
            <w:hideMark/>
          </w:tcPr>
          <w:p w:rsidR="005A6793" w:rsidRPr="00625889" w:rsidRDefault="005A6793" w:rsidP="005A6793">
            <w:pPr>
              <w:pStyle w:val="TableTextLeft"/>
              <w:keepNext/>
            </w:pPr>
            <w:r>
              <w:t>50</w:t>
            </w:r>
          </w:p>
        </w:tc>
        <w:tc>
          <w:tcPr>
            <w:tcW w:w="1456" w:type="dxa"/>
            <w:vAlign w:val="bottom"/>
          </w:tcPr>
          <w:p w:rsidR="005A6793" w:rsidRDefault="005A6793" w:rsidP="005A6793">
            <w:pPr>
              <w:pStyle w:val="TableTextRight"/>
              <w:keepNext/>
            </w:pPr>
            <w:r>
              <w:t>761</w:t>
            </w:r>
          </w:p>
        </w:tc>
        <w:tc>
          <w:tcPr>
            <w:tcW w:w="1456" w:type="dxa"/>
            <w:vAlign w:val="bottom"/>
          </w:tcPr>
          <w:p w:rsidR="005A6793" w:rsidRDefault="005A6793" w:rsidP="005A6793">
            <w:pPr>
              <w:pStyle w:val="TableTextRight"/>
            </w:pPr>
            <w:r>
              <w:t>798</w:t>
            </w:r>
          </w:p>
        </w:tc>
        <w:tc>
          <w:tcPr>
            <w:tcW w:w="1456" w:type="dxa"/>
            <w:vAlign w:val="bottom"/>
          </w:tcPr>
          <w:p w:rsidR="005A6793" w:rsidRDefault="005A6793" w:rsidP="005A6793">
            <w:pPr>
              <w:pStyle w:val="TableTextRight"/>
            </w:pPr>
            <w:r>
              <w:t>4.9%</w:t>
            </w:r>
          </w:p>
        </w:tc>
        <w:tc>
          <w:tcPr>
            <w:tcW w:w="1456" w:type="dxa"/>
            <w:vAlign w:val="bottom"/>
          </w:tcPr>
          <w:p w:rsidR="005A6793" w:rsidRDefault="005A6793" w:rsidP="005A6793">
            <w:pPr>
              <w:pStyle w:val="TableTextRight"/>
            </w:pPr>
            <w:r>
              <w:t>37</w:t>
            </w:r>
          </w:p>
        </w:tc>
      </w:tr>
      <w:tr w:rsidR="005A6793" w:rsidTr="00982B32">
        <w:trPr>
          <w:trHeight w:val="300"/>
        </w:trPr>
        <w:tc>
          <w:tcPr>
            <w:tcW w:w="1456" w:type="dxa"/>
            <w:vAlign w:val="bottom"/>
            <w:hideMark/>
          </w:tcPr>
          <w:p w:rsidR="005A6793" w:rsidRPr="00625889" w:rsidRDefault="005A6793" w:rsidP="005A6793">
            <w:pPr>
              <w:pStyle w:val="TableTextLeft"/>
              <w:keepNext/>
            </w:pPr>
            <w:r>
              <w:t>100</w:t>
            </w:r>
          </w:p>
        </w:tc>
        <w:tc>
          <w:tcPr>
            <w:tcW w:w="1456" w:type="dxa"/>
            <w:vAlign w:val="bottom"/>
          </w:tcPr>
          <w:p w:rsidR="005A6793" w:rsidRDefault="005A6793" w:rsidP="005A6793">
            <w:pPr>
              <w:pStyle w:val="TableTextRight"/>
              <w:keepNext/>
            </w:pPr>
            <w:r>
              <w:t>892</w:t>
            </w:r>
          </w:p>
        </w:tc>
        <w:tc>
          <w:tcPr>
            <w:tcW w:w="1456" w:type="dxa"/>
            <w:vAlign w:val="bottom"/>
          </w:tcPr>
          <w:p w:rsidR="005A6793" w:rsidRDefault="005A6793" w:rsidP="005A6793">
            <w:pPr>
              <w:pStyle w:val="TableTextRight"/>
            </w:pPr>
            <w:r>
              <w:t>929</w:t>
            </w:r>
          </w:p>
        </w:tc>
        <w:tc>
          <w:tcPr>
            <w:tcW w:w="1456" w:type="dxa"/>
            <w:vAlign w:val="bottom"/>
          </w:tcPr>
          <w:p w:rsidR="005A6793" w:rsidRDefault="005A6793" w:rsidP="005A6793">
            <w:pPr>
              <w:pStyle w:val="TableTextRight"/>
            </w:pPr>
            <w:r>
              <w:t>4.1%</w:t>
            </w:r>
          </w:p>
        </w:tc>
        <w:tc>
          <w:tcPr>
            <w:tcW w:w="1456" w:type="dxa"/>
            <w:vAlign w:val="bottom"/>
          </w:tcPr>
          <w:p w:rsidR="005A6793" w:rsidRDefault="005A6793" w:rsidP="005A6793">
            <w:pPr>
              <w:pStyle w:val="TableTextRight"/>
            </w:pPr>
            <w:r>
              <w:t>37</w:t>
            </w:r>
          </w:p>
        </w:tc>
      </w:tr>
      <w:tr w:rsidR="005A6793" w:rsidTr="00982B32">
        <w:trPr>
          <w:trHeight w:val="300"/>
        </w:trPr>
        <w:tc>
          <w:tcPr>
            <w:tcW w:w="1456" w:type="dxa"/>
            <w:vAlign w:val="bottom"/>
            <w:hideMark/>
          </w:tcPr>
          <w:p w:rsidR="005A6793" w:rsidRPr="00625889" w:rsidRDefault="005A6793" w:rsidP="005A6793">
            <w:pPr>
              <w:pStyle w:val="TableTextLeft"/>
              <w:keepNext/>
            </w:pPr>
            <w:r>
              <w:t>150</w:t>
            </w:r>
          </w:p>
        </w:tc>
        <w:tc>
          <w:tcPr>
            <w:tcW w:w="1456" w:type="dxa"/>
            <w:vAlign w:val="bottom"/>
          </w:tcPr>
          <w:p w:rsidR="005A6793" w:rsidRDefault="005A6793" w:rsidP="005A6793">
            <w:pPr>
              <w:pStyle w:val="TableTextRight"/>
              <w:keepNext/>
            </w:pPr>
            <w:r>
              <w:t>1,022</w:t>
            </w:r>
          </w:p>
        </w:tc>
        <w:tc>
          <w:tcPr>
            <w:tcW w:w="1456" w:type="dxa"/>
            <w:vAlign w:val="bottom"/>
          </w:tcPr>
          <w:p w:rsidR="005A6793" w:rsidRDefault="005A6793" w:rsidP="005A6793">
            <w:pPr>
              <w:pStyle w:val="TableTextRight"/>
            </w:pPr>
            <w:r>
              <w:t>1,059</w:t>
            </w:r>
          </w:p>
        </w:tc>
        <w:tc>
          <w:tcPr>
            <w:tcW w:w="1456" w:type="dxa"/>
            <w:vAlign w:val="bottom"/>
          </w:tcPr>
          <w:p w:rsidR="005A6793" w:rsidRDefault="005A6793" w:rsidP="005A6793">
            <w:pPr>
              <w:pStyle w:val="TableTextRight"/>
            </w:pPr>
            <w:r>
              <w:t>3.6%</w:t>
            </w:r>
          </w:p>
        </w:tc>
        <w:tc>
          <w:tcPr>
            <w:tcW w:w="1456" w:type="dxa"/>
            <w:vAlign w:val="bottom"/>
          </w:tcPr>
          <w:p w:rsidR="005A6793" w:rsidRDefault="005A6793" w:rsidP="005A6793">
            <w:pPr>
              <w:pStyle w:val="TableTextRight"/>
            </w:pPr>
            <w:r>
              <w:t>37</w:t>
            </w:r>
          </w:p>
        </w:tc>
      </w:tr>
      <w:tr w:rsidR="005A6793" w:rsidTr="00982B32">
        <w:trPr>
          <w:trHeight w:val="300"/>
        </w:trPr>
        <w:tc>
          <w:tcPr>
            <w:tcW w:w="1456" w:type="dxa"/>
            <w:shd w:val="clear" w:color="auto" w:fill="E5DFEC" w:themeFill="accent4" w:themeFillTint="33"/>
            <w:vAlign w:val="bottom"/>
            <w:hideMark/>
          </w:tcPr>
          <w:p w:rsidR="005A6793" w:rsidRPr="00625889" w:rsidRDefault="005A6793" w:rsidP="005A6793">
            <w:pPr>
              <w:pStyle w:val="TableHeadingLeft"/>
              <w:keepNext/>
            </w:pPr>
            <w:r>
              <w:t>200</w:t>
            </w:r>
          </w:p>
        </w:tc>
        <w:tc>
          <w:tcPr>
            <w:tcW w:w="1456" w:type="dxa"/>
            <w:shd w:val="clear" w:color="auto" w:fill="E5DFEC" w:themeFill="accent4" w:themeFillTint="33"/>
            <w:vAlign w:val="bottom"/>
          </w:tcPr>
          <w:p w:rsidR="005A6793" w:rsidRDefault="005A6793" w:rsidP="005A6793">
            <w:pPr>
              <w:pStyle w:val="TableTextRight"/>
              <w:keepNext/>
              <w:rPr>
                <w:b/>
                <w:bCs/>
              </w:rPr>
            </w:pPr>
            <w:r>
              <w:rPr>
                <w:b/>
                <w:bCs/>
              </w:rPr>
              <w:t>1,175</w:t>
            </w:r>
          </w:p>
        </w:tc>
        <w:tc>
          <w:tcPr>
            <w:tcW w:w="1456" w:type="dxa"/>
            <w:shd w:val="clear" w:color="auto" w:fill="E5DFEC" w:themeFill="accent4" w:themeFillTint="33"/>
            <w:vAlign w:val="bottom"/>
          </w:tcPr>
          <w:p w:rsidR="005A6793" w:rsidRDefault="005A6793" w:rsidP="005A6793">
            <w:pPr>
              <w:pStyle w:val="TableTextRight"/>
              <w:rPr>
                <w:b/>
                <w:bCs/>
              </w:rPr>
            </w:pPr>
            <w:r>
              <w:rPr>
                <w:b/>
                <w:bCs/>
              </w:rPr>
              <w:t>1,210</w:t>
            </w:r>
          </w:p>
        </w:tc>
        <w:tc>
          <w:tcPr>
            <w:tcW w:w="1456" w:type="dxa"/>
            <w:shd w:val="clear" w:color="auto" w:fill="E5DFEC" w:themeFill="accent4" w:themeFillTint="33"/>
            <w:vAlign w:val="bottom"/>
          </w:tcPr>
          <w:p w:rsidR="005A6793" w:rsidRDefault="005A6793" w:rsidP="005A6793">
            <w:pPr>
              <w:pStyle w:val="TableTextRight"/>
              <w:rPr>
                <w:b/>
                <w:bCs/>
              </w:rPr>
            </w:pPr>
            <w:r>
              <w:rPr>
                <w:b/>
                <w:bCs/>
              </w:rPr>
              <w:t>3.0%</w:t>
            </w:r>
          </w:p>
        </w:tc>
        <w:tc>
          <w:tcPr>
            <w:tcW w:w="1456" w:type="dxa"/>
            <w:shd w:val="clear" w:color="auto" w:fill="E5DFEC" w:themeFill="accent4" w:themeFillTint="33"/>
            <w:vAlign w:val="bottom"/>
          </w:tcPr>
          <w:p w:rsidR="005A6793" w:rsidRDefault="005A6793" w:rsidP="005A6793">
            <w:pPr>
              <w:pStyle w:val="TableTextRight"/>
              <w:rPr>
                <w:b/>
                <w:bCs/>
              </w:rPr>
            </w:pPr>
            <w:r>
              <w:rPr>
                <w:b/>
                <w:bCs/>
              </w:rPr>
              <w:t>35</w:t>
            </w:r>
          </w:p>
        </w:tc>
      </w:tr>
      <w:tr w:rsidR="005A6793" w:rsidTr="00982B32">
        <w:trPr>
          <w:trHeight w:val="300"/>
        </w:trPr>
        <w:tc>
          <w:tcPr>
            <w:tcW w:w="1456" w:type="dxa"/>
            <w:vAlign w:val="bottom"/>
            <w:hideMark/>
          </w:tcPr>
          <w:p w:rsidR="005A6793" w:rsidRPr="00625889" w:rsidRDefault="005A6793" w:rsidP="005A6793">
            <w:pPr>
              <w:pStyle w:val="TableTextLeft"/>
              <w:keepNext/>
            </w:pPr>
            <w:r>
              <w:t>250</w:t>
            </w:r>
          </w:p>
        </w:tc>
        <w:tc>
          <w:tcPr>
            <w:tcW w:w="1456" w:type="dxa"/>
            <w:vAlign w:val="bottom"/>
          </w:tcPr>
          <w:p w:rsidR="005A6793" w:rsidRDefault="005A6793" w:rsidP="005A6793">
            <w:pPr>
              <w:pStyle w:val="TableTextRight"/>
              <w:keepNext/>
            </w:pPr>
            <w:r>
              <w:t>1,415</w:t>
            </w:r>
          </w:p>
        </w:tc>
        <w:tc>
          <w:tcPr>
            <w:tcW w:w="1456" w:type="dxa"/>
            <w:vAlign w:val="bottom"/>
          </w:tcPr>
          <w:p w:rsidR="005A6793" w:rsidRDefault="005A6793" w:rsidP="005A6793">
            <w:pPr>
              <w:pStyle w:val="TableTextRight"/>
            </w:pPr>
            <w:r>
              <w:t>1,441</w:t>
            </w:r>
          </w:p>
        </w:tc>
        <w:tc>
          <w:tcPr>
            <w:tcW w:w="1456" w:type="dxa"/>
            <w:vAlign w:val="bottom"/>
          </w:tcPr>
          <w:p w:rsidR="005A6793" w:rsidRDefault="005A6793" w:rsidP="005A6793">
            <w:pPr>
              <w:pStyle w:val="TableTextRight"/>
            </w:pPr>
            <w:r>
              <w:t>1.8%</w:t>
            </w:r>
          </w:p>
        </w:tc>
        <w:tc>
          <w:tcPr>
            <w:tcW w:w="1456" w:type="dxa"/>
            <w:vAlign w:val="bottom"/>
          </w:tcPr>
          <w:p w:rsidR="005A6793" w:rsidRDefault="005A6793" w:rsidP="005A6793">
            <w:pPr>
              <w:pStyle w:val="TableTextRight"/>
            </w:pPr>
            <w:r>
              <w:t>26</w:t>
            </w:r>
          </w:p>
        </w:tc>
      </w:tr>
      <w:tr w:rsidR="005A6793" w:rsidTr="00982B32">
        <w:trPr>
          <w:trHeight w:val="300"/>
        </w:trPr>
        <w:tc>
          <w:tcPr>
            <w:tcW w:w="1456" w:type="dxa"/>
            <w:vAlign w:val="bottom"/>
            <w:hideMark/>
          </w:tcPr>
          <w:p w:rsidR="005A6793" w:rsidRPr="00625889" w:rsidRDefault="005A6793" w:rsidP="005A6793">
            <w:pPr>
              <w:pStyle w:val="TableTextLeft"/>
              <w:keepNext/>
            </w:pPr>
            <w:r>
              <w:t>300</w:t>
            </w:r>
          </w:p>
        </w:tc>
        <w:tc>
          <w:tcPr>
            <w:tcW w:w="1456" w:type="dxa"/>
            <w:vAlign w:val="bottom"/>
          </w:tcPr>
          <w:p w:rsidR="005A6793" w:rsidRDefault="005A6793" w:rsidP="005A6793">
            <w:pPr>
              <w:pStyle w:val="TableTextRight"/>
              <w:keepNext/>
            </w:pPr>
            <w:r>
              <w:t>1,677</w:t>
            </w:r>
          </w:p>
        </w:tc>
        <w:tc>
          <w:tcPr>
            <w:tcW w:w="1456" w:type="dxa"/>
            <w:vAlign w:val="bottom"/>
          </w:tcPr>
          <w:p w:rsidR="005A6793" w:rsidRDefault="005A6793" w:rsidP="005A6793">
            <w:pPr>
              <w:pStyle w:val="TableTextRight"/>
            </w:pPr>
            <w:r>
              <w:t>1,692</w:t>
            </w:r>
          </w:p>
        </w:tc>
        <w:tc>
          <w:tcPr>
            <w:tcW w:w="1456" w:type="dxa"/>
            <w:vAlign w:val="bottom"/>
          </w:tcPr>
          <w:p w:rsidR="005A6793" w:rsidRDefault="005A6793" w:rsidP="005A6793">
            <w:pPr>
              <w:pStyle w:val="TableTextRight"/>
            </w:pPr>
            <w:r>
              <w:t>0.9%</w:t>
            </w:r>
          </w:p>
        </w:tc>
        <w:tc>
          <w:tcPr>
            <w:tcW w:w="1456" w:type="dxa"/>
            <w:vAlign w:val="bottom"/>
          </w:tcPr>
          <w:p w:rsidR="005A6793" w:rsidRDefault="005A6793" w:rsidP="005A6793">
            <w:pPr>
              <w:pStyle w:val="TableTextRight"/>
            </w:pPr>
            <w:r>
              <w:t>15</w:t>
            </w:r>
          </w:p>
        </w:tc>
      </w:tr>
      <w:tr w:rsidR="005A6793" w:rsidTr="00982B32">
        <w:trPr>
          <w:trHeight w:val="300"/>
        </w:trPr>
        <w:tc>
          <w:tcPr>
            <w:tcW w:w="1456" w:type="dxa"/>
            <w:vAlign w:val="bottom"/>
            <w:hideMark/>
          </w:tcPr>
          <w:p w:rsidR="005A6793" w:rsidRPr="00625889" w:rsidRDefault="005A6793" w:rsidP="005A6793">
            <w:pPr>
              <w:pStyle w:val="TableTextLeft"/>
              <w:keepNext/>
            </w:pPr>
            <w:r>
              <w:t>350</w:t>
            </w:r>
          </w:p>
        </w:tc>
        <w:tc>
          <w:tcPr>
            <w:tcW w:w="1456" w:type="dxa"/>
            <w:vAlign w:val="bottom"/>
          </w:tcPr>
          <w:p w:rsidR="005A6793" w:rsidRDefault="005A6793" w:rsidP="005A6793">
            <w:pPr>
              <w:pStyle w:val="TableTextRight"/>
              <w:keepNext/>
            </w:pPr>
            <w:r>
              <w:t>1,939</w:t>
            </w:r>
          </w:p>
        </w:tc>
        <w:tc>
          <w:tcPr>
            <w:tcW w:w="1456" w:type="dxa"/>
            <w:vAlign w:val="bottom"/>
          </w:tcPr>
          <w:p w:rsidR="005A6793" w:rsidRDefault="005A6793" w:rsidP="005A6793">
            <w:pPr>
              <w:pStyle w:val="TableTextRight"/>
            </w:pPr>
            <w:r>
              <w:t>1,943</w:t>
            </w:r>
          </w:p>
        </w:tc>
        <w:tc>
          <w:tcPr>
            <w:tcW w:w="1456" w:type="dxa"/>
            <w:vAlign w:val="bottom"/>
          </w:tcPr>
          <w:p w:rsidR="005A6793" w:rsidRDefault="005A6793" w:rsidP="005A6793">
            <w:pPr>
              <w:pStyle w:val="TableTextRight"/>
            </w:pPr>
            <w:r>
              <w:t>0.2%</w:t>
            </w:r>
          </w:p>
        </w:tc>
        <w:tc>
          <w:tcPr>
            <w:tcW w:w="1456" w:type="dxa"/>
            <w:vAlign w:val="bottom"/>
          </w:tcPr>
          <w:p w:rsidR="005A6793" w:rsidRDefault="005A6793" w:rsidP="005A6793">
            <w:pPr>
              <w:pStyle w:val="TableTextRight"/>
            </w:pPr>
            <w:r>
              <w:t>4</w:t>
            </w:r>
          </w:p>
        </w:tc>
      </w:tr>
      <w:tr w:rsidR="005A6793" w:rsidTr="00982B32">
        <w:trPr>
          <w:trHeight w:val="300"/>
        </w:trPr>
        <w:tc>
          <w:tcPr>
            <w:tcW w:w="1456" w:type="dxa"/>
            <w:vAlign w:val="bottom"/>
            <w:hideMark/>
          </w:tcPr>
          <w:p w:rsidR="005A6793" w:rsidRPr="00625889" w:rsidRDefault="005A6793" w:rsidP="005A6793">
            <w:pPr>
              <w:pStyle w:val="TableTextLeft"/>
              <w:keepNext/>
            </w:pPr>
            <w:r>
              <w:t>400</w:t>
            </w:r>
          </w:p>
        </w:tc>
        <w:tc>
          <w:tcPr>
            <w:tcW w:w="1456" w:type="dxa"/>
            <w:vAlign w:val="bottom"/>
          </w:tcPr>
          <w:p w:rsidR="005A6793" w:rsidRDefault="005A6793" w:rsidP="005A6793">
            <w:pPr>
              <w:pStyle w:val="TableTextRight"/>
              <w:keepNext/>
            </w:pPr>
            <w:r>
              <w:t>2,201</w:t>
            </w:r>
          </w:p>
        </w:tc>
        <w:tc>
          <w:tcPr>
            <w:tcW w:w="1456" w:type="dxa"/>
            <w:vAlign w:val="bottom"/>
          </w:tcPr>
          <w:p w:rsidR="005A6793" w:rsidRDefault="005A6793" w:rsidP="005A6793">
            <w:pPr>
              <w:pStyle w:val="TableTextRight"/>
            </w:pPr>
            <w:r>
              <w:t>2,194</w:t>
            </w:r>
          </w:p>
        </w:tc>
        <w:tc>
          <w:tcPr>
            <w:tcW w:w="1456" w:type="dxa"/>
            <w:vAlign w:val="bottom"/>
          </w:tcPr>
          <w:p w:rsidR="005A6793" w:rsidRDefault="005A6793" w:rsidP="005A6793">
            <w:pPr>
              <w:pStyle w:val="TableTextRight"/>
            </w:pPr>
            <w:r>
              <w:t>-0.3%</w:t>
            </w:r>
          </w:p>
        </w:tc>
        <w:tc>
          <w:tcPr>
            <w:tcW w:w="1456" w:type="dxa"/>
            <w:vAlign w:val="bottom"/>
          </w:tcPr>
          <w:p w:rsidR="005A6793" w:rsidRDefault="005A6793" w:rsidP="005A6793">
            <w:pPr>
              <w:pStyle w:val="TableTextRight"/>
            </w:pPr>
            <w:r>
              <w:t>-7</w:t>
            </w:r>
          </w:p>
        </w:tc>
      </w:tr>
      <w:tr w:rsidR="00A614D5" w:rsidTr="00A614D5">
        <w:trPr>
          <w:trHeight w:val="315"/>
        </w:trPr>
        <w:tc>
          <w:tcPr>
            <w:tcW w:w="1456" w:type="dxa"/>
            <w:tcBorders>
              <w:top w:val="nil"/>
              <w:left w:val="nil"/>
              <w:bottom w:val="single" w:sz="12" w:space="0" w:color="1F497D"/>
              <w:right w:val="nil"/>
            </w:tcBorders>
            <w:vAlign w:val="bottom"/>
          </w:tcPr>
          <w:p w:rsidR="00A614D5" w:rsidRPr="00625889" w:rsidRDefault="00A614D5" w:rsidP="00A614D5">
            <w:pPr>
              <w:pStyle w:val="TableTextLeft"/>
              <w:keepNext/>
            </w:pPr>
            <w:r>
              <w:t>500</w:t>
            </w:r>
          </w:p>
        </w:tc>
        <w:tc>
          <w:tcPr>
            <w:tcW w:w="1456" w:type="dxa"/>
            <w:tcBorders>
              <w:top w:val="nil"/>
              <w:left w:val="nil"/>
              <w:bottom w:val="single" w:sz="12" w:space="0" w:color="1F497D"/>
              <w:right w:val="nil"/>
            </w:tcBorders>
            <w:vAlign w:val="bottom"/>
          </w:tcPr>
          <w:p w:rsidR="00A614D5" w:rsidRDefault="00A614D5" w:rsidP="00A614D5">
            <w:pPr>
              <w:pStyle w:val="TableTextRight"/>
              <w:keepNext/>
            </w:pPr>
            <w:r>
              <w:t>2,725</w:t>
            </w:r>
          </w:p>
        </w:tc>
        <w:tc>
          <w:tcPr>
            <w:tcW w:w="1456" w:type="dxa"/>
            <w:tcBorders>
              <w:top w:val="nil"/>
              <w:left w:val="nil"/>
              <w:bottom w:val="single" w:sz="12" w:space="0" w:color="1F497D"/>
              <w:right w:val="nil"/>
            </w:tcBorders>
            <w:vAlign w:val="bottom"/>
          </w:tcPr>
          <w:p w:rsidR="00A614D5" w:rsidRDefault="00A614D5" w:rsidP="00A614D5">
            <w:pPr>
              <w:pStyle w:val="TableTextRight"/>
            </w:pPr>
            <w:r>
              <w:t>2,696</w:t>
            </w:r>
          </w:p>
        </w:tc>
        <w:tc>
          <w:tcPr>
            <w:tcW w:w="1456" w:type="dxa"/>
            <w:tcBorders>
              <w:top w:val="nil"/>
              <w:left w:val="nil"/>
              <w:bottom w:val="single" w:sz="12" w:space="0" w:color="1F497D"/>
              <w:right w:val="nil"/>
            </w:tcBorders>
            <w:vAlign w:val="bottom"/>
          </w:tcPr>
          <w:p w:rsidR="00A614D5" w:rsidRDefault="00A614D5" w:rsidP="00A614D5">
            <w:pPr>
              <w:pStyle w:val="TableTextRight"/>
            </w:pPr>
            <w:r>
              <w:t>-1.1%</w:t>
            </w:r>
          </w:p>
        </w:tc>
        <w:tc>
          <w:tcPr>
            <w:tcW w:w="1456" w:type="dxa"/>
            <w:tcBorders>
              <w:top w:val="nil"/>
              <w:left w:val="nil"/>
              <w:bottom w:val="single" w:sz="12" w:space="0" w:color="1F497D"/>
              <w:right w:val="nil"/>
            </w:tcBorders>
            <w:vAlign w:val="bottom"/>
          </w:tcPr>
          <w:p w:rsidR="00A614D5" w:rsidRDefault="00A614D5" w:rsidP="00A614D5">
            <w:pPr>
              <w:pStyle w:val="TableTextRight"/>
            </w:pPr>
            <w:r>
              <w:t>-29</w:t>
            </w:r>
          </w:p>
        </w:tc>
      </w:tr>
    </w:tbl>
    <w:p w:rsidR="00B04CFE" w:rsidRDefault="00B04CFE" w:rsidP="00B85BC3">
      <w:pPr>
        <w:pStyle w:val="TableNotesLast0"/>
        <w:keepNext/>
      </w:pPr>
      <w:r>
        <w:t>Source:</w:t>
      </w:r>
      <w:r>
        <w:tab/>
        <w:t>Commission’s calculations.</w:t>
      </w:r>
    </w:p>
    <w:p w:rsidR="00E80A3A" w:rsidRDefault="00E82036" w:rsidP="00F2030E">
      <w:pPr>
        <w:pStyle w:val="Heading4"/>
      </w:pPr>
      <w:r>
        <w:t xml:space="preserve">Commercial </w:t>
      </w:r>
      <w:r w:rsidR="00F2030E">
        <w:t>customer</w:t>
      </w:r>
      <w:r w:rsidR="00634941">
        <w:t xml:space="preserve"> impact</w:t>
      </w:r>
      <w:r w:rsidR="007342AE">
        <w:t xml:space="preserve"> </w:t>
      </w:r>
      <w:r w:rsidR="00AA2768">
        <w:t xml:space="preserve"> </w:t>
      </w:r>
    </w:p>
    <w:p w:rsidR="00E67802" w:rsidRDefault="00E67802" w:rsidP="00E67802">
      <w:pPr>
        <w:pStyle w:val="Heading5"/>
      </w:pPr>
      <w:r>
        <w:t>Introduction</w:t>
      </w:r>
    </w:p>
    <w:p w:rsidR="00634941" w:rsidRDefault="00634941" w:rsidP="00634941">
      <w:r>
        <w:t>For the purposes of this analysis, commercial customers are distinguished from the broader set of non-residential customers.</w:t>
      </w:r>
      <w:r w:rsidR="00AA2768">
        <w:t xml:space="preserve"> </w:t>
      </w:r>
      <w:r>
        <w:t>There are currently about 3,400 commercial customers, accounting for about 2 per cent of Icon Water’s 170,000 total water customers. Total water consumption by commercial customers in 2013</w:t>
      </w:r>
      <w:r>
        <w:sym w:font="Symbol" w:char="F02D"/>
      </w:r>
      <w:r>
        <w:t>14 was about 9.5 GL, or 23 </w:t>
      </w:r>
      <w:r w:rsidRPr="00761FAF">
        <w:t>per</w:t>
      </w:r>
      <w:r>
        <w:t xml:space="preserve"> cent of the total 42 GL consumed that year. The mean annual water consumption per </w:t>
      </w:r>
      <w:r w:rsidR="00AA26B0">
        <w:t xml:space="preserve">commercial </w:t>
      </w:r>
      <w:r>
        <w:t>customer in 2013</w:t>
      </w:r>
      <w:r>
        <w:sym w:font="Symbol" w:char="F02D"/>
      </w:r>
      <w:r>
        <w:t xml:space="preserve">14 was in the region of </w:t>
      </w:r>
      <w:r w:rsidR="00AA26B0">
        <w:t>2,900</w:t>
      </w:r>
      <w:r>
        <w:t> kL.</w:t>
      </w:r>
      <w:r>
        <w:rPr>
          <w:rStyle w:val="FootnoteReference"/>
        </w:rPr>
        <w:footnoteReference w:id="84"/>
      </w:r>
    </w:p>
    <w:p w:rsidR="007342AE" w:rsidRDefault="007342AE" w:rsidP="00E404E3">
      <w:r>
        <w:t xml:space="preserve">Two cases are presented. The first assumes that residential and commercial customers face the same prices. </w:t>
      </w:r>
      <w:r w:rsidR="001B0AB1">
        <w:t>However, this need not necessarily be the case</w:t>
      </w:r>
      <w:r w:rsidR="009A23B3">
        <w:t xml:space="preserve"> and a different supply charge could be considered for larger customers. </w:t>
      </w:r>
      <w:r>
        <w:t>The second</w:t>
      </w:r>
      <w:r w:rsidR="009A23B3">
        <w:t xml:space="preserve"> case</w:t>
      </w:r>
      <w:r>
        <w:t xml:space="preserve"> considers the implications of differential pricing for commercial customers. </w:t>
      </w:r>
    </w:p>
    <w:p w:rsidR="007342AE" w:rsidRDefault="007342AE" w:rsidP="007342AE">
      <w:pPr>
        <w:pStyle w:val="Heading5"/>
      </w:pPr>
      <w:r>
        <w:t xml:space="preserve">Case 1: Same prices </w:t>
      </w:r>
    </w:p>
    <w:p w:rsidR="002D5FC2" w:rsidRDefault="00E404E3" w:rsidP="00E404E3">
      <w:r>
        <w:fldChar w:fldCharType="begin"/>
      </w:r>
      <w:r>
        <w:instrText xml:space="preserve"> REF _Ref457914745 \h </w:instrText>
      </w:r>
      <w:r>
        <w:fldChar w:fldCharType="separate"/>
      </w:r>
      <w:r w:rsidR="00B80BC7" w:rsidRPr="00E33D9E">
        <w:t xml:space="preserve">Figure </w:t>
      </w:r>
      <w:r w:rsidR="00B80BC7">
        <w:rPr>
          <w:noProof/>
        </w:rPr>
        <w:t>5</w:t>
      </w:r>
      <w:r w:rsidR="00B80BC7" w:rsidRPr="00E33D9E">
        <w:t>.</w:t>
      </w:r>
      <w:r w:rsidR="00B80BC7">
        <w:rPr>
          <w:noProof/>
        </w:rPr>
        <w:t>2</w:t>
      </w:r>
      <w:r>
        <w:fldChar w:fldCharType="end"/>
      </w:r>
      <w:r>
        <w:t xml:space="preserve"> shows the </w:t>
      </w:r>
      <w:r w:rsidR="00870856">
        <w:t xml:space="preserve">water charges and combined water and sewerage services bill </w:t>
      </w:r>
      <w:r>
        <w:t>impact</w:t>
      </w:r>
      <w:r w:rsidR="00870856">
        <w:t>s</w:t>
      </w:r>
      <w:r>
        <w:t xml:space="preserve"> over the full distribution by water use of</w:t>
      </w:r>
      <w:r w:rsidRPr="00D75FAA">
        <w:t xml:space="preserve"> </w:t>
      </w:r>
      <w:r>
        <w:t>commercial customers.</w:t>
      </w:r>
      <w:r w:rsidR="00870856">
        <w:t xml:space="preserve"> As for residential customers, low volume commercial water customers face higher water charges with high volume water users facing lower charges.</w:t>
      </w:r>
      <w:r w:rsidR="00F84B4B">
        <w:t xml:space="preserve"> </w:t>
      </w:r>
      <w:r w:rsidR="002D5FC2">
        <w:t>Not surprisingly, the distribution of commercial customers shows a much higher proportion of customers in the higher water use bracket than is the case for residential customers.</w:t>
      </w:r>
    </w:p>
    <w:p w:rsidR="00E404E3" w:rsidRDefault="00F84B4B" w:rsidP="00E404E3">
      <w:r>
        <w:t>The</w:t>
      </w:r>
      <w:r w:rsidR="00C8376C">
        <w:t xml:space="preserve"> combined bill impacts show a slightly different story, with the effect of fixture charges limiting bill decreases to very much higher volume water users than in the residential case.</w:t>
      </w:r>
    </w:p>
    <w:p w:rsidR="00E404E3" w:rsidRPr="00F015B6" w:rsidRDefault="00E404E3" w:rsidP="00E404E3"/>
    <w:p w:rsidR="00E404E3" w:rsidRDefault="00E404E3" w:rsidP="00E404E3">
      <w:pPr>
        <w:pStyle w:val="FigureName0"/>
        <w:rPr>
          <w:lang w:val="en-AU"/>
        </w:rPr>
      </w:pPr>
      <w:bookmarkStart w:id="196" w:name="_Ref457914745"/>
      <w:bookmarkStart w:id="197" w:name="_Toc460572280"/>
      <w:r w:rsidRPr="00E33D9E">
        <w:t xml:space="preserve">Figure </w:t>
      </w:r>
      <w:r w:rsidRPr="00E33D9E">
        <w:fldChar w:fldCharType="begin"/>
      </w:r>
      <w:r w:rsidRPr="00E33D9E">
        <w:instrText xml:space="preserve"> STYLEREF 1 \s </w:instrText>
      </w:r>
      <w:r w:rsidRPr="00E33D9E">
        <w:fldChar w:fldCharType="separate"/>
      </w:r>
      <w:r w:rsidR="00B80BC7">
        <w:rPr>
          <w:noProof/>
        </w:rPr>
        <w:t>5</w:t>
      </w:r>
      <w:r w:rsidRPr="00E33D9E">
        <w:fldChar w:fldCharType="end"/>
      </w:r>
      <w:r w:rsidRPr="00E33D9E">
        <w:t>.</w:t>
      </w:r>
      <w:r w:rsidRPr="00E33D9E">
        <w:fldChar w:fldCharType="begin"/>
      </w:r>
      <w:r w:rsidRPr="00E33D9E">
        <w:instrText xml:space="preserve"> SEQ Figure \* ARABIC \s 1 </w:instrText>
      </w:r>
      <w:r w:rsidRPr="00E33D9E">
        <w:fldChar w:fldCharType="separate"/>
      </w:r>
      <w:r w:rsidR="00B80BC7">
        <w:rPr>
          <w:noProof/>
        </w:rPr>
        <w:t>2</w:t>
      </w:r>
      <w:r w:rsidRPr="00E33D9E">
        <w:fldChar w:fldCharType="end"/>
      </w:r>
      <w:bookmarkEnd w:id="196"/>
      <w:r>
        <w:tab/>
        <w:t>Year 1 impact, commercial customers</w:t>
      </w:r>
      <w:bookmarkEnd w:id="197"/>
    </w:p>
    <w:p w:rsidR="00E404E3" w:rsidRPr="00C63BD3" w:rsidRDefault="00C67817" w:rsidP="00E404E3">
      <w:pPr>
        <w:rPr>
          <w:b/>
          <w:lang w:val="en-AU"/>
        </w:rPr>
      </w:pPr>
      <w:r>
        <w:rPr>
          <w:noProof/>
          <w:lang w:val="en-AU" w:eastAsia="en-AU"/>
        </w:rPr>
        <w:drawing>
          <wp:inline distT="0" distB="0" distL="0" distR="0" wp14:anchorId="6122B258" wp14:editId="0B20D109">
            <wp:extent cx="4896485" cy="2574290"/>
            <wp:effectExtent l="0" t="0" r="18415" b="1651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E404E3" w:rsidRDefault="00E404E3" w:rsidP="00E404E3">
      <w:pPr>
        <w:pStyle w:val="TableNotesHanging"/>
      </w:pPr>
      <w:r>
        <w:t>Note:</w:t>
      </w:r>
      <w:r>
        <w:tab/>
        <w:t>The commercial customer distribution by water use presented in this figure is based on the normalised actual distribution.</w:t>
      </w:r>
    </w:p>
    <w:p w:rsidR="00E404E3" w:rsidRPr="00636FE1" w:rsidRDefault="00E404E3" w:rsidP="00E404E3">
      <w:pPr>
        <w:pStyle w:val="TableNotesLast0"/>
        <w:keepNext/>
      </w:pPr>
      <w:r>
        <w:t>Source:</w:t>
      </w:r>
      <w:r>
        <w:tab/>
        <w:t>Commission’s calculations</w:t>
      </w:r>
    </w:p>
    <w:p w:rsidR="006C015F" w:rsidRDefault="006C015F" w:rsidP="00563616">
      <w:r>
        <w:fldChar w:fldCharType="begin"/>
      </w:r>
      <w:r>
        <w:instrText xml:space="preserve"> REF _Ref348854838 \h </w:instrText>
      </w:r>
      <w:r>
        <w:fldChar w:fldCharType="separate"/>
      </w:r>
      <w:r w:rsidR="00B80BC7">
        <w:t xml:space="preserve">Table </w:t>
      </w:r>
      <w:r w:rsidR="00B80BC7">
        <w:rPr>
          <w:noProof/>
        </w:rPr>
        <w:t>5</w:t>
      </w:r>
      <w:r w:rsidR="00B80BC7">
        <w:t>.</w:t>
      </w:r>
      <w:r w:rsidR="00B80BC7">
        <w:rPr>
          <w:noProof/>
        </w:rPr>
        <w:t>4</w:t>
      </w:r>
      <w:r>
        <w:fldChar w:fldCharType="end"/>
      </w:r>
      <w:r>
        <w:t xml:space="preserve"> </w:t>
      </w:r>
      <w:r w:rsidR="00634941">
        <w:t>shows the change in annual water charges from 2016–17 to the first year of the transition to the alternative tariff for</w:t>
      </w:r>
      <w:r>
        <w:t xml:space="preserve"> commercial </w:t>
      </w:r>
      <w:r w:rsidR="00634941">
        <w:t>customers at different consumption levels.</w:t>
      </w:r>
      <w:r w:rsidR="00563616">
        <w:t xml:space="preserve"> Changes range from </w:t>
      </w:r>
      <w:r w:rsidR="00E011DE">
        <w:t xml:space="preserve">a </w:t>
      </w:r>
      <w:r w:rsidR="00C67817">
        <w:t>2</w:t>
      </w:r>
      <w:r w:rsidR="00E011DE">
        <w:t>.</w:t>
      </w:r>
      <w:r w:rsidR="00C67817">
        <w:t>6</w:t>
      </w:r>
      <w:r w:rsidR="00E011DE">
        <w:t xml:space="preserve"> per cent increase, or </w:t>
      </w:r>
      <w:r>
        <w:t>$</w:t>
      </w:r>
      <w:r w:rsidR="00C67817">
        <w:t>19</w:t>
      </w:r>
      <w:r w:rsidR="00E011DE">
        <w:t xml:space="preserve"> per year,</w:t>
      </w:r>
      <w:r>
        <w:t xml:space="preserve"> to </w:t>
      </w:r>
      <w:r w:rsidR="00E011DE">
        <w:t xml:space="preserve">a </w:t>
      </w:r>
      <w:r w:rsidR="00C67817">
        <w:t>4</w:t>
      </w:r>
      <w:r w:rsidR="00E011DE">
        <w:t>.</w:t>
      </w:r>
      <w:r w:rsidR="00C67817">
        <w:t>2</w:t>
      </w:r>
      <w:r w:rsidR="00E011DE">
        <w:t xml:space="preserve"> per cent decrease or </w:t>
      </w:r>
      <w:r w:rsidR="00563616">
        <w:t xml:space="preserve">minus </w:t>
      </w:r>
      <w:r>
        <w:t>$</w:t>
      </w:r>
      <w:r w:rsidR="00C67817">
        <w:t>6</w:t>
      </w:r>
      <w:r w:rsidR="00563616">
        <w:t>,</w:t>
      </w:r>
      <w:r w:rsidR="00C67817">
        <w:t>518</w:t>
      </w:r>
      <w:r>
        <w:t xml:space="preserve"> per year.</w:t>
      </w:r>
    </w:p>
    <w:p w:rsidR="006C015F" w:rsidRDefault="006C015F" w:rsidP="00E404E3">
      <w:pPr>
        <w:pStyle w:val="TableName"/>
        <w:keepNext/>
      </w:pPr>
      <w:bookmarkStart w:id="198" w:name="_Ref348854838"/>
      <w:bookmarkStart w:id="199" w:name="_Toc358386660"/>
      <w:bookmarkStart w:id="200" w:name="_Toc353533214"/>
      <w:bookmarkStart w:id="201" w:name="_Toc349572468"/>
      <w:bookmarkStart w:id="202" w:name="_Toc349571569"/>
      <w:bookmarkStart w:id="203" w:name="_Toc349563454"/>
      <w:bookmarkStart w:id="204" w:name="_Toc349563376"/>
      <w:bookmarkStart w:id="205" w:name="_Toc349563214"/>
      <w:bookmarkStart w:id="206" w:name="_Toc360001080"/>
      <w:bookmarkStart w:id="207" w:name="_Toc452022171"/>
      <w:bookmarkStart w:id="208" w:name="_Toc460572256"/>
      <w:r>
        <w:t xml:space="preserve">Table </w:t>
      </w:r>
      <w:r>
        <w:fldChar w:fldCharType="begin"/>
      </w:r>
      <w:r>
        <w:instrText xml:space="preserve"> STYLEREF 1 \s </w:instrText>
      </w:r>
      <w:r>
        <w:fldChar w:fldCharType="separate"/>
      </w:r>
      <w:r w:rsidR="00B80BC7">
        <w:rPr>
          <w:noProof/>
        </w:rPr>
        <w:t>5</w:t>
      </w:r>
      <w:r>
        <w:fldChar w:fldCharType="end"/>
      </w:r>
      <w:r>
        <w:t>.</w:t>
      </w:r>
      <w:r>
        <w:fldChar w:fldCharType="begin"/>
      </w:r>
      <w:r>
        <w:instrText xml:space="preserve"> SEQ Table \* ARABIC \s 1 </w:instrText>
      </w:r>
      <w:r>
        <w:fldChar w:fldCharType="separate"/>
      </w:r>
      <w:r w:rsidR="00B80BC7">
        <w:rPr>
          <w:noProof/>
        </w:rPr>
        <w:t>4</w:t>
      </w:r>
      <w:r>
        <w:fldChar w:fldCharType="end"/>
      </w:r>
      <w:bookmarkEnd w:id="198"/>
      <w:r>
        <w:tab/>
        <w:t xml:space="preserve">Change in annual water charges for </w:t>
      </w:r>
      <w:r w:rsidR="00563616">
        <w:t xml:space="preserve">commercial </w:t>
      </w:r>
      <w:r>
        <w:t>customers ($, current prices)</w:t>
      </w:r>
      <w:bookmarkEnd w:id="199"/>
      <w:bookmarkEnd w:id="200"/>
      <w:bookmarkEnd w:id="201"/>
      <w:bookmarkEnd w:id="202"/>
      <w:bookmarkEnd w:id="203"/>
      <w:bookmarkEnd w:id="204"/>
      <w:bookmarkEnd w:id="205"/>
      <w:bookmarkEnd w:id="206"/>
      <w:bookmarkEnd w:id="207"/>
      <w:bookmarkEnd w:id="208"/>
    </w:p>
    <w:tbl>
      <w:tblPr>
        <w:tblW w:w="7280" w:type="dxa"/>
        <w:tblInd w:w="108" w:type="dxa"/>
        <w:tblLook w:val="04A0" w:firstRow="1" w:lastRow="0" w:firstColumn="1" w:lastColumn="0" w:noHBand="0" w:noVBand="1"/>
      </w:tblPr>
      <w:tblGrid>
        <w:gridCol w:w="1456"/>
        <w:gridCol w:w="1456"/>
        <w:gridCol w:w="1456"/>
        <w:gridCol w:w="1456"/>
        <w:gridCol w:w="1456"/>
      </w:tblGrid>
      <w:tr w:rsidR="006C015F" w:rsidTr="00982B32">
        <w:trPr>
          <w:trHeight w:val="567"/>
        </w:trPr>
        <w:tc>
          <w:tcPr>
            <w:tcW w:w="1456" w:type="dxa"/>
            <w:tcBorders>
              <w:top w:val="single" w:sz="12" w:space="0" w:color="1F497D"/>
              <w:left w:val="nil"/>
              <w:bottom w:val="single" w:sz="8" w:space="0" w:color="1F497D"/>
              <w:right w:val="nil"/>
            </w:tcBorders>
            <w:shd w:val="clear" w:color="auto" w:fill="DBE5F1"/>
            <w:vAlign w:val="bottom"/>
            <w:hideMark/>
          </w:tcPr>
          <w:p w:rsidR="006C015F" w:rsidRPr="00625889" w:rsidRDefault="006C015F" w:rsidP="00E404E3">
            <w:pPr>
              <w:pStyle w:val="TableHeadingLeft"/>
              <w:keepNext/>
            </w:pPr>
            <w:r>
              <w:t>Annual water consumption (kL)</w:t>
            </w:r>
          </w:p>
        </w:tc>
        <w:tc>
          <w:tcPr>
            <w:tcW w:w="1456" w:type="dxa"/>
            <w:tcBorders>
              <w:top w:val="single" w:sz="12" w:space="0" w:color="1F497D"/>
              <w:left w:val="nil"/>
              <w:bottom w:val="single" w:sz="8" w:space="0" w:color="1F497D"/>
              <w:right w:val="nil"/>
            </w:tcBorders>
            <w:shd w:val="clear" w:color="auto" w:fill="DBE5F1"/>
            <w:vAlign w:val="bottom"/>
            <w:hideMark/>
          </w:tcPr>
          <w:p w:rsidR="006C015F" w:rsidRPr="00625889" w:rsidRDefault="006C015F" w:rsidP="00E404E3">
            <w:pPr>
              <w:pStyle w:val="TableHeadingRight"/>
              <w:keepNext/>
            </w:pPr>
            <w:r>
              <w:t xml:space="preserve">Annual 2015–16 water charge </w:t>
            </w:r>
            <w:r w:rsidRPr="00625889">
              <w:t>($)</w:t>
            </w:r>
          </w:p>
        </w:tc>
        <w:tc>
          <w:tcPr>
            <w:tcW w:w="1456" w:type="dxa"/>
            <w:tcBorders>
              <w:top w:val="single" w:sz="12" w:space="0" w:color="1F497D"/>
              <w:left w:val="nil"/>
              <w:bottom w:val="single" w:sz="8" w:space="0" w:color="1F497D"/>
              <w:right w:val="nil"/>
            </w:tcBorders>
            <w:shd w:val="clear" w:color="auto" w:fill="DBE5F1"/>
            <w:vAlign w:val="bottom"/>
            <w:hideMark/>
          </w:tcPr>
          <w:p w:rsidR="006C015F" w:rsidRPr="00625889" w:rsidRDefault="006C015F" w:rsidP="00E404E3">
            <w:pPr>
              <w:pStyle w:val="TableHeadingRight"/>
              <w:keepNext/>
            </w:pPr>
            <w:r>
              <w:t>Annual 2016–17 water charge</w:t>
            </w:r>
            <w:r w:rsidRPr="00625889">
              <w:t xml:space="preserve"> ($)</w:t>
            </w:r>
          </w:p>
        </w:tc>
        <w:tc>
          <w:tcPr>
            <w:tcW w:w="1456" w:type="dxa"/>
            <w:tcBorders>
              <w:top w:val="single" w:sz="12" w:space="0" w:color="1F497D"/>
              <w:left w:val="nil"/>
              <w:bottom w:val="single" w:sz="8" w:space="0" w:color="1F497D"/>
              <w:right w:val="nil"/>
            </w:tcBorders>
            <w:shd w:val="clear" w:color="auto" w:fill="DBE5F1"/>
            <w:vAlign w:val="bottom"/>
            <w:hideMark/>
          </w:tcPr>
          <w:p w:rsidR="006C015F" w:rsidRPr="00625889" w:rsidRDefault="006C015F" w:rsidP="00E404E3">
            <w:pPr>
              <w:pStyle w:val="TableHeadingRight"/>
              <w:keepNext/>
            </w:pPr>
            <w:r>
              <w:t>Change in water charge</w:t>
            </w:r>
            <w:r w:rsidRPr="00625889">
              <w:t xml:space="preserve"> (%)</w:t>
            </w:r>
          </w:p>
        </w:tc>
        <w:tc>
          <w:tcPr>
            <w:tcW w:w="1456" w:type="dxa"/>
            <w:tcBorders>
              <w:top w:val="single" w:sz="12" w:space="0" w:color="1F497D"/>
              <w:left w:val="nil"/>
              <w:bottom w:val="single" w:sz="8" w:space="0" w:color="1F497D"/>
              <w:right w:val="nil"/>
            </w:tcBorders>
            <w:shd w:val="clear" w:color="auto" w:fill="DBE5F1"/>
            <w:vAlign w:val="bottom"/>
            <w:hideMark/>
          </w:tcPr>
          <w:p w:rsidR="006C015F" w:rsidRPr="00625889" w:rsidRDefault="006C015F" w:rsidP="00E404E3">
            <w:pPr>
              <w:pStyle w:val="TableHeadingRight"/>
              <w:keepNext/>
            </w:pPr>
            <w:r>
              <w:t>Change in water charge</w:t>
            </w:r>
            <w:r w:rsidRPr="00625889">
              <w:t xml:space="preserve"> ($)</w:t>
            </w:r>
          </w:p>
        </w:tc>
      </w:tr>
      <w:tr w:rsidR="00C67817" w:rsidTr="006C015F">
        <w:trPr>
          <w:trHeight w:val="300"/>
        </w:trPr>
        <w:tc>
          <w:tcPr>
            <w:tcW w:w="1456" w:type="dxa"/>
            <w:vAlign w:val="bottom"/>
          </w:tcPr>
          <w:p w:rsidR="00C67817" w:rsidRDefault="00C67817" w:rsidP="00C67817">
            <w:pPr>
              <w:pStyle w:val="TableTextLeft"/>
              <w:keepNext/>
              <w:rPr>
                <w:lang w:val="en-AU" w:eastAsia="en-AU"/>
              </w:rPr>
            </w:pPr>
            <w:r>
              <w:t>220</w:t>
            </w:r>
          </w:p>
        </w:tc>
        <w:tc>
          <w:tcPr>
            <w:tcW w:w="1456" w:type="dxa"/>
            <w:vAlign w:val="bottom"/>
          </w:tcPr>
          <w:p w:rsidR="00C67817" w:rsidRDefault="00C67817" w:rsidP="00C67817">
            <w:pPr>
              <w:pStyle w:val="TableTextRight"/>
              <w:keepNext/>
            </w:pPr>
            <w:r>
              <w:t>733</w:t>
            </w:r>
          </w:p>
        </w:tc>
        <w:tc>
          <w:tcPr>
            <w:tcW w:w="1456" w:type="dxa"/>
            <w:vAlign w:val="bottom"/>
          </w:tcPr>
          <w:p w:rsidR="00C67817" w:rsidRDefault="00C67817" w:rsidP="00C67817">
            <w:pPr>
              <w:pStyle w:val="TableTextRight"/>
              <w:rPr>
                <w:lang w:eastAsia="en-GB"/>
              </w:rPr>
            </w:pPr>
            <w:r>
              <w:t>752</w:t>
            </w:r>
          </w:p>
        </w:tc>
        <w:tc>
          <w:tcPr>
            <w:tcW w:w="1456" w:type="dxa"/>
            <w:vAlign w:val="bottom"/>
          </w:tcPr>
          <w:p w:rsidR="00C67817" w:rsidRDefault="00C67817" w:rsidP="00C67817">
            <w:pPr>
              <w:pStyle w:val="TableTextRight"/>
            </w:pPr>
            <w:r>
              <w:t>2.6%</w:t>
            </w:r>
          </w:p>
        </w:tc>
        <w:tc>
          <w:tcPr>
            <w:tcW w:w="1456" w:type="dxa"/>
            <w:vAlign w:val="bottom"/>
          </w:tcPr>
          <w:p w:rsidR="00C67817" w:rsidRDefault="00C67817" w:rsidP="00C67817">
            <w:pPr>
              <w:pStyle w:val="TableTextRight"/>
            </w:pPr>
            <w:r>
              <w:t>19</w:t>
            </w:r>
          </w:p>
        </w:tc>
      </w:tr>
      <w:tr w:rsidR="00C67817" w:rsidTr="00982B32">
        <w:trPr>
          <w:trHeight w:val="300"/>
        </w:trPr>
        <w:tc>
          <w:tcPr>
            <w:tcW w:w="1456" w:type="dxa"/>
            <w:vAlign w:val="bottom"/>
          </w:tcPr>
          <w:p w:rsidR="00C67817" w:rsidRDefault="00C67817" w:rsidP="00C67817">
            <w:pPr>
              <w:pStyle w:val="TableTextLeft"/>
              <w:keepNext/>
              <w:rPr>
                <w:lang w:val="en-AU" w:eastAsia="en-AU"/>
              </w:rPr>
            </w:pPr>
            <w:r>
              <w:t>520</w:t>
            </w:r>
          </w:p>
        </w:tc>
        <w:tc>
          <w:tcPr>
            <w:tcW w:w="1456" w:type="dxa"/>
            <w:vAlign w:val="bottom"/>
          </w:tcPr>
          <w:p w:rsidR="00C67817" w:rsidRDefault="00C67817" w:rsidP="00C67817">
            <w:pPr>
              <w:pStyle w:val="TableTextRight"/>
              <w:keepNext/>
            </w:pPr>
            <w:r>
              <w:t>2,300</w:t>
            </w:r>
          </w:p>
        </w:tc>
        <w:tc>
          <w:tcPr>
            <w:tcW w:w="1456" w:type="dxa"/>
            <w:vAlign w:val="bottom"/>
          </w:tcPr>
          <w:p w:rsidR="00C67817" w:rsidRDefault="00C67817" w:rsidP="00C67817">
            <w:pPr>
              <w:pStyle w:val="TableTextRight"/>
            </w:pPr>
            <w:r>
              <w:t>2,254</w:t>
            </w:r>
          </w:p>
        </w:tc>
        <w:tc>
          <w:tcPr>
            <w:tcW w:w="1456" w:type="dxa"/>
            <w:vAlign w:val="bottom"/>
          </w:tcPr>
          <w:p w:rsidR="00C67817" w:rsidRDefault="00C67817" w:rsidP="00C67817">
            <w:pPr>
              <w:pStyle w:val="TableTextRight"/>
            </w:pPr>
            <w:r>
              <w:t>-2.0%</w:t>
            </w:r>
          </w:p>
        </w:tc>
        <w:tc>
          <w:tcPr>
            <w:tcW w:w="1456" w:type="dxa"/>
            <w:vAlign w:val="bottom"/>
          </w:tcPr>
          <w:p w:rsidR="00C67817" w:rsidRDefault="00C67817" w:rsidP="00C67817">
            <w:pPr>
              <w:pStyle w:val="TableTextRight"/>
            </w:pPr>
            <w:r>
              <w:t>-47</w:t>
            </w:r>
          </w:p>
        </w:tc>
      </w:tr>
      <w:tr w:rsidR="00C67817" w:rsidTr="00982B32">
        <w:trPr>
          <w:trHeight w:val="300"/>
        </w:trPr>
        <w:tc>
          <w:tcPr>
            <w:tcW w:w="1456" w:type="dxa"/>
            <w:vAlign w:val="bottom"/>
            <w:hideMark/>
          </w:tcPr>
          <w:p w:rsidR="00C67817" w:rsidRDefault="00C67817" w:rsidP="00C67817">
            <w:pPr>
              <w:pStyle w:val="TableTextLeft"/>
              <w:keepNext/>
            </w:pPr>
            <w:r>
              <w:t>1,000</w:t>
            </w:r>
          </w:p>
        </w:tc>
        <w:tc>
          <w:tcPr>
            <w:tcW w:w="1456" w:type="dxa"/>
            <w:vAlign w:val="bottom"/>
            <w:hideMark/>
          </w:tcPr>
          <w:p w:rsidR="00C67817" w:rsidRDefault="00C67817" w:rsidP="00C67817">
            <w:pPr>
              <w:pStyle w:val="TableTextRight"/>
              <w:keepNext/>
            </w:pPr>
            <w:r>
              <w:t>4,815</w:t>
            </w:r>
          </w:p>
        </w:tc>
        <w:tc>
          <w:tcPr>
            <w:tcW w:w="1456" w:type="dxa"/>
            <w:vAlign w:val="bottom"/>
            <w:hideMark/>
          </w:tcPr>
          <w:p w:rsidR="00C67817" w:rsidRDefault="00C67817" w:rsidP="00C67817">
            <w:pPr>
              <w:pStyle w:val="TableTextRight"/>
            </w:pPr>
            <w:r>
              <w:t>4,664</w:t>
            </w:r>
          </w:p>
        </w:tc>
        <w:tc>
          <w:tcPr>
            <w:tcW w:w="1456" w:type="dxa"/>
            <w:vAlign w:val="bottom"/>
            <w:hideMark/>
          </w:tcPr>
          <w:p w:rsidR="00C67817" w:rsidRDefault="00C67817" w:rsidP="00C67817">
            <w:pPr>
              <w:pStyle w:val="TableTextRight"/>
            </w:pPr>
            <w:r>
              <w:t>-3.2%</w:t>
            </w:r>
          </w:p>
        </w:tc>
        <w:tc>
          <w:tcPr>
            <w:tcW w:w="1456" w:type="dxa"/>
            <w:vAlign w:val="bottom"/>
            <w:hideMark/>
          </w:tcPr>
          <w:p w:rsidR="00C67817" w:rsidRDefault="00C67817" w:rsidP="00C67817">
            <w:pPr>
              <w:pStyle w:val="TableTextRight"/>
            </w:pPr>
            <w:r>
              <w:t>-152</w:t>
            </w:r>
          </w:p>
        </w:tc>
      </w:tr>
      <w:tr w:rsidR="00C67817" w:rsidTr="00982B32">
        <w:trPr>
          <w:trHeight w:val="300"/>
        </w:trPr>
        <w:tc>
          <w:tcPr>
            <w:tcW w:w="1456" w:type="dxa"/>
            <w:vAlign w:val="bottom"/>
            <w:hideMark/>
          </w:tcPr>
          <w:p w:rsidR="00C67817" w:rsidRDefault="00C67817" w:rsidP="00C67817">
            <w:pPr>
              <w:pStyle w:val="TableTextLeft"/>
              <w:keepNext/>
            </w:pPr>
            <w:r>
              <w:t>2,500</w:t>
            </w:r>
          </w:p>
        </w:tc>
        <w:tc>
          <w:tcPr>
            <w:tcW w:w="1456" w:type="dxa"/>
            <w:vAlign w:val="bottom"/>
            <w:hideMark/>
          </w:tcPr>
          <w:p w:rsidR="00C67817" w:rsidRDefault="00C67817" w:rsidP="00C67817">
            <w:pPr>
              <w:pStyle w:val="TableTextRight"/>
              <w:keepNext/>
            </w:pPr>
            <w:r>
              <w:t>12,675</w:t>
            </w:r>
          </w:p>
        </w:tc>
        <w:tc>
          <w:tcPr>
            <w:tcW w:w="1456" w:type="dxa"/>
            <w:vAlign w:val="bottom"/>
            <w:hideMark/>
          </w:tcPr>
          <w:p w:rsidR="00C67817" w:rsidRDefault="00C67817" w:rsidP="00C67817">
            <w:pPr>
              <w:pStyle w:val="TableTextRight"/>
            </w:pPr>
            <w:r>
              <w:t>12,194</w:t>
            </w:r>
          </w:p>
        </w:tc>
        <w:tc>
          <w:tcPr>
            <w:tcW w:w="1456" w:type="dxa"/>
            <w:vAlign w:val="bottom"/>
            <w:hideMark/>
          </w:tcPr>
          <w:p w:rsidR="00C67817" w:rsidRDefault="00C67817" w:rsidP="00C67817">
            <w:pPr>
              <w:pStyle w:val="TableTextRight"/>
            </w:pPr>
            <w:r>
              <w:t>-3.8%</w:t>
            </w:r>
          </w:p>
        </w:tc>
        <w:tc>
          <w:tcPr>
            <w:tcW w:w="1456" w:type="dxa"/>
            <w:vAlign w:val="bottom"/>
            <w:hideMark/>
          </w:tcPr>
          <w:p w:rsidR="00C67817" w:rsidRDefault="00C67817" w:rsidP="00C67817">
            <w:pPr>
              <w:pStyle w:val="TableTextRight"/>
            </w:pPr>
            <w:r>
              <w:t>-481</w:t>
            </w:r>
          </w:p>
        </w:tc>
      </w:tr>
      <w:tr w:rsidR="00C67817" w:rsidTr="006C015F">
        <w:trPr>
          <w:trHeight w:val="315"/>
        </w:trPr>
        <w:tc>
          <w:tcPr>
            <w:tcW w:w="1456" w:type="dxa"/>
            <w:tcBorders>
              <w:top w:val="nil"/>
              <w:left w:val="nil"/>
              <w:bottom w:val="nil"/>
              <w:right w:val="nil"/>
            </w:tcBorders>
            <w:vAlign w:val="bottom"/>
            <w:hideMark/>
          </w:tcPr>
          <w:p w:rsidR="00C67817" w:rsidRDefault="00C67817" w:rsidP="00C67817">
            <w:pPr>
              <w:pStyle w:val="TableTextLeft"/>
              <w:keepNext/>
            </w:pPr>
            <w:r>
              <w:t>7,000</w:t>
            </w:r>
          </w:p>
        </w:tc>
        <w:tc>
          <w:tcPr>
            <w:tcW w:w="1456" w:type="dxa"/>
            <w:tcBorders>
              <w:top w:val="nil"/>
              <w:left w:val="nil"/>
              <w:bottom w:val="nil"/>
              <w:right w:val="nil"/>
            </w:tcBorders>
            <w:vAlign w:val="bottom"/>
            <w:hideMark/>
          </w:tcPr>
          <w:p w:rsidR="00C67817" w:rsidRDefault="00C67817" w:rsidP="00C67817">
            <w:pPr>
              <w:pStyle w:val="TableTextRight"/>
              <w:keepNext/>
            </w:pPr>
            <w:r>
              <w:t>36,255</w:t>
            </w:r>
          </w:p>
        </w:tc>
        <w:tc>
          <w:tcPr>
            <w:tcW w:w="1456" w:type="dxa"/>
            <w:tcBorders>
              <w:top w:val="nil"/>
              <w:left w:val="nil"/>
              <w:bottom w:val="nil"/>
              <w:right w:val="nil"/>
            </w:tcBorders>
            <w:vAlign w:val="bottom"/>
            <w:hideMark/>
          </w:tcPr>
          <w:p w:rsidR="00C67817" w:rsidRDefault="00C67817" w:rsidP="00C67817">
            <w:pPr>
              <w:pStyle w:val="TableTextRight"/>
            </w:pPr>
            <w:r>
              <w:t>34,787</w:t>
            </w:r>
          </w:p>
        </w:tc>
        <w:tc>
          <w:tcPr>
            <w:tcW w:w="1456" w:type="dxa"/>
            <w:tcBorders>
              <w:top w:val="nil"/>
              <w:left w:val="nil"/>
              <w:bottom w:val="nil"/>
              <w:right w:val="nil"/>
            </w:tcBorders>
            <w:vAlign w:val="bottom"/>
            <w:hideMark/>
          </w:tcPr>
          <w:p w:rsidR="00C67817" w:rsidRDefault="00C67817" w:rsidP="00C67817">
            <w:pPr>
              <w:pStyle w:val="TableTextRight"/>
            </w:pPr>
            <w:r>
              <w:t>-4.1%</w:t>
            </w:r>
          </w:p>
        </w:tc>
        <w:tc>
          <w:tcPr>
            <w:tcW w:w="1456" w:type="dxa"/>
            <w:tcBorders>
              <w:top w:val="nil"/>
              <w:left w:val="nil"/>
              <w:bottom w:val="nil"/>
              <w:right w:val="nil"/>
            </w:tcBorders>
            <w:vAlign w:val="bottom"/>
            <w:hideMark/>
          </w:tcPr>
          <w:p w:rsidR="00C67817" w:rsidRDefault="00C67817" w:rsidP="00C67817">
            <w:pPr>
              <w:pStyle w:val="TableTextRight"/>
            </w:pPr>
            <w:r>
              <w:t>-1,469</w:t>
            </w:r>
          </w:p>
        </w:tc>
      </w:tr>
      <w:tr w:rsidR="00C67817" w:rsidTr="006C015F">
        <w:trPr>
          <w:trHeight w:val="315"/>
        </w:trPr>
        <w:tc>
          <w:tcPr>
            <w:tcW w:w="1456" w:type="dxa"/>
            <w:tcBorders>
              <w:top w:val="nil"/>
              <w:left w:val="nil"/>
              <w:bottom w:val="nil"/>
              <w:right w:val="nil"/>
            </w:tcBorders>
            <w:vAlign w:val="bottom"/>
          </w:tcPr>
          <w:p w:rsidR="00C67817" w:rsidRDefault="00C67817" w:rsidP="00C67817">
            <w:pPr>
              <w:pStyle w:val="TableTextLeft"/>
              <w:keepNext/>
            </w:pPr>
            <w:r>
              <w:t>15,000</w:t>
            </w:r>
          </w:p>
        </w:tc>
        <w:tc>
          <w:tcPr>
            <w:tcW w:w="1456" w:type="dxa"/>
            <w:tcBorders>
              <w:top w:val="nil"/>
              <w:left w:val="nil"/>
              <w:bottom w:val="nil"/>
              <w:right w:val="nil"/>
            </w:tcBorders>
            <w:vAlign w:val="bottom"/>
          </w:tcPr>
          <w:p w:rsidR="00C67817" w:rsidRDefault="00C67817" w:rsidP="00C67817">
            <w:pPr>
              <w:pStyle w:val="TableTextRight"/>
              <w:keepNext/>
            </w:pPr>
            <w:r>
              <w:t>78,175</w:t>
            </w:r>
          </w:p>
        </w:tc>
        <w:tc>
          <w:tcPr>
            <w:tcW w:w="1456" w:type="dxa"/>
            <w:tcBorders>
              <w:top w:val="nil"/>
              <w:left w:val="nil"/>
              <w:bottom w:val="nil"/>
              <w:right w:val="nil"/>
            </w:tcBorders>
            <w:vAlign w:val="bottom"/>
          </w:tcPr>
          <w:p w:rsidR="00C67817" w:rsidRDefault="00C67817" w:rsidP="00C67817">
            <w:pPr>
              <w:pStyle w:val="TableTextRight"/>
            </w:pPr>
            <w:r>
              <w:t>74,951</w:t>
            </w:r>
          </w:p>
        </w:tc>
        <w:tc>
          <w:tcPr>
            <w:tcW w:w="1456" w:type="dxa"/>
            <w:tcBorders>
              <w:top w:val="nil"/>
              <w:left w:val="nil"/>
              <w:bottom w:val="nil"/>
              <w:right w:val="nil"/>
            </w:tcBorders>
            <w:vAlign w:val="bottom"/>
          </w:tcPr>
          <w:p w:rsidR="00C67817" w:rsidRDefault="00C67817" w:rsidP="00C67817">
            <w:pPr>
              <w:pStyle w:val="TableTextRight"/>
            </w:pPr>
            <w:r>
              <w:t>-4.1%</w:t>
            </w:r>
          </w:p>
        </w:tc>
        <w:tc>
          <w:tcPr>
            <w:tcW w:w="1456" w:type="dxa"/>
            <w:tcBorders>
              <w:top w:val="nil"/>
              <w:left w:val="nil"/>
              <w:bottom w:val="nil"/>
              <w:right w:val="nil"/>
            </w:tcBorders>
            <w:vAlign w:val="bottom"/>
          </w:tcPr>
          <w:p w:rsidR="00C67817" w:rsidRDefault="00C67817" w:rsidP="00C67817">
            <w:pPr>
              <w:pStyle w:val="TableTextRight"/>
            </w:pPr>
            <w:r>
              <w:t>-3,225</w:t>
            </w:r>
          </w:p>
        </w:tc>
      </w:tr>
      <w:tr w:rsidR="00C67817" w:rsidTr="00982B32">
        <w:trPr>
          <w:trHeight w:val="315"/>
        </w:trPr>
        <w:tc>
          <w:tcPr>
            <w:tcW w:w="1456" w:type="dxa"/>
            <w:tcBorders>
              <w:top w:val="nil"/>
              <w:left w:val="nil"/>
              <w:bottom w:val="single" w:sz="12" w:space="0" w:color="1F497D"/>
              <w:right w:val="nil"/>
            </w:tcBorders>
            <w:vAlign w:val="bottom"/>
          </w:tcPr>
          <w:p w:rsidR="00C67817" w:rsidRDefault="00C67817" w:rsidP="00C67817">
            <w:pPr>
              <w:pStyle w:val="TableTextLeft"/>
              <w:keepNext/>
            </w:pPr>
            <w:r>
              <w:t>30,000</w:t>
            </w:r>
          </w:p>
        </w:tc>
        <w:tc>
          <w:tcPr>
            <w:tcW w:w="1456" w:type="dxa"/>
            <w:tcBorders>
              <w:top w:val="nil"/>
              <w:left w:val="nil"/>
              <w:bottom w:val="single" w:sz="12" w:space="0" w:color="1F497D"/>
              <w:right w:val="nil"/>
            </w:tcBorders>
            <w:vAlign w:val="bottom"/>
          </w:tcPr>
          <w:p w:rsidR="00C67817" w:rsidRDefault="00C67817" w:rsidP="00C67817">
            <w:pPr>
              <w:pStyle w:val="TableTextRight"/>
              <w:keepNext/>
            </w:pPr>
            <w:r>
              <w:t>156,775</w:t>
            </w:r>
          </w:p>
        </w:tc>
        <w:tc>
          <w:tcPr>
            <w:tcW w:w="1456" w:type="dxa"/>
            <w:tcBorders>
              <w:top w:val="nil"/>
              <w:left w:val="nil"/>
              <w:bottom w:val="single" w:sz="12" w:space="0" w:color="1F497D"/>
              <w:right w:val="nil"/>
            </w:tcBorders>
            <w:vAlign w:val="bottom"/>
          </w:tcPr>
          <w:p w:rsidR="00C67817" w:rsidRDefault="00C67817" w:rsidP="00C67817">
            <w:pPr>
              <w:pStyle w:val="TableTextRight"/>
            </w:pPr>
            <w:r>
              <w:t>150,258</w:t>
            </w:r>
          </w:p>
        </w:tc>
        <w:tc>
          <w:tcPr>
            <w:tcW w:w="1456" w:type="dxa"/>
            <w:tcBorders>
              <w:top w:val="nil"/>
              <w:left w:val="nil"/>
              <w:bottom w:val="single" w:sz="12" w:space="0" w:color="1F497D"/>
              <w:right w:val="nil"/>
            </w:tcBorders>
            <w:vAlign w:val="bottom"/>
          </w:tcPr>
          <w:p w:rsidR="00C67817" w:rsidRDefault="00C67817" w:rsidP="00C67817">
            <w:pPr>
              <w:pStyle w:val="TableTextRight"/>
            </w:pPr>
            <w:r>
              <w:t>-4.2%</w:t>
            </w:r>
          </w:p>
        </w:tc>
        <w:tc>
          <w:tcPr>
            <w:tcW w:w="1456" w:type="dxa"/>
            <w:tcBorders>
              <w:top w:val="nil"/>
              <w:left w:val="nil"/>
              <w:bottom w:val="single" w:sz="12" w:space="0" w:color="1F497D"/>
              <w:right w:val="nil"/>
            </w:tcBorders>
            <w:vAlign w:val="bottom"/>
          </w:tcPr>
          <w:p w:rsidR="00C67817" w:rsidRDefault="00C67817" w:rsidP="00C67817">
            <w:pPr>
              <w:pStyle w:val="TableTextRight"/>
            </w:pPr>
            <w:r>
              <w:t>-6,518</w:t>
            </w:r>
          </w:p>
        </w:tc>
      </w:tr>
    </w:tbl>
    <w:p w:rsidR="00604C96" w:rsidRDefault="00604C96" w:rsidP="00E404E3">
      <w:pPr>
        <w:pStyle w:val="TableNotesLast0"/>
        <w:keepNext/>
      </w:pPr>
      <w:r>
        <w:t>Source:</w:t>
      </w:r>
      <w:r>
        <w:tab/>
        <w:t>Commission’s calculations.</w:t>
      </w:r>
    </w:p>
    <w:p w:rsidR="0074225C" w:rsidRDefault="0074225C" w:rsidP="0074225C">
      <w:pPr>
        <w:pStyle w:val="Bodytableoutro"/>
      </w:pPr>
      <w:r>
        <w:fldChar w:fldCharType="begin"/>
      </w:r>
      <w:r>
        <w:instrText xml:space="preserve"> REF _Ref348855353 \h </w:instrText>
      </w:r>
      <w:r>
        <w:fldChar w:fldCharType="separate"/>
      </w:r>
      <w:r w:rsidR="00B80BC7">
        <w:t xml:space="preserve">Table </w:t>
      </w:r>
      <w:r w:rsidR="00B80BC7">
        <w:rPr>
          <w:noProof/>
        </w:rPr>
        <w:t>5</w:t>
      </w:r>
      <w:r w:rsidR="00B80BC7">
        <w:t>.</w:t>
      </w:r>
      <w:r w:rsidR="00B80BC7">
        <w:rPr>
          <w:noProof/>
        </w:rPr>
        <w:t>5</w:t>
      </w:r>
      <w:r>
        <w:fldChar w:fldCharType="end"/>
      </w:r>
      <w:r>
        <w:t xml:space="preserve"> </w:t>
      </w:r>
      <w:r w:rsidR="00604C96">
        <w:t xml:space="preserve">shows the change from 2016–17 to the first year of the transition to the alternative tariff in the combined water and sewerage services bill for </w:t>
      </w:r>
      <w:r>
        <w:t xml:space="preserve">commercial </w:t>
      </w:r>
      <w:r w:rsidR="00604C96">
        <w:t xml:space="preserve">customers. </w:t>
      </w:r>
      <w:r w:rsidR="00E11316">
        <w:t>The bill changes vary depending on the combination of water use level and number of sewerage fixtures.</w:t>
      </w:r>
    </w:p>
    <w:p w:rsidR="0074225C" w:rsidRDefault="0074225C" w:rsidP="00604C96"/>
    <w:p w:rsidR="00FA50ED" w:rsidRDefault="00FA50ED" w:rsidP="00E404E3">
      <w:pPr>
        <w:pStyle w:val="TableName"/>
        <w:keepNext/>
      </w:pPr>
      <w:bookmarkStart w:id="209" w:name="_Ref348855353"/>
      <w:bookmarkStart w:id="210" w:name="_Toc358386663"/>
      <w:bookmarkStart w:id="211" w:name="_Toc353533217"/>
      <w:bookmarkStart w:id="212" w:name="_Toc349572471"/>
      <w:bookmarkStart w:id="213" w:name="_Toc349571572"/>
      <w:bookmarkStart w:id="214" w:name="_Toc349563457"/>
      <w:bookmarkStart w:id="215" w:name="_Toc349563379"/>
      <w:bookmarkStart w:id="216" w:name="_Toc349563217"/>
      <w:bookmarkStart w:id="217" w:name="_Toc360001083"/>
      <w:bookmarkStart w:id="218" w:name="_Toc452022173"/>
      <w:bookmarkStart w:id="219" w:name="_Toc460572257"/>
      <w:r>
        <w:lastRenderedPageBreak/>
        <w:t xml:space="preserve">Table </w:t>
      </w:r>
      <w:r>
        <w:fldChar w:fldCharType="begin"/>
      </w:r>
      <w:r>
        <w:instrText xml:space="preserve"> STYLEREF 1 \s </w:instrText>
      </w:r>
      <w:r>
        <w:fldChar w:fldCharType="separate"/>
      </w:r>
      <w:r w:rsidR="00B80BC7">
        <w:rPr>
          <w:noProof/>
        </w:rPr>
        <w:t>5</w:t>
      </w:r>
      <w:r>
        <w:fldChar w:fldCharType="end"/>
      </w:r>
      <w:r>
        <w:t>.</w:t>
      </w:r>
      <w:r>
        <w:fldChar w:fldCharType="begin"/>
      </w:r>
      <w:r>
        <w:instrText xml:space="preserve"> SEQ Table \* ARABIC \s 1 </w:instrText>
      </w:r>
      <w:r>
        <w:fldChar w:fldCharType="separate"/>
      </w:r>
      <w:r w:rsidR="00B80BC7">
        <w:rPr>
          <w:noProof/>
        </w:rPr>
        <w:t>5</w:t>
      </w:r>
      <w:r>
        <w:fldChar w:fldCharType="end"/>
      </w:r>
      <w:bookmarkEnd w:id="209"/>
      <w:r>
        <w:tab/>
        <w:t>Change in annual combined water and sewerage services bill for commercial customers ($, current prices)</w:t>
      </w:r>
      <w:bookmarkEnd w:id="210"/>
      <w:bookmarkEnd w:id="211"/>
      <w:bookmarkEnd w:id="212"/>
      <w:bookmarkEnd w:id="213"/>
      <w:bookmarkEnd w:id="214"/>
      <w:bookmarkEnd w:id="215"/>
      <w:bookmarkEnd w:id="216"/>
      <w:bookmarkEnd w:id="217"/>
      <w:bookmarkEnd w:id="218"/>
      <w:bookmarkEnd w:id="219"/>
    </w:p>
    <w:tbl>
      <w:tblPr>
        <w:tblW w:w="8240" w:type="dxa"/>
        <w:tblInd w:w="108" w:type="dxa"/>
        <w:tblLook w:val="04A0" w:firstRow="1" w:lastRow="0" w:firstColumn="1" w:lastColumn="0" w:noHBand="0" w:noVBand="1"/>
      </w:tblPr>
      <w:tblGrid>
        <w:gridCol w:w="1373"/>
        <w:gridCol w:w="1373"/>
        <w:gridCol w:w="1374"/>
        <w:gridCol w:w="1373"/>
        <w:gridCol w:w="1373"/>
        <w:gridCol w:w="1374"/>
      </w:tblGrid>
      <w:tr w:rsidR="00FA50ED" w:rsidTr="00982B32">
        <w:trPr>
          <w:trHeight w:val="554"/>
        </w:trPr>
        <w:tc>
          <w:tcPr>
            <w:tcW w:w="1373" w:type="dxa"/>
            <w:tcBorders>
              <w:top w:val="single" w:sz="12" w:space="0" w:color="1F497D"/>
              <w:left w:val="nil"/>
              <w:bottom w:val="single" w:sz="8" w:space="0" w:color="1F497D"/>
              <w:right w:val="nil"/>
            </w:tcBorders>
            <w:shd w:val="clear" w:color="auto" w:fill="DBE5F1"/>
            <w:vAlign w:val="bottom"/>
            <w:hideMark/>
          </w:tcPr>
          <w:p w:rsidR="00FA50ED" w:rsidRPr="00625889" w:rsidRDefault="00FA50ED" w:rsidP="00E404E3">
            <w:pPr>
              <w:pStyle w:val="TableHeadingLeft"/>
              <w:keepNext/>
            </w:pPr>
            <w:r>
              <w:t>Annual water consumption (kL)</w:t>
            </w:r>
          </w:p>
        </w:tc>
        <w:tc>
          <w:tcPr>
            <w:tcW w:w="1373" w:type="dxa"/>
            <w:tcBorders>
              <w:top w:val="single" w:sz="12" w:space="0" w:color="1F497D"/>
              <w:left w:val="nil"/>
              <w:bottom w:val="single" w:sz="8" w:space="0" w:color="1F497D"/>
              <w:right w:val="nil"/>
            </w:tcBorders>
            <w:shd w:val="clear" w:color="auto" w:fill="DBE5F1"/>
            <w:vAlign w:val="bottom"/>
            <w:hideMark/>
          </w:tcPr>
          <w:p w:rsidR="00FA50ED" w:rsidRPr="00625889" w:rsidRDefault="00FA50ED" w:rsidP="00E404E3">
            <w:pPr>
              <w:pStyle w:val="TableHeadingRight"/>
              <w:keepNext/>
            </w:pPr>
            <w:r>
              <w:t>Number of billable fixtures (#)</w:t>
            </w:r>
          </w:p>
        </w:tc>
        <w:tc>
          <w:tcPr>
            <w:tcW w:w="1374" w:type="dxa"/>
            <w:tcBorders>
              <w:top w:val="single" w:sz="12" w:space="0" w:color="1F497D"/>
              <w:left w:val="nil"/>
              <w:bottom w:val="single" w:sz="8" w:space="0" w:color="1F497D"/>
              <w:right w:val="nil"/>
            </w:tcBorders>
            <w:shd w:val="clear" w:color="auto" w:fill="DBE5F1"/>
            <w:vAlign w:val="bottom"/>
            <w:hideMark/>
          </w:tcPr>
          <w:p w:rsidR="00FA50ED" w:rsidRPr="00625889" w:rsidRDefault="00FA50ED" w:rsidP="00E404E3">
            <w:pPr>
              <w:pStyle w:val="TableHeadingRight"/>
              <w:keepNext/>
            </w:pPr>
            <w:r>
              <w:t>Annual 2015–16 combined bill ($)</w:t>
            </w:r>
          </w:p>
        </w:tc>
        <w:tc>
          <w:tcPr>
            <w:tcW w:w="1373" w:type="dxa"/>
            <w:tcBorders>
              <w:top w:val="single" w:sz="12" w:space="0" w:color="1F497D"/>
              <w:left w:val="nil"/>
              <w:bottom w:val="single" w:sz="8" w:space="0" w:color="1F497D"/>
              <w:right w:val="nil"/>
            </w:tcBorders>
            <w:shd w:val="clear" w:color="auto" w:fill="DBE5F1"/>
            <w:vAlign w:val="bottom"/>
            <w:hideMark/>
          </w:tcPr>
          <w:p w:rsidR="00FA50ED" w:rsidRPr="00625889" w:rsidRDefault="00FA50ED" w:rsidP="00E404E3">
            <w:pPr>
              <w:pStyle w:val="TableHeadingRight"/>
              <w:keepNext/>
            </w:pPr>
            <w:r>
              <w:t>Annual 2016–17 combined bill ($)</w:t>
            </w:r>
          </w:p>
        </w:tc>
        <w:tc>
          <w:tcPr>
            <w:tcW w:w="1373" w:type="dxa"/>
            <w:tcBorders>
              <w:top w:val="single" w:sz="12" w:space="0" w:color="1F497D"/>
              <w:left w:val="nil"/>
              <w:bottom w:val="single" w:sz="8" w:space="0" w:color="1F497D"/>
              <w:right w:val="nil"/>
            </w:tcBorders>
            <w:shd w:val="clear" w:color="auto" w:fill="DBE5F1"/>
            <w:vAlign w:val="bottom"/>
            <w:hideMark/>
          </w:tcPr>
          <w:p w:rsidR="00FA50ED" w:rsidRPr="00625889" w:rsidRDefault="00FA50ED" w:rsidP="00E404E3">
            <w:pPr>
              <w:pStyle w:val="TableHeadingRight"/>
              <w:keepNext/>
            </w:pPr>
            <w:r>
              <w:t>Change in combined bill (%)</w:t>
            </w:r>
          </w:p>
        </w:tc>
        <w:tc>
          <w:tcPr>
            <w:tcW w:w="1374" w:type="dxa"/>
            <w:tcBorders>
              <w:top w:val="single" w:sz="12" w:space="0" w:color="1F497D"/>
              <w:left w:val="nil"/>
              <w:bottom w:val="single" w:sz="8" w:space="0" w:color="1F497D"/>
              <w:right w:val="nil"/>
            </w:tcBorders>
            <w:shd w:val="clear" w:color="auto" w:fill="DBE5F1"/>
            <w:vAlign w:val="bottom"/>
            <w:hideMark/>
          </w:tcPr>
          <w:p w:rsidR="00FA50ED" w:rsidRPr="00625889" w:rsidRDefault="00FA50ED" w:rsidP="00E404E3">
            <w:pPr>
              <w:pStyle w:val="TableHeadingRight"/>
              <w:keepNext/>
            </w:pPr>
            <w:r>
              <w:t>Change in combined bill ($)</w:t>
            </w:r>
          </w:p>
        </w:tc>
      </w:tr>
      <w:tr w:rsidR="0069074C" w:rsidTr="00982B32">
        <w:trPr>
          <w:trHeight w:val="300"/>
        </w:trPr>
        <w:tc>
          <w:tcPr>
            <w:tcW w:w="1373" w:type="dxa"/>
            <w:vAlign w:val="bottom"/>
          </w:tcPr>
          <w:p w:rsidR="0069074C" w:rsidRDefault="0069074C" w:rsidP="0069074C">
            <w:pPr>
              <w:pStyle w:val="TableTextLeft"/>
              <w:keepNext/>
              <w:rPr>
                <w:lang w:val="en-AU" w:eastAsia="en-AU"/>
              </w:rPr>
            </w:pPr>
            <w:r>
              <w:t>220</w:t>
            </w:r>
          </w:p>
        </w:tc>
        <w:tc>
          <w:tcPr>
            <w:tcW w:w="1373" w:type="dxa"/>
            <w:vAlign w:val="bottom"/>
          </w:tcPr>
          <w:p w:rsidR="0069074C" w:rsidRDefault="0069074C" w:rsidP="0069074C">
            <w:pPr>
              <w:pStyle w:val="TableTextRight"/>
              <w:keepNext/>
            </w:pPr>
            <w:r>
              <w:t>10</w:t>
            </w:r>
          </w:p>
        </w:tc>
        <w:tc>
          <w:tcPr>
            <w:tcW w:w="1374" w:type="dxa"/>
            <w:vAlign w:val="bottom"/>
          </w:tcPr>
          <w:p w:rsidR="0069074C" w:rsidRDefault="0069074C" w:rsidP="0069074C">
            <w:pPr>
              <w:pStyle w:val="TableTextRight"/>
              <w:keepNext/>
            </w:pPr>
            <w:r>
              <w:t>6,440</w:t>
            </w:r>
          </w:p>
        </w:tc>
        <w:tc>
          <w:tcPr>
            <w:tcW w:w="1373" w:type="dxa"/>
            <w:vAlign w:val="bottom"/>
          </w:tcPr>
          <w:p w:rsidR="0069074C" w:rsidRDefault="0069074C" w:rsidP="0069074C">
            <w:pPr>
              <w:pStyle w:val="TableTextRight"/>
              <w:rPr>
                <w:lang w:eastAsia="en-GB"/>
              </w:rPr>
            </w:pPr>
            <w:r>
              <w:t>6,601</w:t>
            </w:r>
          </w:p>
        </w:tc>
        <w:tc>
          <w:tcPr>
            <w:tcW w:w="1373" w:type="dxa"/>
            <w:vAlign w:val="bottom"/>
          </w:tcPr>
          <w:p w:rsidR="0069074C" w:rsidRDefault="0069074C" w:rsidP="0069074C">
            <w:pPr>
              <w:pStyle w:val="TableTextRight"/>
            </w:pPr>
            <w:r>
              <w:t>2.5%</w:t>
            </w:r>
          </w:p>
        </w:tc>
        <w:tc>
          <w:tcPr>
            <w:tcW w:w="1374" w:type="dxa"/>
            <w:vAlign w:val="bottom"/>
          </w:tcPr>
          <w:p w:rsidR="0069074C" w:rsidRDefault="0069074C" w:rsidP="0069074C">
            <w:pPr>
              <w:pStyle w:val="TableTextRight"/>
            </w:pPr>
            <w:r>
              <w:t>162</w:t>
            </w:r>
          </w:p>
        </w:tc>
      </w:tr>
      <w:tr w:rsidR="0069074C" w:rsidTr="00982B32">
        <w:trPr>
          <w:trHeight w:val="190"/>
        </w:trPr>
        <w:tc>
          <w:tcPr>
            <w:tcW w:w="1373" w:type="dxa"/>
            <w:vAlign w:val="bottom"/>
          </w:tcPr>
          <w:p w:rsidR="0069074C" w:rsidRDefault="0069074C" w:rsidP="0069074C">
            <w:pPr>
              <w:pStyle w:val="TableTextLeft"/>
              <w:keepNext/>
            </w:pPr>
            <w:r>
              <w:t> </w:t>
            </w:r>
          </w:p>
        </w:tc>
        <w:tc>
          <w:tcPr>
            <w:tcW w:w="1373" w:type="dxa"/>
            <w:vAlign w:val="bottom"/>
          </w:tcPr>
          <w:p w:rsidR="0069074C" w:rsidRDefault="0069074C" w:rsidP="0069074C">
            <w:pPr>
              <w:pStyle w:val="TableTextRight"/>
              <w:keepNext/>
            </w:pPr>
            <w:r>
              <w:t>50</w:t>
            </w:r>
          </w:p>
        </w:tc>
        <w:tc>
          <w:tcPr>
            <w:tcW w:w="1374" w:type="dxa"/>
            <w:vAlign w:val="bottom"/>
          </w:tcPr>
          <w:p w:rsidR="0069074C" w:rsidRDefault="0069074C" w:rsidP="0069074C">
            <w:pPr>
              <w:pStyle w:val="TableTextRight"/>
              <w:keepNext/>
            </w:pPr>
            <w:r>
              <w:t>27,149</w:t>
            </w:r>
          </w:p>
        </w:tc>
        <w:tc>
          <w:tcPr>
            <w:tcW w:w="1373" w:type="dxa"/>
            <w:vAlign w:val="bottom"/>
          </w:tcPr>
          <w:p w:rsidR="0069074C" w:rsidRDefault="0069074C" w:rsidP="0069074C">
            <w:pPr>
              <w:pStyle w:val="TableTextRight"/>
            </w:pPr>
            <w:r>
              <w:t>27,828</w:t>
            </w:r>
          </w:p>
        </w:tc>
        <w:tc>
          <w:tcPr>
            <w:tcW w:w="1373" w:type="dxa"/>
            <w:vAlign w:val="bottom"/>
          </w:tcPr>
          <w:p w:rsidR="0069074C" w:rsidRDefault="0069074C" w:rsidP="0069074C">
            <w:pPr>
              <w:pStyle w:val="TableTextRight"/>
            </w:pPr>
            <w:r>
              <w:t>2.5%</w:t>
            </w:r>
          </w:p>
        </w:tc>
        <w:tc>
          <w:tcPr>
            <w:tcW w:w="1374" w:type="dxa"/>
            <w:vAlign w:val="bottom"/>
          </w:tcPr>
          <w:p w:rsidR="0069074C" w:rsidRDefault="0069074C" w:rsidP="0069074C">
            <w:pPr>
              <w:pStyle w:val="TableTextRight"/>
            </w:pPr>
            <w:r>
              <w:t>679</w:t>
            </w:r>
          </w:p>
        </w:tc>
      </w:tr>
      <w:tr w:rsidR="0069074C" w:rsidTr="00982B32">
        <w:trPr>
          <w:trHeight w:val="300"/>
        </w:trPr>
        <w:tc>
          <w:tcPr>
            <w:tcW w:w="1373" w:type="dxa"/>
            <w:tcBorders>
              <w:top w:val="nil"/>
              <w:left w:val="nil"/>
              <w:bottom w:val="single" w:sz="4" w:space="0" w:color="1F497D"/>
              <w:right w:val="nil"/>
            </w:tcBorders>
            <w:vAlign w:val="bottom"/>
          </w:tcPr>
          <w:p w:rsidR="0069074C" w:rsidRDefault="0069074C" w:rsidP="0069074C">
            <w:pPr>
              <w:pStyle w:val="TableTextLeft"/>
              <w:keepNext/>
            </w:pPr>
            <w:r>
              <w:t> </w:t>
            </w:r>
          </w:p>
        </w:tc>
        <w:tc>
          <w:tcPr>
            <w:tcW w:w="1373" w:type="dxa"/>
            <w:tcBorders>
              <w:top w:val="nil"/>
              <w:left w:val="nil"/>
              <w:bottom w:val="single" w:sz="4" w:space="0" w:color="1F497D"/>
              <w:right w:val="nil"/>
            </w:tcBorders>
            <w:vAlign w:val="bottom"/>
          </w:tcPr>
          <w:p w:rsidR="0069074C" w:rsidRDefault="0069074C" w:rsidP="0069074C">
            <w:pPr>
              <w:pStyle w:val="TableTextRight"/>
              <w:keepNext/>
            </w:pPr>
            <w:r>
              <w:t>100</w:t>
            </w:r>
          </w:p>
        </w:tc>
        <w:tc>
          <w:tcPr>
            <w:tcW w:w="1374" w:type="dxa"/>
            <w:tcBorders>
              <w:top w:val="nil"/>
              <w:left w:val="nil"/>
              <w:bottom w:val="single" w:sz="4" w:space="0" w:color="1F497D"/>
              <w:right w:val="nil"/>
            </w:tcBorders>
            <w:vAlign w:val="bottom"/>
          </w:tcPr>
          <w:p w:rsidR="0069074C" w:rsidRDefault="0069074C" w:rsidP="0069074C">
            <w:pPr>
              <w:pStyle w:val="TableTextRight"/>
              <w:keepNext/>
            </w:pPr>
            <w:r>
              <w:t>53,035</w:t>
            </w:r>
          </w:p>
        </w:tc>
        <w:tc>
          <w:tcPr>
            <w:tcW w:w="1373" w:type="dxa"/>
            <w:tcBorders>
              <w:top w:val="nil"/>
              <w:left w:val="nil"/>
              <w:bottom w:val="single" w:sz="4" w:space="0" w:color="1F497D"/>
              <w:right w:val="nil"/>
            </w:tcBorders>
            <w:vAlign w:val="bottom"/>
          </w:tcPr>
          <w:p w:rsidR="0069074C" w:rsidRDefault="0069074C" w:rsidP="0069074C">
            <w:pPr>
              <w:pStyle w:val="TableTextRight"/>
            </w:pPr>
            <w:r>
              <w:t>54,362</w:t>
            </w:r>
          </w:p>
        </w:tc>
        <w:tc>
          <w:tcPr>
            <w:tcW w:w="1373" w:type="dxa"/>
            <w:tcBorders>
              <w:top w:val="nil"/>
              <w:left w:val="nil"/>
              <w:bottom w:val="single" w:sz="4" w:space="0" w:color="1F497D"/>
              <w:right w:val="nil"/>
            </w:tcBorders>
            <w:vAlign w:val="bottom"/>
          </w:tcPr>
          <w:p w:rsidR="0069074C" w:rsidRDefault="0069074C" w:rsidP="0069074C">
            <w:pPr>
              <w:pStyle w:val="TableTextRight"/>
            </w:pPr>
            <w:r>
              <w:t>2.5%</w:t>
            </w:r>
          </w:p>
        </w:tc>
        <w:tc>
          <w:tcPr>
            <w:tcW w:w="1374" w:type="dxa"/>
            <w:tcBorders>
              <w:top w:val="nil"/>
              <w:left w:val="nil"/>
              <w:bottom w:val="single" w:sz="4" w:space="0" w:color="1F497D"/>
              <w:right w:val="nil"/>
            </w:tcBorders>
            <w:vAlign w:val="bottom"/>
          </w:tcPr>
          <w:p w:rsidR="0069074C" w:rsidRDefault="0069074C" w:rsidP="0069074C">
            <w:pPr>
              <w:pStyle w:val="TableTextRight"/>
            </w:pPr>
            <w:r>
              <w:t>1,326</w:t>
            </w:r>
          </w:p>
        </w:tc>
      </w:tr>
      <w:tr w:rsidR="0069074C" w:rsidTr="00982B32">
        <w:trPr>
          <w:trHeight w:val="300"/>
        </w:trPr>
        <w:tc>
          <w:tcPr>
            <w:tcW w:w="1373" w:type="dxa"/>
            <w:vAlign w:val="bottom"/>
          </w:tcPr>
          <w:p w:rsidR="0069074C" w:rsidRDefault="0069074C" w:rsidP="0069074C">
            <w:pPr>
              <w:pStyle w:val="TableTextLeft"/>
              <w:keepNext/>
            </w:pPr>
            <w:r>
              <w:t>520</w:t>
            </w:r>
          </w:p>
        </w:tc>
        <w:tc>
          <w:tcPr>
            <w:tcW w:w="1373" w:type="dxa"/>
            <w:vAlign w:val="bottom"/>
          </w:tcPr>
          <w:p w:rsidR="0069074C" w:rsidRDefault="0069074C" w:rsidP="0069074C">
            <w:pPr>
              <w:pStyle w:val="TableTextRight"/>
              <w:keepNext/>
            </w:pPr>
            <w:r>
              <w:t>10</w:t>
            </w:r>
          </w:p>
        </w:tc>
        <w:tc>
          <w:tcPr>
            <w:tcW w:w="1374" w:type="dxa"/>
            <w:vAlign w:val="bottom"/>
          </w:tcPr>
          <w:p w:rsidR="0069074C" w:rsidRDefault="0069074C" w:rsidP="0069074C">
            <w:pPr>
              <w:pStyle w:val="TableTextRight"/>
              <w:keepNext/>
            </w:pPr>
            <w:r>
              <w:t>8,007</w:t>
            </w:r>
          </w:p>
        </w:tc>
        <w:tc>
          <w:tcPr>
            <w:tcW w:w="1373" w:type="dxa"/>
            <w:vAlign w:val="bottom"/>
          </w:tcPr>
          <w:p w:rsidR="0069074C" w:rsidRDefault="0069074C" w:rsidP="0069074C">
            <w:pPr>
              <w:pStyle w:val="TableTextRight"/>
            </w:pPr>
            <w:r>
              <w:t>8,103</w:t>
            </w:r>
          </w:p>
        </w:tc>
        <w:tc>
          <w:tcPr>
            <w:tcW w:w="1373" w:type="dxa"/>
            <w:vAlign w:val="bottom"/>
          </w:tcPr>
          <w:p w:rsidR="0069074C" w:rsidRDefault="0069074C" w:rsidP="0069074C">
            <w:pPr>
              <w:pStyle w:val="TableTextRight"/>
            </w:pPr>
            <w:r>
              <w:t>1.2%</w:t>
            </w:r>
          </w:p>
        </w:tc>
        <w:tc>
          <w:tcPr>
            <w:tcW w:w="1374" w:type="dxa"/>
            <w:vAlign w:val="bottom"/>
          </w:tcPr>
          <w:p w:rsidR="0069074C" w:rsidRDefault="0069074C" w:rsidP="0069074C">
            <w:pPr>
              <w:pStyle w:val="TableTextRight"/>
            </w:pPr>
            <w:r>
              <w:t>96</w:t>
            </w:r>
          </w:p>
        </w:tc>
      </w:tr>
      <w:tr w:rsidR="0069074C" w:rsidTr="00982B32">
        <w:trPr>
          <w:trHeight w:val="300"/>
        </w:trPr>
        <w:tc>
          <w:tcPr>
            <w:tcW w:w="1373" w:type="dxa"/>
            <w:vAlign w:val="bottom"/>
          </w:tcPr>
          <w:p w:rsidR="0069074C" w:rsidRDefault="0069074C" w:rsidP="0069074C">
            <w:pPr>
              <w:pStyle w:val="TableTextLeft"/>
              <w:keepNext/>
            </w:pPr>
            <w:r>
              <w:t> </w:t>
            </w:r>
          </w:p>
        </w:tc>
        <w:tc>
          <w:tcPr>
            <w:tcW w:w="1373" w:type="dxa"/>
            <w:vAlign w:val="bottom"/>
          </w:tcPr>
          <w:p w:rsidR="0069074C" w:rsidRDefault="0069074C" w:rsidP="0069074C">
            <w:pPr>
              <w:pStyle w:val="TableTextRight"/>
              <w:keepNext/>
            </w:pPr>
            <w:r>
              <w:t>50</w:t>
            </w:r>
          </w:p>
        </w:tc>
        <w:tc>
          <w:tcPr>
            <w:tcW w:w="1374" w:type="dxa"/>
            <w:vAlign w:val="bottom"/>
          </w:tcPr>
          <w:p w:rsidR="0069074C" w:rsidRDefault="0069074C" w:rsidP="0069074C">
            <w:pPr>
              <w:pStyle w:val="TableTextRight"/>
              <w:keepNext/>
            </w:pPr>
            <w:r>
              <w:t>28,716</w:t>
            </w:r>
          </w:p>
        </w:tc>
        <w:tc>
          <w:tcPr>
            <w:tcW w:w="1373" w:type="dxa"/>
            <w:vAlign w:val="bottom"/>
          </w:tcPr>
          <w:p w:rsidR="0069074C" w:rsidRDefault="0069074C" w:rsidP="0069074C">
            <w:pPr>
              <w:pStyle w:val="TableTextRight"/>
            </w:pPr>
            <w:r>
              <w:t>29,330</w:t>
            </w:r>
          </w:p>
        </w:tc>
        <w:tc>
          <w:tcPr>
            <w:tcW w:w="1373" w:type="dxa"/>
            <w:vAlign w:val="bottom"/>
          </w:tcPr>
          <w:p w:rsidR="0069074C" w:rsidRDefault="0069074C" w:rsidP="0069074C">
            <w:pPr>
              <w:pStyle w:val="TableTextRight"/>
            </w:pPr>
            <w:r>
              <w:t>2.1%</w:t>
            </w:r>
          </w:p>
        </w:tc>
        <w:tc>
          <w:tcPr>
            <w:tcW w:w="1374" w:type="dxa"/>
            <w:vAlign w:val="bottom"/>
          </w:tcPr>
          <w:p w:rsidR="0069074C" w:rsidRDefault="0069074C" w:rsidP="0069074C">
            <w:pPr>
              <w:pStyle w:val="TableTextRight"/>
            </w:pPr>
            <w:r>
              <w:t>614</w:t>
            </w:r>
          </w:p>
        </w:tc>
      </w:tr>
      <w:tr w:rsidR="0069074C" w:rsidTr="00982B32">
        <w:trPr>
          <w:trHeight w:val="300"/>
        </w:trPr>
        <w:tc>
          <w:tcPr>
            <w:tcW w:w="1373" w:type="dxa"/>
            <w:tcBorders>
              <w:top w:val="nil"/>
              <w:left w:val="nil"/>
              <w:bottom w:val="single" w:sz="4" w:space="0" w:color="1F497D"/>
              <w:right w:val="nil"/>
            </w:tcBorders>
            <w:vAlign w:val="bottom"/>
          </w:tcPr>
          <w:p w:rsidR="0069074C" w:rsidRDefault="0069074C" w:rsidP="0069074C">
            <w:pPr>
              <w:pStyle w:val="TableTextLeft"/>
              <w:keepNext/>
            </w:pPr>
            <w:r>
              <w:t> </w:t>
            </w:r>
          </w:p>
        </w:tc>
        <w:tc>
          <w:tcPr>
            <w:tcW w:w="1373" w:type="dxa"/>
            <w:tcBorders>
              <w:top w:val="nil"/>
              <w:left w:val="nil"/>
              <w:bottom w:val="single" w:sz="4" w:space="0" w:color="1F497D"/>
              <w:right w:val="nil"/>
            </w:tcBorders>
            <w:vAlign w:val="bottom"/>
          </w:tcPr>
          <w:p w:rsidR="0069074C" w:rsidRDefault="0069074C" w:rsidP="0069074C">
            <w:pPr>
              <w:pStyle w:val="TableTextRight"/>
              <w:keepNext/>
            </w:pPr>
            <w:r>
              <w:t>100</w:t>
            </w:r>
          </w:p>
        </w:tc>
        <w:tc>
          <w:tcPr>
            <w:tcW w:w="1374" w:type="dxa"/>
            <w:tcBorders>
              <w:top w:val="nil"/>
              <w:left w:val="nil"/>
              <w:bottom w:val="single" w:sz="4" w:space="0" w:color="1F497D"/>
              <w:right w:val="nil"/>
            </w:tcBorders>
            <w:vAlign w:val="bottom"/>
          </w:tcPr>
          <w:p w:rsidR="0069074C" w:rsidRDefault="0069074C" w:rsidP="0069074C">
            <w:pPr>
              <w:pStyle w:val="TableTextRight"/>
              <w:keepNext/>
            </w:pPr>
            <w:r>
              <w:t>54,603</w:t>
            </w:r>
          </w:p>
        </w:tc>
        <w:tc>
          <w:tcPr>
            <w:tcW w:w="1373" w:type="dxa"/>
            <w:tcBorders>
              <w:top w:val="nil"/>
              <w:left w:val="nil"/>
              <w:bottom w:val="single" w:sz="4" w:space="0" w:color="1F497D"/>
              <w:right w:val="nil"/>
            </w:tcBorders>
            <w:vAlign w:val="bottom"/>
          </w:tcPr>
          <w:p w:rsidR="0069074C" w:rsidRDefault="0069074C" w:rsidP="0069074C">
            <w:pPr>
              <w:pStyle w:val="TableTextRight"/>
            </w:pPr>
            <w:r>
              <w:t>55,864</w:t>
            </w:r>
          </w:p>
        </w:tc>
        <w:tc>
          <w:tcPr>
            <w:tcW w:w="1373" w:type="dxa"/>
            <w:tcBorders>
              <w:top w:val="nil"/>
              <w:left w:val="nil"/>
              <w:bottom w:val="single" w:sz="4" w:space="0" w:color="1F497D"/>
              <w:right w:val="nil"/>
            </w:tcBorders>
            <w:vAlign w:val="bottom"/>
          </w:tcPr>
          <w:p w:rsidR="0069074C" w:rsidRDefault="0069074C" w:rsidP="0069074C">
            <w:pPr>
              <w:pStyle w:val="TableTextRight"/>
            </w:pPr>
            <w:r>
              <w:t>2.3%</w:t>
            </w:r>
          </w:p>
        </w:tc>
        <w:tc>
          <w:tcPr>
            <w:tcW w:w="1374" w:type="dxa"/>
            <w:tcBorders>
              <w:top w:val="nil"/>
              <w:left w:val="nil"/>
              <w:bottom w:val="single" w:sz="4" w:space="0" w:color="1F497D"/>
              <w:right w:val="nil"/>
            </w:tcBorders>
            <w:vAlign w:val="bottom"/>
          </w:tcPr>
          <w:p w:rsidR="0069074C" w:rsidRDefault="0069074C" w:rsidP="0069074C">
            <w:pPr>
              <w:pStyle w:val="TableTextRight"/>
            </w:pPr>
            <w:r>
              <w:t>1,261</w:t>
            </w:r>
          </w:p>
        </w:tc>
      </w:tr>
      <w:tr w:rsidR="0069074C" w:rsidTr="00982B32">
        <w:trPr>
          <w:trHeight w:val="300"/>
        </w:trPr>
        <w:tc>
          <w:tcPr>
            <w:tcW w:w="1373" w:type="dxa"/>
            <w:vAlign w:val="bottom"/>
          </w:tcPr>
          <w:p w:rsidR="0069074C" w:rsidRDefault="0069074C" w:rsidP="0069074C">
            <w:pPr>
              <w:pStyle w:val="TableTextLeft"/>
              <w:keepNext/>
            </w:pPr>
            <w:r>
              <w:t>1,000</w:t>
            </w:r>
          </w:p>
        </w:tc>
        <w:tc>
          <w:tcPr>
            <w:tcW w:w="1373" w:type="dxa"/>
            <w:vAlign w:val="bottom"/>
          </w:tcPr>
          <w:p w:rsidR="0069074C" w:rsidRDefault="0069074C" w:rsidP="0069074C">
            <w:pPr>
              <w:pStyle w:val="TableTextRight"/>
              <w:keepNext/>
            </w:pPr>
            <w:r>
              <w:t>10</w:t>
            </w:r>
          </w:p>
        </w:tc>
        <w:tc>
          <w:tcPr>
            <w:tcW w:w="1374" w:type="dxa"/>
            <w:vAlign w:val="bottom"/>
          </w:tcPr>
          <w:p w:rsidR="0069074C" w:rsidRDefault="0069074C" w:rsidP="0069074C">
            <w:pPr>
              <w:pStyle w:val="TableTextRight"/>
              <w:keepNext/>
            </w:pPr>
            <w:r>
              <w:t>10,522</w:t>
            </w:r>
          </w:p>
        </w:tc>
        <w:tc>
          <w:tcPr>
            <w:tcW w:w="1373" w:type="dxa"/>
            <w:vAlign w:val="bottom"/>
          </w:tcPr>
          <w:p w:rsidR="0069074C" w:rsidRDefault="0069074C" w:rsidP="0069074C">
            <w:pPr>
              <w:pStyle w:val="TableTextRight"/>
            </w:pPr>
            <w:r>
              <w:t>10,513</w:t>
            </w:r>
          </w:p>
        </w:tc>
        <w:tc>
          <w:tcPr>
            <w:tcW w:w="1373" w:type="dxa"/>
            <w:vAlign w:val="bottom"/>
          </w:tcPr>
          <w:p w:rsidR="0069074C" w:rsidRDefault="0069074C" w:rsidP="0069074C">
            <w:pPr>
              <w:pStyle w:val="TableTextRight"/>
            </w:pPr>
            <w:r>
              <w:t>-0.1%</w:t>
            </w:r>
          </w:p>
        </w:tc>
        <w:tc>
          <w:tcPr>
            <w:tcW w:w="1374" w:type="dxa"/>
            <w:vAlign w:val="bottom"/>
          </w:tcPr>
          <w:p w:rsidR="0069074C" w:rsidRDefault="0069074C" w:rsidP="0069074C">
            <w:pPr>
              <w:pStyle w:val="TableTextRight"/>
            </w:pPr>
            <w:r>
              <w:t>-9</w:t>
            </w:r>
          </w:p>
        </w:tc>
      </w:tr>
      <w:tr w:rsidR="0069074C" w:rsidTr="00982B32">
        <w:trPr>
          <w:trHeight w:val="300"/>
        </w:trPr>
        <w:tc>
          <w:tcPr>
            <w:tcW w:w="1373" w:type="dxa"/>
            <w:vAlign w:val="bottom"/>
          </w:tcPr>
          <w:p w:rsidR="0069074C" w:rsidRDefault="0069074C" w:rsidP="0069074C">
            <w:pPr>
              <w:pStyle w:val="TableTextLeft"/>
              <w:keepNext/>
            </w:pPr>
            <w:r>
              <w:t> </w:t>
            </w:r>
          </w:p>
        </w:tc>
        <w:tc>
          <w:tcPr>
            <w:tcW w:w="1373" w:type="dxa"/>
            <w:vAlign w:val="bottom"/>
          </w:tcPr>
          <w:p w:rsidR="0069074C" w:rsidRDefault="0069074C" w:rsidP="0069074C">
            <w:pPr>
              <w:pStyle w:val="TableTextRight"/>
              <w:keepNext/>
            </w:pPr>
            <w:r>
              <w:t>50</w:t>
            </w:r>
          </w:p>
        </w:tc>
        <w:tc>
          <w:tcPr>
            <w:tcW w:w="1374" w:type="dxa"/>
            <w:vAlign w:val="bottom"/>
          </w:tcPr>
          <w:p w:rsidR="0069074C" w:rsidRDefault="0069074C" w:rsidP="0069074C">
            <w:pPr>
              <w:pStyle w:val="TableTextRight"/>
              <w:keepNext/>
            </w:pPr>
            <w:r>
              <w:t>31,231</w:t>
            </w:r>
          </w:p>
        </w:tc>
        <w:tc>
          <w:tcPr>
            <w:tcW w:w="1373" w:type="dxa"/>
            <w:vAlign w:val="bottom"/>
          </w:tcPr>
          <w:p w:rsidR="0069074C" w:rsidRDefault="0069074C" w:rsidP="0069074C">
            <w:pPr>
              <w:pStyle w:val="TableTextRight"/>
            </w:pPr>
            <w:r>
              <w:t>31,740</w:t>
            </w:r>
          </w:p>
        </w:tc>
        <w:tc>
          <w:tcPr>
            <w:tcW w:w="1373" w:type="dxa"/>
            <w:vAlign w:val="bottom"/>
          </w:tcPr>
          <w:p w:rsidR="0069074C" w:rsidRDefault="0069074C" w:rsidP="0069074C">
            <w:pPr>
              <w:pStyle w:val="TableTextRight"/>
            </w:pPr>
            <w:r>
              <w:t>1.6%</w:t>
            </w:r>
          </w:p>
        </w:tc>
        <w:tc>
          <w:tcPr>
            <w:tcW w:w="1374" w:type="dxa"/>
            <w:vAlign w:val="bottom"/>
          </w:tcPr>
          <w:p w:rsidR="0069074C" w:rsidRDefault="0069074C" w:rsidP="0069074C">
            <w:pPr>
              <w:pStyle w:val="TableTextRight"/>
            </w:pPr>
            <w:r>
              <w:t>509</w:t>
            </w:r>
          </w:p>
        </w:tc>
      </w:tr>
      <w:tr w:rsidR="0069074C" w:rsidTr="00982B32">
        <w:trPr>
          <w:trHeight w:val="300"/>
        </w:trPr>
        <w:tc>
          <w:tcPr>
            <w:tcW w:w="1373" w:type="dxa"/>
            <w:tcBorders>
              <w:top w:val="nil"/>
              <w:left w:val="nil"/>
              <w:bottom w:val="single" w:sz="4" w:space="0" w:color="1F497D"/>
              <w:right w:val="nil"/>
            </w:tcBorders>
            <w:vAlign w:val="bottom"/>
          </w:tcPr>
          <w:p w:rsidR="0069074C" w:rsidRDefault="0069074C" w:rsidP="0069074C">
            <w:pPr>
              <w:pStyle w:val="TableTextLeft"/>
              <w:keepNext/>
            </w:pPr>
            <w:r>
              <w:t> </w:t>
            </w:r>
          </w:p>
        </w:tc>
        <w:tc>
          <w:tcPr>
            <w:tcW w:w="1373" w:type="dxa"/>
            <w:tcBorders>
              <w:top w:val="nil"/>
              <w:left w:val="nil"/>
              <w:bottom w:val="single" w:sz="4" w:space="0" w:color="1F497D"/>
              <w:right w:val="nil"/>
            </w:tcBorders>
            <w:vAlign w:val="bottom"/>
          </w:tcPr>
          <w:p w:rsidR="0069074C" w:rsidRDefault="0069074C" w:rsidP="0069074C">
            <w:pPr>
              <w:pStyle w:val="TableTextRight"/>
              <w:keepNext/>
            </w:pPr>
            <w:r>
              <w:t>100</w:t>
            </w:r>
          </w:p>
        </w:tc>
        <w:tc>
          <w:tcPr>
            <w:tcW w:w="1374" w:type="dxa"/>
            <w:tcBorders>
              <w:top w:val="nil"/>
              <w:left w:val="nil"/>
              <w:bottom w:val="single" w:sz="4" w:space="0" w:color="1F497D"/>
              <w:right w:val="nil"/>
            </w:tcBorders>
            <w:vAlign w:val="bottom"/>
          </w:tcPr>
          <w:p w:rsidR="0069074C" w:rsidRDefault="0069074C" w:rsidP="0069074C">
            <w:pPr>
              <w:pStyle w:val="TableTextRight"/>
              <w:keepNext/>
            </w:pPr>
            <w:r>
              <w:t>57,118</w:t>
            </w:r>
          </w:p>
        </w:tc>
        <w:tc>
          <w:tcPr>
            <w:tcW w:w="1373" w:type="dxa"/>
            <w:tcBorders>
              <w:top w:val="nil"/>
              <w:left w:val="nil"/>
              <w:bottom w:val="single" w:sz="4" w:space="0" w:color="1F497D"/>
              <w:right w:val="nil"/>
            </w:tcBorders>
            <w:vAlign w:val="bottom"/>
          </w:tcPr>
          <w:p w:rsidR="0069074C" w:rsidRDefault="0069074C" w:rsidP="0069074C">
            <w:pPr>
              <w:pStyle w:val="TableTextRight"/>
            </w:pPr>
            <w:r>
              <w:t>58,274</w:t>
            </w:r>
          </w:p>
        </w:tc>
        <w:tc>
          <w:tcPr>
            <w:tcW w:w="1373" w:type="dxa"/>
            <w:tcBorders>
              <w:top w:val="nil"/>
              <w:left w:val="nil"/>
              <w:bottom w:val="single" w:sz="4" w:space="0" w:color="1F497D"/>
              <w:right w:val="nil"/>
            </w:tcBorders>
            <w:vAlign w:val="bottom"/>
          </w:tcPr>
          <w:p w:rsidR="0069074C" w:rsidRDefault="0069074C" w:rsidP="0069074C">
            <w:pPr>
              <w:pStyle w:val="TableTextRight"/>
            </w:pPr>
            <w:r>
              <w:t>2.0%</w:t>
            </w:r>
          </w:p>
        </w:tc>
        <w:tc>
          <w:tcPr>
            <w:tcW w:w="1374" w:type="dxa"/>
            <w:tcBorders>
              <w:top w:val="nil"/>
              <w:left w:val="nil"/>
              <w:bottom w:val="single" w:sz="4" w:space="0" w:color="1F497D"/>
              <w:right w:val="nil"/>
            </w:tcBorders>
            <w:vAlign w:val="bottom"/>
          </w:tcPr>
          <w:p w:rsidR="0069074C" w:rsidRDefault="0069074C" w:rsidP="0069074C">
            <w:pPr>
              <w:pStyle w:val="TableTextRight"/>
            </w:pPr>
            <w:r>
              <w:t>1,156</w:t>
            </w:r>
          </w:p>
        </w:tc>
      </w:tr>
      <w:tr w:rsidR="0069074C" w:rsidTr="00982B32">
        <w:trPr>
          <w:trHeight w:val="300"/>
        </w:trPr>
        <w:tc>
          <w:tcPr>
            <w:tcW w:w="1373" w:type="dxa"/>
            <w:vAlign w:val="bottom"/>
          </w:tcPr>
          <w:p w:rsidR="0069074C" w:rsidRDefault="0069074C" w:rsidP="0069074C">
            <w:pPr>
              <w:pStyle w:val="TableTextLeft"/>
              <w:keepNext/>
            </w:pPr>
            <w:r>
              <w:t>2,500</w:t>
            </w:r>
          </w:p>
        </w:tc>
        <w:tc>
          <w:tcPr>
            <w:tcW w:w="1373" w:type="dxa"/>
            <w:vAlign w:val="bottom"/>
          </w:tcPr>
          <w:p w:rsidR="0069074C" w:rsidRDefault="0069074C" w:rsidP="0069074C">
            <w:pPr>
              <w:pStyle w:val="TableTextRight"/>
              <w:keepNext/>
            </w:pPr>
            <w:r>
              <w:t>10</w:t>
            </w:r>
          </w:p>
        </w:tc>
        <w:tc>
          <w:tcPr>
            <w:tcW w:w="1374" w:type="dxa"/>
            <w:vAlign w:val="bottom"/>
          </w:tcPr>
          <w:p w:rsidR="0069074C" w:rsidRDefault="0069074C" w:rsidP="0069074C">
            <w:pPr>
              <w:pStyle w:val="TableTextRight"/>
              <w:keepNext/>
            </w:pPr>
            <w:r>
              <w:t>18,382</w:t>
            </w:r>
          </w:p>
        </w:tc>
        <w:tc>
          <w:tcPr>
            <w:tcW w:w="1373" w:type="dxa"/>
            <w:vAlign w:val="bottom"/>
          </w:tcPr>
          <w:p w:rsidR="0069074C" w:rsidRDefault="0069074C" w:rsidP="0069074C">
            <w:pPr>
              <w:pStyle w:val="TableTextRight"/>
            </w:pPr>
            <w:r>
              <w:t>18,044</w:t>
            </w:r>
          </w:p>
        </w:tc>
        <w:tc>
          <w:tcPr>
            <w:tcW w:w="1373" w:type="dxa"/>
            <w:vAlign w:val="bottom"/>
          </w:tcPr>
          <w:p w:rsidR="0069074C" w:rsidRDefault="0069074C" w:rsidP="0069074C">
            <w:pPr>
              <w:pStyle w:val="TableTextRight"/>
            </w:pPr>
            <w:r>
              <w:t>-1.8%</w:t>
            </w:r>
          </w:p>
        </w:tc>
        <w:tc>
          <w:tcPr>
            <w:tcW w:w="1374" w:type="dxa"/>
            <w:vAlign w:val="bottom"/>
          </w:tcPr>
          <w:p w:rsidR="0069074C" w:rsidRDefault="0069074C" w:rsidP="0069074C">
            <w:pPr>
              <w:pStyle w:val="TableTextRight"/>
            </w:pPr>
            <w:r>
              <w:t>-338</w:t>
            </w:r>
          </w:p>
        </w:tc>
      </w:tr>
      <w:tr w:rsidR="0069074C" w:rsidTr="00982B32">
        <w:trPr>
          <w:trHeight w:val="300"/>
        </w:trPr>
        <w:tc>
          <w:tcPr>
            <w:tcW w:w="1373" w:type="dxa"/>
            <w:vAlign w:val="bottom"/>
          </w:tcPr>
          <w:p w:rsidR="0069074C" w:rsidRDefault="0069074C" w:rsidP="0069074C">
            <w:pPr>
              <w:pStyle w:val="TableTextLeft"/>
              <w:keepNext/>
            </w:pPr>
            <w:r>
              <w:t> </w:t>
            </w:r>
          </w:p>
        </w:tc>
        <w:tc>
          <w:tcPr>
            <w:tcW w:w="1373" w:type="dxa"/>
            <w:vAlign w:val="bottom"/>
          </w:tcPr>
          <w:p w:rsidR="0069074C" w:rsidRDefault="0069074C" w:rsidP="0069074C">
            <w:pPr>
              <w:pStyle w:val="TableTextRight"/>
              <w:keepNext/>
            </w:pPr>
            <w:r>
              <w:t>50</w:t>
            </w:r>
          </w:p>
        </w:tc>
        <w:tc>
          <w:tcPr>
            <w:tcW w:w="1374" w:type="dxa"/>
            <w:vAlign w:val="bottom"/>
          </w:tcPr>
          <w:p w:rsidR="0069074C" w:rsidRDefault="0069074C" w:rsidP="0069074C">
            <w:pPr>
              <w:pStyle w:val="TableTextRight"/>
              <w:keepNext/>
            </w:pPr>
            <w:r>
              <w:t>39,091</w:t>
            </w:r>
          </w:p>
        </w:tc>
        <w:tc>
          <w:tcPr>
            <w:tcW w:w="1373" w:type="dxa"/>
            <w:vAlign w:val="bottom"/>
          </w:tcPr>
          <w:p w:rsidR="0069074C" w:rsidRDefault="0069074C" w:rsidP="0069074C">
            <w:pPr>
              <w:pStyle w:val="TableTextRight"/>
            </w:pPr>
            <w:r>
              <w:t>39,271</w:t>
            </w:r>
          </w:p>
        </w:tc>
        <w:tc>
          <w:tcPr>
            <w:tcW w:w="1373" w:type="dxa"/>
            <w:vAlign w:val="bottom"/>
          </w:tcPr>
          <w:p w:rsidR="0069074C" w:rsidRDefault="0069074C" w:rsidP="0069074C">
            <w:pPr>
              <w:pStyle w:val="TableTextRight"/>
            </w:pPr>
            <w:r>
              <w:t>0.5%</w:t>
            </w:r>
          </w:p>
        </w:tc>
        <w:tc>
          <w:tcPr>
            <w:tcW w:w="1374" w:type="dxa"/>
            <w:vAlign w:val="bottom"/>
          </w:tcPr>
          <w:p w:rsidR="0069074C" w:rsidRDefault="0069074C" w:rsidP="0069074C">
            <w:pPr>
              <w:pStyle w:val="TableTextRight"/>
            </w:pPr>
            <w:r>
              <w:t>179</w:t>
            </w:r>
          </w:p>
        </w:tc>
      </w:tr>
      <w:tr w:rsidR="0069074C" w:rsidTr="00982B32">
        <w:trPr>
          <w:trHeight w:val="315"/>
        </w:trPr>
        <w:tc>
          <w:tcPr>
            <w:tcW w:w="1373" w:type="dxa"/>
            <w:tcBorders>
              <w:top w:val="nil"/>
              <w:left w:val="nil"/>
              <w:bottom w:val="single" w:sz="4" w:space="0" w:color="1F497D" w:themeColor="text2"/>
              <w:right w:val="nil"/>
            </w:tcBorders>
            <w:vAlign w:val="bottom"/>
          </w:tcPr>
          <w:p w:rsidR="0069074C" w:rsidRDefault="0069074C" w:rsidP="0069074C">
            <w:pPr>
              <w:pStyle w:val="TableTextLeft"/>
              <w:keepNext/>
            </w:pPr>
            <w:r>
              <w:t> </w:t>
            </w:r>
          </w:p>
        </w:tc>
        <w:tc>
          <w:tcPr>
            <w:tcW w:w="1373" w:type="dxa"/>
            <w:tcBorders>
              <w:top w:val="nil"/>
              <w:left w:val="nil"/>
              <w:bottom w:val="single" w:sz="4" w:space="0" w:color="1F497D" w:themeColor="text2"/>
              <w:right w:val="nil"/>
            </w:tcBorders>
            <w:vAlign w:val="bottom"/>
          </w:tcPr>
          <w:p w:rsidR="0069074C" w:rsidRDefault="0069074C" w:rsidP="0069074C">
            <w:pPr>
              <w:pStyle w:val="TableTextRight"/>
              <w:keepNext/>
            </w:pPr>
            <w:r>
              <w:t>100</w:t>
            </w:r>
          </w:p>
        </w:tc>
        <w:tc>
          <w:tcPr>
            <w:tcW w:w="1374" w:type="dxa"/>
            <w:tcBorders>
              <w:top w:val="nil"/>
              <w:left w:val="nil"/>
              <w:bottom w:val="single" w:sz="4" w:space="0" w:color="1F497D" w:themeColor="text2"/>
              <w:right w:val="nil"/>
            </w:tcBorders>
            <w:vAlign w:val="bottom"/>
          </w:tcPr>
          <w:p w:rsidR="0069074C" w:rsidRDefault="0069074C" w:rsidP="0069074C">
            <w:pPr>
              <w:pStyle w:val="TableTextRight"/>
              <w:keepNext/>
            </w:pPr>
            <w:r>
              <w:t>64,978</w:t>
            </w:r>
          </w:p>
        </w:tc>
        <w:tc>
          <w:tcPr>
            <w:tcW w:w="1373" w:type="dxa"/>
            <w:tcBorders>
              <w:top w:val="nil"/>
              <w:left w:val="nil"/>
              <w:bottom w:val="single" w:sz="4" w:space="0" w:color="1F497D" w:themeColor="text2"/>
              <w:right w:val="nil"/>
            </w:tcBorders>
            <w:vAlign w:val="bottom"/>
          </w:tcPr>
          <w:p w:rsidR="0069074C" w:rsidRDefault="0069074C" w:rsidP="0069074C">
            <w:pPr>
              <w:pStyle w:val="TableTextRight"/>
            </w:pPr>
            <w:r>
              <w:t>65,804</w:t>
            </w:r>
          </w:p>
        </w:tc>
        <w:tc>
          <w:tcPr>
            <w:tcW w:w="1373" w:type="dxa"/>
            <w:tcBorders>
              <w:top w:val="nil"/>
              <w:left w:val="nil"/>
              <w:bottom w:val="single" w:sz="4" w:space="0" w:color="1F497D" w:themeColor="text2"/>
              <w:right w:val="nil"/>
            </w:tcBorders>
            <w:vAlign w:val="bottom"/>
          </w:tcPr>
          <w:p w:rsidR="0069074C" w:rsidRDefault="0069074C" w:rsidP="0069074C">
            <w:pPr>
              <w:pStyle w:val="TableTextRight"/>
            </w:pPr>
            <w:r>
              <w:t>1.3%</w:t>
            </w:r>
          </w:p>
        </w:tc>
        <w:tc>
          <w:tcPr>
            <w:tcW w:w="1374" w:type="dxa"/>
            <w:tcBorders>
              <w:top w:val="nil"/>
              <w:left w:val="nil"/>
              <w:bottom w:val="single" w:sz="4" w:space="0" w:color="1F497D" w:themeColor="text2"/>
              <w:right w:val="nil"/>
            </w:tcBorders>
            <w:vAlign w:val="bottom"/>
          </w:tcPr>
          <w:p w:rsidR="0069074C" w:rsidRDefault="0069074C" w:rsidP="0069074C">
            <w:pPr>
              <w:pStyle w:val="TableTextRight"/>
            </w:pPr>
            <w:r>
              <w:t>826</w:t>
            </w:r>
          </w:p>
        </w:tc>
      </w:tr>
      <w:tr w:rsidR="0069074C" w:rsidTr="00982B32">
        <w:trPr>
          <w:trHeight w:val="315"/>
        </w:trPr>
        <w:tc>
          <w:tcPr>
            <w:tcW w:w="1373" w:type="dxa"/>
            <w:tcBorders>
              <w:top w:val="single" w:sz="4" w:space="0" w:color="1F497D" w:themeColor="text2"/>
              <w:left w:val="nil"/>
              <w:bottom w:val="nil"/>
              <w:right w:val="nil"/>
            </w:tcBorders>
            <w:vAlign w:val="bottom"/>
          </w:tcPr>
          <w:p w:rsidR="0069074C" w:rsidRDefault="0069074C" w:rsidP="0069074C">
            <w:pPr>
              <w:pStyle w:val="TableTextLeft"/>
              <w:keepNext/>
            </w:pPr>
            <w:r>
              <w:t>7,000</w:t>
            </w:r>
          </w:p>
        </w:tc>
        <w:tc>
          <w:tcPr>
            <w:tcW w:w="1373" w:type="dxa"/>
            <w:tcBorders>
              <w:top w:val="single" w:sz="4" w:space="0" w:color="1F497D" w:themeColor="text2"/>
              <w:left w:val="nil"/>
              <w:bottom w:val="nil"/>
              <w:right w:val="nil"/>
            </w:tcBorders>
            <w:vAlign w:val="bottom"/>
          </w:tcPr>
          <w:p w:rsidR="0069074C" w:rsidRDefault="0069074C" w:rsidP="0069074C">
            <w:pPr>
              <w:pStyle w:val="TableTextRight"/>
              <w:keepNext/>
            </w:pPr>
            <w:r>
              <w:t>10</w:t>
            </w:r>
          </w:p>
        </w:tc>
        <w:tc>
          <w:tcPr>
            <w:tcW w:w="1374" w:type="dxa"/>
            <w:tcBorders>
              <w:top w:val="single" w:sz="4" w:space="0" w:color="1F497D" w:themeColor="text2"/>
              <w:left w:val="nil"/>
              <w:bottom w:val="nil"/>
              <w:right w:val="nil"/>
            </w:tcBorders>
            <w:vAlign w:val="bottom"/>
          </w:tcPr>
          <w:p w:rsidR="0069074C" w:rsidRDefault="0069074C" w:rsidP="0069074C">
            <w:pPr>
              <w:pStyle w:val="TableTextRight"/>
              <w:keepNext/>
            </w:pPr>
            <w:r>
              <w:t>41,962</w:t>
            </w:r>
          </w:p>
        </w:tc>
        <w:tc>
          <w:tcPr>
            <w:tcW w:w="1373" w:type="dxa"/>
            <w:tcBorders>
              <w:top w:val="single" w:sz="4" w:space="0" w:color="1F497D" w:themeColor="text2"/>
              <w:left w:val="nil"/>
              <w:bottom w:val="nil"/>
              <w:right w:val="nil"/>
            </w:tcBorders>
            <w:vAlign w:val="bottom"/>
          </w:tcPr>
          <w:p w:rsidR="0069074C" w:rsidRDefault="0069074C" w:rsidP="0069074C">
            <w:pPr>
              <w:pStyle w:val="TableTextRight"/>
            </w:pPr>
            <w:r>
              <w:t>40,636</w:t>
            </w:r>
          </w:p>
        </w:tc>
        <w:tc>
          <w:tcPr>
            <w:tcW w:w="1373" w:type="dxa"/>
            <w:tcBorders>
              <w:top w:val="single" w:sz="4" w:space="0" w:color="1F497D" w:themeColor="text2"/>
              <w:left w:val="nil"/>
              <w:bottom w:val="nil"/>
              <w:right w:val="nil"/>
            </w:tcBorders>
            <w:vAlign w:val="bottom"/>
          </w:tcPr>
          <w:p w:rsidR="0069074C" w:rsidRDefault="0069074C" w:rsidP="0069074C">
            <w:pPr>
              <w:pStyle w:val="TableTextRight"/>
            </w:pPr>
            <w:r>
              <w:t>-3.2%</w:t>
            </w:r>
          </w:p>
        </w:tc>
        <w:tc>
          <w:tcPr>
            <w:tcW w:w="1374" w:type="dxa"/>
            <w:tcBorders>
              <w:top w:val="single" w:sz="4" w:space="0" w:color="1F497D" w:themeColor="text2"/>
              <w:left w:val="nil"/>
              <w:bottom w:val="nil"/>
              <w:right w:val="nil"/>
            </w:tcBorders>
            <w:vAlign w:val="bottom"/>
          </w:tcPr>
          <w:p w:rsidR="0069074C" w:rsidRDefault="0069074C" w:rsidP="0069074C">
            <w:pPr>
              <w:pStyle w:val="TableTextRight"/>
            </w:pPr>
            <w:r>
              <w:t>-1,326</w:t>
            </w:r>
          </w:p>
        </w:tc>
      </w:tr>
      <w:tr w:rsidR="0069074C" w:rsidTr="00982B32">
        <w:trPr>
          <w:trHeight w:val="315"/>
        </w:trPr>
        <w:tc>
          <w:tcPr>
            <w:tcW w:w="1373" w:type="dxa"/>
            <w:tcBorders>
              <w:top w:val="nil"/>
              <w:left w:val="nil"/>
              <w:bottom w:val="nil"/>
              <w:right w:val="nil"/>
            </w:tcBorders>
            <w:vAlign w:val="bottom"/>
          </w:tcPr>
          <w:p w:rsidR="0069074C" w:rsidRDefault="0069074C" w:rsidP="0069074C">
            <w:pPr>
              <w:pStyle w:val="TableTextLeft"/>
              <w:keepNext/>
            </w:pPr>
            <w:r>
              <w:t> </w:t>
            </w:r>
          </w:p>
        </w:tc>
        <w:tc>
          <w:tcPr>
            <w:tcW w:w="1373" w:type="dxa"/>
            <w:tcBorders>
              <w:top w:val="nil"/>
              <w:left w:val="nil"/>
              <w:bottom w:val="nil"/>
              <w:right w:val="nil"/>
            </w:tcBorders>
            <w:vAlign w:val="bottom"/>
          </w:tcPr>
          <w:p w:rsidR="0069074C" w:rsidRDefault="0069074C" w:rsidP="0069074C">
            <w:pPr>
              <w:pStyle w:val="TableTextRight"/>
              <w:keepNext/>
            </w:pPr>
            <w:r>
              <w:t>50</w:t>
            </w:r>
          </w:p>
        </w:tc>
        <w:tc>
          <w:tcPr>
            <w:tcW w:w="1374" w:type="dxa"/>
            <w:tcBorders>
              <w:top w:val="nil"/>
              <w:left w:val="nil"/>
              <w:bottom w:val="nil"/>
              <w:right w:val="nil"/>
            </w:tcBorders>
            <w:vAlign w:val="bottom"/>
          </w:tcPr>
          <w:p w:rsidR="0069074C" w:rsidRDefault="0069074C" w:rsidP="0069074C">
            <w:pPr>
              <w:pStyle w:val="TableTextRight"/>
              <w:keepNext/>
            </w:pPr>
            <w:r>
              <w:t>62,671</w:t>
            </w:r>
          </w:p>
        </w:tc>
        <w:tc>
          <w:tcPr>
            <w:tcW w:w="1373" w:type="dxa"/>
            <w:tcBorders>
              <w:top w:val="nil"/>
              <w:left w:val="nil"/>
              <w:bottom w:val="nil"/>
              <w:right w:val="nil"/>
            </w:tcBorders>
            <w:vAlign w:val="bottom"/>
          </w:tcPr>
          <w:p w:rsidR="0069074C" w:rsidRDefault="0069074C" w:rsidP="0069074C">
            <w:pPr>
              <w:pStyle w:val="TableTextRight"/>
            </w:pPr>
            <w:r>
              <w:t>61,863</w:t>
            </w:r>
          </w:p>
        </w:tc>
        <w:tc>
          <w:tcPr>
            <w:tcW w:w="1373" w:type="dxa"/>
            <w:tcBorders>
              <w:top w:val="nil"/>
              <w:left w:val="nil"/>
              <w:bottom w:val="nil"/>
              <w:right w:val="nil"/>
            </w:tcBorders>
            <w:vAlign w:val="bottom"/>
          </w:tcPr>
          <w:p w:rsidR="0069074C" w:rsidRDefault="0069074C" w:rsidP="0069074C">
            <w:pPr>
              <w:pStyle w:val="TableTextRight"/>
            </w:pPr>
            <w:r>
              <w:t>-1.3%</w:t>
            </w:r>
          </w:p>
        </w:tc>
        <w:tc>
          <w:tcPr>
            <w:tcW w:w="1374" w:type="dxa"/>
            <w:tcBorders>
              <w:top w:val="nil"/>
              <w:left w:val="nil"/>
              <w:bottom w:val="nil"/>
              <w:right w:val="nil"/>
            </w:tcBorders>
            <w:vAlign w:val="bottom"/>
          </w:tcPr>
          <w:p w:rsidR="0069074C" w:rsidRDefault="0069074C" w:rsidP="0069074C">
            <w:pPr>
              <w:pStyle w:val="TableTextRight"/>
            </w:pPr>
            <w:r>
              <w:t>-809</w:t>
            </w:r>
          </w:p>
        </w:tc>
      </w:tr>
      <w:tr w:rsidR="0069074C" w:rsidTr="00982B32">
        <w:trPr>
          <w:trHeight w:val="315"/>
        </w:trPr>
        <w:tc>
          <w:tcPr>
            <w:tcW w:w="1373" w:type="dxa"/>
            <w:tcBorders>
              <w:top w:val="nil"/>
              <w:left w:val="nil"/>
              <w:bottom w:val="single" w:sz="4" w:space="0" w:color="1F497D" w:themeColor="text2"/>
              <w:right w:val="nil"/>
            </w:tcBorders>
            <w:vAlign w:val="bottom"/>
          </w:tcPr>
          <w:p w:rsidR="0069074C" w:rsidRDefault="0069074C" w:rsidP="0069074C">
            <w:pPr>
              <w:pStyle w:val="TableTextLeft"/>
              <w:keepNext/>
            </w:pPr>
            <w:r>
              <w:t> </w:t>
            </w:r>
          </w:p>
        </w:tc>
        <w:tc>
          <w:tcPr>
            <w:tcW w:w="1373" w:type="dxa"/>
            <w:tcBorders>
              <w:top w:val="nil"/>
              <w:left w:val="nil"/>
              <w:bottom w:val="single" w:sz="4" w:space="0" w:color="1F497D" w:themeColor="text2"/>
              <w:right w:val="nil"/>
            </w:tcBorders>
            <w:vAlign w:val="bottom"/>
          </w:tcPr>
          <w:p w:rsidR="0069074C" w:rsidRDefault="0069074C" w:rsidP="0069074C">
            <w:pPr>
              <w:pStyle w:val="TableTextRight"/>
              <w:keepNext/>
            </w:pPr>
            <w:r>
              <w:t>100</w:t>
            </w:r>
          </w:p>
        </w:tc>
        <w:tc>
          <w:tcPr>
            <w:tcW w:w="1374" w:type="dxa"/>
            <w:tcBorders>
              <w:top w:val="nil"/>
              <w:left w:val="nil"/>
              <w:bottom w:val="single" w:sz="4" w:space="0" w:color="1F497D" w:themeColor="text2"/>
              <w:right w:val="nil"/>
            </w:tcBorders>
            <w:vAlign w:val="bottom"/>
          </w:tcPr>
          <w:p w:rsidR="0069074C" w:rsidRDefault="0069074C" w:rsidP="0069074C">
            <w:pPr>
              <w:pStyle w:val="TableTextRight"/>
              <w:keepNext/>
            </w:pPr>
            <w:r>
              <w:t>88,558</w:t>
            </w:r>
          </w:p>
        </w:tc>
        <w:tc>
          <w:tcPr>
            <w:tcW w:w="1373" w:type="dxa"/>
            <w:tcBorders>
              <w:top w:val="nil"/>
              <w:left w:val="nil"/>
              <w:bottom w:val="single" w:sz="4" w:space="0" w:color="1F497D" w:themeColor="text2"/>
              <w:right w:val="nil"/>
            </w:tcBorders>
            <w:vAlign w:val="bottom"/>
          </w:tcPr>
          <w:p w:rsidR="0069074C" w:rsidRDefault="0069074C" w:rsidP="0069074C">
            <w:pPr>
              <w:pStyle w:val="TableTextRight"/>
            </w:pPr>
            <w:r>
              <w:t>88,397</w:t>
            </w:r>
          </w:p>
        </w:tc>
        <w:tc>
          <w:tcPr>
            <w:tcW w:w="1373" w:type="dxa"/>
            <w:tcBorders>
              <w:top w:val="nil"/>
              <w:left w:val="nil"/>
              <w:bottom w:val="single" w:sz="4" w:space="0" w:color="1F497D" w:themeColor="text2"/>
              <w:right w:val="nil"/>
            </w:tcBorders>
            <w:vAlign w:val="bottom"/>
          </w:tcPr>
          <w:p w:rsidR="0069074C" w:rsidRDefault="0069074C" w:rsidP="0069074C">
            <w:pPr>
              <w:pStyle w:val="TableTextRight"/>
            </w:pPr>
            <w:r>
              <w:t>-0.2%</w:t>
            </w:r>
          </w:p>
        </w:tc>
        <w:tc>
          <w:tcPr>
            <w:tcW w:w="1374" w:type="dxa"/>
            <w:tcBorders>
              <w:top w:val="nil"/>
              <w:left w:val="nil"/>
              <w:bottom w:val="single" w:sz="4" w:space="0" w:color="1F497D" w:themeColor="text2"/>
              <w:right w:val="nil"/>
            </w:tcBorders>
            <w:vAlign w:val="bottom"/>
          </w:tcPr>
          <w:p w:rsidR="0069074C" w:rsidRDefault="0069074C" w:rsidP="0069074C">
            <w:pPr>
              <w:pStyle w:val="TableTextRight"/>
            </w:pPr>
            <w:r>
              <w:t>-161</w:t>
            </w:r>
          </w:p>
        </w:tc>
      </w:tr>
      <w:tr w:rsidR="0069074C" w:rsidTr="00982B32">
        <w:trPr>
          <w:trHeight w:val="315"/>
        </w:trPr>
        <w:tc>
          <w:tcPr>
            <w:tcW w:w="1373" w:type="dxa"/>
            <w:tcBorders>
              <w:top w:val="single" w:sz="4" w:space="0" w:color="1F497D" w:themeColor="text2"/>
              <w:left w:val="nil"/>
              <w:bottom w:val="nil"/>
              <w:right w:val="nil"/>
            </w:tcBorders>
            <w:vAlign w:val="bottom"/>
          </w:tcPr>
          <w:p w:rsidR="0069074C" w:rsidRDefault="0069074C" w:rsidP="0069074C">
            <w:pPr>
              <w:pStyle w:val="TableTextLeft"/>
              <w:keepNext/>
            </w:pPr>
            <w:r>
              <w:t>15,000</w:t>
            </w:r>
          </w:p>
        </w:tc>
        <w:tc>
          <w:tcPr>
            <w:tcW w:w="1373" w:type="dxa"/>
            <w:tcBorders>
              <w:top w:val="single" w:sz="4" w:space="0" w:color="1F497D" w:themeColor="text2"/>
              <w:left w:val="nil"/>
              <w:bottom w:val="nil"/>
              <w:right w:val="nil"/>
            </w:tcBorders>
            <w:vAlign w:val="bottom"/>
          </w:tcPr>
          <w:p w:rsidR="0069074C" w:rsidRDefault="0069074C" w:rsidP="0069074C">
            <w:pPr>
              <w:pStyle w:val="TableTextRight"/>
              <w:keepNext/>
            </w:pPr>
            <w:r>
              <w:t>10</w:t>
            </w:r>
          </w:p>
        </w:tc>
        <w:tc>
          <w:tcPr>
            <w:tcW w:w="1374" w:type="dxa"/>
            <w:tcBorders>
              <w:top w:val="single" w:sz="4" w:space="0" w:color="1F497D" w:themeColor="text2"/>
              <w:left w:val="nil"/>
              <w:bottom w:val="nil"/>
              <w:right w:val="nil"/>
            </w:tcBorders>
            <w:vAlign w:val="bottom"/>
          </w:tcPr>
          <w:p w:rsidR="0069074C" w:rsidRDefault="0069074C" w:rsidP="0069074C">
            <w:pPr>
              <w:pStyle w:val="TableTextRight"/>
              <w:keepNext/>
            </w:pPr>
            <w:r>
              <w:t>83,882</w:t>
            </w:r>
          </w:p>
        </w:tc>
        <w:tc>
          <w:tcPr>
            <w:tcW w:w="1373" w:type="dxa"/>
            <w:tcBorders>
              <w:top w:val="single" w:sz="4" w:space="0" w:color="1F497D" w:themeColor="text2"/>
              <w:left w:val="nil"/>
              <w:bottom w:val="nil"/>
              <w:right w:val="nil"/>
            </w:tcBorders>
            <w:vAlign w:val="bottom"/>
          </w:tcPr>
          <w:p w:rsidR="0069074C" w:rsidRDefault="0069074C" w:rsidP="0069074C">
            <w:pPr>
              <w:pStyle w:val="TableTextRight"/>
            </w:pPr>
            <w:r>
              <w:t>80,800</w:t>
            </w:r>
          </w:p>
        </w:tc>
        <w:tc>
          <w:tcPr>
            <w:tcW w:w="1373" w:type="dxa"/>
            <w:tcBorders>
              <w:top w:val="single" w:sz="4" w:space="0" w:color="1F497D" w:themeColor="text2"/>
              <w:left w:val="nil"/>
              <w:bottom w:val="nil"/>
              <w:right w:val="nil"/>
            </w:tcBorders>
            <w:vAlign w:val="bottom"/>
          </w:tcPr>
          <w:p w:rsidR="0069074C" w:rsidRDefault="0069074C" w:rsidP="0069074C">
            <w:pPr>
              <w:pStyle w:val="TableTextRight"/>
            </w:pPr>
            <w:r>
              <w:t>-3.7%</w:t>
            </w:r>
          </w:p>
        </w:tc>
        <w:tc>
          <w:tcPr>
            <w:tcW w:w="1374" w:type="dxa"/>
            <w:tcBorders>
              <w:top w:val="single" w:sz="4" w:space="0" w:color="1F497D" w:themeColor="text2"/>
              <w:left w:val="nil"/>
              <w:bottom w:val="nil"/>
              <w:right w:val="nil"/>
            </w:tcBorders>
            <w:vAlign w:val="bottom"/>
          </w:tcPr>
          <w:p w:rsidR="0069074C" w:rsidRDefault="0069074C" w:rsidP="0069074C">
            <w:pPr>
              <w:pStyle w:val="TableTextRight"/>
            </w:pPr>
            <w:r>
              <w:t>-3,082</w:t>
            </w:r>
          </w:p>
        </w:tc>
      </w:tr>
      <w:tr w:rsidR="0069074C" w:rsidTr="00982B32">
        <w:trPr>
          <w:trHeight w:val="315"/>
        </w:trPr>
        <w:tc>
          <w:tcPr>
            <w:tcW w:w="1373" w:type="dxa"/>
            <w:tcBorders>
              <w:top w:val="nil"/>
              <w:left w:val="nil"/>
              <w:bottom w:val="nil"/>
              <w:right w:val="nil"/>
            </w:tcBorders>
            <w:vAlign w:val="bottom"/>
          </w:tcPr>
          <w:p w:rsidR="0069074C" w:rsidRDefault="0069074C" w:rsidP="0069074C">
            <w:pPr>
              <w:pStyle w:val="TableTextLeft"/>
              <w:keepNext/>
            </w:pPr>
            <w:r>
              <w:t> </w:t>
            </w:r>
          </w:p>
        </w:tc>
        <w:tc>
          <w:tcPr>
            <w:tcW w:w="1373" w:type="dxa"/>
            <w:tcBorders>
              <w:top w:val="nil"/>
              <w:left w:val="nil"/>
              <w:bottom w:val="nil"/>
              <w:right w:val="nil"/>
            </w:tcBorders>
            <w:vAlign w:val="bottom"/>
          </w:tcPr>
          <w:p w:rsidR="0069074C" w:rsidRDefault="0069074C" w:rsidP="0069074C">
            <w:pPr>
              <w:pStyle w:val="TableTextRight"/>
              <w:keepNext/>
            </w:pPr>
            <w:r>
              <w:t>50</w:t>
            </w:r>
          </w:p>
        </w:tc>
        <w:tc>
          <w:tcPr>
            <w:tcW w:w="1374" w:type="dxa"/>
            <w:tcBorders>
              <w:top w:val="nil"/>
              <w:left w:val="nil"/>
              <w:bottom w:val="nil"/>
              <w:right w:val="nil"/>
            </w:tcBorders>
            <w:vAlign w:val="bottom"/>
          </w:tcPr>
          <w:p w:rsidR="0069074C" w:rsidRDefault="0069074C" w:rsidP="0069074C">
            <w:pPr>
              <w:pStyle w:val="TableTextRight"/>
              <w:keepNext/>
            </w:pPr>
            <w:r>
              <w:t>104,591</w:t>
            </w:r>
          </w:p>
        </w:tc>
        <w:tc>
          <w:tcPr>
            <w:tcW w:w="1373" w:type="dxa"/>
            <w:tcBorders>
              <w:top w:val="nil"/>
              <w:left w:val="nil"/>
              <w:bottom w:val="nil"/>
              <w:right w:val="nil"/>
            </w:tcBorders>
            <w:vAlign w:val="bottom"/>
          </w:tcPr>
          <w:p w:rsidR="0069074C" w:rsidRDefault="0069074C" w:rsidP="0069074C">
            <w:pPr>
              <w:pStyle w:val="TableTextRight"/>
            </w:pPr>
            <w:r>
              <w:t>102,027</w:t>
            </w:r>
          </w:p>
        </w:tc>
        <w:tc>
          <w:tcPr>
            <w:tcW w:w="1373" w:type="dxa"/>
            <w:tcBorders>
              <w:top w:val="nil"/>
              <w:left w:val="nil"/>
              <w:bottom w:val="nil"/>
              <w:right w:val="nil"/>
            </w:tcBorders>
            <w:vAlign w:val="bottom"/>
          </w:tcPr>
          <w:p w:rsidR="0069074C" w:rsidRDefault="0069074C" w:rsidP="0069074C">
            <w:pPr>
              <w:pStyle w:val="TableTextRight"/>
            </w:pPr>
            <w:r>
              <w:t>-2.5%</w:t>
            </w:r>
          </w:p>
        </w:tc>
        <w:tc>
          <w:tcPr>
            <w:tcW w:w="1374" w:type="dxa"/>
            <w:tcBorders>
              <w:top w:val="nil"/>
              <w:left w:val="nil"/>
              <w:bottom w:val="nil"/>
              <w:right w:val="nil"/>
            </w:tcBorders>
            <w:vAlign w:val="bottom"/>
          </w:tcPr>
          <w:p w:rsidR="0069074C" w:rsidRDefault="0069074C" w:rsidP="0069074C">
            <w:pPr>
              <w:pStyle w:val="TableTextRight"/>
            </w:pPr>
            <w:r>
              <w:t>-2,565</w:t>
            </w:r>
          </w:p>
        </w:tc>
      </w:tr>
      <w:tr w:rsidR="0069074C" w:rsidTr="00982B32">
        <w:trPr>
          <w:trHeight w:val="315"/>
        </w:trPr>
        <w:tc>
          <w:tcPr>
            <w:tcW w:w="1373" w:type="dxa"/>
            <w:tcBorders>
              <w:top w:val="nil"/>
              <w:left w:val="nil"/>
              <w:bottom w:val="single" w:sz="4" w:space="0" w:color="1F497D" w:themeColor="text2"/>
              <w:right w:val="nil"/>
            </w:tcBorders>
            <w:vAlign w:val="bottom"/>
          </w:tcPr>
          <w:p w:rsidR="0069074C" w:rsidRDefault="0069074C" w:rsidP="0069074C">
            <w:pPr>
              <w:pStyle w:val="TableTextLeft"/>
              <w:keepNext/>
            </w:pPr>
            <w:r>
              <w:t> </w:t>
            </w:r>
          </w:p>
        </w:tc>
        <w:tc>
          <w:tcPr>
            <w:tcW w:w="1373" w:type="dxa"/>
            <w:tcBorders>
              <w:top w:val="nil"/>
              <w:left w:val="nil"/>
              <w:bottom w:val="single" w:sz="4" w:space="0" w:color="1F497D" w:themeColor="text2"/>
              <w:right w:val="nil"/>
            </w:tcBorders>
            <w:vAlign w:val="bottom"/>
          </w:tcPr>
          <w:p w:rsidR="0069074C" w:rsidRDefault="0069074C" w:rsidP="0069074C">
            <w:pPr>
              <w:pStyle w:val="TableTextRight"/>
              <w:keepNext/>
            </w:pPr>
            <w:r>
              <w:t>100</w:t>
            </w:r>
          </w:p>
        </w:tc>
        <w:tc>
          <w:tcPr>
            <w:tcW w:w="1374" w:type="dxa"/>
            <w:tcBorders>
              <w:top w:val="nil"/>
              <w:left w:val="nil"/>
              <w:bottom w:val="single" w:sz="4" w:space="0" w:color="1F497D" w:themeColor="text2"/>
              <w:right w:val="nil"/>
            </w:tcBorders>
            <w:vAlign w:val="bottom"/>
          </w:tcPr>
          <w:p w:rsidR="0069074C" w:rsidRDefault="0069074C" w:rsidP="0069074C">
            <w:pPr>
              <w:pStyle w:val="TableTextRight"/>
              <w:keepNext/>
            </w:pPr>
            <w:r>
              <w:t>130,478</w:t>
            </w:r>
          </w:p>
        </w:tc>
        <w:tc>
          <w:tcPr>
            <w:tcW w:w="1373" w:type="dxa"/>
            <w:tcBorders>
              <w:top w:val="nil"/>
              <w:left w:val="nil"/>
              <w:bottom w:val="single" w:sz="4" w:space="0" w:color="1F497D" w:themeColor="text2"/>
              <w:right w:val="nil"/>
            </w:tcBorders>
            <w:vAlign w:val="bottom"/>
          </w:tcPr>
          <w:p w:rsidR="0069074C" w:rsidRDefault="0069074C" w:rsidP="0069074C">
            <w:pPr>
              <w:pStyle w:val="TableTextRight"/>
            </w:pPr>
            <w:r>
              <w:t>128,560</w:t>
            </w:r>
          </w:p>
        </w:tc>
        <w:tc>
          <w:tcPr>
            <w:tcW w:w="1373" w:type="dxa"/>
            <w:tcBorders>
              <w:top w:val="nil"/>
              <w:left w:val="nil"/>
              <w:bottom w:val="single" w:sz="4" w:space="0" w:color="1F497D" w:themeColor="text2"/>
              <w:right w:val="nil"/>
            </w:tcBorders>
            <w:vAlign w:val="bottom"/>
          </w:tcPr>
          <w:p w:rsidR="0069074C" w:rsidRDefault="0069074C" w:rsidP="0069074C">
            <w:pPr>
              <w:pStyle w:val="TableTextRight"/>
            </w:pPr>
            <w:r>
              <w:t>-1.5%</w:t>
            </w:r>
          </w:p>
        </w:tc>
        <w:tc>
          <w:tcPr>
            <w:tcW w:w="1374" w:type="dxa"/>
            <w:tcBorders>
              <w:top w:val="nil"/>
              <w:left w:val="nil"/>
              <w:bottom w:val="single" w:sz="4" w:space="0" w:color="1F497D" w:themeColor="text2"/>
              <w:right w:val="nil"/>
            </w:tcBorders>
            <w:vAlign w:val="bottom"/>
          </w:tcPr>
          <w:p w:rsidR="0069074C" w:rsidRDefault="0069074C" w:rsidP="0069074C">
            <w:pPr>
              <w:pStyle w:val="TableTextRight"/>
            </w:pPr>
            <w:r>
              <w:t>-1,917</w:t>
            </w:r>
          </w:p>
        </w:tc>
      </w:tr>
      <w:tr w:rsidR="0069074C" w:rsidTr="00982B32">
        <w:trPr>
          <w:trHeight w:val="315"/>
        </w:trPr>
        <w:tc>
          <w:tcPr>
            <w:tcW w:w="1373" w:type="dxa"/>
            <w:tcBorders>
              <w:top w:val="single" w:sz="4" w:space="0" w:color="1F497D" w:themeColor="text2"/>
              <w:left w:val="nil"/>
              <w:bottom w:val="nil"/>
              <w:right w:val="nil"/>
            </w:tcBorders>
            <w:vAlign w:val="bottom"/>
          </w:tcPr>
          <w:p w:rsidR="0069074C" w:rsidRDefault="0069074C" w:rsidP="0069074C">
            <w:pPr>
              <w:pStyle w:val="TableTextLeft"/>
              <w:keepNext/>
            </w:pPr>
            <w:r>
              <w:t>30,000</w:t>
            </w:r>
          </w:p>
        </w:tc>
        <w:tc>
          <w:tcPr>
            <w:tcW w:w="1373" w:type="dxa"/>
            <w:tcBorders>
              <w:top w:val="single" w:sz="4" w:space="0" w:color="1F497D" w:themeColor="text2"/>
              <w:left w:val="nil"/>
              <w:bottom w:val="nil"/>
              <w:right w:val="nil"/>
            </w:tcBorders>
            <w:vAlign w:val="bottom"/>
          </w:tcPr>
          <w:p w:rsidR="0069074C" w:rsidRDefault="0069074C" w:rsidP="0069074C">
            <w:pPr>
              <w:pStyle w:val="TableTextRight"/>
              <w:keepNext/>
            </w:pPr>
            <w:r>
              <w:t>10</w:t>
            </w:r>
          </w:p>
        </w:tc>
        <w:tc>
          <w:tcPr>
            <w:tcW w:w="1374" w:type="dxa"/>
            <w:tcBorders>
              <w:top w:val="single" w:sz="4" w:space="0" w:color="1F497D" w:themeColor="text2"/>
              <w:left w:val="nil"/>
              <w:bottom w:val="nil"/>
              <w:right w:val="nil"/>
            </w:tcBorders>
            <w:vAlign w:val="bottom"/>
          </w:tcPr>
          <w:p w:rsidR="0069074C" w:rsidRDefault="0069074C" w:rsidP="0069074C">
            <w:pPr>
              <w:pStyle w:val="TableTextRight"/>
              <w:keepNext/>
            </w:pPr>
            <w:r>
              <w:t>162,482</w:t>
            </w:r>
          </w:p>
        </w:tc>
        <w:tc>
          <w:tcPr>
            <w:tcW w:w="1373" w:type="dxa"/>
            <w:tcBorders>
              <w:top w:val="single" w:sz="4" w:space="0" w:color="1F497D" w:themeColor="text2"/>
              <w:left w:val="nil"/>
              <w:bottom w:val="nil"/>
              <w:right w:val="nil"/>
            </w:tcBorders>
            <w:vAlign w:val="bottom"/>
          </w:tcPr>
          <w:p w:rsidR="0069074C" w:rsidRDefault="0069074C" w:rsidP="0069074C">
            <w:pPr>
              <w:pStyle w:val="TableTextRight"/>
            </w:pPr>
            <w:r>
              <w:t>156,107</w:t>
            </w:r>
          </w:p>
        </w:tc>
        <w:tc>
          <w:tcPr>
            <w:tcW w:w="1373" w:type="dxa"/>
            <w:tcBorders>
              <w:top w:val="single" w:sz="4" w:space="0" w:color="1F497D" w:themeColor="text2"/>
              <w:left w:val="nil"/>
              <w:bottom w:val="nil"/>
              <w:right w:val="nil"/>
            </w:tcBorders>
            <w:vAlign w:val="bottom"/>
          </w:tcPr>
          <w:p w:rsidR="0069074C" w:rsidRDefault="0069074C" w:rsidP="0069074C">
            <w:pPr>
              <w:pStyle w:val="TableTextRight"/>
            </w:pPr>
            <w:r>
              <w:t>-3.9%</w:t>
            </w:r>
          </w:p>
        </w:tc>
        <w:tc>
          <w:tcPr>
            <w:tcW w:w="1374" w:type="dxa"/>
            <w:tcBorders>
              <w:top w:val="single" w:sz="4" w:space="0" w:color="1F497D" w:themeColor="text2"/>
              <w:left w:val="nil"/>
              <w:bottom w:val="nil"/>
              <w:right w:val="nil"/>
            </w:tcBorders>
            <w:vAlign w:val="bottom"/>
          </w:tcPr>
          <w:p w:rsidR="0069074C" w:rsidRDefault="0069074C" w:rsidP="0069074C">
            <w:pPr>
              <w:pStyle w:val="TableTextRight"/>
            </w:pPr>
            <w:r>
              <w:t>-6,375</w:t>
            </w:r>
          </w:p>
        </w:tc>
      </w:tr>
      <w:tr w:rsidR="0069074C" w:rsidTr="00982B32">
        <w:trPr>
          <w:trHeight w:val="315"/>
        </w:trPr>
        <w:tc>
          <w:tcPr>
            <w:tcW w:w="1373" w:type="dxa"/>
            <w:tcBorders>
              <w:top w:val="nil"/>
              <w:left w:val="nil"/>
              <w:bottom w:val="nil"/>
              <w:right w:val="nil"/>
            </w:tcBorders>
            <w:vAlign w:val="bottom"/>
          </w:tcPr>
          <w:p w:rsidR="0069074C" w:rsidRDefault="0069074C" w:rsidP="0069074C">
            <w:pPr>
              <w:pStyle w:val="TableTextRight"/>
              <w:keepNext/>
            </w:pPr>
            <w:r>
              <w:t> </w:t>
            </w:r>
          </w:p>
        </w:tc>
        <w:tc>
          <w:tcPr>
            <w:tcW w:w="1373" w:type="dxa"/>
            <w:tcBorders>
              <w:top w:val="nil"/>
              <w:left w:val="nil"/>
              <w:bottom w:val="nil"/>
              <w:right w:val="nil"/>
            </w:tcBorders>
            <w:vAlign w:val="bottom"/>
          </w:tcPr>
          <w:p w:rsidR="0069074C" w:rsidRDefault="0069074C" w:rsidP="0069074C">
            <w:pPr>
              <w:pStyle w:val="TableTextRight"/>
              <w:keepNext/>
            </w:pPr>
            <w:r>
              <w:t>50</w:t>
            </w:r>
          </w:p>
        </w:tc>
        <w:tc>
          <w:tcPr>
            <w:tcW w:w="1374" w:type="dxa"/>
            <w:tcBorders>
              <w:top w:val="nil"/>
              <w:left w:val="nil"/>
              <w:bottom w:val="nil"/>
              <w:right w:val="nil"/>
            </w:tcBorders>
            <w:vAlign w:val="bottom"/>
          </w:tcPr>
          <w:p w:rsidR="0069074C" w:rsidRDefault="0069074C" w:rsidP="0069074C">
            <w:pPr>
              <w:pStyle w:val="TableTextRight"/>
              <w:keepNext/>
            </w:pPr>
            <w:r>
              <w:t>183,191</w:t>
            </w:r>
          </w:p>
        </w:tc>
        <w:tc>
          <w:tcPr>
            <w:tcW w:w="1373" w:type="dxa"/>
            <w:tcBorders>
              <w:top w:val="nil"/>
              <w:left w:val="nil"/>
              <w:bottom w:val="nil"/>
              <w:right w:val="nil"/>
            </w:tcBorders>
            <w:vAlign w:val="bottom"/>
          </w:tcPr>
          <w:p w:rsidR="0069074C" w:rsidRDefault="0069074C" w:rsidP="0069074C">
            <w:pPr>
              <w:pStyle w:val="TableTextRight"/>
            </w:pPr>
            <w:r>
              <w:t>177,334</w:t>
            </w:r>
          </w:p>
        </w:tc>
        <w:tc>
          <w:tcPr>
            <w:tcW w:w="1373" w:type="dxa"/>
            <w:tcBorders>
              <w:top w:val="nil"/>
              <w:left w:val="nil"/>
              <w:bottom w:val="nil"/>
              <w:right w:val="nil"/>
            </w:tcBorders>
            <w:vAlign w:val="bottom"/>
          </w:tcPr>
          <w:p w:rsidR="0069074C" w:rsidRDefault="0069074C" w:rsidP="0069074C">
            <w:pPr>
              <w:pStyle w:val="TableTextRight"/>
            </w:pPr>
            <w:r>
              <w:t>-3.2%</w:t>
            </w:r>
          </w:p>
        </w:tc>
        <w:tc>
          <w:tcPr>
            <w:tcW w:w="1374" w:type="dxa"/>
            <w:tcBorders>
              <w:top w:val="nil"/>
              <w:left w:val="nil"/>
              <w:bottom w:val="nil"/>
              <w:right w:val="nil"/>
            </w:tcBorders>
            <w:vAlign w:val="bottom"/>
          </w:tcPr>
          <w:p w:rsidR="0069074C" w:rsidRDefault="0069074C" w:rsidP="0069074C">
            <w:pPr>
              <w:pStyle w:val="TableTextRight"/>
            </w:pPr>
            <w:r>
              <w:t>-5,857</w:t>
            </w:r>
          </w:p>
        </w:tc>
      </w:tr>
      <w:tr w:rsidR="0069074C" w:rsidTr="00982B32">
        <w:trPr>
          <w:trHeight w:val="315"/>
        </w:trPr>
        <w:tc>
          <w:tcPr>
            <w:tcW w:w="1373" w:type="dxa"/>
            <w:tcBorders>
              <w:top w:val="nil"/>
              <w:left w:val="nil"/>
              <w:bottom w:val="single" w:sz="12" w:space="0" w:color="1F497D"/>
              <w:right w:val="nil"/>
            </w:tcBorders>
            <w:vAlign w:val="bottom"/>
          </w:tcPr>
          <w:p w:rsidR="0069074C" w:rsidRDefault="0069074C" w:rsidP="0069074C">
            <w:pPr>
              <w:pStyle w:val="TableTextRight"/>
              <w:keepNext/>
            </w:pPr>
            <w:r>
              <w:t> </w:t>
            </w:r>
          </w:p>
        </w:tc>
        <w:tc>
          <w:tcPr>
            <w:tcW w:w="1373" w:type="dxa"/>
            <w:tcBorders>
              <w:top w:val="nil"/>
              <w:left w:val="nil"/>
              <w:bottom w:val="single" w:sz="12" w:space="0" w:color="1F497D"/>
              <w:right w:val="nil"/>
            </w:tcBorders>
            <w:vAlign w:val="bottom"/>
          </w:tcPr>
          <w:p w:rsidR="0069074C" w:rsidRDefault="0069074C" w:rsidP="0069074C">
            <w:pPr>
              <w:pStyle w:val="TableTextRight"/>
              <w:keepNext/>
            </w:pPr>
            <w:r>
              <w:t>100</w:t>
            </w:r>
          </w:p>
        </w:tc>
        <w:tc>
          <w:tcPr>
            <w:tcW w:w="1374" w:type="dxa"/>
            <w:tcBorders>
              <w:top w:val="nil"/>
              <w:left w:val="nil"/>
              <w:bottom w:val="single" w:sz="12" w:space="0" w:color="1F497D"/>
              <w:right w:val="nil"/>
            </w:tcBorders>
            <w:vAlign w:val="bottom"/>
          </w:tcPr>
          <w:p w:rsidR="0069074C" w:rsidRDefault="0069074C" w:rsidP="0069074C">
            <w:pPr>
              <w:pStyle w:val="TableTextRight"/>
              <w:keepNext/>
            </w:pPr>
            <w:r>
              <w:t>209,078</w:t>
            </w:r>
          </w:p>
        </w:tc>
        <w:tc>
          <w:tcPr>
            <w:tcW w:w="1373" w:type="dxa"/>
            <w:tcBorders>
              <w:top w:val="nil"/>
              <w:left w:val="nil"/>
              <w:bottom w:val="single" w:sz="12" w:space="0" w:color="1F497D"/>
              <w:right w:val="nil"/>
            </w:tcBorders>
            <w:vAlign w:val="bottom"/>
          </w:tcPr>
          <w:p w:rsidR="0069074C" w:rsidRDefault="0069074C" w:rsidP="0069074C">
            <w:pPr>
              <w:pStyle w:val="TableTextRight"/>
            </w:pPr>
            <w:r>
              <w:t>203,868</w:t>
            </w:r>
          </w:p>
        </w:tc>
        <w:tc>
          <w:tcPr>
            <w:tcW w:w="1373" w:type="dxa"/>
            <w:tcBorders>
              <w:top w:val="nil"/>
              <w:left w:val="nil"/>
              <w:bottom w:val="single" w:sz="12" w:space="0" w:color="1F497D"/>
              <w:right w:val="nil"/>
            </w:tcBorders>
            <w:vAlign w:val="bottom"/>
          </w:tcPr>
          <w:p w:rsidR="0069074C" w:rsidRDefault="0069074C" w:rsidP="0069074C">
            <w:pPr>
              <w:pStyle w:val="TableTextRight"/>
            </w:pPr>
            <w:r>
              <w:t>-2.5%</w:t>
            </w:r>
          </w:p>
        </w:tc>
        <w:tc>
          <w:tcPr>
            <w:tcW w:w="1374" w:type="dxa"/>
            <w:tcBorders>
              <w:top w:val="nil"/>
              <w:left w:val="nil"/>
              <w:bottom w:val="single" w:sz="12" w:space="0" w:color="1F497D"/>
              <w:right w:val="nil"/>
            </w:tcBorders>
            <w:vAlign w:val="bottom"/>
          </w:tcPr>
          <w:p w:rsidR="0069074C" w:rsidRDefault="0069074C" w:rsidP="0069074C">
            <w:pPr>
              <w:pStyle w:val="TableTextRight"/>
            </w:pPr>
            <w:r>
              <w:t>-5,210</w:t>
            </w:r>
          </w:p>
        </w:tc>
      </w:tr>
    </w:tbl>
    <w:p w:rsidR="00B270CD" w:rsidRDefault="00B270CD" w:rsidP="00E404E3">
      <w:pPr>
        <w:pStyle w:val="TableNotesLast0"/>
        <w:keepNext/>
      </w:pPr>
      <w:r>
        <w:t>Source:</w:t>
      </w:r>
      <w:r>
        <w:tab/>
        <w:t>Commission’s calculations.</w:t>
      </w:r>
    </w:p>
    <w:p w:rsidR="0066689D" w:rsidRDefault="00F169D1" w:rsidP="0066689D">
      <w:pPr>
        <w:pStyle w:val="Heading5"/>
      </w:pPr>
      <w:r>
        <w:t>Case 2: Differential pricing</w:t>
      </w:r>
    </w:p>
    <w:p w:rsidR="008D505D" w:rsidRDefault="001D2774" w:rsidP="0066689D">
      <w:r>
        <w:t xml:space="preserve">As noted earlier, Icon Water indicated in its second submission that it is considering </w:t>
      </w:r>
      <w:r w:rsidR="008D505D">
        <w:t xml:space="preserve">the </w:t>
      </w:r>
      <w:r>
        <w:t>introduc</w:t>
      </w:r>
      <w:r w:rsidR="008D505D">
        <w:t>tion</w:t>
      </w:r>
      <w:r>
        <w:t xml:space="preserve"> </w:t>
      </w:r>
      <w:r w:rsidR="008D505D">
        <w:t xml:space="preserve">of </w:t>
      </w:r>
      <w:r>
        <w:t xml:space="preserve">differential water pricing, with a higher </w:t>
      </w:r>
      <w:r w:rsidR="008D505D">
        <w:t xml:space="preserve">supply </w:t>
      </w:r>
      <w:r>
        <w:t>charge for non-residential customers</w:t>
      </w:r>
      <w:r w:rsidR="008D505D">
        <w:t>, of which commercial customers are a subset</w:t>
      </w:r>
      <w:r>
        <w:t>.</w:t>
      </w:r>
      <w:r w:rsidR="008D505D">
        <w:t xml:space="preserve"> Should this eventuate, the water charge and combined bill impacts on commercial customers would vary from those presented in the analysis above. </w:t>
      </w:r>
    </w:p>
    <w:p w:rsidR="008B7BD5" w:rsidRDefault="008D505D" w:rsidP="0066689D">
      <w:r>
        <w:t>For example, a higher supply charge across the board for all commercial customers, will increase the negative distributional impacts on low volume customers compared to the results presented above.</w:t>
      </w:r>
    </w:p>
    <w:p w:rsidR="0066689D" w:rsidRDefault="008D505D" w:rsidP="0066689D">
      <w:r>
        <w:t>Another option</w:t>
      </w:r>
      <w:r w:rsidR="008B7BD5">
        <w:t xml:space="preserve"> could be for Icon Water to negotiate particular arrangements with its large commercial customers. This might involve trade-offs between the supply and usage charges that provide benefits to both parties. Such arrangements would</w:t>
      </w:r>
      <w:r w:rsidR="00BF5478">
        <w:t xml:space="preserve"> be consistent with the draft principles as long there is no economic cross</w:t>
      </w:r>
      <w:r w:rsidR="009A2CD2">
        <w:t>-</w:t>
      </w:r>
      <w:r w:rsidR="00BF5478">
        <w:t>subsidy.</w:t>
      </w:r>
      <w:r w:rsidR="008B7BD5">
        <w:t xml:space="preserve"> </w:t>
      </w:r>
    </w:p>
    <w:p w:rsidR="00E80A3A" w:rsidRPr="00636FE1" w:rsidRDefault="007C492C" w:rsidP="007C492C">
      <w:pPr>
        <w:pStyle w:val="Heading3"/>
      </w:pPr>
      <w:r>
        <w:lastRenderedPageBreak/>
        <w:t>Draft position</w:t>
      </w:r>
    </w:p>
    <w:p w:rsidR="002633ED" w:rsidRDefault="002633ED" w:rsidP="00CA2E35">
      <w:r>
        <w:t xml:space="preserve">The key trade-off in determining the appropriate length of </w:t>
      </w:r>
      <w:r w:rsidR="00123361">
        <w:t>the</w:t>
      </w:r>
      <w:r>
        <w:t xml:space="preserve"> transition period to the alternative water tariff is </w:t>
      </w:r>
      <w:r w:rsidR="00FB55DB">
        <w:t xml:space="preserve">that </w:t>
      </w:r>
      <w:r>
        <w:t xml:space="preserve">between minimising annual customer bill impacts and delaying the efficiency benefits that will flow from </w:t>
      </w:r>
      <w:r w:rsidR="005F1613">
        <w:t xml:space="preserve">more </w:t>
      </w:r>
      <w:r w:rsidR="00123361">
        <w:t xml:space="preserve">rapidly </w:t>
      </w:r>
      <w:r>
        <w:t xml:space="preserve">applying the cost-reflective structure. </w:t>
      </w:r>
    </w:p>
    <w:p w:rsidR="005F1613" w:rsidRDefault="00BA06F5" w:rsidP="00CA2E35">
      <w:r w:rsidRPr="00DE3F79">
        <w:t>The Commission’s draft position is that</w:t>
      </w:r>
      <w:r>
        <w:t xml:space="preserve"> </w:t>
      </w:r>
      <w:r w:rsidRPr="00DE3F79">
        <w:t>option A</w:t>
      </w:r>
      <w:r>
        <w:t xml:space="preserve"> should provide a long term goal for the structure of water tariffs. Over the longer-term </w:t>
      </w:r>
      <w:r w:rsidRPr="00DE3F79">
        <w:t xml:space="preserve">with the transition period </w:t>
      </w:r>
      <w:r w:rsidRPr="000D7B3B">
        <w:t xml:space="preserve">discussed above applied to mitigate negative customer impacts, </w:t>
      </w:r>
      <w:r>
        <w:t xml:space="preserve">and subject to change as conditions change, </w:t>
      </w:r>
      <w:r w:rsidRPr="000D7B3B">
        <w:t>i</w:t>
      </w:r>
      <w:r>
        <w:t xml:space="preserve">t provides a better guide </w:t>
      </w:r>
      <w:r w:rsidRPr="000D7B3B">
        <w:t>as it will provide the greatest efficiency benefits.</w:t>
      </w:r>
    </w:p>
    <w:p w:rsidR="00E80A3A" w:rsidRDefault="002633ED" w:rsidP="00CA2E35">
      <w:r>
        <w:t>It is important to note, however, that the analysis underpinning this draft position is based on a revenue neutral assumption</w:t>
      </w:r>
      <w:r w:rsidR="00656BA4">
        <w:t>, that is there is no general increase in the level of water prices</w:t>
      </w:r>
      <w:r w:rsidR="00F95D5C">
        <w:t>.</w:t>
      </w:r>
    </w:p>
    <w:p w:rsidR="00D84B8E" w:rsidRDefault="0048646F" w:rsidP="00D84B8E">
      <w:r>
        <w:t xml:space="preserve">Current water price levels have been calculated using water volume forecasts that, based on recent performance, are a little on the high side. For example, </w:t>
      </w:r>
      <w:r w:rsidR="00D84B8E">
        <w:t>actual water sales for 2014</w:t>
      </w:r>
      <w:r w:rsidR="00D84B8E">
        <w:sym w:font="Symbol" w:char="F02D"/>
      </w:r>
      <w:r w:rsidR="00D84B8E">
        <w:t>15</w:t>
      </w:r>
      <w:r w:rsidR="003E4F68">
        <w:t xml:space="preserve"> of 39.2 GL and 2015</w:t>
      </w:r>
      <w:r w:rsidR="003E4F68">
        <w:sym w:font="Symbol" w:char="F02D"/>
      </w:r>
      <w:r w:rsidR="003E4F68">
        <w:t xml:space="preserve">16 of 41.8 GL </w:t>
      </w:r>
      <w:r w:rsidR="00D84B8E">
        <w:t xml:space="preserve">are </w:t>
      </w:r>
      <w:r w:rsidR="003E4F68">
        <w:t xml:space="preserve">cumulatively </w:t>
      </w:r>
      <w:r w:rsidR="00D84B8E">
        <w:t xml:space="preserve">about </w:t>
      </w:r>
      <w:r w:rsidR="003E4F68">
        <w:t xml:space="preserve">7 </w:t>
      </w:r>
      <w:r w:rsidR="00D84B8E">
        <w:t>per cent lower than the forecast</w:t>
      </w:r>
      <w:r w:rsidR="003E4F68">
        <w:t xml:space="preserve">s </w:t>
      </w:r>
      <w:r>
        <w:t xml:space="preserve">used to calculate prices </w:t>
      </w:r>
      <w:r w:rsidR="00D84B8E">
        <w:t xml:space="preserve">(see </w:t>
      </w:r>
      <w:r w:rsidR="00D84B8E">
        <w:fldChar w:fldCharType="begin"/>
      </w:r>
      <w:r w:rsidR="00D84B8E">
        <w:instrText xml:space="preserve"> REF _Ref429647008 \h  \* MERGEFORMAT </w:instrText>
      </w:r>
      <w:r w:rsidR="00D84B8E">
        <w:fldChar w:fldCharType="separate"/>
      </w:r>
      <w:r w:rsidR="00B80BC7" w:rsidRPr="00DB3C19">
        <w:t xml:space="preserve">Figure </w:t>
      </w:r>
      <w:r w:rsidR="00B80BC7">
        <w:rPr>
          <w:noProof/>
        </w:rPr>
        <w:t>5</w:t>
      </w:r>
      <w:r w:rsidR="00B80BC7" w:rsidRPr="002B3037">
        <w:rPr>
          <w:noProof/>
        </w:rPr>
        <w:t>.</w:t>
      </w:r>
      <w:r w:rsidR="00B80BC7">
        <w:rPr>
          <w:noProof/>
        </w:rPr>
        <w:t>3</w:t>
      </w:r>
      <w:r w:rsidR="00D84B8E">
        <w:fldChar w:fldCharType="end"/>
      </w:r>
      <w:r w:rsidR="00D84B8E">
        <w:t>).</w:t>
      </w:r>
    </w:p>
    <w:p w:rsidR="00D84B8E" w:rsidRPr="002B3037" w:rsidRDefault="00D84B8E" w:rsidP="00D84B8E">
      <w:pPr>
        <w:pStyle w:val="FigureName"/>
        <w:keepNext/>
      </w:pPr>
      <w:bookmarkStart w:id="220" w:name="_Ref429647008"/>
      <w:bookmarkStart w:id="221" w:name="_Toc435700191"/>
      <w:bookmarkStart w:id="222" w:name="_Toc460572281"/>
      <w:r w:rsidRPr="00DB3C19">
        <w:t xml:space="preserve">Figure </w:t>
      </w:r>
      <w:r>
        <w:fldChar w:fldCharType="begin"/>
      </w:r>
      <w:r>
        <w:instrText xml:space="preserve"> STYLEREF 1 \s </w:instrText>
      </w:r>
      <w:r>
        <w:fldChar w:fldCharType="separate"/>
      </w:r>
      <w:r w:rsidR="00B80BC7">
        <w:rPr>
          <w:noProof/>
        </w:rPr>
        <w:t>5</w:t>
      </w:r>
      <w:r>
        <w:fldChar w:fldCharType="end"/>
      </w:r>
      <w:r w:rsidRPr="002B3037">
        <w:t>.</w:t>
      </w:r>
      <w:r>
        <w:fldChar w:fldCharType="begin"/>
      </w:r>
      <w:r>
        <w:instrText xml:space="preserve"> SEQ Figure \* ARABIC \s 1 </w:instrText>
      </w:r>
      <w:r>
        <w:fldChar w:fldCharType="separate"/>
      </w:r>
      <w:r w:rsidR="00B80BC7">
        <w:rPr>
          <w:noProof/>
        </w:rPr>
        <w:t>3</w:t>
      </w:r>
      <w:r>
        <w:fldChar w:fldCharType="end"/>
      </w:r>
      <w:bookmarkEnd w:id="220"/>
      <w:r w:rsidRPr="002B3037">
        <w:tab/>
        <w:t xml:space="preserve">ACT </w:t>
      </w:r>
      <w:r>
        <w:t>billed water sales, actual and forecast, 1999–2000 to 2017–18</w:t>
      </w:r>
      <w:bookmarkEnd w:id="221"/>
      <w:bookmarkEnd w:id="222"/>
    </w:p>
    <w:p w:rsidR="00D84B8E" w:rsidRPr="002B3037" w:rsidRDefault="00D84B8E" w:rsidP="00D84B8E">
      <w:pPr>
        <w:pStyle w:val="References"/>
        <w:keepNext/>
      </w:pPr>
      <w:r>
        <w:rPr>
          <w:noProof/>
          <w:lang w:val="en-AU" w:eastAsia="en-AU"/>
        </w:rPr>
        <w:drawing>
          <wp:inline distT="0" distB="0" distL="0" distR="0" wp14:anchorId="04FFEB70" wp14:editId="68F7DEC2">
            <wp:extent cx="4896485" cy="2642870"/>
            <wp:effectExtent l="0" t="0" r="18415" b="508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D84B8E" w:rsidRPr="002B3037" w:rsidRDefault="00D84B8E" w:rsidP="00D84B8E">
      <w:pPr>
        <w:pStyle w:val="TableNotesLast"/>
        <w:keepNext/>
      </w:pPr>
      <w:r>
        <w:t>Source:</w:t>
      </w:r>
      <w:r>
        <w:tab/>
        <w:t>Icon Water</w:t>
      </w:r>
      <w:r w:rsidRPr="002B3037">
        <w:t xml:space="preserve"> </w:t>
      </w:r>
      <w:r>
        <w:t xml:space="preserve">billed water sales </w:t>
      </w:r>
      <w:r w:rsidRPr="002B3037">
        <w:t>data;</w:t>
      </w:r>
      <w:r>
        <w:t xml:space="preserve"> </w:t>
      </w:r>
      <w:r>
        <w:rPr>
          <w:noProof/>
        </w:rPr>
        <w:t>Industry Panel (2015a)</w:t>
      </w:r>
      <w:r>
        <w:t>.</w:t>
      </w:r>
    </w:p>
    <w:p w:rsidR="00E80A3A" w:rsidRDefault="00D84B8E" w:rsidP="00CA2E35">
      <w:r>
        <w:t>Should there be a return to water forecasts that reflect more recent outcomes</w:t>
      </w:r>
      <w:r w:rsidRPr="00B20FED">
        <w:t xml:space="preserve"> </w:t>
      </w:r>
      <w:r w:rsidRPr="00516951">
        <w:t>at the beginning of the next regulatory period</w:t>
      </w:r>
      <w:r>
        <w:t xml:space="preserve">, this is likely to put upward pressure on water </w:t>
      </w:r>
      <w:r w:rsidRPr="00516951">
        <w:t>prices.</w:t>
      </w:r>
      <w:r w:rsidR="000666A2">
        <w:t xml:space="preserve"> </w:t>
      </w:r>
      <w:r w:rsidRPr="00516951">
        <w:t xml:space="preserve">In addition, </w:t>
      </w:r>
      <w:r>
        <w:t>if actual water sales are low enough to trigger the deadband</w:t>
      </w:r>
      <w:r w:rsidR="000666A2">
        <w:t xml:space="preserve"> in the </w:t>
      </w:r>
      <w:r w:rsidR="00EC7CA8">
        <w:t>s</w:t>
      </w:r>
      <w:r w:rsidR="000666A2">
        <w:t>ubstitute price direction</w:t>
      </w:r>
      <w:r>
        <w:t>,</w:t>
      </w:r>
      <w:r w:rsidRPr="00516951">
        <w:t xml:space="preserve"> </w:t>
      </w:r>
      <w:r w:rsidR="00EC7CA8">
        <w:t xml:space="preserve">there may be </w:t>
      </w:r>
      <w:r w:rsidRPr="00516951">
        <w:t xml:space="preserve">further </w:t>
      </w:r>
      <w:r w:rsidR="00EC7CA8">
        <w:t xml:space="preserve">upward pressure on prices </w:t>
      </w:r>
      <w:r w:rsidRPr="00516951">
        <w:t xml:space="preserve">to recover that portion of </w:t>
      </w:r>
      <w:r>
        <w:t xml:space="preserve">water </w:t>
      </w:r>
      <w:r w:rsidRPr="00516951">
        <w:t xml:space="preserve">revenue lost by Icon Water in the current period that lies outside </w:t>
      </w:r>
      <w:r w:rsidRPr="00516951">
        <w:lastRenderedPageBreak/>
        <w:t>the deadband.</w:t>
      </w:r>
      <w:r>
        <w:rPr>
          <w:rStyle w:val="FootnoteReference"/>
        </w:rPr>
        <w:footnoteReference w:id="85"/>
      </w:r>
      <w:r>
        <w:t xml:space="preserve"> </w:t>
      </w:r>
      <w:r w:rsidR="009972FE">
        <w:t xml:space="preserve">The implications of any general increase in the general level of water for the </w:t>
      </w:r>
      <w:r w:rsidR="00D769BF">
        <w:t>tariff transition will be taken into account in the price investigation  process.</w:t>
      </w:r>
    </w:p>
    <w:p w:rsidR="00141985" w:rsidRDefault="00141985" w:rsidP="00CA2E35">
      <w:r>
        <w:t xml:space="preserve">It is also worth noting that the $1.74 per kL marginal cost estimate underpinning this analysis </w:t>
      </w:r>
      <w:r w:rsidR="002F0F19">
        <w:t>is likely to change over the transition period. Marginal cost is a dynamic concept in that any estimate is dependent on the circumstance prevailing at the time it is estimated, and will be different as conditions change. For example, the short-run marginal operating cost for water will be dependent on dam levels and source of supply at the time. Demand requirements can also change significantly from one estimation point to the next.</w:t>
      </w:r>
    </w:p>
    <w:p w:rsidR="002401EA" w:rsidRDefault="002401EA" w:rsidP="002401EA">
      <w:pPr>
        <w:pStyle w:val="Heading2"/>
      </w:pPr>
      <w:bookmarkStart w:id="223" w:name="_Toc460572230"/>
      <w:r>
        <w:t>Next steps</w:t>
      </w:r>
      <w:bookmarkEnd w:id="223"/>
    </w:p>
    <w:p w:rsidR="00EF7975" w:rsidRPr="00AE2809" w:rsidRDefault="00EF7975" w:rsidP="00EF7975">
      <w:r w:rsidRPr="00AE2809">
        <w:t xml:space="preserve">The </w:t>
      </w:r>
      <w:r>
        <w:t xml:space="preserve">indicative </w:t>
      </w:r>
      <w:r w:rsidRPr="00AE2809">
        <w:t xml:space="preserve">timeline </w:t>
      </w:r>
      <w:r>
        <w:t xml:space="preserve">for the remainder of the </w:t>
      </w:r>
      <w:r w:rsidR="00EC76E9">
        <w:t xml:space="preserve">tariff </w:t>
      </w:r>
      <w:r>
        <w:t xml:space="preserve">review is set out in </w:t>
      </w:r>
      <w:r>
        <w:fldChar w:fldCharType="begin"/>
      </w:r>
      <w:r>
        <w:instrText xml:space="preserve"> REF _Ref457917031 \h </w:instrText>
      </w:r>
      <w:r>
        <w:fldChar w:fldCharType="separate"/>
      </w:r>
      <w:r w:rsidR="00B80BC7" w:rsidRPr="003C3AEA">
        <w:t>Table</w:t>
      </w:r>
      <w:r w:rsidR="00B80BC7">
        <w:t xml:space="preserve"> </w:t>
      </w:r>
      <w:r w:rsidR="00B80BC7">
        <w:rPr>
          <w:noProof/>
        </w:rPr>
        <w:t>5</w:t>
      </w:r>
      <w:r w:rsidR="00B80BC7">
        <w:t>.</w:t>
      </w:r>
      <w:r w:rsidR="00B80BC7">
        <w:rPr>
          <w:noProof/>
        </w:rPr>
        <w:t>6</w:t>
      </w:r>
      <w:r>
        <w:fldChar w:fldCharType="end"/>
      </w:r>
      <w:r w:rsidRPr="00AE2809">
        <w:t>.</w:t>
      </w:r>
    </w:p>
    <w:p w:rsidR="00EF7975" w:rsidRDefault="00EF7975" w:rsidP="00EF7975">
      <w:pPr>
        <w:pStyle w:val="FigureName"/>
        <w:keepNext/>
      </w:pPr>
      <w:bookmarkStart w:id="224" w:name="_Ref457917031"/>
      <w:bookmarkStart w:id="225" w:name="_Toc460572258"/>
      <w:r w:rsidRPr="003C3AEA">
        <w:t>Table</w:t>
      </w:r>
      <w:r>
        <w:t xml:space="preserve"> </w:t>
      </w:r>
      <w:r>
        <w:fldChar w:fldCharType="begin"/>
      </w:r>
      <w:r>
        <w:instrText xml:space="preserve"> STYLEREF 1 \s </w:instrText>
      </w:r>
      <w:r>
        <w:fldChar w:fldCharType="separate"/>
      </w:r>
      <w:r w:rsidR="00B80BC7">
        <w:rPr>
          <w:noProof/>
        </w:rPr>
        <w:t>5</w:t>
      </w:r>
      <w:r>
        <w:fldChar w:fldCharType="end"/>
      </w:r>
      <w:r>
        <w:t>.</w:t>
      </w:r>
      <w:r>
        <w:fldChar w:fldCharType="begin"/>
      </w:r>
      <w:r>
        <w:instrText xml:space="preserve"> SEQ Table \* ARABIC \s 1 </w:instrText>
      </w:r>
      <w:r>
        <w:fldChar w:fldCharType="separate"/>
      </w:r>
      <w:r w:rsidR="00B80BC7">
        <w:rPr>
          <w:noProof/>
        </w:rPr>
        <w:t>6</w:t>
      </w:r>
      <w:r>
        <w:fldChar w:fldCharType="end"/>
      </w:r>
      <w:bookmarkEnd w:id="224"/>
      <w:r>
        <w:tab/>
        <w:t>Indicative timeline for the tariff review</w:t>
      </w:r>
      <w:bookmarkEnd w:id="225"/>
    </w:p>
    <w:tbl>
      <w:tblPr>
        <w:tblW w:w="4232" w:type="pct"/>
        <w:tblBorders>
          <w:top w:val="single" w:sz="12" w:space="0" w:color="333399"/>
          <w:bottom w:val="single" w:sz="12" w:space="0" w:color="333399"/>
        </w:tblBorders>
        <w:tblCellMar>
          <w:left w:w="115" w:type="dxa"/>
          <w:right w:w="115" w:type="dxa"/>
        </w:tblCellMar>
        <w:tblLook w:val="0000" w:firstRow="0" w:lastRow="0" w:firstColumn="0" w:lastColumn="0" w:noHBand="0" w:noVBand="0"/>
      </w:tblPr>
      <w:tblGrid>
        <w:gridCol w:w="4368"/>
        <w:gridCol w:w="2159"/>
      </w:tblGrid>
      <w:tr w:rsidR="00EF7975" w:rsidRPr="00144F8C" w:rsidTr="002D1746">
        <w:trPr>
          <w:cantSplit/>
        </w:trPr>
        <w:tc>
          <w:tcPr>
            <w:tcW w:w="3346" w:type="pct"/>
            <w:tcBorders>
              <w:top w:val="single" w:sz="12" w:space="0" w:color="1F497D" w:themeColor="text2"/>
              <w:left w:val="nil"/>
              <w:bottom w:val="single" w:sz="8" w:space="0" w:color="1F497D" w:themeColor="text2"/>
              <w:right w:val="nil"/>
            </w:tcBorders>
            <w:shd w:val="clear" w:color="auto" w:fill="DBE5F1" w:themeFill="accent1" w:themeFillTint="33"/>
            <w:vAlign w:val="bottom"/>
          </w:tcPr>
          <w:p w:rsidR="00EF7975" w:rsidRPr="00347ADB" w:rsidRDefault="00EF7975" w:rsidP="00CC730F">
            <w:pPr>
              <w:pStyle w:val="TableHeadingLeft"/>
              <w:keepNext/>
            </w:pPr>
            <w:r w:rsidRPr="00901DA4">
              <w:t>Task</w:t>
            </w:r>
          </w:p>
        </w:tc>
        <w:tc>
          <w:tcPr>
            <w:tcW w:w="1654" w:type="pct"/>
            <w:tcBorders>
              <w:top w:val="single" w:sz="12" w:space="0" w:color="1F497D" w:themeColor="text2"/>
              <w:left w:val="nil"/>
              <w:bottom w:val="single" w:sz="8" w:space="0" w:color="1F497D" w:themeColor="text2"/>
              <w:right w:val="nil"/>
            </w:tcBorders>
            <w:shd w:val="clear" w:color="auto" w:fill="DBE5F1" w:themeFill="accent1" w:themeFillTint="33"/>
            <w:vAlign w:val="bottom"/>
          </w:tcPr>
          <w:p w:rsidR="00EF7975" w:rsidRPr="00347ADB" w:rsidRDefault="00EF7975" w:rsidP="00CC730F">
            <w:pPr>
              <w:pStyle w:val="TableHeadingLeft"/>
              <w:keepNext/>
            </w:pPr>
            <w:r w:rsidRPr="00901DA4">
              <w:t>Date</w:t>
            </w:r>
          </w:p>
        </w:tc>
      </w:tr>
      <w:tr w:rsidR="00EF7975" w:rsidRPr="00144F8C" w:rsidTr="002D1746">
        <w:trPr>
          <w:cantSplit/>
        </w:trPr>
        <w:tc>
          <w:tcPr>
            <w:tcW w:w="3346" w:type="pct"/>
            <w:tcBorders>
              <w:top w:val="nil"/>
              <w:left w:val="nil"/>
              <w:bottom w:val="nil"/>
              <w:right w:val="nil"/>
            </w:tcBorders>
          </w:tcPr>
          <w:p w:rsidR="00EF7975" w:rsidRPr="00DD58D7" w:rsidRDefault="00EF7975" w:rsidP="00CC730F">
            <w:pPr>
              <w:pStyle w:val="TableHeadingLeft"/>
              <w:keepNext/>
            </w:pPr>
            <w:r>
              <w:t>Release of i</w:t>
            </w:r>
            <w:r w:rsidRPr="00DD58D7">
              <w:t>ssues paper</w:t>
            </w:r>
          </w:p>
        </w:tc>
        <w:tc>
          <w:tcPr>
            <w:tcW w:w="1654" w:type="pct"/>
            <w:tcBorders>
              <w:top w:val="nil"/>
              <w:left w:val="nil"/>
              <w:bottom w:val="nil"/>
              <w:right w:val="nil"/>
            </w:tcBorders>
          </w:tcPr>
          <w:p w:rsidR="00EF7975" w:rsidRPr="00DD58D7" w:rsidRDefault="00EF7975" w:rsidP="00CC730F">
            <w:pPr>
              <w:pStyle w:val="TableHeadingLeft"/>
              <w:keepNext/>
            </w:pPr>
            <w:r>
              <w:t xml:space="preserve">23 </w:t>
            </w:r>
            <w:r w:rsidRPr="00DD58D7">
              <w:t>Nov</w:t>
            </w:r>
            <w:r>
              <w:t>ember</w:t>
            </w:r>
            <w:r w:rsidRPr="00DD58D7">
              <w:t xml:space="preserve"> 2015</w:t>
            </w:r>
          </w:p>
        </w:tc>
      </w:tr>
      <w:tr w:rsidR="00EF7975" w:rsidRPr="00144F8C" w:rsidTr="002D1746">
        <w:trPr>
          <w:cantSplit/>
        </w:trPr>
        <w:tc>
          <w:tcPr>
            <w:tcW w:w="3346" w:type="pct"/>
            <w:tcBorders>
              <w:top w:val="nil"/>
              <w:left w:val="nil"/>
              <w:bottom w:val="nil"/>
              <w:right w:val="nil"/>
            </w:tcBorders>
          </w:tcPr>
          <w:p w:rsidR="00EF7975" w:rsidRPr="00DD58D7" w:rsidRDefault="00EF7975" w:rsidP="00CC730F">
            <w:pPr>
              <w:pStyle w:val="TableHeadingLeft"/>
              <w:keepNext/>
            </w:pPr>
            <w:r>
              <w:t>Release of t</w:t>
            </w:r>
            <w:r w:rsidRPr="00DD58D7">
              <w:t>echnical paper 1</w:t>
            </w:r>
            <w:r>
              <w:t>: Water demand elasticity</w:t>
            </w:r>
          </w:p>
        </w:tc>
        <w:tc>
          <w:tcPr>
            <w:tcW w:w="1654" w:type="pct"/>
            <w:tcBorders>
              <w:top w:val="nil"/>
              <w:left w:val="nil"/>
              <w:bottom w:val="nil"/>
              <w:right w:val="nil"/>
            </w:tcBorders>
          </w:tcPr>
          <w:p w:rsidR="00EF7975" w:rsidRPr="00DD58D7" w:rsidRDefault="00EF7975" w:rsidP="00CC730F">
            <w:pPr>
              <w:pStyle w:val="TableHeadingLeft"/>
              <w:keepNext/>
            </w:pPr>
            <w:r>
              <w:t xml:space="preserve">29 </w:t>
            </w:r>
            <w:r w:rsidRPr="00DD58D7">
              <w:t>Feb</w:t>
            </w:r>
            <w:r>
              <w:t>ruary</w:t>
            </w:r>
            <w:r w:rsidRPr="00DD58D7">
              <w:t xml:space="preserve"> 2016</w:t>
            </w:r>
          </w:p>
        </w:tc>
      </w:tr>
      <w:tr w:rsidR="00EF7975" w:rsidRPr="00144F8C" w:rsidTr="002D1746">
        <w:trPr>
          <w:cantSplit/>
        </w:trPr>
        <w:tc>
          <w:tcPr>
            <w:tcW w:w="3346" w:type="pct"/>
            <w:tcBorders>
              <w:top w:val="nil"/>
              <w:left w:val="nil"/>
              <w:bottom w:val="nil"/>
              <w:right w:val="nil"/>
            </w:tcBorders>
          </w:tcPr>
          <w:p w:rsidR="00EF7975" w:rsidRPr="00C148FE" w:rsidRDefault="00EF7975" w:rsidP="00CC730F">
            <w:pPr>
              <w:pStyle w:val="TableTextLeft"/>
              <w:keepNext/>
              <w:rPr>
                <w:b/>
              </w:rPr>
            </w:pPr>
            <w:r w:rsidRPr="00C148FE">
              <w:rPr>
                <w:b/>
              </w:rPr>
              <w:t xml:space="preserve">Release of </w:t>
            </w:r>
            <w:r>
              <w:rPr>
                <w:b/>
              </w:rPr>
              <w:t>t</w:t>
            </w:r>
            <w:r w:rsidRPr="00C148FE">
              <w:rPr>
                <w:b/>
              </w:rPr>
              <w:t>echnical paper 2: Marginal cost pricing</w:t>
            </w:r>
          </w:p>
        </w:tc>
        <w:tc>
          <w:tcPr>
            <w:tcW w:w="1654" w:type="pct"/>
            <w:tcBorders>
              <w:top w:val="nil"/>
              <w:left w:val="nil"/>
              <w:bottom w:val="nil"/>
              <w:right w:val="nil"/>
            </w:tcBorders>
          </w:tcPr>
          <w:p w:rsidR="00EF7975" w:rsidRPr="00C148FE" w:rsidRDefault="00EF7975" w:rsidP="00CC730F">
            <w:pPr>
              <w:pStyle w:val="TableTextLeft"/>
              <w:keepNext/>
              <w:rPr>
                <w:b/>
              </w:rPr>
            </w:pPr>
            <w:r>
              <w:rPr>
                <w:b/>
              </w:rPr>
              <w:t>17 June</w:t>
            </w:r>
            <w:r w:rsidRPr="00C148FE">
              <w:rPr>
                <w:b/>
              </w:rPr>
              <w:t xml:space="preserve"> 2016</w:t>
            </w:r>
          </w:p>
        </w:tc>
      </w:tr>
      <w:tr w:rsidR="00EF7975" w:rsidRPr="00144F8C" w:rsidTr="002D1746">
        <w:trPr>
          <w:cantSplit/>
          <w:trHeight w:val="318"/>
        </w:trPr>
        <w:tc>
          <w:tcPr>
            <w:tcW w:w="3346" w:type="pct"/>
            <w:tcBorders>
              <w:top w:val="nil"/>
              <w:left w:val="nil"/>
              <w:bottom w:val="nil"/>
              <w:right w:val="nil"/>
            </w:tcBorders>
          </w:tcPr>
          <w:p w:rsidR="00EF7975" w:rsidRPr="009A6325" w:rsidRDefault="00EF7975" w:rsidP="00CC730F">
            <w:pPr>
              <w:pStyle w:val="TableTextLeft"/>
              <w:keepNext/>
              <w:rPr>
                <w:b/>
              </w:rPr>
            </w:pPr>
            <w:r w:rsidRPr="009A6325">
              <w:rPr>
                <w:b/>
              </w:rPr>
              <w:t>Release of draft report</w:t>
            </w:r>
          </w:p>
        </w:tc>
        <w:tc>
          <w:tcPr>
            <w:tcW w:w="1654" w:type="pct"/>
            <w:tcBorders>
              <w:top w:val="nil"/>
              <w:left w:val="nil"/>
              <w:bottom w:val="nil"/>
              <w:right w:val="nil"/>
            </w:tcBorders>
          </w:tcPr>
          <w:p w:rsidR="00EF7975" w:rsidRPr="009A6325" w:rsidRDefault="00DE09C6">
            <w:pPr>
              <w:pStyle w:val="TableTextLeft"/>
              <w:keepNext/>
              <w:rPr>
                <w:b/>
              </w:rPr>
            </w:pPr>
            <w:r w:rsidRPr="009A6325">
              <w:rPr>
                <w:b/>
              </w:rPr>
              <w:t>6</w:t>
            </w:r>
            <w:r w:rsidR="00EF7975" w:rsidRPr="009A6325">
              <w:rPr>
                <w:b/>
              </w:rPr>
              <w:t xml:space="preserve"> September 2016</w:t>
            </w:r>
          </w:p>
        </w:tc>
      </w:tr>
      <w:tr w:rsidR="00EF7975" w:rsidRPr="00144F8C" w:rsidTr="002D1746">
        <w:trPr>
          <w:cantSplit/>
          <w:trHeight w:val="200"/>
        </w:trPr>
        <w:tc>
          <w:tcPr>
            <w:tcW w:w="3346" w:type="pct"/>
            <w:tcBorders>
              <w:top w:val="nil"/>
              <w:left w:val="nil"/>
              <w:bottom w:val="nil"/>
              <w:right w:val="nil"/>
            </w:tcBorders>
          </w:tcPr>
          <w:p w:rsidR="00EF7975" w:rsidRPr="00A40501" w:rsidRDefault="00EF7975" w:rsidP="00CC730F">
            <w:pPr>
              <w:pStyle w:val="TableTextLeft"/>
              <w:keepNext/>
            </w:pPr>
            <w:r w:rsidRPr="00DD58D7">
              <w:t>Public forum</w:t>
            </w:r>
          </w:p>
        </w:tc>
        <w:tc>
          <w:tcPr>
            <w:tcW w:w="1654" w:type="pct"/>
            <w:tcBorders>
              <w:top w:val="nil"/>
              <w:left w:val="nil"/>
              <w:bottom w:val="nil"/>
              <w:right w:val="nil"/>
            </w:tcBorders>
          </w:tcPr>
          <w:p w:rsidR="00EF7975" w:rsidRPr="00A40501" w:rsidRDefault="00DE09C6">
            <w:pPr>
              <w:pStyle w:val="TableTextLeft"/>
              <w:keepNext/>
            </w:pPr>
            <w:r>
              <w:t>November</w:t>
            </w:r>
            <w:r w:rsidR="00EF7975">
              <w:t xml:space="preserve"> </w:t>
            </w:r>
            <w:r w:rsidR="00EF7975" w:rsidRPr="00A40501">
              <w:t>2016</w:t>
            </w:r>
          </w:p>
        </w:tc>
      </w:tr>
      <w:tr w:rsidR="00EF7975" w:rsidRPr="00144F8C" w:rsidTr="002D1746">
        <w:trPr>
          <w:cantSplit/>
        </w:trPr>
        <w:tc>
          <w:tcPr>
            <w:tcW w:w="3346" w:type="pct"/>
            <w:tcBorders>
              <w:top w:val="nil"/>
              <w:left w:val="nil"/>
              <w:bottom w:val="nil"/>
              <w:right w:val="nil"/>
            </w:tcBorders>
          </w:tcPr>
          <w:p w:rsidR="00EF7975" w:rsidRPr="00A40501" w:rsidRDefault="00EF7975" w:rsidP="00CC730F">
            <w:pPr>
              <w:pStyle w:val="TableTextLeft"/>
              <w:keepNext/>
            </w:pPr>
            <w:r>
              <w:t>Submissions on draft report close</w:t>
            </w:r>
          </w:p>
        </w:tc>
        <w:tc>
          <w:tcPr>
            <w:tcW w:w="1654" w:type="pct"/>
            <w:tcBorders>
              <w:top w:val="nil"/>
              <w:left w:val="nil"/>
              <w:bottom w:val="nil"/>
              <w:right w:val="nil"/>
            </w:tcBorders>
          </w:tcPr>
          <w:p w:rsidR="00EF7975" w:rsidRPr="00A40501" w:rsidRDefault="00DE09C6">
            <w:pPr>
              <w:pStyle w:val="TableTextLeft"/>
              <w:keepNext/>
            </w:pPr>
            <w:r>
              <w:t>30</w:t>
            </w:r>
            <w:r w:rsidR="00EF7975">
              <w:t xml:space="preserve"> </w:t>
            </w:r>
            <w:r>
              <w:t xml:space="preserve">November </w:t>
            </w:r>
            <w:r w:rsidR="00EF7975">
              <w:t>2016</w:t>
            </w:r>
          </w:p>
        </w:tc>
      </w:tr>
      <w:tr w:rsidR="00EF7975" w:rsidRPr="00144F8C" w:rsidTr="002D1746">
        <w:trPr>
          <w:cantSplit/>
        </w:trPr>
        <w:tc>
          <w:tcPr>
            <w:tcW w:w="3346" w:type="pct"/>
            <w:tcBorders>
              <w:top w:val="nil"/>
              <w:left w:val="nil"/>
              <w:bottom w:val="single" w:sz="12" w:space="0" w:color="1F497D" w:themeColor="text2"/>
              <w:right w:val="nil"/>
            </w:tcBorders>
          </w:tcPr>
          <w:p w:rsidR="00EF7975" w:rsidRPr="00A40501" w:rsidRDefault="00EF7975" w:rsidP="00CC730F">
            <w:pPr>
              <w:pStyle w:val="TableTextLeft"/>
              <w:keepNext/>
            </w:pPr>
            <w:r w:rsidRPr="00DD58D7">
              <w:t>Final report</w:t>
            </w:r>
          </w:p>
        </w:tc>
        <w:tc>
          <w:tcPr>
            <w:tcW w:w="1654" w:type="pct"/>
            <w:tcBorders>
              <w:top w:val="nil"/>
              <w:left w:val="nil"/>
              <w:bottom w:val="single" w:sz="12" w:space="0" w:color="1F497D" w:themeColor="text2"/>
              <w:right w:val="nil"/>
            </w:tcBorders>
          </w:tcPr>
          <w:p w:rsidR="00EF7975" w:rsidRPr="00A40501" w:rsidRDefault="00783F30">
            <w:pPr>
              <w:pStyle w:val="TableTextLeft"/>
              <w:keepNext/>
            </w:pPr>
            <w:r>
              <w:t xml:space="preserve">January </w:t>
            </w:r>
            <w:r w:rsidR="00EF7975" w:rsidRPr="00A40501">
              <w:t>201</w:t>
            </w:r>
            <w:r>
              <w:t>7</w:t>
            </w:r>
          </w:p>
        </w:tc>
      </w:tr>
    </w:tbl>
    <w:p w:rsidR="00EF7975" w:rsidRDefault="00EF7975" w:rsidP="00EF7975"/>
    <w:p w:rsidR="00EF7975" w:rsidRDefault="002D1746" w:rsidP="00EF7975">
      <w:r>
        <w:t xml:space="preserve">The Commission welcomes submissions from stakeholders on the draft report by the </w:t>
      </w:r>
      <w:r w:rsidR="00EF7975" w:rsidRPr="005662AB">
        <w:t xml:space="preserve">closing date </w:t>
      </w:r>
      <w:r>
        <w:t xml:space="preserve">of </w:t>
      </w:r>
      <w:r w:rsidR="00783F30" w:rsidRPr="003949F4">
        <w:rPr>
          <w:b/>
        </w:rPr>
        <w:t>30 November 2016</w:t>
      </w:r>
      <w:r w:rsidR="00EF7975" w:rsidRPr="005662AB">
        <w:t>.</w:t>
      </w:r>
      <w:r>
        <w:t xml:space="preserve"> The Commission is also intending to hold a public forum to discuss the draft report findings </w:t>
      </w:r>
      <w:r w:rsidR="003C1F48">
        <w:t xml:space="preserve">in </w:t>
      </w:r>
      <w:r w:rsidR="00783F30">
        <w:t xml:space="preserve">November </w:t>
      </w:r>
      <w:r w:rsidR="003C1F48">
        <w:t xml:space="preserve">2016. </w:t>
      </w:r>
      <w:r w:rsidR="00CB6F6E">
        <w:t>The Commission will advertise details of the timing and location of the forum once they are finalised.</w:t>
      </w:r>
    </w:p>
    <w:p w:rsidR="00541770" w:rsidRDefault="00541770" w:rsidP="002B6726">
      <w:pPr>
        <w:rPr>
          <w:b/>
          <w:lang w:val="en-AU"/>
        </w:rPr>
      </w:pPr>
    </w:p>
    <w:p w:rsidR="00541770" w:rsidRPr="00C63BD3" w:rsidRDefault="00541770" w:rsidP="002B6726">
      <w:pPr>
        <w:rPr>
          <w:b/>
          <w:lang w:val="en-AU"/>
        </w:rPr>
      </w:pPr>
    </w:p>
    <w:p w:rsidR="00C6744A" w:rsidRDefault="00C6744A" w:rsidP="00C6744A">
      <w:pPr>
        <w:sectPr w:rsidR="00C6744A" w:rsidSect="001452C0">
          <w:headerReference w:type="even" r:id="rId75"/>
          <w:headerReference w:type="default" r:id="rId76"/>
          <w:endnotePr>
            <w:numFmt w:val="decimal"/>
            <w:numRestart w:val="eachSect"/>
          </w:endnotePr>
          <w:type w:val="continuous"/>
          <w:pgSz w:w="11907" w:h="16840" w:code="9"/>
          <w:pgMar w:top="2245" w:right="2098" w:bottom="1701" w:left="2098" w:header="578" w:footer="578" w:gutter="0"/>
          <w:cols w:space="720"/>
          <w:noEndnote/>
          <w:docGrid w:linePitch="299"/>
        </w:sectPr>
      </w:pPr>
    </w:p>
    <w:p w:rsidR="00C6744A" w:rsidRDefault="00F65C69" w:rsidP="009A0293">
      <w:pPr>
        <w:pStyle w:val="HeadingAppendix1"/>
        <w:numPr>
          <w:ilvl w:val="0"/>
          <w:numId w:val="31"/>
        </w:numPr>
      </w:pPr>
      <w:bookmarkStart w:id="226" w:name="_Ref454880637"/>
      <w:bookmarkStart w:id="227" w:name="_Toc460572231"/>
      <w:r>
        <w:lastRenderedPageBreak/>
        <w:t>Summary of submissions</w:t>
      </w:r>
      <w:bookmarkEnd w:id="226"/>
      <w:bookmarkEnd w:id="227"/>
      <w:r>
        <w:t xml:space="preserve"> </w:t>
      </w:r>
    </w:p>
    <w:p w:rsidR="00C6744A" w:rsidRDefault="00C6744A" w:rsidP="00C6744A">
      <w:pPr>
        <w:sectPr w:rsidR="00C6744A" w:rsidSect="00FD0141">
          <w:headerReference w:type="even" r:id="rId77"/>
          <w:headerReference w:type="default" r:id="rId78"/>
          <w:endnotePr>
            <w:numFmt w:val="decimal"/>
          </w:endnotePr>
          <w:type w:val="oddPage"/>
          <w:pgSz w:w="11907" w:h="16840" w:code="9"/>
          <w:pgMar w:top="2268" w:right="2098" w:bottom="1701" w:left="2098" w:header="578" w:footer="578" w:gutter="0"/>
          <w:cols w:space="720"/>
          <w:docGrid w:linePitch="360"/>
        </w:sectPr>
      </w:pPr>
    </w:p>
    <w:p w:rsidR="00F65C69" w:rsidRDefault="00F65C69" w:rsidP="00F65C69">
      <w:pPr>
        <w:pStyle w:val="HeadingAppendix2"/>
      </w:pPr>
      <w:bookmarkStart w:id="228" w:name="_Toc460572232"/>
      <w:r>
        <w:t>Icon Water</w:t>
      </w:r>
      <w:bookmarkEnd w:id="228"/>
    </w:p>
    <w:p w:rsidR="00F65C69" w:rsidRDefault="009B5988" w:rsidP="00F22E2F">
      <w:pPr>
        <w:pStyle w:val="HeadingAppendix3"/>
      </w:pPr>
      <w:r>
        <w:t>Initial r</w:t>
      </w:r>
      <w:r w:rsidR="00F65C69">
        <w:t>esponse to issues paper</w:t>
      </w:r>
    </w:p>
    <w:p w:rsidR="00F65C69" w:rsidRDefault="00F65C69" w:rsidP="00F65C69">
      <w:r>
        <w:t>Icon Water’s first submission, provided in response to the issues paper, makes a number of key points.</w:t>
      </w:r>
    </w:p>
    <w:p w:rsidR="00F65C69" w:rsidRDefault="00F65C69" w:rsidP="00F65C69">
      <w:pPr>
        <w:pStyle w:val="Heading4"/>
      </w:pPr>
      <w:r w:rsidRPr="008A2184">
        <w:t>National commitments</w:t>
      </w:r>
    </w:p>
    <w:p w:rsidR="00F65C69" w:rsidRPr="008A2184" w:rsidRDefault="00F65C69" w:rsidP="00F65C69">
      <w:r>
        <w:t>T</w:t>
      </w:r>
      <w:r w:rsidRPr="008A2184">
        <w:t xml:space="preserve">he Commission should have regard to the National Water Initiative pricing principles and, in light of the Australian Government’s response to the Harper review of competition policy, should take into account any consensus among other jurisdictional regulators as to what constitutes best </w:t>
      </w:r>
      <w:r>
        <w:t xml:space="preserve">water </w:t>
      </w:r>
      <w:r w:rsidRPr="008A2184">
        <w:t>pricing practice.</w:t>
      </w:r>
    </w:p>
    <w:p w:rsidR="00F65C69" w:rsidRDefault="00F65C69" w:rsidP="00F65C69">
      <w:pPr>
        <w:pStyle w:val="Heading4"/>
      </w:pPr>
      <w:r>
        <w:t>Form of price control</w:t>
      </w:r>
    </w:p>
    <w:p w:rsidR="00F65C69" w:rsidRPr="008A2184" w:rsidRDefault="00F65C69" w:rsidP="00F65C69">
      <w:r>
        <w:t>A</w:t>
      </w:r>
      <w:r w:rsidRPr="008A2184">
        <w:t>s the tariff review is being undertake in advance of decisions on the form of price control to apply from 1 July 2018, the review should maintain an open stance on the question of whether the Commission or Icon Water will have responsibility for setting tariff structures.</w:t>
      </w:r>
    </w:p>
    <w:p w:rsidR="00F65C69" w:rsidRDefault="00F65C69" w:rsidP="00F65C69">
      <w:pPr>
        <w:pStyle w:val="Heading4"/>
      </w:pPr>
      <w:r w:rsidRPr="008A2184">
        <w:t xml:space="preserve">Objectives and principles </w:t>
      </w:r>
    </w:p>
    <w:p w:rsidR="00F65C69" w:rsidRDefault="00F65C69" w:rsidP="00F65C69">
      <w:r w:rsidRPr="008A2184">
        <w:t xml:space="preserve">Icon Water supports the proposed </w:t>
      </w:r>
      <w:r>
        <w:t xml:space="preserve">overarching economic regulation </w:t>
      </w:r>
      <w:r w:rsidRPr="008A2184">
        <w:t xml:space="preserve">objective and </w:t>
      </w:r>
      <w:r>
        <w:t xml:space="preserve">pricing </w:t>
      </w:r>
      <w:r w:rsidRPr="008A2184">
        <w:t>principles set out in the issues paper</w:t>
      </w:r>
      <w:r>
        <w:t xml:space="preserve"> stating:</w:t>
      </w:r>
    </w:p>
    <w:p w:rsidR="00F65C69" w:rsidRDefault="00F65C69" w:rsidP="00F65C69">
      <w:pPr>
        <w:pStyle w:val="Quote"/>
      </w:pPr>
      <w:r>
        <w:t>The use of a single, overarching objective will allow for more transparent and evidence-based analysis of alternative tariff structures and it is appropriate that the objective be defined in terms of the welfare of Icon Water customers over the long term.</w:t>
      </w:r>
      <w:r>
        <w:rPr>
          <w:rStyle w:val="FootnoteReference"/>
        </w:rPr>
        <w:footnoteReference w:id="86"/>
      </w:r>
    </w:p>
    <w:p w:rsidR="00F65C69" w:rsidRDefault="00F65C69" w:rsidP="00F65C69">
      <w:r w:rsidRPr="00375C9B">
        <w:t>Icon Water also submitted that</w:t>
      </w:r>
      <w:r>
        <w:t xml:space="preserve"> customer impact considerations are mainly restricted to decisions on the length of the transition period to avoid compromising the ultimate goal of a welfare-maximising tariff structure.</w:t>
      </w:r>
    </w:p>
    <w:p w:rsidR="00F65C69" w:rsidRDefault="00F65C69" w:rsidP="00F65C69">
      <w:pPr>
        <w:pStyle w:val="Heading4"/>
      </w:pPr>
      <w:r>
        <w:t>Uneconomic bypass</w:t>
      </w:r>
    </w:p>
    <w:p w:rsidR="00F65C69" w:rsidRDefault="00F65C69" w:rsidP="00F65C69">
      <w:r>
        <w:t>Icon Water submits that one of the primary issues for the review is the role of tariff structures in discouraging uneconomic bypass:</w:t>
      </w:r>
    </w:p>
    <w:p w:rsidR="00F65C69" w:rsidRPr="008A2184" w:rsidRDefault="00F65C69" w:rsidP="00F65C69">
      <w:pPr>
        <w:pStyle w:val="Quote"/>
      </w:pPr>
      <w:r>
        <w:t xml:space="preserve">Significant welfare </w:t>
      </w:r>
      <w:r>
        <w:rPr>
          <w:color w:val="4C4C4E"/>
        </w:rPr>
        <w:t xml:space="preserve">losses </w:t>
      </w:r>
      <w:r>
        <w:t>would be avoided by reducing the Tier 2 price</w:t>
      </w:r>
      <w:r>
        <w:rPr>
          <w:color w:val="69686C"/>
        </w:rPr>
        <w:t xml:space="preserve">, </w:t>
      </w:r>
      <w:r>
        <w:t xml:space="preserve">at </w:t>
      </w:r>
      <w:r>
        <w:rPr>
          <w:color w:val="4C4C4E"/>
        </w:rPr>
        <w:t xml:space="preserve">least </w:t>
      </w:r>
      <w:r>
        <w:t>for non-residential customers</w:t>
      </w:r>
      <w:r>
        <w:rPr>
          <w:color w:val="69686C"/>
        </w:rPr>
        <w:t xml:space="preserve">, </w:t>
      </w:r>
      <w:r>
        <w:rPr>
          <w:color w:val="4C4C4E"/>
        </w:rPr>
        <w:t xml:space="preserve">in </w:t>
      </w:r>
      <w:r>
        <w:t xml:space="preserve">order to prevent uneconomic bypass </w:t>
      </w:r>
      <w:r>
        <w:rPr>
          <w:color w:val="4C4C4E"/>
        </w:rPr>
        <w:t xml:space="preserve">of </w:t>
      </w:r>
      <w:r>
        <w:t xml:space="preserve">the primary water </w:t>
      </w:r>
      <w:r>
        <w:lastRenderedPageBreak/>
        <w:t xml:space="preserve">network and better utilise the water supply security </w:t>
      </w:r>
      <w:r>
        <w:rPr>
          <w:color w:val="4C4C4E"/>
        </w:rPr>
        <w:t xml:space="preserve">in </w:t>
      </w:r>
      <w:r>
        <w:t xml:space="preserve">which Icon Water on behalf </w:t>
      </w:r>
      <w:r>
        <w:rPr>
          <w:color w:val="4C4C4E"/>
        </w:rPr>
        <w:t xml:space="preserve">of customers </w:t>
      </w:r>
      <w:r>
        <w:t xml:space="preserve">has already </w:t>
      </w:r>
      <w:r>
        <w:rPr>
          <w:color w:val="4C4C4E"/>
        </w:rPr>
        <w:t>invested</w:t>
      </w:r>
      <w:r>
        <w:rPr>
          <w:color w:val="69686C"/>
        </w:rPr>
        <w:t>.</w:t>
      </w:r>
      <w:r>
        <w:rPr>
          <w:rStyle w:val="FootnoteReference"/>
          <w:color w:val="69686C"/>
        </w:rPr>
        <w:footnoteReference w:id="87"/>
      </w:r>
    </w:p>
    <w:p w:rsidR="00F65C69" w:rsidRDefault="00F65C69" w:rsidP="00F65C69">
      <w:pPr>
        <w:pStyle w:val="Heading4"/>
      </w:pPr>
      <w:r>
        <w:t>Drought pricing</w:t>
      </w:r>
    </w:p>
    <w:p w:rsidR="00F65C69" w:rsidRDefault="00F65C69" w:rsidP="00F65C69">
      <w:r>
        <w:t xml:space="preserve">Icon Water submits that it continues to support the implementation of a revenue-neutral drought pricing scheme that would involve changing water </w:t>
      </w:r>
      <w:r w:rsidR="00535E01">
        <w:t xml:space="preserve">usage </w:t>
      </w:r>
      <w:r>
        <w:t>prices to account for expectations about demand when changes in water restrictions occur.</w:t>
      </w:r>
    </w:p>
    <w:p w:rsidR="00F65C69" w:rsidRDefault="00F65C69" w:rsidP="00F65C69">
      <w:pPr>
        <w:pStyle w:val="Heading4"/>
      </w:pPr>
      <w:r>
        <w:t>Trade waste</w:t>
      </w:r>
    </w:p>
    <w:p w:rsidR="00F65C69" w:rsidRDefault="00F65C69" w:rsidP="00F65C69">
      <w:r>
        <w:t>Icon Water submits that its trade waste policy and charging regime, currently under development, will provide price signals about the cost of dealing with liquid trade waste to provide incentives for customers to undertake pre-treatment where this would reduce overall costs.</w:t>
      </w:r>
    </w:p>
    <w:p w:rsidR="00F65C69" w:rsidRDefault="009B5988" w:rsidP="00F22E2F">
      <w:pPr>
        <w:pStyle w:val="HeadingAppendix3"/>
      </w:pPr>
      <w:r>
        <w:t>S</w:t>
      </w:r>
      <w:r w:rsidR="00F65C69">
        <w:t>ubmission</w:t>
      </w:r>
      <w:r>
        <w:t xml:space="preserve"> on tariff structure</w:t>
      </w:r>
    </w:p>
    <w:p w:rsidR="0035232F" w:rsidRDefault="00F65C69" w:rsidP="00F65C69">
      <w:r>
        <w:t xml:space="preserve">Icon Water’s second submission </w:t>
      </w:r>
      <w:r w:rsidR="009B5988">
        <w:t xml:space="preserve">to the tariff review agrees with the finding of the Commission’s technical paper on marginal cost pricing that the </w:t>
      </w:r>
      <w:r w:rsidR="009B5988" w:rsidRPr="009B5988">
        <w:t>current water tariff structure does not appear to be providing suitable price signals to customers about the efficient use of the service infrastructure and water resource</w:t>
      </w:r>
      <w:r w:rsidR="009B5988">
        <w:t>. Icon Water submits, however, that</w:t>
      </w:r>
      <w:r w:rsidR="0035232F">
        <w:t>:</w:t>
      </w:r>
    </w:p>
    <w:p w:rsidR="00F65C69" w:rsidRDefault="009B5988" w:rsidP="0035232F">
      <w:pPr>
        <w:pStyle w:val="Quote"/>
      </w:pPr>
      <w:r w:rsidRPr="009B5988">
        <w:t>based on our analysis and customer engagement to date, we are of the view that it would not be appropriate to move directly to fully cost-reflective tariffs within a five-year regulatory period</w:t>
      </w:r>
      <w:r>
        <w:t>.</w:t>
      </w:r>
      <w:r>
        <w:rPr>
          <w:rStyle w:val="FootnoteReference"/>
        </w:rPr>
        <w:footnoteReference w:id="88"/>
      </w:r>
    </w:p>
    <w:p w:rsidR="009B5988" w:rsidRDefault="00474171" w:rsidP="00F65C69">
      <w:r>
        <w:t>Icon Water submits that it intends to discuss the following proposed direction for tariff reform with its customers</w:t>
      </w:r>
      <w:r w:rsidR="00FD1358">
        <w:t xml:space="preserve"> in preparation for its response to the Commission’s draft report on the tariff review</w:t>
      </w:r>
      <w:r>
        <w:t>:</w:t>
      </w:r>
    </w:p>
    <w:p w:rsidR="00474171" w:rsidRDefault="00474171" w:rsidP="00474171">
      <w:pPr>
        <w:pStyle w:val="Bullet"/>
      </w:pPr>
      <w:r>
        <w:t>Working towards a single usage price that applies to all water use and is significantly lower than the current Tier 2 price of $5.24 per kilolitre.</w:t>
      </w:r>
    </w:p>
    <w:p w:rsidR="00474171" w:rsidRDefault="00474171" w:rsidP="00474171">
      <w:pPr>
        <w:pStyle w:val="Bullet"/>
      </w:pPr>
      <w:r>
        <w:t>Introducing separate residential and non-residential tariffs, with a higher supply charge for non-residential customers.</w:t>
      </w:r>
    </w:p>
    <w:p w:rsidR="00474171" w:rsidRDefault="00474171" w:rsidP="00474171">
      <w:pPr>
        <w:pStyle w:val="Bullet"/>
      </w:pPr>
      <w:r>
        <w:t>Introducing a charging regime for liquid trade waste.</w:t>
      </w:r>
    </w:p>
    <w:p w:rsidR="00474171" w:rsidRDefault="00474171" w:rsidP="00474171">
      <w:pPr>
        <w:pStyle w:val="BulletLast"/>
      </w:pPr>
      <w:r>
        <w:t xml:space="preserve">Introducing </w:t>
      </w:r>
      <w:r w:rsidRPr="00474171">
        <w:t>drought</w:t>
      </w:r>
      <w:r>
        <w:t xml:space="preserve"> pricing arrangements.</w:t>
      </w:r>
    </w:p>
    <w:p w:rsidR="005C346E" w:rsidRDefault="005C346E" w:rsidP="00F65C69">
      <w:r>
        <w:t xml:space="preserve">Icon Water </w:t>
      </w:r>
      <w:r w:rsidR="00536C4A">
        <w:t xml:space="preserve">notes </w:t>
      </w:r>
      <w:r w:rsidR="00B72E23">
        <w:t xml:space="preserve">that as </w:t>
      </w:r>
      <w:r w:rsidR="00B72E23" w:rsidRPr="00B72E23">
        <w:t>the marginal cost of sewage discharge represents just seven per cent of the total amount that needs to be recovered in tariffs, which is mostly fixed or sunk expenditure</w:t>
      </w:r>
      <w:r w:rsidR="00536C4A">
        <w:t xml:space="preserve">. Icon Water submits that </w:t>
      </w:r>
      <w:r>
        <w:t xml:space="preserve">there would be limited economic efficiency benefits from introducing a sewage </w:t>
      </w:r>
      <w:r w:rsidR="00535E01">
        <w:t xml:space="preserve">usage </w:t>
      </w:r>
      <w:r>
        <w:t>charge</w:t>
      </w:r>
      <w:r w:rsidR="00536C4A">
        <w:t xml:space="preserve">, but may be </w:t>
      </w:r>
      <w:r w:rsidRPr="005C346E">
        <w:t>significant impacts on individual customer bills.</w:t>
      </w:r>
      <w:r>
        <w:t xml:space="preserve">   </w:t>
      </w:r>
    </w:p>
    <w:p w:rsidR="009B5988" w:rsidRDefault="00B75CBB" w:rsidP="00F65C69">
      <w:r>
        <w:lastRenderedPageBreak/>
        <w:t>Icon Water’s submission</w:t>
      </w:r>
      <w:r w:rsidR="00FD1358">
        <w:t xml:space="preserve"> provide</w:t>
      </w:r>
      <w:r w:rsidR="006930CE">
        <w:t>s</w:t>
      </w:r>
      <w:r w:rsidR="00FD1358">
        <w:t xml:space="preserve"> initial results of customer views on potential tariff structure changes</w:t>
      </w:r>
      <w:r>
        <w:t xml:space="preserve"> </w:t>
      </w:r>
      <w:r w:rsidR="009333D4">
        <w:t xml:space="preserve">arising </w:t>
      </w:r>
      <w:r>
        <w:t>from its</w:t>
      </w:r>
      <w:r w:rsidR="009333D4">
        <w:t xml:space="preserve"> community engagement program</w:t>
      </w:r>
      <w:r w:rsidR="009A6325">
        <w:t>,</w:t>
      </w:r>
      <w:r w:rsidR="009333D4">
        <w:t xml:space="preserve"> Talking Icon Water</w:t>
      </w:r>
      <w:r w:rsidR="00FD1358">
        <w:t>.</w:t>
      </w:r>
      <w:r w:rsidR="00206A6E">
        <w:t xml:space="preserve"> The submission also provided responses to the questions posed by the </w:t>
      </w:r>
      <w:r w:rsidR="003B7CA9">
        <w:t>Commission in the issues paper.</w:t>
      </w:r>
    </w:p>
    <w:p w:rsidR="00F65C69" w:rsidRDefault="00F65C69" w:rsidP="00F65C69">
      <w:pPr>
        <w:pStyle w:val="HeadingAppendix2"/>
      </w:pPr>
      <w:bookmarkStart w:id="229" w:name="_Toc460572233"/>
      <w:r>
        <w:t>ACAT</w:t>
      </w:r>
      <w:bookmarkEnd w:id="229"/>
    </w:p>
    <w:p w:rsidR="00F65C69" w:rsidRDefault="00F65C69" w:rsidP="00F65C69">
      <w:pPr>
        <w:pStyle w:val="References"/>
      </w:pPr>
      <w:r>
        <w:t>ACAT submits that:</w:t>
      </w:r>
    </w:p>
    <w:p w:rsidR="00F65C69" w:rsidRDefault="00F65C69" w:rsidP="00F65C69">
      <w:pPr>
        <w:pStyle w:val="Quote"/>
      </w:pPr>
      <w:r>
        <w:t>the pricing structure for water should encourage conservation and promote the development of bypass &amp; water reuse systems based on the Tier 2 price. This strategy is more likely to develop a system that avoids excessive water restrictions and the resultant revenue problems during periods of drought.</w:t>
      </w:r>
      <w:r>
        <w:rPr>
          <w:rStyle w:val="FootnoteReference"/>
        </w:rPr>
        <w:footnoteReference w:id="89"/>
      </w:r>
    </w:p>
    <w:p w:rsidR="00F65C69" w:rsidRPr="00D65884" w:rsidRDefault="00F65C69" w:rsidP="00F65C69">
      <w:r>
        <w:t>More specifically, ACAT supports keeping the inclining block tariff for water, stating:</w:t>
      </w:r>
    </w:p>
    <w:p w:rsidR="00F65C69" w:rsidRDefault="00F65C69" w:rsidP="00F65C69">
      <w:pPr>
        <w:pStyle w:val="Bullet"/>
      </w:pPr>
      <w:r>
        <w:t xml:space="preserve">the </w:t>
      </w:r>
      <w:r w:rsidR="005A2069">
        <w:t>T</w:t>
      </w:r>
      <w:r>
        <w:t>ier 1 price should be maintained at the current level or lower to provide access to an essential service at a reasonable price; and</w:t>
      </w:r>
    </w:p>
    <w:p w:rsidR="00F65C69" w:rsidRDefault="00F65C69" w:rsidP="00F65C69">
      <w:pPr>
        <w:pStyle w:val="BulletLast"/>
      </w:pPr>
      <w:r>
        <w:t xml:space="preserve">the </w:t>
      </w:r>
      <w:r w:rsidR="005A2069">
        <w:t>T</w:t>
      </w:r>
      <w:r>
        <w:t xml:space="preserve">ier 2 price should be uniform for all customers. </w:t>
      </w:r>
    </w:p>
    <w:p w:rsidR="00F65C69" w:rsidRDefault="00F65C69" w:rsidP="00F65C69">
      <w:r>
        <w:t xml:space="preserve">In relation to sewerage services, ACAT submits that the charging system should ensure that large businesses are paying appropriately for quantity and toxicity of the waste discharged into the sewerage system. </w:t>
      </w:r>
    </w:p>
    <w:p w:rsidR="00F65C69" w:rsidRDefault="00F65C69" w:rsidP="00F65C69">
      <w:pPr>
        <w:pStyle w:val="HeadingAppendix2"/>
      </w:pPr>
      <w:bookmarkStart w:id="230" w:name="_Toc460572234"/>
      <w:r>
        <w:t>ClubsACT</w:t>
      </w:r>
      <w:bookmarkEnd w:id="230"/>
    </w:p>
    <w:p w:rsidR="00F65C69" w:rsidRDefault="00F65C69" w:rsidP="00F65C69">
      <w:r>
        <w:t xml:space="preserve">ClubsACT </w:t>
      </w:r>
      <w:r w:rsidRPr="00FA054B">
        <w:t>submit</w:t>
      </w:r>
      <w:r>
        <w:t>s that more than two-thirds of ACT clubs maintain some form of sport and recreation infrastructure and are facing increasing water costs:</w:t>
      </w:r>
    </w:p>
    <w:p w:rsidR="00F65C69" w:rsidRDefault="00F65C69" w:rsidP="00F65C69">
      <w:pPr>
        <w:pStyle w:val="Quote"/>
      </w:pPr>
      <w:r>
        <w:t>Clubs have experienced increases in water charges over the past decade of over 400%. This dramatically exceeds any reasonable measure of real cost growth, and forces ACT Clubs to endure much higher costs than do their counterparts in other comparable jurisdictions.</w:t>
      </w:r>
      <w:r>
        <w:rPr>
          <w:rStyle w:val="FootnoteReference"/>
        </w:rPr>
        <w:footnoteReference w:id="90"/>
      </w:r>
    </w:p>
    <w:p w:rsidR="00F65C69" w:rsidRDefault="00F65C69" w:rsidP="00F65C69">
      <w:r>
        <w:t>In recognition of the ‘community benefit of clubs and the unreasonable costs they currently face in providing services for the ACT community’, ClubsACT submits that clubs should be provided with:</w:t>
      </w:r>
      <w:r>
        <w:rPr>
          <w:rStyle w:val="FootnoteReference"/>
        </w:rPr>
        <w:footnoteReference w:id="91"/>
      </w:r>
    </w:p>
    <w:p w:rsidR="00F65C69" w:rsidRDefault="00F65C69" w:rsidP="00F65C69">
      <w:pPr>
        <w:pStyle w:val="Bullet"/>
      </w:pPr>
      <w:r>
        <w:t>a tariff that provides a discount on water prices (such as that provided to ACT schools and churches); or</w:t>
      </w:r>
    </w:p>
    <w:p w:rsidR="00F65C69" w:rsidRDefault="00F65C69" w:rsidP="00F65C69">
      <w:pPr>
        <w:pStyle w:val="BulletLast"/>
      </w:pPr>
      <w:r>
        <w:lastRenderedPageBreak/>
        <w:t>be provided with a community service obligation mechanism to reduce water costs.</w:t>
      </w:r>
    </w:p>
    <w:p w:rsidR="000E416F" w:rsidRDefault="000E416F" w:rsidP="00F65C69">
      <w:pPr>
        <w:pStyle w:val="HeadingAppendix2"/>
      </w:pPr>
      <w:bookmarkStart w:id="231" w:name="_Toc460572235"/>
      <w:r>
        <w:t>Federal Golf Club</w:t>
      </w:r>
      <w:bookmarkEnd w:id="231"/>
    </w:p>
    <w:p w:rsidR="00675939" w:rsidRDefault="00675939" w:rsidP="000E416F">
      <w:r>
        <w:t>The Federal Golf Club submitted that</w:t>
      </w:r>
      <w:r w:rsidR="0077173B">
        <w:t xml:space="preserve"> it</w:t>
      </w:r>
      <w:r>
        <w:t>:</w:t>
      </w:r>
      <w:r w:rsidR="00366222">
        <w:rPr>
          <w:rStyle w:val="FootnoteReference"/>
        </w:rPr>
        <w:footnoteReference w:id="92"/>
      </w:r>
    </w:p>
    <w:p w:rsidR="000E416F" w:rsidRDefault="0077173B" w:rsidP="00675939">
      <w:pPr>
        <w:pStyle w:val="Bullet"/>
      </w:pPr>
      <w:r>
        <w:t>supported a move towards a higher supply charge and lower usage charge for water;</w:t>
      </w:r>
    </w:p>
    <w:p w:rsidR="0077173B" w:rsidRDefault="0077173B" w:rsidP="00675939">
      <w:pPr>
        <w:pStyle w:val="Bullet"/>
      </w:pPr>
      <w:r>
        <w:t>did not support a sewerage services usage charge using water use as a proxy as this would disadvantage large water users;</w:t>
      </w:r>
    </w:p>
    <w:p w:rsidR="0077173B" w:rsidRDefault="0077173B" w:rsidP="00675939">
      <w:pPr>
        <w:pStyle w:val="Bullet"/>
      </w:pPr>
      <w:r>
        <w:t>did not support an inclining block tariff but would support a declining block arrangement;</w:t>
      </w:r>
      <w:r w:rsidR="00366222">
        <w:t xml:space="preserve"> and</w:t>
      </w:r>
    </w:p>
    <w:p w:rsidR="0077173B" w:rsidRPr="00366222" w:rsidRDefault="00366222" w:rsidP="00315F81">
      <w:pPr>
        <w:pStyle w:val="BulletLast"/>
      </w:pPr>
      <w:r>
        <w:t>supported consideration of a</w:t>
      </w:r>
      <w:r w:rsidR="0077173B">
        <w:t xml:space="preserve"> </w:t>
      </w:r>
      <w:r>
        <w:t xml:space="preserve">reduced water tariff for not-for-profit community organisations that provide health and social benefits  </w:t>
      </w:r>
    </w:p>
    <w:p w:rsidR="00F65C69" w:rsidRDefault="00F65C69" w:rsidP="00F65C69">
      <w:pPr>
        <w:pStyle w:val="HeadingAppendix2"/>
      </w:pPr>
      <w:bookmarkStart w:id="232" w:name="_Toc460572236"/>
      <w:r>
        <w:t>ACT community</w:t>
      </w:r>
      <w:bookmarkEnd w:id="232"/>
    </w:p>
    <w:p w:rsidR="00F65C69" w:rsidRDefault="00F65C69" w:rsidP="00F65C69">
      <w:r>
        <w:t>Mr Jason Rae supports an inclining block tariff and submits that water charges should be higher than they currently are to encourage water conservation for environmental reasons:</w:t>
      </w:r>
    </w:p>
    <w:p w:rsidR="00F65C69" w:rsidRDefault="00F65C69" w:rsidP="00F65C69">
      <w:pPr>
        <w:pStyle w:val="Quote"/>
      </w:pPr>
      <w:r>
        <w:t>I would have thought it made more sense to charge more in general and a lot more for excessive use.</w:t>
      </w:r>
      <w:r>
        <w:rPr>
          <w:rStyle w:val="FootnoteReference"/>
        </w:rPr>
        <w:footnoteReference w:id="93"/>
      </w:r>
    </w:p>
    <w:p w:rsidR="00F65C69" w:rsidRDefault="00F65C69" w:rsidP="00F65C69">
      <w:r>
        <w:t>Dr Kristine Klugman does not support an inclining block tariff and in particular the doubling of the water charge for ‘water consumption over a very minimal level.’</w:t>
      </w:r>
      <w:r>
        <w:rPr>
          <w:rStyle w:val="FootnoteReference"/>
        </w:rPr>
        <w:footnoteReference w:id="94"/>
      </w:r>
    </w:p>
    <w:p w:rsidR="00F65C69" w:rsidRDefault="00F65C69" w:rsidP="00F65C69">
      <w:r>
        <w:t>Mr Ross Knee, responding to the technical paper on the price elasticity of water demand in the ACT, submits that:</w:t>
      </w:r>
      <w:r w:rsidR="0040022F">
        <w:rPr>
          <w:rStyle w:val="FootnoteReference"/>
        </w:rPr>
        <w:footnoteReference w:id="95"/>
      </w:r>
    </w:p>
    <w:p w:rsidR="00F65C69" w:rsidRDefault="00F65C69" w:rsidP="00F65C69">
      <w:pPr>
        <w:pStyle w:val="Bullet"/>
      </w:pPr>
      <w:r>
        <w:t>the analysis in the paper is flawed as it does not analyse the two tiers separately;</w:t>
      </w:r>
    </w:p>
    <w:p w:rsidR="00F65C69" w:rsidRDefault="00F65C69" w:rsidP="00F65C69">
      <w:pPr>
        <w:pStyle w:val="Bullet"/>
      </w:pPr>
      <w:r>
        <w:t>the analysis should have been done over two periods, pre and post 2010 when temporary water restrictions were lifted, rather than over the entire period 2003 to 2015;</w:t>
      </w:r>
    </w:p>
    <w:p w:rsidR="00F65C69" w:rsidRDefault="00F65C69" w:rsidP="00F65C69">
      <w:pPr>
        <w:pStyle w:val="Bullet"/>
      </w:pPr>
      <w:r>
        <w:t xml:space="preserve">if scarcity pricing is used as a means to reduce water consumption this needs to be implemented before temporary water restrictions are applied and the price increase should only be applied to the second tier price; and   </w:t>
      </w:r>
    </w:p>
    <w:p w:rsidR="001463D0" w:rsidRDefault="00F65C69" w:rsidP="00C8008E">
      <w:pPr>
        <w:pStyle w:val="BulletLast"/>
      </w:pPr>
      <w:r>
        <w:lastRenderedPageBreak/>
        <w:t xml:space="preserve">price reductions to stimulate demand are not a realistic option as Icon Water is subject to environmental sustainability requirements under the </w:t>
      </w:r>
      <w:r w:rsidRPr="000056B2">
        <w:rPr>
          <w:i/>
        </w:rPr>
        <w:t>Territory-owned Corporations Act 1990</w:t>
      </w:r>
      <w:r w:rsidR="00C8008E">
        <w:t>.</w:t>
      </w:r>
    </w:p>
    <w:p w:rsidR="007B586A" w:rsidRDefault="007B586A" w:rsidP="007B586A">
      <w:r>
        <w:t xml:space="preserve">Dr David Denham AM supports the proposed overarching economic efficiency objective as a </w:t>
      </w:r>
      <w:r w:rsidRPr="007B586A">
        <w:t>sound basis for developing a tariff structure</w:t>
      </w:r>
      <w:r w:rsidR="00F9732A">
        <w:t xml:space="preserve">, and agrees that the proposed pricing principles provide an effective basis for assessing current and alternative structures, </w:t>
      </w:r>
      <w:r w:rsidR="003479B9">
        <w:t xml:space="preserve">but argues that social welfare cannot be maximised </w:t>
      </w:r>
      <w:r w:rsidR="00C25CCE">
        <w:t>‘</w:t>
      </w:r>
      <w:r w:rsidR="00C25CCE" w:rsidRPr="00C25CCE">
        <w:t>because the fixed charge component is far too high and does not appropriately reward customers for conserving water</w:t>
      </w:r>
      <w:r w:rsidR="000A64E3">
        <w:t>.</w:t>
      </w:r>
      <w:r w:rsidR="00C25CCE">
        <w:t>’</w:t>
      </w:r>
      <w:r w:rsidR="00C25CCE">
        <w:rPr>
          <w:rStyle w:val="FootnoteReference"/>
        </w:rPr>
        <w:footnoteReference w:id="96"/>
      </w:r>
      <w:r w:rsidR="00C25CCE">
        <w:t xml:space="preserve"> </w:t>
      </w:r>
      <w:r>
        <w:t>Dr Denham submits that the current inclining block water tariff be retained but with:</w:t>
      </w:r>
    </w:p>
    <w:p w:rsidR="007B586A" w:rsidRDefault="007B586A" w:rsidP="007B586A">
      <w:pPr>
        <w:pStyle w:val="Bullet"/>
      </w:pPr>
      <w:r>
        <w:t>a significant reduction in the supply charge; and</w:t>
      </w:r>
    </w:p>
    <w:p w:rsidR="007B586A" w:rsidRDefault="007B586A" w:rsidP="007B586A">
      <w:pPr>
        <w:pStyle w:val="BulletLast"/>
      </w:pPr>
      <w:r>
        <w:t>a significantly reduced price for the first 40 kL of water consumed per quarter.</w:t>
      </w:r>
    </w:p>
    <w:p w:rsidR="007B586A" w:rsidRPr="007B586A" w:rsidRDefault="007B586A" w:rsidP="007B586A"/>
    <w:p w:rsidR="00CA2E35" w:rsidRDefault="00CA2E35" w:rsidP="00C6744A"/>
    <w:p w:rsidR="00CA2E35" w:rsidRDefault="00CA2E35" w:rsidP="00C6744A"/>
    <w:p w:rsidR="00CA2E35" w:rsidRDefault="00CA2E35" w:rsidP="00C6744A"/>
    <w:p w:rsidR="00225372" w:rsidRPr="00C63BD3" w:rsidRDefault="00225372" w:rsidP="00225372">
      <w:pPr>
        <w:rPr>
          <w:b/>
          <w:lang w:val="en-AU"/>
        </w:rPr>
      </w:pPr>
    </w:p>
    <w:p w:rsidR="00225372" w:rsidRDefault="00225372" w:rsidP="00225372">
      <w:pPr>
        <w:sectPr w:rsidR="00225372" w:rsidSect="001452C0">
          <w:headerReference w:type="even" r:id="rId79"/>
          <w:headerReference w:type="default" r:id="rId80"/>
          <w:endnotePr>
            <w:numFmt w:val="decimal"/>
            <w:numRestart w:val="eachSect"/>
          </w:endnotePr>
          <w:type w:val="continuous"/>
          <w:pgSz w:w="11907" w:h="16840" w:code="9"/>
          <w:pgMar w:top="2245" w:right="2098" w:bottom="1701" w:left="2098" w:header="578" w:footer="578" w:gutter="0"/>
          <w:cols w:space="720"/>
          <w:noEndnote/>
          <w:docGrid w:linePitch="299"/>
        </w:sectPr>
      </w:pPr>
    </w:p>
    <w:p w:rsidR="00225372" w:rsidRDefault="00225372" w:rsidP="00225372">
      <w:pPr>
        <w:pStyle w:val="HeadingAppendix1"/>
        <w:numPr>
          <w:ilvl w:val="0"/>
          <w:numId w:val="31"/>
        </w:numPr>
      </w:pPr>
      <w:bookmarkStart w:id="233" w:name="_Ref456688407"/>
      <w:bookmarkStart w:id="234" w:name="_Toc460572237"/>
      <w:r>
        <w:lastRenderedPageBreak/>
        <w:t xml:space="preserve">Other legislative and national </w:t>
      </w:r>
      <w:r w:rsidR="00B91BB5">
        <w:t>considerations</w:t>
      </w:r>
      <w:bookmarkEnd w:id="233"/>
      <w:bookmarkEnd w:id="234"/>
    </w:p>
    <w:p w:rsidR="00225372" w:rsidRDefault="00225372" w:rsidP="00225372">
      <w:pPr>
        <w:sectPr w:rsidR="00225372" w:rsidSect="00FD0141">
          <w:headerReference w:type="even" r:id="rId81"/>
          <w:headerReference w:type="default" r:id="rId82"/>
          <w:endnotePr>
            <w:numFmt w:val="decimal"/>
          </w:endnotePr>
          <w:type w:val="oddPage"/>
          <w:pgSz w:w="11907" w:h="16840" w:code="9"/>
          <w:pgMar w:top="2268" w:right="2098" w:bottom="1701" w:left="2098" w:header="578" w:footer="578" w:gutter="0"/>
          <w:cols w:space="720"/>
          <w:docGrid w:linePitch="360"/>
        </w:sectPr>
      </w:pPr>
    </w:p>
    <w:p w:rsidR="00225372" w:rsidRDefault="006024C7" w:rsidP="00225372">
      <w:pPr>
        <w:pStyle w:val="HeadingAppendix2"/>
      </w:pPr>
      <w:bookmarkStart w:id="235" w:name="_Toc460572238"/>
      <w:r>
        <w:t>Section 20(2) of the ICRC Act</w:t>
      </w:r>
      <w:bookmarkEnd w:id="235"/>
    </w:p>
    <w:p w:rsidR="006024C7" w:rsidRDefault="006024C7" w:rsidP="006024C7">
      <w:r>
        <w:t>In making a deci</w:t>
      </w:r>
      <w:r w:rsidR="0019452E">
        <w:t>sion under subsection (1), the C</w:t>
      </w:r>
      <w:r>
        <w:t>ommission must have regard to:</w:t>
      </w:r>
    </w:p>
    <w:p w:rsidR="006024C7" w:rsidRPr="001A5777" w:rsidRDefault="006024C7" w:rsidP="006024C7">
      <w:pPr>
        <w:pStyle w:val="LetteredList"/>
        <w:numPr>
          <w:ilvl w:val="0"/>
          <w:numId w:val="11"/>
        </w:numPr>
        <w:rPr>
          <w:lang w:val="en-AU" w:eastAsia="en-AU"/>
        </w:rPr>
      </w:pPr>
      <w:r w:rsidRPr="001A5777">
        <w:rPr>
          <w:lang w:val="en-AU" w:eastAsia="en-AU"/>
        </w:rPr>
        <w:t>the protection of consumers from abuses of monopoly power in terms of prices, pricing policies (including policies relating to the level or structure of prices for services) and standard of regulated services; and</w:t>
      </w:r>
    </w:p>
    <w:p w:rsidR="006024C7" w:rsidRPr="001236BF" w:rsidRDefault="006024C7" w:rsidP="006024C7">
      <w:pPr>
        <w:pStyle w:val="LetteredList"/>
        <w:rPr>
          <w:lang w:val="en-AU" w:eastAsia="en-AU"/>
        </w:rPr>
      </w:pPr>
      <w:r w:rsidRPr="001236BF">
        <w:rPr>
          <w:lang w:val="en-AU" w:eastAsia="en-AU"/>
        </w:rPr>
        <w:t>standards of quality, reliability and safety of the regulated services; and</w:t>
      </w:r>
    </w:p>
    <w:p w:rsidR="006024C7" w:rsidRPr="001236BF" w:rsidRDefault="006024C7" w:rsidP="006024C7">
      <w:pPr>
        <w:pStyle w:val="LetteredList"/>
        <w:rPr>
          <w:lang w:val="en-AU" w:eastAsia="en-AU"/>
        </w:rPr>
      </w:pPr>
      <w:r w:rsidRPr="001236BF">
        <w:rPr>
          <w:lang w:val="en-AU" w:eastAsia="en-AU"/>
        </w:rPr>
        <w:t>the need for greater efficiency in the provision of regulated services to reduce costs to consumers and taxpayers; and</w:t>
      </w:r>
    </w:p>
    <w:p w:rsidR="006024C7" w:rsidRDefault="006024C7" w:rsidP="006024C7">
      <w:pPr>
        <w:pStyle w:val="LetteredList"/>
      </w:pPr>
      <w:r w:rsidRPr="001236BF">
        <w:rPr>
          <w:lang w:val="en-AU" w:eastAsia="en-AU"/>
        </w:rPr>
        <w:t>an appropriate rate of return on any investment in the regul</w:t>
      </w:r>
      <w:r>
        <w:rPr>
          <w:lang w:val="en-AU" w:eastAsia="en-AU"/>
        </w:rPr>
        <w:t>ated industry; and</w:t>
      </w:r>
    </w:p>
    <w:p w:rsidR="006024C7" w:rsidRPr="001236BF" w:rsidRDefault="006024C7" w:rsidP="006024C7">
      <w:pPr>
        <w:pStyle w:val="LetteredList"/>
        <w:rPr>
          <w:lang w:val="en-AU" w:eastAsia="en-AU"/>
        </w:rPr>
      </w:pPr>
      <w:r w:rsidRPr="001236BF">
        <w:rPr>
          <w:lang w:val="en-AU" w:eastAsia="en-AU"/>
        </w:rPr>
        <w:t>the cost of providing the regulated services; and</w:t>
      </w:r>
    </w:p>
    <w:p w:rsidR="006024C7" w:rsidRPr="001236BF" w:rsidRDefault="006024C7" w:rsidP="006024C7">
      <w:pPr>
        <w:pStyle w:val="LetteredList"/>
        <w:rPr>
          <w:lang w:val="en-AU" w:eastAsia="en-AU"/>
        </w:rPr>
      </w:pPr>
      <w:r w:rsidRPr="001236BF">
        <w:rPr>
          <w:lang w:val="en-AU" w:eastAsia="en-AU"/>
        </w:rPr>
        <w:t>the principles of ecologically sustainable developme</w:t>
      </w:r>
      <w:r>
        <w:rPr>
          <w:lang w:val="en-AU" w:eastAsia="en-AU"/>
        </w:rPr>
        <w:t>nt mentioned in subsection (5);</w:t>
      </w:r>
    </w:p>
    <w:p w:rsidR="006024C7" w:rsidRPr="001236BF" w:rsidRDefault="006024C7" w:rsidP="006024C7">
      <w:pPr>
        <w:pStyle w:val="LetteredList"/>
        <w:rPr>
          <w:lang w:val="en-AU" w:eastAsia="en-AU"/>
        </w:rPr>
      </w:pPr>
      <w:r w:rsidRPr="001236BF">
        <w:rPr>
          <w:lang w:val="en-AU" w:eastAsia="en-AU"/>
        </w:rPr>
        <w:t>the social impacts of the decision; and</w:t>
      </w:r>
    </w:p>
    <w:p w:rsidR="006024C7" w:rsidRPr="001236BF" w:rsidRDefault="006024C7" w:rsidP="006024C7">
      <w:pPr>
        <w:pStyle w:val="LetteredList"/>
        <w:rPr>
          <w:lang w:val="en-AU" w:eastAsia="en-AU"/>
        </w:rPr>
      </w:pPr>
      <w:r w:rsidRPr="001236BF">
        <w:rPr>
          <w:lang w:val="en-AU" w:eastAsia="en-AU"/>
        </w:rPr>
        <w:t>considerations of demand management and least cost planning; and</w:t>
      </w:r>
    </w:p>
    <w:p w:rsidR="006024C7" w:rsidRPr="001236BF" w:rsidRDefault="006024C7" w:rsidP="006024C7">
      <w:pPr>
        <w:pStyle w:val="LetteredList"/>
        <w:rPr>
          <w:lang w:val="en-AU" w:eastAsia="en-AU"/>
        </w:rPr>
      </w:pPr>
      <w:r w:rsidRPr="001236BF">
        <w:rPr>
          <w:lang w:val="en-AU" w:eastAsia="en-AU"/>
        </w:rPr>
        <w:t>the borrowing, capital and cash flow requirements of people providing regulated services and the need to renew or increase relevant assets in the regulated industry; and</w:t>
      </w:r>
    </w:p>
    <w:p w:rsidR="006024C7" w:rsidRPr="005C6099" w:rsidRDefault="006024C7" w:rsidP="006024C7">
      <w:pPr>
        <w:pStyle w:val="LetteredList"/>
      </w:pPr>
      <w:r w:rsidRPr="005C6099">
        <w:rPr>
          <w:lang w:val="en-AU" w:eastAsia="en-AU"/>
        </w:rPr>
        <w:t>the effect on general price inflation over the medium term; and</w:t>
      </w:r>
    </w:p>
    <w:p w:rsidR="006024C7" w:rsidRDefault="006024C7" w:rsidP="006024C7">
      <w:pPr>
        <w:pStyle w:val="LetteredList"/>
        <w:spacing w:after="240"/>
        <w:ind w:left="681" w:hanging="397"/>
      </w:pPr>
      <w:r w:rsidRPr="005C6099">
        <w:rPr>
          <w:lang w:val="en-AU" w:eastAsia="en-AU"/>
        </w:rPr>
        <w:t>any arrangements that a person providing regulated services has entered into for the exercise of its functions by some other person.</w:t>
      </w:r>
      <w:r>
        <w:rPr>
          <w:rStyle w:val="FootnoteReference"/>
          <w:lang w:val="en-AU" w:eastAsia="en-AU"/>
        </w:rPr>
        <w:footnoteReference w:id="97"/>
      </w:r>
    </w:p>
    <w:p w:rsidR="00225372" w:rsidRDefault="006A107D" w:rsidP="00DC1E20">
      <w:pPr>
        <w:pStyle w:val="HeadingAppendix2"/>
      </w:pPr>
      <w:bookmarkStart w:id="236" w:name="_Toc460572239"/>
      <w:bookmarkStart w:id="237" w:name="_Ref460827350"/>
      <w:r>
        <w:t>National Water Initiative pricing principles</w:t>
      </w:r>
      <w:bookmarkEnd w:id="236"/>
      <w:bookmarkEnd w:id="237"/>
      <w:r>
        <w:t xml:space="preserve"> </w:t>
      </w:r>
    </w:p>
    <w:p w:rsidR="006A107D" w:rsidRDefault="00205CA8" w:rsidP="00225372">
      <w:r w:rsidRPr="00205CA8">
        <w:t xml:space="preserve">In 2010, a set of National Water Initiative pricing principles, agreed by all Australian governments and endorsed by the Natural Resource Management Ministerial Council, was developed as the basis for setting water prices in all jurisdictions.  The 10 pricing principles for setting urban water tariffs are summarised in Box </w:t>
      </w:r>
      <w:r w:rsidR="009D530F">
        <w:t>A2.1</w:t>
      </w:r>
      <w:r w:rsidRPr="00205CA8">
        <w:t>.</w:t>
      </w:r>
    </w:p>
    <w:p w:rsidR="006A107D" w:rsidRPr="00C5491B" w:rsidRDefault="006A107D" w:rsidP="006A107D">
      <w:pPr>
        <w:pStyle w:val="FigureName"/>
        <w:keepNext/>
      </w:pPr>
      <w:bookmarkStart w:id="238" w:name="_Toc435700208"/>
      <w:bookmarkStart w:id="239" w:name="_Toc460572287"/>
      <w:r w:rsidRPr="00C5491B">
        <w:lastRenderedPageBreak/>
        <w:t>Box</w:t>
      </w:r>
      <w:r w:rsidR="009D530F">
        <w:t xml:space="preserve"> A2</w:t>
      </w:r>
      <w:r w:rsidRPr="00C5491B">
        <w:t>.</w:t>
      </w:r>
      <w:r>
        <w:fldChar w:fldCharType="begin"/>
      </w:r>
      <w:r>
        <w:instrText xml:space="preserve"> SEQ Box \* ARABIC \s 1 </w:instrText>
      </w:r>
      <w:r>
        <w:fldChar w:fldCharType="separate"/>
      </w:r>
      <w:r w:rsidR="00B80BC7">
        <w:rPr>
          <w:noProof/>
        </w:rPr>
        <w:t>1</w:t>
      </w:r>
      <w:r>
        <w:fldChar w:fldCharType="end"/>
      </w:r>
      <w:r w:rsidRPr="00C5491B">
        <w:tab/>
        <w:t>N</w:t>
      </w:r>
      <w:r>
        <w:t xml:space="preserve">ational </w:t>
      </w:r>
      <w:r w:rsidRPr="00C5491B">
        <w:t>W</w:t>
      </w:r>
      <w:r>
        <w:t xml:space="preserve">ater </w:t>
      </w:r>
      <w:r w:rsidRPr="00C5491B">
        <w:t>I</w:t>
      </w:r>
      <w:r>
        <w:t>nitiative</w:t>
      </w:r>
      <w:r w:rsidRPr="00C5491B">
        <w:t xml:space="preserve"> </w:t>
      </w:r>
      <w:r>
        <w:t>urban water price-setting principles</w:t>
      </w:r>
      <w:bookmarkEnd w:id="238"/>
      <w:bookmarkEnd w:id="239"/>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shd w:val="clear" w:color="auto" w:fill="DBE5F1"/>
        <w:tblLook w:val="04A0" w:firstRow="1" w:lastRow="0" w:firstColumn="1" w:lastColumn="0" w:noHBand="0" w:noVBand="1"/>
      </w:tblPr>
      <w:tblGrid>
        <w:gridCol w:w="7701"/>
      </w:tblGrid>
      <w:tr w:rsidR="006A107D" w:rsidTr="009A1FDE">
        <w:trPr>
          <w:cantSplit/>
          <w:trHeight w:val="2069"/>
        </w:trPr>
        <w:tc>
          <w:tcPr>
            <w:tcW w:w="7927" w:type="dxa"/>
            <w:shd w:val="clear" w:color="auto" w:fill="DBE5F1"/>
          </w:tcPr>
          <w:p w:rsidR="006A107D" w:rsidRPr="00821663" w:rsidRDefault="006A107D" w:rsidP="009A1FDE">
            <w:pPr>
              <w:keepNext/>
            </w:pPr>
            <w:r w:rsidRPr="00821663">
              <w:rPr>
                <w:rStyle w:val="Bold"/>
              </w:rPr>
              <w:t>Principle 1: Cost recovery</w:t>
            </w:r>
            <w:r w:rsidRPr="003A2647">
              <w:rPr>
                <w:rStyle w:val="Bold"/>
                <w:b w:val="0"/>
              </w:rPr>
              <w:t xml:space="preserve"> </w:t>
            </w:r>
            <w:r w:rsidRPr="00821663">
              <w:sym w:font="Symbol" w:char="F02D"/>
            </w:r>
            <w:r w:rsidRPr="00821663">
              <w:t xml:space="preserve"> full recovery of efficient costs through upper bound pricing.</w:t>
            </w:r>
            <w:r>
              <w:rPr>
                <w:rStyle w:val="FootnoteReference"/>
              </w:rPr>
              <w:footnoteReference w:id="98"/>
            </w:r>
          </w:p>
          <w:p w:rsidR="006A107D" w:rsidRPr="00821663" w:rsidRDefault="006A107D" w:rsidP="009A1FDE">
            <w:pPr>
              <w:keepNext/>
            </w:pPr>
            <w:r w:rsidRPr="00821663">
              <w:rPr>
                <w:rStyle w:val="Bold"/>
              </w:rPr>
              <w:t>Principle 2: Tariff structures</w:t>
            </w:r>
            <w:r w:rsidRPr="003A2647">
              <w:rPr>
                <w:rStyle w:val="Bold"/>
                <w:b w:val="0"/>
              </w:rPr>
              <w:t xml:space="preserve"> </w:t>
            </w:r>
            <w:r w:rsidRPr="00821663">
              <w:sym w:font="Symbol" w:char="F02D"/>
            </w:r>
            <w:r w:rsidRPr="00821663">
              <w:t xml:space="preserve"> two</w:t>
            </w:r>
            <w:r>
              <w:t>-</w:t>
            </w:r>
            <w:r w:rsidRPr="00821663">
              <w:t>part tariffs (service availability and water usage charge) unless demonstr</w:t>
            </w:r>
            <w:r>
              <w:t>ated to not be cost-effective.</w:t>
            </w:r>
          </w:p>
          <w:p w:rsidR="006A107D" w:rsidRPr="00821663" w:rsidRDefault="006A107D" w:rsidP="009A1FDE">
            <w:pPr>
              <w:keepNext/>
            </w:pPr>
            <w:r w:rsidRPr="00821663">
              <w:rPr>
                <w:rStyle w:val="Bold"/>
              </w:rPr>
              <w:t>Principle 3: Cost</w:t>
            </w:r>
            <w:r>
              <w:rPr>
                <w:rStyle w:val="Bold"/>
              </w:rPr>
              <w:t>-</w:t>
            </w:r>
            <w:r w:rsidRPr="00821663">
              <w:rPr>
                <w:rStyle w:val="Bold"/>
              </w:rPr>
              <w:t>reflective tariffs</w:t>
            </w:r>
            <w:r w:rsidRPr="00821663">
              <w:t xml:space="preserve"> </w:t>
            </w:r>
            <w:r w:rsidRPr="00821663">
              <w:sym w:font="Symbol" w:char="F02D"/>
            </w:r>
            <w:r w:rsidRPr="00821663">
              <w:t xml:space="preserve"> for economic efficiency reasons</w:t>
            </w:r>
            <w:r>
              <w:t>,</w:t>
            </w:r>
            <w:r w:rsidRPr="00821663">
              <w:t xml:space="preserve"> water usage charge should have regard to the long</w:t>
            </w:r>
            <w:r>
              <w:t>-</w:t>
            </w:r>
            <w:r w:rsidRPr="00821663">
              <w:t>run marginal cost of the supply of additional water (does not preclude inclining block charges where government</w:t>
            </w:r>
            <w:r>
              <w:t>s</w:t>
            </w:r>
            <w:r w:rsidRPr="00821663">
              <w:t xml:space="preserve"> seek to</w:t>
            </w:r>
            <w:r>
              <w:t xml:space="preserve"> promote efficient water use).</w:t>
            </w:r>
          </w:p>
          <w:p w:rsidR="006A107D" w:rsidRPr="00821663" w:rsidRDefault="006A107D" w:rsidP="009A1FDE">
            <w:pPr>
              <w:keepNext/>
            </w:pPr>
            <w:r w:rsidRPr="00821663">
              <w:rPr>
                <w:rStyle w:val="Bold"/>
              </w:rPr>
              <w:t>Principle 4: Setting the service availability charge</w:t>
            </w:r>
            <w:r w:rsidRPr="003A2647">
              <w:rPr>
                <w:rStyle w:val="Bold"/>
                <w:b w:val="0"/>
              </w:rPr>
              <w:t xml:space="preserve"> </w:t>
            </w:r>
            <w:r w:rsidRPr="00821663">
              <w:sym w:font="Symbol" w:char="F02D"/>
            </w:r>
            <w:r w:rsidRPr="00821663">
              <w:t xml:space="preserve"> should recover </w:t>
            </w:r>
            <w:r>
              <w:t xml:space="preserve">the </w:t>
            </w:r>
            <w:r w:rsidRPr="00821663">
              <w:t>difference between revenue collected from variable water charges and developer charges</w:t>
            </w:r>
            <w:r>
              <w:t xml:space="preserve"> and total revenue requirement.</w:t>
            </w:r>
          </w:p>
          <w:p w:rsidR="006A107D" w:rsidRDefault="006A107D" w:rsidP="009A1FDE">
            <w:pPr>
              <w:keepNext/>
            </w:pPr>
            <w:r w:rsidRPr="00821663">
              <w:rPr>
                <w:rStyle w:val="Bold"/>
              </w:rPr>
              <w:t>Principle 5: Pricing transparency</w:t>
            </w:r>
            <w:r w:rsidRPr="00821663">
              <w:t xml:space="preserve"> </w:t>
            </w:r>
            <w:r w:rsidRPr="00821663">
              <w:sym w:font="Symbol" w:char="F02D"/>
            </w:r>
            <w:r w:rsidRPr="00821663">
              <w:t xml:space="preserve"> </w:t>
            </w:r>
            <w:r w:rsidRPr="003C4D68">
              <w:t>tariffs should be set using a transparent methodology</w:t>
            </w:r>
            <w:r>
              <w:t xml:space="preserve"> and subject to </w:t>
            </w:r>
            <w:r w:rsidRPr="003C4D68">
              <w:t>public</w:t>
            </w:r>
            <w:r>
              <w:t xml:space="preserve"> consultation and </w:t>
            </w:r>
            <w:r w:rsidRPr="003C4D68">
              <w:t>scrutiny.</w:t>
            </w:r>
          </w:p>
          <w:p w:rsidR="006A107D" w:rsidRPr="00821663" w:rsidRDefault="006A107D" w:rsidP="009A1FDE">
            <w:pPr>
              <w:keepNext/>
            </w:pPr>
            <w:r w:rsidRPr="008B3C2B">
              <w:rPr>
                <w:b/>
              </w:rPr>
              <w:t xml:space="preserve">Principle 6: </w:t>
            </w:r>
            <w:r w:rsidRPr="003A1612">
              <w:rPr>
                <w:b/>
              </w:rPr>
              <w:t>Over recovery of revenue</w:t>
            </w:r>
            <w:r>
              <w:t xml:space="preserve"> – where water usage charges lead to revenue recovery in excess of upper bound revenue requirements in respect of new investments, jurisdictions are to address the over recovery.</w:t>
            </w:r>
          </w:p>
          <w:p w:rsidR="006A107D" w:rsidRPr="00821663" w:rsidRDefault="006A107D" w:rsidP="009A1FDE">
            <w:pPr>
              <w:keepNext/>
            </w:pPr>
            <w:r w:rsidRPr="00821663">
              <w:rPr>
                <w:rStyle w:val="Bold"/>
              </w:rPr>
              <w:t>Principle 7: Differential water charges</w:t>
            </w:r>
            <w:r w:rsidRPr="00821663">
              <w:t xml:space="preserve"> </w:t>
            </w:r>
            <w:r w:rsidRPr="00821663">
              <w:sym w:font="Symbol" w:char="F02D"/>
            </w:r>
            <w:r>
              <w:t xml:space="preserve"> w</w:t>
            </w:r>
            <w:r w:rsidRPr="00613AF1">
              <w:t>ater charges should be differentiated by the cost of servicing different customers</w:t>
            </w:r>
            <w:r>
              <w:t xml:space="preserve"> </w:t>
            </w:r>
            <w:r w:rsidRPr="00613AF1">
              <w:t xml:space="preserve">where the benefits </w:t>
            </w:r>
            <w:r>
              <w:t xml:space="preserve">of </w:t>
            </w:r>
            <w:r w:rsidRPr="00613AF1">
              <w:t>doing so outweigh the costs of identifying</w:t>
            </w:r>
            <w:r>
              <w:t xml:space="preserve"> </w:t>
            </w:r>
            <w:r w:rsidRPr="00613AF1">
              <w:t>differences and the equity advantages of alternatives</w:t>
            </w:r>
            <w:r>
              <w:t>.</w:t>
            </w:r>
          </w:p>
          <w:p w:rsidR="006A107D" w:rsidRPr="00821663" w:rsidRDefault="006A107D" w:rsidP="009A1FDE">
            <w:pPr>
              <w:keepNext/>
            </w:pPr>
            <w:r w:rsidRPr="00821663">
              <w:rPr>
                <w:rStyle w:val="Bold"/>
              </w:rPr>
              <w:t>Principle 8: Setting developer charges</w:t>
            </w:r>
            <w:r w:rsidRPr="00821663">
              <w:t xml:space="preserve"> </w:t>
            </w:r>
            <w:r w:rsidRPr="00821663">
              <w:sym w:font="Symbol" w:char="F02D"/>
            </w:r>
            <w:r>
              <w:t xml:space="preserve"> charges </w:t>
            </w:r>
            <w:r w:rsidRPr="00CA06FB">
              <w:t>should reflect the investment in both new and existing assets</w:t>
            </w:r>
            <w:r>
              <w:t xml:space="preserve"> </w:t>
            </w:r>
            <w:r w:rsidRPr="00CA06FB">
              <w:t xml:space="preserve">required to serve a new development and have regard to the </w:t>
            </w:r>
            <w:r>
              <w:t xml:space="preserve">way </w:t>
            </w:r>
            <w:r w:rsidRPr="00CA06FB">
              <w:t>in which ongoing</w:t>
            </w:r>
            <w:r>
              <w:t xml:space="preserve"> </w:t>
            </w:r>
            <w:r w:rsidRPr="00CA06FB">
              <w:t>water usage and service availability charges are set</w:t>
            </w:r>
            <w:r>
              <w:t>.</w:t>
            </w:r>
          </w:p>
          <w:p w:rsidR="006A107D" w:rsidRPr="00821663" w:rsidRDefault="006A107D" w:rsidP="009A1FDE">
            <w:pPr>
              <w:keepNext/>
            </w:pPr>
            <w:r w:rsidRPr="00821663">
              <w:rPr>
                <w:rStyle w:val="Bold"/>
              </w:rPr>
              <w:t>Principle 9: Capping developer charges</w:t>
            </w:r>
            <w:r w:rsidRPr="00821663">
              <w:t xml:space="preserve"> </w:t>
            </w:r>
            <w:r w:rsidRPr="00821663">
              <w:sym w:font="Symbol" w:char="F02D"/>
            </w:r>
            <w:r>
              <w:t xml:space="preserve"> </w:t>
            </w:r>
            <w:r w:rsidRPr="00755772">
              <w:t>charges should not exceed the costs of serving new developments</w:t>
            </w:r>
            <w:r>
              <w:t xml:space="preserve">, </w:t>
            </w:r>
            <w:r w:rsidRPr="00755772">
              <w:t>includ</w:t>
            </w:r>
            <w:r>
              <w:t>ing</w:t>
            </w:r>
            <w:r w:rsidRPr="00755772">
              <w:t xml:space="preserve"> investment in both new and existing assets.</w:t>
            </w:r>
          </w:p>
          <w:p w:rsidR="006A107D" w:rsidRPr="00C5491B" w:rsidRDefault="006A107D" w:rsidP="009A1FDE">
            <w:pPr>
              <w:keepNext/>
            </w:pPr>
            <w:r w:rsidRPr="00821663">
              <w:rPr>
                <w:rStyle w:val="Bold"/>
              </w:rPr>
              <w:t>Principle 10: Revenue from developer charges</w:t>
            </w:r>
            <w:r>
              <w:t xml:space="preserve"> </w:t>
            </w:r>
            <w:r w:rsidRPr="00821663">
              <w:sym w:font="Symbol" w:char="F02D"/>
            </w:r>
            <w:r>
              <w:t xml:space="preserve"> t</w:t>
            </w:r>
            <w:r w:rsidRPr="00755772">
              <w:t>o avoid over-recovery, revenue from developer charges should be offset against the</w:t>
            </w:r>
            <w:r>
              <w:t xml:space="preserve"> </w:t>
            </w:r>
            <w:r w:rsidRPr="00755772">
              <w:t>total revenue requirement either by excluding or deducting the contributed assets from</w:t>
            </w:r>
            <w:r>
              <w:t xml:space="preserve"> </w:t>
            </w:r>
            <w:r w:rsidRPr="00755772">
              <w:t xml:space="preserve">the </w:t>
            </w:r>
            <w:r>
              <w:t xml:space="preserve">regulatory asset base </w:t>
            </w:r>
            <w:r w:rsidRPr="00755772">
              <w:t>or by offsetting the revenue recovered using other mechanisms.</w:t>
            </w:r>
          </w:p>
        </w:tc>
      </w:tr>
    </w:tbl>
    <w:p w:rsidR="006A107D" w:rsidRDefault="006A107D" w:rsidP="006A107D">
      <w:pPr>
        <w:pStyle w:val="TableNotesLast"/>
        <w:keepNext/>
      </w:pPr>
      <w:r w:rsidRPr="00C5491B">
        <w:t>Source:</w:t>
      </w:r>
      <w:r w:rsidRPr="00C5491B">
        <w:tab/>
      </w:r>
      <w:r>
        <w:fldChar w:fldCharType="begin"/>
      </w:r>
      <w:r w:rsidR="007B7BF3">
        <w:instrText xml:space="preserve"> ADDIN EN.CITE &lt;EndNote&gt;&lt;Cite&gt;&lt;Author&gt;NRMMC&lt;/Author&gt;&lt;Year&gt;2010&lt;/Year&gt;&lt;RecNum&gt;201&lt;/RecNum&gt;&lt;DisplayText&gt;NRMMC (2010)&lt;/DisplayText&gt;&lt;record&gt;&lt;rec-number&gt;201&lt;/rec-number&gt;&lt;foreign-keys&gt;&lt;key app="EN" db-id="5xwt9zxa6r5fesevwr5xzp97r95ev9wx9zpw" timestamp="1375231972"&gt;201&lt;/key&gt;&lt;/foreign-keys&gt;&lt;ref-type name="AAA ICRC Water References"&gt;40&lt;/ref-type&gt;&lt;contributors&gt;&lt;authors&gt;&lt;author&gt;NRMMC,&lt;/author&gt;&lt;/authors&gt;&lt;/contributors&gt;&lt;titles&gt;&lt;title&gt;National Water Initiative Pricing Principles&lt;/title&gt;&lt;/titles&gt;&lt;dates&gt;&lt;year&gt;2010&lt;/year&gt;&lt;pub-dates&gt;&lt;date&gt;April 2010&lt;/date&gt;&lt;/pub-dates&gt;&lt;/dates&gt;&lt;pub-location&gt;Canberra&lt;/pub-location&gt;&lt;publisher&gt;Natural Resource Management Ministerial Council&lt;/publisher&gt;&lt;urls&gt;&lt;/urls&gt;&lt;/record&gt;&lt;/Cite&gt;&lt;/EndNote&gt;</w:instrText>
      </w:r>
      <w:r>
        <w:fldChar w:fldCharType="separate"/>
      </w:r>
      <w:hyperlink w:anchor="_ENREF_29" w:tooltip="NRMMC, 2010 #201" w:history="1">
        <w:r w:rsidR="00A2488A">
          <w:rPr>
            <w:noProof/>
          </w:rPr>
          <w:t>NRMMC (2010</w:t>
        </w:r>
      </w:hyperlink>
      <w:r w:rsidR="007B7BF3">
        <w:rPr>
          <w:noProof/>
        </w:rPr>
        <w:t>)</w:t>
      </w:r>
      <w:r>
        <w:fldChar w:fldCharType="end"/>
      </w:r>
      <w:r w:rsidRPr="00C5491B">
        <w:t>.</w:t>
      </w:r>
    </w:p>
    <w:p w:rsidR="006A107D" w:rsidRDefault="006A107D" w:rsidP="00C6744A"/>
    <w:p w:rsidR="00BA22CC" w:rsidRDefault="00BA22CC" w:rsidP="00BA22CC">
      <w:pPr>
        <w:sectPr w:rsidR="00BA22CC" w:rsidSect="001452C0">
          <w:headerReference w:type="even" r:id="rId83"/>
          <w:headerReference w:type="default" r:id="rId84"/>
          <w:endnotePr>
            <w:numFmt w:val="decimal"/>
            <w:numRestart w:val="eachSect"/>
          </w:endnotePr>
          <w:type w:val="continuous"/>
          <w:pgSz w:w="11907" w:h="16840" w:code="9"/>
          <w:pgMar w:top="2245" w:right="2098" w:bottom="1701" w:left="2098" w:header="578" w:footer="578" w:gutter="0"/>
          <w:cols w:space="720"/>
          <w:noEndnote/>
          <w:docGrid w:linePitch="299"/>
        </w:sectPr>
      </w:pPr>
    </w:p>
    <w:p w:rsidR="00BA22CC" w:rsidRDefault="00E6562C" w:rsidP="00BA22CC">
      <w:pPr>
        <w:pStyle w:val="HeadingAppendix1"/>
        <w:numPr>
          <w:ilvl w:val="0"/>
          <w:numId w:val="31"/>
        </w:numPr>
      </w:pPr>
      <w:bookmarkStart w:id="240" w:name="_Ref459984914"/>
      <w:bookmarkStart w:id="241" w:name="_Toc460572240"/>
      <w:r>
        <w:lastRenderedPageBreak/>
        <w:t>Water tariffs i</w:t>
      </w:r>
      <w:r w:rsidR="00BA22CC">
        <w:t>n other jurisdictions</w:t>
      </w:r>
      <w:bookmarkEnd w:id="240"/>
      <w:bookmarkEnd w:id="241"/>
    </w:p>
    <w:p w:rsidR="00BA22CC" w:rsidRDefault="00BA22CC" w:rsidP="00BA22CC">
      <w:pPr>
        <w:sectPr w:rsidR="00BA22CC" w:rsidSect="00FD0141">
          <w:headerReference w:type="even" r:id="rId85"/>
          <w:headerReference w:type="default" r:id="rId86"/>
          <w:endnotePr>
            <w:numFmt w:val="decimal"/>
          </w:endnotePr>
          <w:type w:val="oddPage"/>
          <w:pgSz w:w="11907" w:h="16840" w:code="9"/>
          <w:pgMar w:top="2268" w:right="2098" w:bottom="1701" w:left="2098" w:header="578" w:footer="578" w:gutter="0"/>
          <w:cols w:space="720"/>
          <w:docGrid w:linePitch="360"/>
        </w:sectPr>
      </w:pPr>
    </w:p>
    <w:p w:rsidR="00BA22CC" w:rsidRPr="000C2B2C" w:rsidRDefault="00BA22CC" w:rsidP="000C2B2C"/>
    <w:p w:rsidR="000C2B2C" w:rsidRPr="00743208" w:rsidRDefault="000C2B2C" w:rsidP="000C2B2C">
      <w:pPr>
        <w:pStyle w:val="FigureName"/>
        <w:keepNext/>
      </w:pPr>
      <w:bookmarkStart w:id="242" w:name="_Ref430940761"/>
      <w:bookmarkStart w:id="243" w:name="_Toc435700185"/>
      <w:bookmarkStart w:id="244" w:name="_Toc460572259"/>
      <w:r w:rsidRPr="003C3AEA">
        <w:t>Table</w:t>
      </w:r>
      <w:r>
        <w:t xml:space="preserve"> A3</w:t>
      </w:r>
      <w:r w:rsidRPr="00743208">
        <w:t>.</w:t>
      </w:r>
      <w:r w:rsidRPr="00743208">
        <w:fldChar w:fldCharType="begin"/>
      </w:r>
      <w:r w:rsidRPr="00743208">
        <w:instrText xml:space="preserve"> SEQ Table \* ARABIC \s 1 </w:instrText>
      </w:r>
      <w:r w:rsidRPr="00743208">
        <w:fldChar w:fldCharType="separate"/>
      </w:r>
      <w:r w:rsidR="00B80BC7">
        <w:rPr>
          <w:noProof/>
        </w:rPr>
        <w:t>7</w:t>
      </w:r>
      <w:r w:rsidRPr="00743208">
        <w:fldChar w:fldCharType="end"/>
      </w:r>
      <w:bookmarkEnd w:id="242"/>
      <w:r w:rsidRPr="00743208">
        <w:tab/>
      </w:r>
      <w:r>
        <w:t>Water tariffs in various jurisdictions, 201</w:t>
      </w:r>
      <w:r w:rsidR="000858D1">
        <w:t>6</w:t>
      </w:r>
      <w:r>
        <w:t>–1</w:t>
      </w:r>
      <w:bookmarkEnd w:id="243"/>
      <w:r w:rsidR="000858D1">
        <w:t>7</w:t>
      </w:r>
      <w:bookmarkEnd w:id="244"/>
    </w:p>
    <w:tbl>
      <w:tblPr>
        <w:tblW w:w="5307" w:type="pct"/>
        <w:tblBorders>
          <w:top w:val="single" w:sz="12" w:space="0" w:color="333399"/>
          <w:bottom w:val="single" w:sz="12" w:space="0" w:color="333399"/>
        </w:tblBorders>
        <w:tblCellMar>
          <w:left w:w="115" w:type="dxa"/>
          <w:right w:w="115" w:type="dxa"/>
        </w:tblCellMar>
        <w:tblLook w:val="0000" w:firstRow="0" w:lastRow="0" w:firstColumn="0" w:lastColumn="0" w:noHBand="0" w:noVBand="0"/>
      </w:tblPr>
      <w:tblGrid>
        <w:gridCol w:w="2353"/>
        <w:gridCol w:w="1080"/>
        <w:gridCol w:w="827"/>
        <w:gridCol w:w="828"/>
        <w:gridCol w:w="822"/>
        <w:gridCol w:w="827"/>
        <w:gridCol w:w="684"/>
        <w:gridCol w:w="763"/>
      </w:tblGrid>
      <w:tr w:rsidR="000C2B2C" w:rsidRPr="00144F8C" w:rsidTr="009F0E43">
        <w:trPr>
          <w:cantSplit/>
        </w:trPr>
        <w:tc>
          <w:tcPr>
            <w:tcW w:w="1438" w:type="pct"/>
            <w:tcBorders>
              <w:top w:val="single" w:sz="12" w:space="0" w:color="1F497D" w:themeColor="text2"/>
              <w:left w:val="nil"/>
              <w:bottom w:val="single" w:sz="8" w:space="0" w:color="1F497D" w:themeColor="text2"/>
              <w:right w:val="nil"/>
            </w:tcBorders>
            <w:shd w:val="clear" w:color="auto" w:fill="DBE5F1" w:themeFill="accent1" w:themeFillTint="33"/>
            <w:vAlign w:val="bottom"/>
          </w:tcPr>
          <w:p w:rsidR="000C2B2C" w:rsidRDefault="000C2B2C" w:rsidP="00B63A3F">
            <w:pPr>
              <w:keepNext/>
              <w:rPr>
                <w:rFonts w:cs="Arial"/>
                <w:b/>
                <w:color w:val="000033"/>
                <w:kern w:val="28"/>
                <w:szCs w:val="22"/>
              </w:rPr>
            </w:pPr>
          </w:p>
        </w:tc>
        <w:tc>
          <w:tcPr>
            <w:tcW w:w="660" w:type="pct"/>
            <w:tcBorders>
              <w:top w:val="single" w:sz="12" w:space="0" w:color="1F497D" w:themeColor="text2"/>
              <w:left w:val="nil"/>
              <w:bottom w:val="single" w:sz="8" w:space="0" w:color="1F497D" w:themeColor="text2"/>
              <w:right w:val="dotted" w:sz="4" w:space="0" w:color="auto"/>
            </w:tcBorders>
            <w:shd w:val="clear" w:color="auto" w:fill="DBE5F1" w:themeFill="accent1" w:themeFillTint="33"/>
            <w:vAlign w:val="bottom"/>
          </w:tcPr>
          <w:p w:rsidR="000C2B2C" w:rsidRDefault="00B14BFA" w:rsidP="00B63A3F">
            <w:pPr>
              <w:pStyle w:val="TableHeadingRight"/>
              <w:keepNext/>
            </w:pPr>
            <w:r>
              <w:t>Supply</w:t>
            </w:r>
            <w:r w:rsidR="000C2B2C">
              <w:t xml:space="preserve"> charge </w:t>
            </w:r>
          </w:p>
          <w:p w:rsidR="000C2B2C" w:rsidRDefault="000C2B2C" w:rsidP="00B63A3F">
            <w:pPr>
              <w:pStyle w:val="TableHeadingRight"/>
              <w:keepNext/>
            </w:pPr>
            <w:r>
              <w:t>($/a)</w:t>
            </w:r>
          </w:p>
        </w:tc>
        <w:tc>
          <w:tcPr>
            <w:tcW w:w="505" w:type="pct"/>
            <w:tcBorders>
              <w:top w:val="single" w:sz="12" w:space="0" w:color="1F497D" w:themeColor="text2"/>
              <w:left w:val="dotted" w:sz="4" w:space="0" w:color="auto"/>
              <w:bottom w:val="single" w:sz="8" w:space="0" w:color="1F497D" w:themeColor="text2"/>
              <w:right w:val="nil"/>
            </w:tcBorders>
            <w:shd w:val="clear" w:color="auto" w:fill="DBE5F1" w:themeFill="accent1" w:themeFillTint="33"/>
          </w:tcPr>
          <w:p w:rsidR="000C2B2C" w:rsidRDefault="000C2B2C" w:rsidP="00B63A3F">
            <w:pPr>
              <w:pStyle w:val="TableHeadingRight"/>
              <w:keepNext/>
            </w:pPr>
            <w:r w:rsidRPr="00FC60D2">
              <w:t>Tier 1 price</w:t>
            </w:r>
            <w:r>
              <w:t xml:space="preserve"> </w:t>
            </w:r>
            <w:r w:rsidRPr="00FC60D2">
              <w:t>($/kL)</w:t>
            </w:r>
          </w:p>
        </w:tc>
        <w:tc>
          <w:tcPr>
            <w:tcW w:w="506" w:type="pct"/>
            <w:tcBorders>
              <w:top w:val="single" w:sz="12" w:space="0" w:color="1F497D" w:themeColor="text2"/>
              <w:left w:val="nil"/>
              <w:bottom w:val="single" w:sz="8" w:space="0" w:color="1F497D" w:themeColor="text2"/>
              <w:right w:val="nil"/>
            </w:tcBorders>
            <w:shd w:val="clear" w:color="auto" w:fill="DBE5F1" w:themeFill="accent1" w:themeFillTint="33"/>
          </w:tcPr>
          <w:p w:rsidR="000C2B2C" w:rsidRDefault="000C2B2C" w:rsidP="00B63A3F">
            <w:pPr>
              <w:pStyle w:val="TableHeadingRight"/>
              <w:keepNext/>
            </w:pPr>
            <w:r w:rsidRPr="00FC60D2">
              <w:t xml:space="preserve">Tier </w:t>
            </w:r>
            <w:r>
              <w:t>2</w:t>
            </w:r>
            <w:r w:rsidRPr="00FC60D2">
              <w:t xml:space="preserve"> price</w:t>
            </w:r>
          </w:p>
          <w:p w:rsidR="000C2B2C" w:rsidRDefault="000C2B2C" w:rsidP="00B63A3F">
            <w:pPr>
              <w:pStyle w:val="TableHeadingRight"/>
              <w:keepNext/>
            </w:pPr>
            <w:r w:rsidRPr="00FC60D2">
              <w:t>($/kL)</w:t>
            </w:r>
          </w:p>
        </w:tc>
        <w:tc>
          <w:tcPr>
            <w:tcW w:w="502" w:type="pct"/>
            <w:tcBorders>
              <w:top w:val="single" w:sz="12" w:space="0" w:color="1F497D" w:themeColor="text2"/>
              <w:left w:val="nil"/>
              <w:bottom w:val="single" w:sz="8" w:space="0" w:color="1F497D" w:themeColor="text2"/>
              <w:right w:val="dotted" w:sz="4" w:space="0" w:color="auto"/>
            </w:tcBorders>
            <w:shd w:val="clear" w:color="auto" w:fill="DBE5F1" w:themeFill="accent1" w:themeFillTint="33"/>
          </w:tcPr>
          <w:p w:rsidR="000C2B2C" w:rsidRDefault="000C2B2C" w:rsidP="00B63A3F">
            <w:pPr>
              <w:pStyle w:val="TableHeadingRight"/>
              <w:keepNext/>
            </w:pPr>
            <w:r w:rsidRPr="00FC60D2">
              <w:t xml:space="preserve">Tier </w:t>
            </w:r>
            <w:r>
              <w:t>3</w:t>
            </w:r>
            <w:r w:rsidRPr="00FC60D2">
              <w:t xml:space="preserve"> price</w:t>
            </w:r>
          </w:p>
          <w:p w:rsidR="000C2B2C" w:rsidRDefault="000C2B2C" w:rsidP="00B63A3F">
            <w:pPr>
              <w:pStyle w:val="TableHeadingRight"/>
              <w:keepNext/>
            </w:pPr>
            <w:r w:rsidRPr="00FC60D2">
              <w:t>($/kL)</w:t>
            </w:r>
          </w:p>
        </w:tc>
        <w:tc>
          <w:tcPr>
            <w:tcW w:w="505" w:type="pct"/>
            <w:tcBorders>
              <w:top w:val="single" w:sz="12" w:space="0" w:color="1F497D" w:themeColor="text2"/>
              <w:left w:val="dotted" w:sz="4" w:space="0" w:color="auto"/>
              <w:bottom w:val="single" w:sz="8" w:space="0" w:color="1F497D" w:themeColor="text2"/>
              <w:right w:val="nil"/>
            </w:tcBorders>
            <w:shd w:val="clear" w:color="auto" w:fill="DBE5F1" w:themeFill="accent1" w:themeFillTint="33"/>
          </w:tcPr>
          <w:p w:rsidR="000C2B2C" w:rsidRDefault="000C2B2C" w:rsidP="00B63A3F">
            <w:pPr>
              <w:pStyle w:val="TableHeadingRight"/>
              <w:keepNext/>
            </w:pPr>
            <w:r>
              <w:t>Step 1</w:t>
            </w:r>
          </w:p>
          <w:p w:rsidR="000C2B2C" w:rsidRDefault="000C2B2C" w:rsidP="00B63A3F">
            <w:pPr>
              <w:pStyle w:val="TableHeadingRight"/>
              <w:keepNext/>
            </w:pPr>
            <w:r>
              <w:t>(kL/a)</w:t>
            </w:r>
          </w:p>
        </w:tc>
        <w:tc>
          <w:tcPr>
            <w:tcW w:w="418" w:type="pct"/>
            <w:tcBorders>
              <w:top w:val="single" w:sz="12" w:space="0" w:color="1F497D" w:themeColor="text2"/>
              <w:left w:val="nil"/>
              <w:bottom w:val="single" w:sz="8" w:space="0" w:color="1F497D" w:themeColor="text2"/>
              <w:right w:val="nil"/>
            </w:tcBorders>
            <w:shd w:val="clear" w:color="auto" w:fill="DBE5F1" w:themeFill="accent1" w:themeFillTint="33"/>
          </w:tcPr>
          <w:p w:rsidR="000C2B2C" w:rsidRDefault="000C2B2C" w:rsidP="00B63A3F">
            <w:pPr>
              <w:pStyle w:val="TableHeadingRight"/>
              <w:keepNext/>
            </w:pPr>
            <w:r>
              <w:t>Step 2</w:t>
            </w:r>
          </w:p>
          <w:p w:rsidR="000C2B2C" w:rsidRDefault="000C2B2C" w:rsidP="00B63A3F">
            <w:pPr>
              <w:pStyle w:val="TableHeadingRight"/>
              <w:keepNext/>
            </w:pPr>
            <w:r>
              <w:t>(kL/a)</w:t>
            </w:r>
          </w:p>
        </w:tc>
        <w:tc>
          <w:tcPr>
            <w:tcW w:w="467" w:type="pct"/>
            <w:tcBorders>
              <w:top w:val="single" w:sz="12" w:space="0" w:color="1F497D" w:themeColor="text2"/>
              <w:left w:val="nil"/>
              <w:bottom w:val="single" w:sz="8" w:space="0" w:color="1F497D" w:themeColor="text2"/>
              <w:right w:val="nil"/>
            </w:tcBorders>
            <w:shd w:val="clear" w:color="auto" w:fill="DBE5F1" w:themeFill="accent1" w:themeFillTint="33"/>
          </w:tcPr>
          <w:p w:rsidR="000C2B2C" w:rsidRDefault="000C2B2C" w:rsidP="00B63A3F">
            <w:pPr>
              <w:pStyle w:val="TableHeadingRight"/>
              <w:keepNext/>
            </w:pPr>
            <w:r w:rsidRPr="00652726">
              <w:t>200 kL/a bill ($)</w:t>
            </w:r>
          </w:p>
        </w:tc>
      </w:tr>
      <w:tr w:rsidR="000C2B2C" w:rsidRPr="00144F8C" w:rsidTr="009F0E43">
        <w:trPr>
          <w:cantSplit/>
        </w:trPr>
        <w:tc>
          <w:tcPr>
            <w:tcW w:w="1438" w:type="pct"/>
            <w:tcBorders>
              <w:top w:val="nil"/>
              <w:left w:val="nil"/>
              <w:bottom w:val="nil"/>
              <w:right w:val="nil"/>
            </w:tcBorders>
          </w:tcPr>
          <w:p w:rsidR="000C2B2C" w:rsidRPr="00C07517" w:rsidRDefault="000C2B2C" w:rsidP="00B63A3F">
            <w:pPr>
              <w:pStyle w:val="TableHeadingLeft"/>
              <w:keepNext/>
              <w:rPr>
                <w:b w:val="0"/>
              </w:rPr>
            </w:pPr>
            <w:r w:rsidRPr="00C07517">
              <w:rPr>
                <w:b w:val="0"/>
              </w:rPr>
              <w:t>City West Water</w:t>
            </w:r>
            <w:r w:rsidR="009F0E43" w:rsidRPr="009F0E43">
              <w:rPr>
                <w:b w:val="0"/>
                <w:vertAlign w:val="superscript"/>
              </w:rPr>
              <w:t>(a)</w:t>
            </w:r>
            <w:r w:rsidRPr="00C07517">
              <w:rPr>
                <w:b w:val="0"/>
              </w:rPr>
              <w:t xml:space="preserve"> </w:t>
            </w:r>
            <w:r w:rsidRPr="00C07517">
              <w:rPr>
                <w:b w:val="0"/>
              </w:rPr>
              <w:sym w:font="Symbol" w:char="F02D"/>
            </w:r>
            <w:r w:rsidRPr="00C07517">
              <w:rPr>
                <w:b w:val="0"/>
              </w:rPr>
              <w:t xml:space="preserve"> residential</w:t>
            </w:r>
          </w:p>
        </w:tc>
        <w:tc>
          <w:tcPr>
            <w:tcW w:w="660" w:type="pct"/>
            <w:tcBorders>
              <w:top w:val="nil"/>
              <w:left w:val="nil"/>
              <w:bottom w:val="nil"/>
              <w:right w:val="dotted" w:sz="4" w:space="0" w:color="auto"/>
            </w:tcBorders>
            <w:vAlign w:val="bottom"/>
          </w:tcPr>
          <w:p w:rsidR="000C2B2C" w:rsidRDefault="000C2B2C" w:rsidP="00B63A3F">
            <w:pPr>
              <w:pStyle w:val="TableTextRight"/>
              <w:keepNext/>
            </w:pPr>
            <w:r w:rsidRPr="00A37607">
              <w:t>228.00</w:t>
            </w:r>
          </w:p>
        </w:tc>
        <w:tc>
          <w:tcPr>
            <w:tcW w:w="505" w:type="pct"/>
            <w:tcBorders>
              <w:top w:val="nil"/>
              <w:left w:val="dotted" w:sz="4" w:space="0" w:color="auto"/>
              <w:bottom w:val="nil"/>
              <w:right w:val="nil"/>
            </w:tcBorders>
            <w:vAlign w:val="bottom"/>
          </w:tcPr>
          <w:p w:rsidR="000C2B2C" w:rsidRDefault="000C2B2C" w:rsidP="00B63A3F">
            <w:pPr>
              <w:pStyle w:val="TableTextRight"/>
              <w:keepNext/>
            </w:pPr>
            <w:r w:rsidRPr="00A37607">
              <w:t>2.39</w:t>
            </w:r>
          </w:p>
        </w:tc>
        <w:tc>
          <w:tcPr>
            <w:tcW w:w="506" w:type="pct"/>
            <w:tcBorders>
              <w:top w:val="nil"/>
              <w:left w:val="nil"/>
              <w:bottom w:val="nil"/>
              <w:right w:val="nil"/>
            </w:tcBorders>
            <w:vAlign w:val="bottom"/>
          </w:tcPr>
          <w:p w:rsidR="000C2B2C" w:rsidRDefault="000C2B2C" w:rsidP="00B63A3F">
            <w:pPr>
              <w:pStyle w:val="TableTextRight"/>
              <w:keepNext/>
            </w:pPr>
            <w:r w:rsidRPr="00A37607">
              <w:t>2.82</w:t>
            </w:r>
          </w:p>
        </w:tc>
        <w:tc>
          <w:tcPr>
            <w:tcW w:w="502" w:type="pct"/>
            <w:tcBorders>
              <w:top w:val="nil"/>
              <w:left w:val="nil"/>
              <w:bottom w:val="nil"/>
              <w:right w:val="dotted" w:sz="4" w:space="0" w:color="auto"/>
            </w:tcBorders>
            <w:vAlign w:val="bottom"/>
          </w:tcPr>
          <w:p w:rsidR="000C2B2C" w:rsidRDefault="000C2B2C" w:rsidP="00B63A3F">
            <w:pPr>
              <w:pStyle w:val="TableTextRight"/>
              <w:keepNext/>
            </w:pPr>
            <w:r w:rsidRPr="00A37607">
              <w:t>4.19</w:t>
            </w:r>
          </w:p>
        </w:tc>
        <w:tc>
          <w:tcPr>
            <w:tcW w:w="505" w:type="pct"/>
            <w:tcBorders>
              <w:top w:val="nil"/>
              <w:left w:val="dotted" w:sz="4" w:space="0" w:color="auto"/>
              <w:bottom w:val="nil"/>
              <w:right w:val="nil"/>
            </w:tcBorders>
          </w:tcPr>
          <w:p w:rsidR="000C2B2C" w:rsidRDefault="000C2B2C" w:rsidP="00B63A3F">
            <w:pPr>
              <w:pStyle w:val="TableTextRight"/>
              <w:keepNext/>
            </w:pPr>
            <w:r>
              <w:t>161</w:t>
            </w:r>
          </w:p>
        </w:tc>
        <w:tc>
          <w:tcPr>
            <w:tcW w:w="418" w:type="pct"/>
            <w:tcBorders>
              <w:top w:val="nil"/>
              <w:left w:val="nil"/>
              <w:bottom w:val="nil"/>
              <w:right w:val="nil"/>
            </w:tcBorders>
          </w:tcPr>
          <w:p w:rsidR="000C2B2C" w:rsidRDefault="000C2B2C" w:rsidP="00B63A3F">
            <w:pPr>
              <w:pStyle w:val="TableTextRight"/>
              <w:keepNext/>
            </w:pPr>
            <w:r>
              <w:t>321</w:t>
            </w:r>
          </w:p>
        </w:tc>
        <w:tc>
          <w:tcPr>
            <w:tcW w:w="467" w:type="pct"/>
            <w:tcBorders>
              <w:top w:val="nil"/>
              <w:left w:val="nil"/>
              <w:bottom w:val="nil"/>
              <w:right w:val="nil"/>
            </w:tcBorders>
          </w:tcPr>
          <w:p w:rsidR="000C2B2C" w:rsidRDefault="000C2B2C" w:rsidP="00B63A3F">
            <w:pPr>
              <w:pStyle w:val="TableTextRight"/>
              <w:keepNext/>
            </w:pPr>
            <w:r>
              <w:t>723</w:t>
            </w:r>
          </w:p>
        </w:tc>
      </w:tr>
      <w:tr w:rsidR="000C2B2C" w:rsidRPr="00144F8C" w:rsidTr="009F0E43">
        <w:trPr>
          <w:cantSplit/>
        </w:trPr>
        <w:tc>
          <w:tcPr>
            <w:tcW w:w="1438" w:type="pct"/>
            <w:tcBorders>
              <w:top w:val="nil"/>
              <w:left w:val="nil"/>
              <w:bottom w:val="nil"/>
              <w:right w:val="nil"/>
            </w:tcBorders>
          </w:tcPr>
          <w:p w:rsidR="000C2B2C" w:rsidRPr="00C07517" w:rsidRDefault="000C2B2C" w:rsidP="00B63A3F">
            <w:pPr>
              <w:pStyle w:val="TableHeadingLeft"/>
              <w:keepNext/>
              <w:rPr>
                <w:b w:val="0"/>
              </w:rPr>
            </w:pPr>
            <w:r>
              <w:rPr>
                <w:b w:val="0"/>
              </w:rPr>
              <w:t xml:space="preserve">                         </w:t>
            </w:r>
            <w:r w:rsidRPr="00C07517">
              <w:rPr>
                <w:b w:val="0"/>
              </w:rPr>
              <w:t xml:space="preserve">  </w:t>
            </w:r>
            <w:r w:rsidR="009F0E43">
              <w:rPr>
                <w:b w:val="0"/>
              </w:rPr>
              <w:t xml:space="preserve">   </w:t>
            </w:r>
            <w:r w:rsidRPr="00C07517">
              <w:rPr>
                <w:b w:val="0"/>
              </w:rPr>
              <w:sym w:font="Symbol" w:char="F02D"/>
            </w:r>
            <w:r w:rsidRPr="00C07517">
              <w:rPr>
                <w:b w:val="0"/>
              </w:rPr>
              <w:t xml:space="preserve"> business</w:t>
            </w:r>
          </w:p>
        </w:tc>
        <w:tc>
          <w:tcPr>
            <w:tcW w:w="660" w:type="pct"/>
            <w:tcBorders>
              <w:top w:val="nil"/>
              <w:left w:val="nil"/>
              <w:bottom w:val="nil"/>
              <w:right w:val="dotted" w:sz="4" w:space="0" w:color="auto"/>
            </w:tcBorders>
            <w:vAlign w:val="bottom"/>
          </w:tcPr>
          <w:p w:rsidR="000C2B2C" w:rsidRDefault="000C2B2C" w:rsidP="00B63A3F">
            <w:pPr>
              <w:pStyle w:val="TableTextRight"/>
              <w:keepNext/>
            </w:pPr>
            <w:r w:rsidRPr="00B75821">
              <w:t>332.08</w:t>
            </w:r>
          </w:p>
        </w:tc>
        <w:tc>
          <w:tcPr>
            <w:tcW w:w="505" w:type="pct"/>
            <w:tcBorders>
              <w:top w:val="nil"/>
              <w:left w:val="dotted" w:sz="4" w:space="0" w:color="auto"/>
              <w:bottom w:val="nil"/>
              <w:right w:val="nil"/>
            </w:tcBorders>
            <w:vAlign w:val="bottom"/>
          </w:tcPr>
          <w:p w:rsidR="000C2B2C" w:rsidRDefault="000C2B2C" w:rsidP="00B63A3F">
            <w:pPr>
              <w:pStyle w:val="TableTextRight"/>
              <w:keepNext/>
            </w:pPr>
            <w:r w:rsidRPr="00B75821">
              <w:t>2.66</w:t>
            </w:r>
          </w:p>
        </w:tc>
        <w:tc>
          <w:tcPr>
            <w:tcW w:w="506" w:type="pct"/>
            <w:tcBorders>
              <w:top w:val="nil"/>
              <w:left w:val="nil"/>
              <w:bottom w:val="nil"/>
              <w:right w:val="nil"/>
            </w:tcBorders>
          </w:tcPr>
          <w:p w:rsidR="000C2B2C" w:rsidRDefault="000C2B2C" w:rsidP="00B63A3F">
            <w:pPr>
              <w:pStyle w:val="TableTextRight"/>
              <w:keepNext/>
              <w:rPr>
                <w:rFonts w:cs="Arial"/>
                <w:b/>
                <w:color w:val="000033"/>
                <w:szCs w:val="22"/>
              </w:rPr>
            </w:pPr>
          </w:p>
        </w:tc>
        <w:tc>
          <w:tcPr>
            <w:tcW w:w="502" w:type="pct"/>
            <w:tcBorders>
              <w:top w:val="nil"/>
              <w:left w:val="nil"/>
              <w:bottom w:val="nil"/>
              <w:right w:val="dotted" w:sz="4" w:space="0" w:color="auto"/>
            </w:tcBorders>
          </w:tcPr>
          <w:p w:rsidR="000C2B2C" w:rsidRDefault="000C2B2C" w:rsidP="00B63A3F">
            <w:pPr>
              <w:pStyle w:val="TableTextRight"/>
              <w:keepNext/>
              <w:rPr>
                <w:rFonts w:cs="Arial"/>
                <w:b/>
                <w:color w:val="000033"/>
                <w:szCs w:val="22"/>
              </w:rPr>
            </w:pPr>
          </w:p>
        </w:tc>
        <w:tc>
          <w:tcPr>
            <w:tcW w:w="505" w:type="pct"/>
            <w:tcBorders>
              <w:top w:val="nil"/>
              <w:left w:val="dotted" w:sz="4" w:space="0" w:color="auto"/>
              <w:bottom w:val="nil"/>
              <w:right w:val="nil"/>
            </w:tcBorders>
          </w:tcPr>
          <w:p w:rsidR="000C2B2C" w:rsidRDefault="000C2B2C" w:rsidP="00B63A3F">
            <w:pPr>
              <w:pStyle w:val="TableTextRight"/>
              <w:keepNext/>
              <w:rPr>
                <w:rFonts w:cs="Arial"/>
                <w:b/>
                <w:color w:val="000033"/>
                <w:szCs w:val="22"/>
              </w:rPr>
            </w:pPr>
          </w:p>
        </w:tc>
        <w:tc>
          <w:tcPr>
            <w:tcW w:w="418" w:type="pct"/>
            <w:tcBorders>
              <w:top w:val="nil"/>
              <w:left w:val="nil"/>
              <w:bottom w:val="nil"/>
              <w:right w:val="nil"/>
            </w:tcBorders>
          </w:tcPr>
          <w:p w:rsidR="000C2B2C" w:rsidRDefault="000C2B2C" w:rsidP="00B63A3F">
            <w:pPr>
              <w:pStyle w:val="TableTextRight"/>
              <w:keepNext/>
              <w:rPr>
                <w:rFonts w:cs="Arial"/>
                <w:b/>
                <w:color w:val="000033"/>
                <w:szCs w:val="22"/>
              </w:rPr>
            </w:pPr>
          </w:p>
        </w:tc>
        <w:tc>
          <w:tcPr>
            <w:tcW w:w="467" w:type="pct"/>
            <w:tcBorders>
              <w:top w:val="nil"/>
              <w:left w:val="nil"/>
              <w:bottom w:val="nil"/>
              <w:right w:val="nil"/>
            </w:tcBorders>
          </w:tcPr>
          <w:p w:rsidR="000C2B2C" w:rsidRPr="00B75821" w:rsidRDefault="000C2B2C" w:rsidP="00B63A3F">
            <w:pPr>
              <w:pStyle w:val="TableTextRight"/>
              <w:keepNext/>
            </w:pPr>
            <w:r>
              <w:t>865</w:t>
            </w:r>
          </w:p>
        </w:tc>
      </w:tr>
      <w:tr w:rsidR="000C2B2C" w:rsidRPr="00144F8C" w:rsidTr="009F0E43">
        <w:trPr>
          <w:cantSplit/>
        </w:trPr>
        <w:tc>
          <w:tcPr>
            <w:tcW w:w="1438" w:type="pct"/>
            <w:tcBorders>
              <w:top w:val="nil"/>
              <w:left w:val="nil"/>
              <w:bottom w:val="nil"/>
              <w:right w:val="nil"/>
            </w:tcBorders>
          </w:tcPr>
          <w:p w:rsidR="000C2B2C" w:rsidRPr="00C07517" w:rsidRDefault="000C2B2C" w:rsidP="00B63A3F">
            <w:pPr>
              <w:pStyle w:val="TableHeadingLeft"/>
              <w:keepNext/>
              <w:rPr>
                <w:b w:val="0"/>
              </w:rPr>
            </w:pPr>
          </w:p>
        </w:tc>
        <w:tc>
          <w:tcPr>
            <w:tcW w:w="660" w:type="pct"/>
            <w:tcBorders>
              <w:top w:val="nil"/>
              <w:left w:val="nil"/>
              <w:bottom w:val="nil"/>
              <w:right w:val="dotted" w:sz="4" w:space="0" w:color="auto"/>
            </w:tcBorders>
            <w:vAlign w:val="bottom"/>
          </w:tcPr>
          <w:p w:rsidR="000C2B2C" w:rsidRDefault="000C2B2C" w:rsidP="00B63A3F">
            <w:pPr>
              <w:pStyle w:val="TableTextRight"/>
              <w:keepNext/>
            </w:pPr>
          </w:p>
        </w:tc>
        <w:tc>
          <w:tcPr>
            <w:tcW w:w="505" w:type="pct"/>
            <w:tcBorders>
              <w:top w:val="nil"/>
              <w:left w:val="dotted" w:sz="4" w:space="0" w:color="auto"/>
              <w:bottom w:val="nil"/>
              <w:right w:val="nil"/>
            </w:tcBorders>
            <w:vAlign w:val="bottom"/>
          </w:tcPr>
          <w:p w:rsidR="000C2B2C" w:rsidRDefault="000C2B2C" w:rsidP="00B63A3F">
            <w:pPr>
              <w:pStyle w:val="TableTextRight"/>
              <w:keepNext/>
            </w:pPr>
          </w:p>
        </w:tc>
        <w:tc>
          <w:tcPr>
            <w:tcW w:w="506" w:type="pct"/>
            <w:tcBorders>
              <w:top w:val="nil"/>
              <w:left w:val="nil"/>
              <w:bottom w:val="nil"/>
              <w:right w:val="nil"/>
            </w:tcBorders>
          </w:tcPr>
          <w:p w:rsidR="000C2B2C" w:rsidRDefault="000C2B2C" w:rsidP="00B63A3F">
            <w:pPr>
              <w:pStyle w:val="TableTextRight"/>
              <w:keepNext/>
            </w:pPr>
          </w:p>
        </w:tc>
        <w:tc>
          <w:tcPr>
            <w:tcW w:w="502" w:type="pct"/>
            <w:tcBorders>
              <w:top w:val="nil"/>
              <w:left w:val="nil"/>
              <w:bottom w:val="nil"/>
              <w:right w:val="dotted" w:sz="4" w:space="0" w:color="auto"/>
            </w:tcBorders>
          </w:tcPr>
          <w:p w:rsidR="000C2B2C" w:rsidRDefault="000C2B2C" w:rsidP="00B63A3F">
            <w:pPr>
              <w:pStyle w:val="TableTextRight"/>
              <w:keepNext/>
            </w:pPr>
          </w:p>
        </w:tc>
        <w:tc>
          <w:tcPr>
            <w:tcW w:w="505" w:type="pct"/>
            <w:tcBorders>
              <w:top w:val="nil"/>
              <w:left w:val="dotted" w:sz="4" w:space="0" w:color="auto"/>
              <w:bottom w:val="nil"/>
              <w:right w:val="nil"/>
            </w:tcBorders>
          </w:tcPr>
          <w:p w:rsidR="000C2B2C" w:rsidRDefault="000C2B2C" w:rsidP="00B63A3F">
            <w:pPr>
              <w:pStyle w:val="TableTextRight"/>
              <w:keepNext/>
            </w:pPr>
          </w:p>
        </w:tc>
        <w:tc>
          <w:tcPr>
            <w:tcW w:w="418" w:type="pct"/>
            <w:tcBorders>
              <w:top w:val="nil"/>
              <w:left w:val="nil"/>
              <w:bottom w:val="nil"/>
              <w:right w:val="nil"/>
            </w:tcBorders>
          </w:tcPr>
          <w:p w:rsidR="000C2B2C" w:rsidRDefault="000C2B2C" w:rsidP="00B63A3F">
            <w:pPr>
              <w:pStyle w:val="TableTextRight"/>
              <w:keepNext/>
            </w:pPr>
          </w:p>
        </w:tc>
        <w:tc>
          <w:tcPr>
            <w:tcW w:w="467" w:type="pct"/>
            <w:tcBorders>
              <w:top w:val="nil"/>
              <w:left w:val="nil"/>
              <w:bottom w:val="nil"/>
              <w:right w:val="nil"/>
            </w:tcBorders>
          </w:tcPr>
          <w:p w:rsidR="000C2B2C" w:rsidRPr="00236981" w:rsidRDefault="000C2B2C" w:rsidP="00B63A3F">
            <w:pPr>
              <w:pStyle w:val="TableTextRight"/>
              <w:keepNext/>
            </w:pPr>
          </w:p>
        </w:tc>
      </w:tr>
      <w:tr w:rsidR="000C2B2C" w:rsidRPr="00144F8C" w:rsidTr="009F0E43">
        <w:trPr>
          <w:cantSplit/>
        </w:trPr>
        <w:tc>
          <w:tcPr>
            <w:tcW w:w="1438" w:type="pct"/>
            <w:tcBorders>
              <w:top w:val="nil"/>
              <w:left w:val="nil"/>
              <w:bottom w:val="nil"/>
              <w:right w:val="nil"/>
            </w:tcBorders>
          </w:tcPr>
          <w:p w:rsidR="000C2B2C" w:rsidRPr="00C07517" w:rsidRDefault="000C2B2C" w:rsidP="00B63A3F">
            <w:pPr>
              <w:pStyle w:val="TableHeadingLeft"/>
              <w:keepNext/>
              <w:rPr>
                <w:b w:val="0"/>
              </w:rPr>
            </w:pPr>
            <w:r w:rsidRPr="00C07517">
              <w:rPr>
                <w:b w:val="0"/>
              </w:rPr>
              <w:t xml:space="preserve">Hunter Water </w:t>
            </w:r>
            <w:r w:rsidRPr="00C07517">
              <w:rPr>
                <w:b w:val="0"/>
              </w:rPr>
              <w:sym w:font="Symbol" w:char="F02D"/>
            </w:r>
            <w:r w:rsidRPr="00C07517">
              <w:rPr>
                <w:b w:val="0"/>
              </w:rPr>
              <w:t xml:space="preserve"> residential</w:t>
            </w:r>
          </w:p>
        </w:tc>
        <w:tc>
          <w:tcPr>
            <w:tcW w:w="660" w:type="pct"/>
            <w:tcBorders>
              <w:top w:val="nil"/>
              <w:left w:val="nil"/>
              <w:bottom w:val="nil"/>
              <w:right w:val="dotted" w:sz="4" w:space="0" w:color="auto"/>
            </w:tcBorders>
            <w:vAlign w:val="bottom"/>
          </w:tcPr>
          <w:p w:rsidR="000C2B2C" w:rsidRDefault="000B5E61" w:rsidP="00B63A3F">
            <w:pPr>
              <w:pStyle w:val="TableTextRight"/>
              <w:keepNext/>
            </w:pPr>
            <w:r>
              <w:t>25</w:t>
            </w:r>
            <w:r w:rsidR="000C2B2C" w:rsidRPr="00236981">
              <w:t>.</w:t>
            </w:r>
            <w:r>
              <w:t>69</w:t>
            </w:r>
          </w:p>
        </w:tc>
        <w:tc>
          <w:tcPr>
            <w:tcW w:w="505" w:type="pct"/>
            <w:tcBorders>
              <w:top w:val="nil"/>
              <w:left w:val="dotted" w:sz="4" w:space="0" w:color="auto"/>
              <w:bottom w:val="nil"/>
              <w:right w:val="nil"/>
            </w:tcBorders>
            <w:vAlign w:val="bottom"/>
          </w:tcPr>
          <w:p w:rsidR="000C2B2C" w:rsidRDefault="006E192E" w:rsidP="00B63A3F">
            <w:pPr>
              <w:pStyle w:val="TableTextRight"/>
              <w:keepNext/>
            </w:pPr>
            <w:r>
              <w:t>2.25</w:t>
            </w:r>
          </w:p>
        </w:tc>
        <w:tc>
          <w:tcPr>
            <w:tcW w:w="506" w:type="pct"/>
            <w:tcBorders>
              <w:top w:val="nil"/>
              <w:left w:val="nil"/>
              <w:bottom w:val="nil"/>
              <w:right w:val="nil"/>
            </w:tcBorders>
          </w:tcPr>
          <w:p w:rsidR="000C2B2C" w:rsidRDefault="000C2B2C" w:rsidP="00B63A3F">
            <w:pPr>
              <w:pStyle w:val="TableTextRight"/>
              <w:keepNext/>
              <w:rPr>
                <w:rFonts w:cs="Arial"/>
                <w:b/>
                <w:color w:val="000033"/>
                <w:szCs w:val="22"/>
              </w:rPr>
            </w:pPr>
          </w:p>
        </w:tc>
        <w:tc>
          <w:tcPr>
            <w:tcW w:w="502" w:type="pct"/>
            <w:tcBorders>
              <w:top w:val="nil"/>
              <w:left w:val="nil"/>
              <w:bottom w:val="nil"/>
              <w:right w:val="dotted" w:sz="4" w:space="0" w:color="auto"/>
            </w:tcBorders>
          </w:tcPr>
          <w:p w:rsidR="000C2B2C" w:rsidRDefault="000C2B2C" w:rsidP="00B63A3F">
            <w:pPr>
              <w:pStyle w:val="TableTextRight"/>
              <w:keepNext/>
              <w:rPr>
                <w:rFonts w:cs="Arial"/>
                <w:b/>
                <w:color w:val="000033"/>
                <w:szCs w:val="22"/>
              </w:rPr>
            </w:pPr>
          </w:p>
        </w:tc>
        <w:tc>
          <w:tcPr>
            <w:tcW w:w="505" w:type="pct"/>
            <w:tcBorders>
              <w:top w:val="nil"/>
              <w:left w:val="dotted" w:sz="4" w:space="0" w:color="auto"/>
              <w:bottom w:val="nil"/>
              <w:right w:val="nil"/>
            </w:tcBorders>
          </w:tcPr>
          <w:p w:rsidR="000C2B2C" w:rsidRDefault="000C2B2C" w:rsidP="00B63A3F">
            <w:pPr>
              <w:pStyle w:val="TableTextRight"/>
              <w:keepNext/>
              <w:rPr>
                <w:rFonts w:cs="Arial"/>
                <w:b/>
                <w:color w:val="000033"/>
                <w:szCs w:val="22"/>
              </w:rPr>
            </w:pPr>
          </w:p>
        </w:tc>
        <w:tc>
          <w:tcPr>
            <w:tcW w:w="418" w:type="pct"/>
            <w:tcBorders>
              <w:top w:val="nil"/>
              <w:left w:val="nil"/>
              <w:bottom w:val="nil"/>
              <w:right w:val="nil"/>
            </w:tcBorders>
          </w:tcPr>
          <w:p w:rsidR="000C2B2C" w:rsidRDefault="000C2B2C" w:rsidP="00B63A3F">
            <w:pPr>
              <w:pStyle w:val="TableTextRight"/>
              <w:keepNext/>
              <w:rPr>
                <w:rFonts w:cs="Arial"/>
                <w:b/>
                <w:color w:val="000033"/>
                <w:szCs w:val="22"/>
              </w:rPr>
            </w:pPr>
          </w:p>
        </w:tc>
        <w:tc>
          <w:tcPr>
            <w:tcW w:w="467" w:type="pct"/>
            <w:tcBorders>
              <w:top w:val="nil"/>
              <w:left w:val="nil"/>
              <w:bottom w:val="nil"/>
              <w:right w:val="nil"/>
            </w:tcBorders>
          </w:tcPr>
          <w:p w:rsidR="000C2B2C" w:rsidRPr="003A12C3" w:rsidRDefault="000C2B2C" w:rsidP="00E74DBF">
            <w:pPr>
              <w:pStyle w:val="TableTextRight"/>
              <w:keepNext/>
              <w:spacing w:line="280" w:lineRule="atLeast"/>
            </w:pPr>
            <w:r>
              <w:t>4</w:t>
            </w:r>
            <w:r w:rsidR="00E74DBF">
              <w:t>76</w:t>
            </w:r>
          </w:p>
        </w:tc>
      </w:tr>
      <w:tr w:rsidR="000C2B2C" w:rsidRPr="00144F8C" w:rsidTr="009F0E43">
        <w:trPr>
          <w:cantSplit/>
        </w:trPr>
        <w:tc>
          <w:tcPr>
            <w:tcW w:w="1438" w:type="pct"/>
            <w:tcBorders>
              <w:top w:val="nil"/>
              <w:left w:val="nil"/>
              <w:bottom w:val="nil"/>
              <w:right w:val="nil"/>
            </w:tcBorders>
          </w:tcPr>
          <w:p w:rsidR="000C2B2C" w:rsidRPr="00C07517" w:rsidRDefault="000C2B2C" w:rsidP="00B63A3F">
            <w:pPr>
              <w:pStyle w:val="TableHeadingLeft"/>
              <w:keepNext/>
              <w:rPr>
                <w:b w:val="0"/>
              </w:rPr>
            </w:pPr>
            <w:r>
              <w:rPr>
                <w:b w:val="0"/>
              </w:rPr>
              <w:t xml:space="preserve">                    </w:t>
            </w:r>
            <w:r w:rsidRPr="00C07517">
              <w:rPr>
                <w:b w:val="0"/>
              </w:rPr>
              <w:t xml:space="preserve">   </w:t>
            </w:r>
            <w:r w:rsidRPr="00C07517">
              <w:rPr>
                <w:b w:val="0"/>
              </w:rPr>
              <w:sym w:font="Symbol" w:char="F02D"/>
            </w:r>
            <w:r w:rsidRPr="00C07517">
              <w:rPr>
                <w:b w:val="0"/>
              </w:rPr>
              <w:t xml:space="preserve"> business</w:t>
            </w:r>
            <w:r w:rsidRPr="00C07517">
              <w:rPr>
                <w:b w:val="0"/>
                <w:vertAlign w:val="superscript"/>
              </w:rPr>
              <w:t>(</w:t>
            </w:r>
            <w:r w:rsidR="006E192E">
              <w:rPr>
                <w:b w:val="0"/>
                <w:vertAlign w:val="superscript"/>
              </w:rPr>
              <w:t>b</w:t>
            </w:r>
            <w:r w:rsidRPr="00C07517">
              <w:rPr>
                <w:b w:val="0"/>
                <w:vertAlign w:val="superscript"/>
              </w:rPr>
              <w:t>)</w:t>
            </w:r>
          </w:p>
        </w:tc>
        <w:tc>
          <w:tcPr>
            <w:tcW w:w="660" w:type="pct"/>
            <w:tcBorders>
              <w:top w:val="nil"/>
              <w:left w:val="nil"/>
              <w:bottom w:val="nil"/>
              <w:right w:val="dotted" w:sz="4" w:space="0" w:color="auto"/>
            </w:tcBorders>
          </w:tcPr>
          <w:p w:rsidR="000C2B2C" w:rsidRDefault="006E192E" w:rsidP="00B63A3F">
            <w:pPr>
              <w:pStyle w:val="TableTextRight"/>
              <w:keepNext/>
            </w:pPr>
            <w:r>
              <w:t>25</w:t>
            </w:r>
            <w:r w:rsidR="000C2B2C">
              <w:t>.</w:t>
            </w:r>
            <w:r>
              <w:t>69</w:t>
            </w:r>
          </w:p>
        </w:tc>
        <w:tc>
          <w:tcPr>
            <w:tcW w:w="505" w:type="pct"/>
            <w:tcBorders>
              <w:top w:val="nil"/>
              <w:left w:val="dotted" w:sz="4" w:space="0" w:color="auto"/>
              <w:bottom w:val="nil"/>
              <w:right w:val="nil"/>
            </w:tcBorders>
          </w:tcPr>
          <w:p w:rsidR="000C2B2C" w:rsidRDefault="000C2B2C" w:rsidP="00B63A3F">
            <w:pPr>
              <w:pStyle w:val="TableTextRight"/>
              <w:keepNext/>
            </w:pPr>
            <w:r>
              <w:t>2.2</w:t>
            </w:r>
            <w:r w:rsidR="006E192E">
              <w:t>5</w:t>
            </w:r>
          </w:p>
        </w:tc>
        <w:tc>
          <w:tcPr>
            <w:tcW w:w="506" w:type="pct"/>
            <w:tcBorders>
              <w:top w:val="nil"/>
              <w:left w:val="nil"/>
              <w:bottom w:val="nil"/>
              <w:right w:val="nil"/>
            </w:tcBorders>
          </w:tcPr>
          <w:p w:rsidR="000C2B2C" w:rsidRDefault="000C2B2C" w:rsidP="00B63A3F">
            <w:pPr>
              <w:pStyle w:val="TableTextRight"/>
              <w:keepNext/>
              <w:rPr>
                <w:rFonts w:cs="Arial"/>
                <w:b/>
                <w:color w:val="000033"/>
                <w:szCs w:val="22"/>
              </w:rPr>
            </w:pPr>
          </w:p>
        </w:tc>
        <w:tc>
          <w:tcPr>
            <w:tcW w:w="502" w:type="pct"/>
            <w:tcBorders>
              <w:top w:val="nil"/>
              <w:left w:val="nil"/>
              <w:bottom w:val="nil"/>
              <w:right w:val="dotted" w:sz="4" w:space="0" w:color="auto"/>
            </w:tcBorders>
          </w:tcPr>
          <w:p w:rsidR="000C2B2C" w:rsidRDefault="000C2B2C" w:rsidP="00B63A3F">
            <w:pPr>
              <w:pStyle w:val="TableTextRight"/>
              <w:keepNext/>
              <w:rPr>
                <w:rFonts w:cs="Arial"/>
                <w:b/>
                <w:color w:val="000033"/>
                <w:szCs w:val="22"/>
              </w:rPr>
            </w:pPr>
          </w:p>
        </w:tc>
        <w:tc>
          <w:tcPr>
            <w:tcW w:w="505" w:type="pct"/>
            <w:tcBorders>
              <w:top w:val="nil"/>
              <w:left w:val="dotted" w:sz="4" w:space="0" w:color="auto"/>
              <w:bottom w:val="nil"/>
              <w:right w:val="nil"/>
            </w:tcBorders>
          </w:tcPr>
          <w:p w:rsidR="000C2B2C" w:rsidRDefault="000C2B2C" w:rsidP="00B63A3F">
            <w:pPr>
              <w:pStyle w:val="TableTextRight"/>
              <w:keepNext/>
              <w:rPr>
                <w:rFonts w:cs="Arial"/>
                <w:b/>
                <w:color w:val="000033"/>
                <w:szCs w:val="22"/>
              </w:rPr>
            </w:pPr>
          </w:p>
        </w:tc>
        <w:tc>
          <w:tcPr>
            <w:tcW w:w="418" w:type="pct"/>
            <w:tcBorders>
              <w:top w:val="nil"/>
              <w:left w:val="nil"/>
              <w:bottom w:val="nil"/>
              <w:right w:val="nil"/>
            </w:tcBorders>
          </w:tcPr>
          <w:p w:rsidR="000C2B2C" w:rsidRDefault="000C2B2C" w:rsidP="00B63A3F">
            <w:pPr>
              <w:pStyle w:val="TableTextRight"/>
              <w:keepNext/>
              <w:rPr>
                <w:rFonts w:cs="Arial"/>
                <w:b/>
                <w:color w:val="000033"/>
                <w:szCs w:val="22"/>
              </w:rPr>
            </w:pPr>
          </w:p>
        </w:tc>
        <w:tc>
          <w:tcPr>
            <w:tcW w:w="467" w:type="pct"/>
            <w:tcBorders>
              <w:top w:val="nil"/>
              <w:left w:val="nil"/>
              <w:bottom w:val="nil"/>
              <w:right w:val="nil"/>
            </w:tcBorders>
          </w:tcPr>
          <w:p w:rsidR="000C2B2C" w:rsidRPr="003A12C3" w:rsidRDefault="000C2B2C" w:rsidP="00E74DBF">
            <w:pPr>
              <w:pStyle w:val="TableTextRight"/>
              <w:keepNext/>
              <w:spacing w:line="280" w:lineRule="atLeast"/>
            </w:pPr>
            <w:r>
              <w:t>4</w:t>
            </w:r>
            <w:r w:rsidR="00E74DBF">
              <w:t>76</w:t>
            </w:r>
          </w:p>
        </w:tc>
      </w:tr>
      <w:tr w:rsidR="000C2B2C" w:rsidRPr="00144F8C" w:rsidTr="009F0E43">
        <w:trPr>
          <w:cantSplit/>
        </w:trPr>
        <w:tc>
          <w:tcPr>
            <w:tcW w:w="1438" w:type="pct"/>
            <w:tcBorders>
              <w:top w:val="nil"/>
              <w:left w:val="nil"/>
              <w:bottom w:val="nil"/>
              <w:right w:val="nil"/>
            </w:tcBorders>
          </w:tcPr>
          <w:p w:rsidR="000C2B2C" w:rsidRPr="00C07517" w:rsidRDefault="000C2B2C" w:rsidP="00B63A3F">
            <w:pPr>
              <w:pStyle w:val="TableHeadingLeft"/>
              <w:keepNext/>
              <w:rPr>
                <w:b w:val="0"/>
              </w:rPr>
            </w:pPr>
            <w:r>
              <w:rPr>
                <w:b w:val="0"/>
              </w:rPr>
              <w:t xml:space="preserve">                      </w:t>
            </w:r>
            <w:r w:rsidRPr="00C07517">
              <w:rPr>
                <w:b w:val="0"/>
              </w:rPr>
              <w:t xml:space="preserve"> </w:t>
            </w:r>
            <w:r w:rsidRPr="00C07517">
              <w:rPr>
                <w:b w:val="0"/>
              </w:rPr>
              <w:sym w:font="Symbol" w:char="F02D"/>
            </w:r>
            <w:r w:rsidRPr="00C07517">
              <w:rPr>
                <w:b w:val="0"/>
              </w:rPr>
              <w:t xml:space="preserve"> business</w:t>
            </w:r>
            <w:r w:rsidRPr="00C07517">
              <w:rPr>
                <w:b w:val="0"/>
                <w:vertAlign w:val="superscript"/>
              </w:rPr>
              <w:t>(</w:t>
            </w:r>
            <w:r w:rsidR="006E192E">
              <w:rPr>
                <w:b w:val="0"/>
                <w:vertAlign w:val="superscript"/>
              </w:rPr>
              <w:t>c</w:t>
            </w:r>
            <w:r w:rsidRPr="00C07517">
              <w:rPr>
                <w:b w:val="0"/>
                <w:vertAlign w:val="superscript"/>
              </w:rPr>
              <w:t>)</w:t>
            </w:r>
          </w:p>
        </w:tc>
        <w:tc>
          <w:tcPr>
            <w:tcW w:w="660" w:type="pct"/>
            <w:tcBorders>
              <w:top w:val="nil"/>
              <w:left w:val="nil"/>
              <w:bottom w:val="nil"/>
              <w:right w:val="dotted" w:sz="4" w:space="0" w:color="auto"/>
            </w:tcBorders>
          </w:tcPr>
          <w:p w:rsidR="000C2B2C" w:rsidRDefault="003362A2" w:rsidP="00B63A3F">
            <w:pPr>
              <w:pStyle w:val="TableTextRight"/>
              <w:keepNext/>
            </w:pPr>
            <w:r>
              <w:t>9,239.56</w:t>
            </w:r>
          </w:p>
        </w:tc>
        <w:tc>
          <w:tcPr>
            <w:tcW w:w="505" w:type="pct"/>
            <w:tcBorders>
              <w:top w:val="nil"/>
              <w:left w:val="dotted" w:sz="4" w:space="0" w:color="auto"/>
              <w:bottom w:val="nil"/>
              <w:right w:val="nil"/>
            </w:tcBorders>
          </w:tcPr>
          <w:p w:rsidR="000C2B2C" w:rsidRDefault="000C2B2C" w:rsidP="00B63A3F">
            <w:pPr>
              <w:pStyle w:val="TableTextRight"/>
              <w:keepNext/>
            </w:pPr>
            <w:r>
              <w:t>2.2</w:t>
            </w:r>
            <w:r w:rsidR="006E192E">
              <w:t>5</w:t>
            </w:r>
          </w:p>
        </w:tc>
        <w:tc>
          <w:tcPr>
            <w:tcW w:w="506" w:type="pct"/>
            <w:tcBorders>
              <w:top w:val="nil"/>
              <w:left w:val="nil"/>
              <w:bottom w:val="nil"/>
              <w:right w:val="nil"/>
            </w:tcBorders>
          </w:tcPr>
          <w:p w:rsidR="000C2B2C" w:rsidRDefault="000C2B2C" w:rsidP="00B63A3F">
            <w:pPr>
              <w:pStyle w:val="TableTextRight"/>
              <w:keepNext/>
              <w:rPr>
                <w:rFonts w:cs="Arial"/>
                <w:b/>
                <w:color w:val="000033"/>
                <w:szCs w:val="22"/>
              </w:rPr>
            </w:pPr>
          </w:p>
        </w:tc>
        <w:tc>
          <w:tcPr>
            <w:tcW w:w="502" w:type="pct"/>
            <w:tcBorders>
              <w:top w:val="nil"/>
              <w:left w:val="nil"/>
              <w:bottom w:val="nil"/>
              <w:right w:val="dotted" w:sz="4" w:space="0" w:color="auto"/>
            </w:tcBorders>
          </w:tcPr>
          <w:p w:rsidR="000C2B2C" w:rsidRDefault="000C2B2C" w:rsidP="00B63A3F">
            <w:pPr>
              <w:pStyle w:val="TableTextRight"/>
              <w:keepNext/>
              <w:rPr>
                <w:rFonts w:cs="Arial"/>
                <w:b/>
                <w:color w:val="000033"/>
                <w:szCs w:val="22"/>
              </w:rPr>
            </w:pPr>
          </w:p>
        </w:tc>
        <w:tc>
          <w:tcPr>
            <w:tcW w:w="505" w:type="pct"/>
            <w:tcBorders>
              <w:top w:val="nil"/>
              <w:left w:val="dotted" w:sz="4" w:space="0" w:color="auto"/>
              <w:bottom w:val="nil"/>
              <w:right w:val="nil"/>
            </w:tcBorders>
          </w:tcPr>
          <w:p w:rsidR="000C2B2C" w:rsidRDefault="000C2B2C" w:rsidP="00B63A3F">
            <w:pPr>
              <w:pStyle w:val="TableTextRight"/>
              <w:keepNext/>
              <w:rPr>
                <w:rFonts w:cs="Arial"/>
                <w:b/>
                <w:color w:val="000033"/>
                <w:szCs w:val="22"/>
              </w:rPr>
            </w:pPr>
          </w:p>
        </w:tc>
        <w:tc>
          <w:tcPr>
            <w:tcW w:w="418" w:type="pct"/>
            <w:tcBorders>
              <w:top w:val="nil"/>
              <w:left w:val="nil"/>
              <w:bottom w:val="nil"/>
              <w:right w:val="nil"/>
            </w:tcBorders>
          </w:tcPr>
          <w:p w:rsidR="000C2B2C" w:rsidRDefault="000C2B2C" w:rsidP="00B63A3F">
            <w:pPr>
              <w:pStyle w:val="TableTextRight"/>
              <w:keepNext/>
              <w:rPr>
                <w:rFonts w:cs="Arial"/>
                <w:b/>
                <w:color w:val="000033"/>
                <w:szCs w:val="22"/>
              </w:rPr>
            </w:pPr>
          </w:p>
        </w:tc>
        <w:tc>
          <w:tcPr>
            <w:tcW w:w="467" w:type="pct"/>
            <w:tcBorders>
              <w:top w:val="nil"/>
              <w:left w:val="nil"/>
              <w:bottom w:val="nil"/>
              <w:right w:val="nil"/>
            </w:tcBorders>
          </w:tcPr>
          <w:p w:rsidR="000C2B2C" w:rsidRPr="003A12C3" w:rsidRDefault="00E74DBF" w:rsidP="00B63A3F">
            <w:pPr>
              <w:pStyle w:val="TableTextRight"/>
              <w:keepNext/>
              <w:spacing w:line="280" w:lineRule="atLeast"/>
            </w:pPr>
            <w:r>
              <w:t>9,690</w:t>
            </w:r>
          </w:p>
        </w:tc>
      </w:tr>
      <w:tr w:rsidR="000C2B2C" w:rsidRPr="00144F8C" w:rsidTr="009F0E43">
        <w:trPr>
          <w:cantSplit/>
        </w:trPr>
        <w:tc>
          <w:tcPr>
            <w:tcW w:w="1438" w:type="pct"/>
            <w:tcBorders>
              <w:top w:val="nil"/>
              <w:left w:val="nil"/>
              <w:bottom w:val="nil"/>
              <w:right w:val="nil"/>
            </w:tcBorders>
          </w:tcPr>
          <w:p w:rsidR="000C2B2C" w:rsidRPr="00C07517" w:rsidRDefault="000C2B2C" w:rsidP="00B63A3F">
            <w:pPr>
              <w:pStyle w:val="TableHeadingLeft"/>
              <w:keepNext/>
              <w:rPr>
                <w:b w:val="0"/>
              </w:rPr>
            </w:pPr>
          </w:p>
        </w:tc>
        <w:tc>
          <w:tcPr>
            <w:tcW w:w="660" w:type="pct"/>
            <w:tcBorders>
              <w:top w:val="nil"/>
              <w:left w:val="nil"/>
              <w:bottom w:val="nil"/>
              <w:right w:val="dotted" w:sz="4" w:space="0" w:color="auto"/>
            </w:tcBorders>
          </w:tcPr>
          <w:p w:rsidR="000C2B2C" w:rsidRDefault="000C2B2C" w:rsidP="00B63A3F">
            <w:pPr>
              <w:pStyle w:val="TableTextRight"/>
              <w:keepNext/>
            </w:pPr>
          </w:p>
        </w:tc>
        <w:tc>
          <w:tcPr>
            <w:tcW w:w="505" w:type="pct"/>
            <w:tcBorders>
              <w:top w:val="nil"/>
              <w:left w:val="dotted" w:sz="4" w:space="0" w:color="auto"/>
              <w:bottom w:val="nil"/>
              <w:right w:val="nil"/>
            </w:tcBorders>
          </w:tcPr>
          <w:p w:rsidR="000C2B2C" w:rsidRDefault="000C2B2C" w:rsidP="00B63A3F">
            <w:pPr>
              <w:pStyle w:val="TableTextRight"/>
              <w:keepNext/>
            </w:pPr>
          </w:p>
        </w:tc>
        <w:tc>
          <w:tcPr>
            <w:tcW w:w="506" w:type="pct"/>
            <w:tcBorders>
              <w:top w:val="nil"/>
              <w:left w:val="nil"/>
              <w:bottom w:val="nil"/>
              <w:right w:val="nil"/>
            </w:tcBorders>
          </w:tcPr>
          <w:p w:rsidR="000C2B2C" w:rsidRDefault="000C2B2C" w:rsidP="00B63A3F">
            <w:pPr>
              <w:pStyle w:val="TableTextRight"/>
              <w:keepNext/>
            </w:pPr>
          </w:p>
        </w:tc>
        <w:tc>
          <w:tcPr>
            <w:tcW w:w="502" w:type="pct"/>
            <w:tcBorders>
              <w:top w:val="nil"/>
              <w:left w:val="nil"/>
              <w:bottom w:val="nil"/>
              <w:right w:val="dotted" w:sz="4" w:space="0" w:color="auto"/>
            </w:tcBorders>
          </w:tcPr>
          <w:p w:rsidR="000C2B2C" w:rsidRDefault="000C2B2C" w:rsidP="00B63A3F">
            <w:pPr>
              <w:pStyle w:val="TableTextRight"/>
              <w:keepNext/>
            </w:pPr>
          </w:p>
        </w:tc>
        <w:tc>
          <w:tcPr>
            <w:tcW w:w="505" w:type="pct"/>
            <w:tcBorders>
              <w:top w:val="nil"/>
              <w:left w:val="dotted" w:sz="4" w:space="0" w:color="auto"/>
              <w:bottom w:val="nil"/>
              <w:right w:val="nil"/>
            </w:tcBorders>
          </w:tcPr>
          <w:p w:rsidR="000C2B2C" w:rsidRDefault="000C2B2C" w:rsidP="00B63A3F">
            <w:pPr>
              <w:pStyle w:val="TableTextRight"/>
              <w:keepNext/>
            </w:pPr>
          </w:p>
        </w:tc>
        <w:tc>
          <w:tcPr>
            <w:tcW w:w="418" w:type="pct"/>
            <w:tcBorders>
              <w:top w:val="nil"/>
              <w:left w:val="nil"/>
              <w:bottom w:val="nil"/>
              <w:right w:val="nil"/>
            </w:tcBorders>
          </w:tcPr>
          <w:p w:rsidR="000C2B2C" w:rsidRDefault="000C2B2C" w:rsidP="00B63A3F">
            <w:pPr>
              <w:pStyle w:val="TableTextRight"/>
              <w:keepNext/>
            </w:pPr>
          </w:p>
        </w:tc>
        <w:tc>
          <w:tcPr>
            <w:tcW w:w="467" w:type="pct"/>
            <w:tcBorders>
              <w:top w:val="nil"/>
              <w:left w:val="nil"/>
              <w:bottom w:val="nil"/>
              <w:right w:val="nil"/>
            </w:tcBorders>
          </w:tcPr>
          <w:p w:rsidR="000C2B2C" w:rsidRPr="00B75821" w:rsidRDefault="000C2B2C" w:rsidP="00B63A3F">
            <w:pPr>
              <w:pStyle w:val="TableTextRight"/>
              <w:keepNext/>
            </w:pPr>
          </w:p>
        </w:tc>
      </w:tr>
      <w:tr w:rsidR="000C2B2C" w:rsidRPr="00144F8C" w:rsidTr="009F0E43">
        <w:trPr>
          <w:cantSplit/>
        </w:trPr>
        <w:tc>
          <w:tcPr>
            <w:tcW w:w="1438" w:type="pct"/>
            <w:tcBorders>
              <w:top w:val="nil"/>
              <w:left w:val="nil"/>
              <w:bottom w:val="nil"/>
              <w:right w:val="nil"/>
            </w:tcBorders>
            <w:shd w:val="clear" w:color="auto" w:fill="FBD4B4" w:themeFill="accent6" w:themeFillTint="66"/>
          </w:tcPr>
          <w:p w:rsidR="000C2B2C" w:rsidRPr="00C07517" w:rsidRDefault="000C2B2C" w:rsidP="00B63A3F">
            <w:pPr>
              <w:pStyle w:val="TableHeadingLeft"/>
              <w:keepNext/>
              <w:rPr>
                <w:b w:val="0"/>
              </w:rPr>
            </w:pPr>
            <w:r w:rsidRPr="00C07517">
              <w:rPr>
                <w:b w:val="0"/>
              </w:rPr>
              <w:t xml:space="preserve">Icon Water </w:t>
            </w:r>
            <w:r w:rsidRPr="00C07517">
              <w:rPr>
                <w:b w:val="0"/>
              </w:rPr>
              <w:sym w:font="Symbol" w:char="F02D"/>
            </w:r>
            <w:r w:rsidRPr="00C07517">
              <w:rPr>
                <w:b w:val="0"/>
              </w:rPr>
              <w:t xml:space="preserve"> res &amp; business</w:t>
            </w:r>
          </w:p>
        </w:tc>
        <w:tc>
          <w:tcPr>
            <w:tcW w:w="660" w:type="pct"/>
            <w:tcBorders>
              <w:top w:val="nil"/>
              <w:left w:val="nil"/>
              <w:bottom w:val="nil"/>
              <w:right w:val="dotted" w:sz="4" w:space="0" w:color="auto"/>
            </w:tcBorders>
            <w:shd w:val="clear" w:color="auto" w:fill="FBD4B4" w:themeFill="accent6" w:themeFillTint="66"/>
            <w:vAlign w:val="bottom"/>
          </w:tcPr>
          <w:p w:rsidR="000C2B2C" w:rsidRDefault="000C2B2C" w:rsidP="00B63A3F">
            <w:pPr>
              <w:pStyle w:val="TableTextRight"/>
              <w:keepNext/>
            </w:pPr>
            <w:r>
              <w:t>101.</w:t>
            </w:r>
            <w:r w:rsidR="00C12999">
              <w:t>48</w:t>
            </w:r>
          </w:p>
        </w:tc>
        <w:tc>
          <w:tcPr>
            <w:tcW w:w="505" w:type="pct"/>
            <w:tcBorders>
              <w:top w:val="nil"/>
              <w:left w:val="dotted" w:sz="4" w:space="0" w:color="auto"/>
              <w:bottom w:val="nil"/>
              <w:right w:val="nil"/>
            </w:tcBorders>
            <w:shd w:val="clear" w:color="auto" w:fill="FBD4B4" w:themeFill="accent6" w:themeFillTint="66"/>
            <w:vAlign w:val="bottom"/>
          </w:tcPr>
          <w:p w:rsidR="000C2B2C" w:rsidRDefault="000C2B2C" w:rsidP="00B63A3F">
            <w:pPr>
              <w:pStyle w:val="TableTextRight"/>
              <w:keepNext/>
            </w:pPr>
            <w:r>
              <w:t>2.6</w:t>
            </w:r>
            <w:r w:rsidR="00C12999">
              <w:t>1</w:t>
            </w:r>
          </w:p>
        </w:tc>
        <w:tc>
          <w:tcPr>
            <w:tcW w:w="506" w:type="pct"/>
            <w:tcBorders>
              <w:top w:val="nil"/>
              <w:left w:val="nil"/>
              <w:bottom w:val="nil"/>
              <w:right w:val="nil"/>
            </w:tcBorders>
            <w:shd w:val="clear" w:color="auto" w:fill="FBD4B4" w:themeFill="accent6" w:themeFillTint="66"/>
            <w:vAlign w:val="bottom"/>
          </w:tcPr>
          <w:p w:rsidR="000C2B2C" w:rsidRDefault="000C2B2C" w:rsidP="00B63A3F">
            <w:pPr>
              <w:pStyle w:val="TableTextRight"/>
              <w:keepNext/>
            </w:pPr>
            <w:r>
              <w:t>5.2</w:t>
            </w:r>
            <w:r w:rsidR="00C12999">
              <w:t>4</w:t>
            </w:r>
          </w:p>
        </w:tc>
        <w:tc>
          <w:tcPr>
            <w:tcW w:w="502" w:type="pct"/>
            <w:tcBorders>
              <w:top w:val="nil"/>
              <w:left w:val="nil"/>
              <w:bottom w:val="nil"/>
              <w:right w:val="dotted" w:sz="4" w:space="0" w:color="auto"/>
            </w:tcBorders>
            <w:shd w:val="clear" w:color="auto" w:fill="FBD4B4" w:themeFill="accent6" w:themeFillTint="66"/>
          </w:tcPr>
          <w:p w:rsidR="000C2B2C" w:rsidRDefault="000C2B2C" w:rsidP="00B63A3F">
            <w:pPr>
              <w:pStyle w:val="TableTextRight"/>
              <w:keepNext/>
              <w:rPr>
                <w:rFonts w:cs="Arial"/>
                <w:b/>
                <w:color w:val="000033"/>
                <w:szCs w:val="22"/>
              </w:rPr>
            </w:pPr>
          </w:p>
        </w:tc>
        <w:tc>
          <w:tcPr>
            <w:tcW w:w="505" w:type="pct"/>
            <w:tcBorders>
              <w:top w:val="nil"/>
              <w:left w:val="dotted" w:sz="4" w:space="0" w:color="auto"/>
              <w:bottom w:val="nil"/>
              <w:right w:val="nil"/>
            </w:tcBorders>
            <w:shd w:val="clear" w:color="auto" w:fill="FBD4B4" w:themeFill="accent6" w:themeFillTint="66"/>
          </w:tcPr>
          <w:p w:rsidR="000C2B2C" w:rsidRDefault="000C2B2C" w:rsidP="00B63A3F">
            <w:pPr>
              <w:pStyle w:val="TableTextRight"/>
              <w:keepNext/>
            </w:pPr>
            <w:r>
              <w:t>200</w:t>
            </w:r>
          </w:p>
        </w:tc>
        <w:tc>
          <w:tcPr>
            <w:tcW w:w="418" w:type="pct"/>
            <w:tcBorders>
              <w:top w:val="nil"/>
              <w:left w:val="nil"/>
              <w:bottom w:val="nil"/>
              <w:right w:val="nil"/>
            </w:tcBorders>
            <w:shd w:val="clear" w:color="auto" w:fill="FBD4B4" w:themeFill="accent6" w:themeFillTint="66"/>
          </w:tcPr>
          <w:p w:rsidR="000C2B2C" w:rsidRDefault="000C2B2C" w:rsidP="00B63A3F">
            <w:pPr>
              <w:pStyle w:val="TableTextRight"/>
              <w:keepNext/>
              <w:rPr>
                <w:rFonts w:cs="Arial"/>
                <w:b/>
                <w:color w:val="000033"/>
                <w:szCs w:val="22"/>
              </w:rPr>
            </w:pPr>
          </w:p>
        </w:tc>
        <w:tc>
          <w:tcPr>
            <w:tcW w:w="467" w:type="pct"/>
            <w:tcBorders>
              <w:top w:val="nil"/>
              <w:left w:val="nil"/>
              <w:bottom w:val="nil"/>
              <w:right w:val="nil"/>
            </w:tcBorders>
            <w:shd w:val="clear" w:color="auto" w:fill="FBD4B4" w:themeFill="accent6" w:themeFillTint="66"/>
          </w:tcPr>
          <w:p w:rsidR="000C2B2C" w:rsidRPr="00B75821" w:rsidRDefault="000C2B2C" w:rsidP="00E74DBF">
            <w:pPr>
              <w:pStyle w:val="TableTextRight"/>
              <w:keepNext/>
            </w:pPr>
            <w:r>
              <w:t>62</w:t>
            </w:r>
            <w:r w:rsidR="00E74DBF">
              <w:t>3</w:t>
            </w:r>
          </w:p>
        </w:tc>
      </w:tr>
      <w:tr w:rsidR="000C2B2C" w:rsidRPr="00144F8C" w:rsidTr="009F0E43">
        <w:trPr>
          <w:cantSplit/>
        </w:trPr>
        <w:tc>
          <w:tcPr>
            <w:tcW w:w="1438" w:type="pct"/>
            <w:tcBorders>
              <w:top w:val="nil"/>
              <w:left w:val="nil"/>
              <w:bottom w:val="nil"/>
              <w:right w:val="nil"/>
            </w:tcBorders>
          </w:tcPr>
          <w:p w:rsidR="000C2B2C" w:rsidRPr="00C07517" w:rsidRDefault="000C2B2C" w:rsidP="00B63A3F">
            <w:pPr>
              <w:pStyle w:val="TableHeadingLeft"/>
              <w:keepNext/>
              <w:rPr>
                <w:b w:val="0"/>
              </w:rPr>
            </w:pPr>
          </w:p>
        </w:tc>
        <w:tc>
          <w:tcPr>
            <w:tcW w:w="660" w:type="pct"/>
            <w:tcBorders>
              <w:top w:val="nil"/>
              <w:left w:val="nil"/>
              <w:bottom w:val="nil"/>
              <w:right w:val="dotted" w:sz="4" w:space="0" w:color="auto"/>
            </w:tcBorders>
          </w:tcPr>
          <w:p w:rsidR="000C2B2C" w:rsidRDefault="000C2B2C" w:rsidP="00B63A3F">
            <w:pPr>
              <w:pStyle w:val="TableTextRight"/>
              <w:keepNext/>
            </w:pPr>
          </w:p>
        </w:tc>
        <w:tc>
          <w:tcPr>
            <w:tcW w:w="505" w:type="pct"/>
            <w:tcBorders>
              <w:top w:val="nil"/>
              <w:left w:val="dotted" w:sz="4" w:space="0" w:color="auto"/>
              <w:bottom w:val="nil"/>
              <w:right w:val="nil"/>
            </w:tcBorders>
          </w:tcPr>
          <w:p w:rsidR="000C2B2C" w:rsidRDefault="000C2B2C" w:rsidP="00B63A3F">
            <w:pPr>
              <w:pStyle w:val="TableTextRight"/>
              <w:keepNext/>
            </w:pPr>
          </w:p>
        </w:tc>
        <w:tc>
          <w:tcPr>
            <w:tcW w:w="506" w:type="pct"/>
            <w:tcBorders>
              <w:top w:val="nil"/>
              <w:left w:val="nil"/>
              <w:bottom w:val="nil"/>
              <w:right w:val="nil"/>
            </w:tcBorders>
          </w:tcPr>
          <w:p w:rsidR="000C2B2C" w:rsidRDefault="000C2B2C" w:rsidP="00B63A3F">
            <w:pPr>
              <w:pStyle w:val="TableTextRight"/>
              <w:keepNext/>
            </w:pPr>
          </w:p>
        </w:tc>
        <w:tc>
          <w:tcPr>
            <w:tcW w:w="502" w:type="pct"/>
            <w:tcBorders>
              <w:top w:val="nil"/>
              <w:left w:val="nil"/>
              <w:bottom w:val="nil"/>
              <w:right w:val="dotted" w:sz="4" w:space="0" w:color="auto"/>
            </w:tcBorders>
          </w:tcPr>
          <w:p w:rsidR="000C2B2C" w:rsidRDefault="000C2B2C" w:rsidP="00B63A3F">
            <w:pPr>
              <w:pStyle w:val="TableTextRight"/>
              <w:keepNext/>
            </w:pPr>
          </w:p>
        </w:tc>
        <w:tc>
          <w:tcPr>
            <w:tcW w:w="505" w:type="pct"/>
            <w:tcBorders>
              <w:top w:val="nil"/>
              <w:left w:val="dotted" w:sz="4" w:space="0" w:color="auto"/>
              <w:bottom w:val="nil"/>
              <w:right w:val="nil"/>
            </w:tcBorders>
          </w:tcPr>
          <w:p w:rsidR="000C2B2C" w:rsidRDefault="000C2B2C" w:rsidP="00B63A3F">
            <w:pPr>
              <w:pStyle w:val="TableTextRight"/>
              <w:keepNext/>
            </w:pPr>
          </w:p>
        </w:tc>
        <w:tc>
          <w:tcPr>
            <w:tcW w:w="418" w:type="pct"/>
            <w:tcBorders>
              <w:top w:val="nil"/>
              <w:left w:val="nil"/>
              <w:bottom w:val="nil"/>
              <w:right w:val="nil"/>
            </w:tcBorders>
          </w:tcPr>
          <w:p w:rsidR="000C2B2C" w:rsidRDefault="000C2B2C" w:rsidP="00B63A3F">
            <w:pPr>
              <w:pStyle w:val="TableTextRight"/>
              <w:keepNext/>
            </w:pPr>
          </w:p>
        </w:tc>
        <w:tc>
          <w:tcPr>
            <w:tcW w:w="467" w:type="pct"/>
            <w:tcBorders>
              <w:top w:val="nil"/>
              <w:left w:val="nil"/>
              <w:bottom w:val="nil"/>
              <w:right w:val="nil"/>
            </w:tcBorders>
          </w:tcPr>
          <w:p w:rsidR="000C2B2C" w:rsidRPr="00B75821" w:rsidRDefault="000C2B2C" w:rsidP="00B63A3F">
            <w:pPr>
              <w:pStyle w:val="TableTextRight"/>
              <w:keepNext/>
            </w:pPr>
          </w:p>
        </w:tc>
      </w:tr>
      <w:tr w:rsidR="000C2B2C" w:rsidRPr="00144F8C" w:rsidTr="009F0E43">
        <w:trPr>
          <w:cantSplit/>
          <w:trHeight w:val="318"/>
        </w:trPr>
        <w:tc>
          <w:tcPr>
            <w:tcW w:w="1438" w:type="pct"/>
            <w:tcBorders>
              <w:top w:val="nil"/>
              <w:left w:val="nil"/>
              <w:bottom w:val="nil"/>
              <w:right w:val="nil"/>
            </w:tcBorders>
          </w:tcPr>
          <w:p w:rsidR="000C2B2C" w:rsidRPr="00C07517" w:rsidRDefault="000C2B2C" w:rsidP="00B63A3F">
            <w:pPr>
              <w:pStyle w:val="TableHeadingLeft"/>
              <w:keepNext/>
              <w:rPr>
                <w:b w:val="0"/>
              </w:rPr>
            </w:pPr>
            <w:r w:rsidRPr="00C07517">
              <w:rPr>
                <w:b w:val="0"/>
              </w:rPr>
              <w:t xml:space="preserve">SA Water </w:t>
            </w:r>
            <w:r w:rsidRPr="00C07517">
              <w:rPr>
                <w:b w:val="0"/>
              </w:rPr>
              <w:sym w:font="Symbol" w:char="F02D"/>
            </w:r>
            <w:r w:rsidRPr="00C07517">
              <w:rPr>
                <w:b w:val="0"/>
              </w:rPr>
              <w:t xml:space="preserve"> residential</w:t>
            </w:r>
          </w:p>
        </w:tc>
        <w:tc>
          <w:tcPr>
            <w:tcW w:w="660" w:type="pct"/>
            <w:tcBorders>
              <w:top w:val="nil"/>
              <w:left w:val="nil"/>
              <w:bottom w:val="nil"/>
              <w:right w:val="dotted" w:sz="4" w:space="0" w:color="auto"/>
            </w:tcBorders>
          </w:tcPr>
          <w:p w:rsidR="000C2B2C" w:rsidRDefault="000C2B2C" w:rsidP="00B63A3F">
            <w:pPr>
              <w:pStyle w:val="TableTextRight"/>
              <w:keepNext/>
            </w:pPr>
            <w:r>
              <w:t>286.40</w:t>
            </w:r>
          </w:p>
        </w:tc>
        <w:tc>
          <w:tcPr>
            <w:tcW w:w="505" w:type="pct"/>
            <w:tcBorders>
              <w:top w:val="nil"/>
              <w:left w:val="dotted" w:sz="4" w:space="0" w:color="auto"/>
              <w:bottom w:val="nil"/>
              <w:right w:val="nil"/>
            </w:tcBorders>
          </w:tcPr>
          <w:p w:rsidR="000C2B2C" w:rsidRDefault="000C2B2C" w:rsidP="00B63A3F">
            <w:pPr>
              <w:pStyle w:val="TableTextRight"/>
              <w:keepNext/>
            </w:pPr>
            <w:r>
              <w:t>2.</w:t>
            </w:r>
            <w:r w:rsidR="009E2E74">
              <w:t>27</w:t>
            </w:r>
          </w:p>
        </w:tc>
        <w:tc>
          <w:tcPr>
            <w:tcW w:w="506" w:type="pct"/>
            <w:tcBorders>
              <w:top w:val="nil"/>
              <w:left w:val="nil"/>
              <w:bottom w:val="nil"/>
              <w:right w:val="nil"/>
            </w:tcBorders>
          </w:tcPr>
          <w:p w:rsidR="000C2B2C" w:rsidRDefault="000C2B2C" w:rsidP="00B63A3F">
            <w:pPr>
              <w:pStyle w:val="TableTextRight"/>
              <w:keepNext/>
            </w:pPr>
            <w:r>
              <w:t>3.</w:t>
            </w:r>
            <w:r w:rsidR="009E2E74">
              <w:t>24</w:t>
            </w:r>
          </w:p>
        </w:tc>
        <w:tc>
          <w:tcPr>
            <w:tcW w:w="502" w:type="pct"/>
            <w:tcBorders>
              <w:top w:val="nil"/>
              <w:left w:val="nil"/>
              <w:bottom w:val="nil"/>
              <w:right w:val="dotted" w:sz="4" w:space="0" w:color="auto"/>
            </w:tcBorders>
          </w:tcPr>
          <w:p w:rsidR="000C2B2C" w:rsidRDefault="000C2B2C" w:rsidP="00B63A3F">
            <w:pPr>
              <w:pStyle w:val="TableTextRight"/>
              <w:keepNext/>
            </w:pPr>
            <w:r>
              <w:t>3.</w:t>
            </w:r>
            <w:r w:rsidR="009E2E74">
              <w:t>51</w:t>
            </w:r>
          </w:p>
        </w:tc>
        <w:tc>
          <w:tcPr>
            <w:tcW w:w="505" w:type="pct"/>
            <w:tcBorders>
              <w:top w:val="nil"/>
              <w:left w:val="dotted" w:sz="4" w:space="0" w:color="auto"/>
              <w:bottom w:val="nil"/>
              <w:right w:val="nil"/>
            </w:tcBorders>
          </w:tcPr>
          <w:p w:rsidR="000C2B2C" w:rsidRDefault="000C2B2C" w:rsidP="00B63A3F">
            <w:pPr>
              <w:pStyle w:val="TableTextRight"/>
              <w:keepNext/>
            </w:pPr>
            <w:r>
              <w:t>120</w:t>
            </w:r>
          </w:p>
        </w:tc>
        <w:tc>
          <w:tcPr>
            <w:tcW w:w="418" w:type="pct"/>
            <w:tcBorders>
              <w:top w:val="nil"/>
              <w:left w:val="nil"/>
              <w:bottom w:val="nil"/>
              <w:right w:val="nil"/>
            </w:tcBorders>
          </w:tcPr>
          <w:p w:rsidR="000C2B2C" w:rsidRDefault="000C2B2C" w:rsidP="00B63A3F">
            <w:pPr>
              <w:pStyle w:val="TableTextRight"/>
              <w:keepNext/>
            </w:pPr>
            <w:r>
              <w:t>520</w:t>
            </w:r>
          </w:p>
        </w:tc>
        <w:tc>
          <w:tcPr>
            <w:tcW w:w="467" w:type="pct"/>
            <w:tcBorders>
              <w:top w:val="nil"/>
              <w:left w:val="nil"/>
              <w:bottom w:val="nil"/>
              <w:right w:val="nil"/>
            </w:tcBorders>
          </w:tcPr>
          <w:p w:rsidR="000C2B2C" w:rsidRDefault="000C2B2C" w:rsidP="008D5D1E">
            <w:pPr>
              <w:pStyle w:val="TableTextRight"/>
              <w:keepNext/>
            </w:pPr>
            <w:r>
              <w:t>8</w:t>
            </w:r>
            <w:r w:rsidR="008D5D1E">
              <w:t>18</w:t>
            </w:r>
          </w:p>
        </w:tc>
      </w:tr>
      <w:tr w:rsidR="000C2B2C" w:rsidRPr="00144F8C" w:rsidTr="009F0E43">
        <w:trPr>
          <w:cantSplit/>
          <w:trHeight w:val="200"/>
        </w:trPr>
        <w:tc>
          <w:tcPr>
            <w:tcW w:w="1438" w:type="pct"/>
            <w:tcBorders>
              <w:top w:val="nil"/>
              <w:left w:val="nil"/>
              <w:bottom w:val="nil"/>
              <w:right w:val="nil"/>
            </w:tcBorders>
          </w:tcPr>
          <w:p w:rsidR="000C2B2C" w:rsidRPr="00C07517" w:rsidRDefault="000C2B2C" w:rsidP="00B63A3F">
            <w:pPr>
              <w:pStyle w:val="TableHeadingLeft"/>
              <w:keepNext/>
              <w:rPr>
                <w:b w:val="0"/>
              </w:rPr>
            </w:pPr>
            <w:r w:rsidRPr="00C07517">
              <w:rPr>
                <w:b w:val="0"/>
              </w:rPr>
              <w:t xml:space="preserve">                 </w:t>
            </w:r>
            <w:r w:rsidRPr="00C07517">
              <w:rPr>
                <w:b w:val="0"/>
              </w:rPr>
              <w:sym w:font="Symbol" w:char="F02D"/>
            </w:r>
            <w:r w:rsidRPr="00C07517">
              <w:rPr>
                <w:b w:val="0"/>
              </w:rPr>
              <w:t xml:space="preserve"> business</w:t>
            </w:r>
          </w:p>
        </w:tc>
        <w:tc>
          <w:tcPr>
            <w:tcW w:w="660" w:type="pct"/>
            <w:tcBorders>
              <w:top w:val="nil"/>
              <w:left w:val="nil"/>
              <w:bottom w:val="nil"/>
              <w:right w:val="dotted" w:sz="4" w:space="0" w:color="auto"/>
            </w:tcBorders>
          </w:tcPr>
          <w:p w:rsidR="000C2B2C" w:rsidRDefault="000C2B2C" w:rsidP="00B63A3F">
            <w:pPr>
              <w:pStyle w:val="TableTextRight"/>
              <w:keepNext/>
            </w:pPr>
            <w:r>
              <w:t>286.40</w:t>
            </w:r>
          </w:p>
        </w:tc>
        <w:tc>
          <w:tcPr>
            <w:tcW w:w="505" w:type="pct"/>
            <w:tcBorders>
              <w:top w:val="nil"/>
              <w:left w:val="dotted" w:sz="4" w:space="0" w:color="auto"/>
              <w:bottom w:val="nil"/>
              <w:right w:val="nil"/>
            </w:tcBorders>
          </w:tcPr>
          <w:p w:rsidR="000C2B2C" w:rsidRDefault="000C2B2C" w:rsidP="00B63A3F">
            <w:pPr>
              <w:pStyle w:val="TableTextRight"/>
              <w:keepNext/>
            </w:pPr>
            <w:r>
              <w:t>3.</w:t>
            </w:r>
            <w:r w:rsidR="009E2E74">
              <w:t>24</w:t>
            </w:r>
          </w:p>
        </w:tc>
        <w:tc>
          <w:tcPr>
            <w:tcW w:w="506" w:type="pct"/>
            <w:tcBorders>
              <w:top w:val="nil"/>
              <w:left w:val="nil"/>
              <w:bottom w:val="nil"/>
              <w:right w:val="nil"/>
            </w:tcBorders>
          </w:tcPr>
          <w:p w:rsidR="000C2B2C" w:rsidRDefault="000C2B2C" w:rsidP="00B63A3F">
            <w:pPr>
              <w:pStyle w:val="TableTextRight"/>
              <w:keepNext/>
              <w:rPr>
                <w:rFonts w:cs="Arial"/>
                <w:b/>
                <w:color w:val="000033"/>
                <w:szCs w:val="22"/>
              </w:rPr>
            </w:pPr>
          </w:p>
        </w:tc>
        <w:tc>
          <w:tcPr>
            <w:tcW w:w="502" w:type="pct"/>
            <w:tcBorders>
              <w:top w:val="nil"/>
              <w:left w:val="nil"/>
              <w:bottom w:val="nil"/>
              <w:right w:val="dotted" w:sz="4" w:space="0" w:color="auto"/>
            </w:tcBorders>
          </w:tcPr>
          <w:p w:rsidR="000C2B2C" w:rsidRDefault="000C2B2C" w:rsidP="00B63A3F">
            <w:pPr>
              <w:pStyle w:val="TableTextRight"/>
              <w:keepNext/>
              <w:rPr>
                <w:rFonts w:cs="Arial"/>
                <w:b/>
                <w:color w:val="000033"/>
                <w:szCs w:val="22"/>
              </w:rPr>
            </w:pPr>
          </w:p>
        </w:tc>
        <w:tc>
          <w:tcPr>
            <w:tcW w:w="505" w:type="pct"/>
            <w:tcBorders>
              <w:top w:val="nil"/>
              <w:left w:val="dotted" w:sz="4" w:space="0" w:color="auto"/>
              <w:bottom w:val="nil"/>
              <w:right w:val="nil"/>
            </w:tcBorders>
          </w:tcPr>
          <w:p w:rsidR="000C2B2C" w:rsidRDefault="000C2B2C" w:rsidP="00B63A3F">
            <w:pPr>
              <w:pStyle w:val="TableTextRight"/>
              <w:keepNext/>
              <w:rPr>
                <w:rFonts w:cs="Arial"/>
                <w:b/>
                <w:color w:val="000033"/>
                <w:szCs w:val="22"/>
              </w:rPr>
            </w:pPr>
          </w:p>
        </w:tc>
        <w:tc>
          <w:tcPr>
            <w:tcW w:w="418" w:type="pct"/>
            <w:tcBorders>
              <w:top w:val="nil"/>
              <w:left w:val="nil"/>
              <w:bottom w:val="nil"/>
              <w:right w:val="nil"/>
            </w:tcBorders>
          </w:tcPr>
          <w:p w:rsidR="000C2B2C" w:rsidRDefault="000C2B2C" w:rsidP="00B63A3F">
            <w:pPr>
              <w:pStyle w:val="TableTextRight"/>
              <w:keepNext/>
              <w:rPr>
                <w:rFonts w:cs="Arial"/>
                <w:b/>
                <w:color w:val="000033"/>
                <w:szCs w:val="22"/>
              </w:rPr>
            </w:pPr>
          </w:p>
        </w:tc>
        <w:tc>
          <w:tcPr>
            <w:tcW w:w="467" w:type="pct"/>
            <w:tcBorders>
              <w:top w:val="nil"/>
              <w:left w:val="nil"/>
              <w:bottom w:val="nil"/>
              <w:right w:val="nil"/>
            </w:tcBorders>
          </w:tcPr>
          <w:p w:rsidR="000C2B2C" w:rsidRPr="00B75821" w:rsidRDefault="000C2B2C" w:rsidP="008D5D1E">
            <w:pPr>
              <w:pStyle w:val="TableTextRight"/>
              <w:keepNext/>
            </w:pPr>
            <w:r>
              <w:t>9</w:t>
            </w:r>
            <w:r w:rsidR="008D5D1E">
              <w:t>34</w:t>
            </w:r>
          </w:p>
        </w:tc>
      </w:tr>
      <w:tr w:rsidR="000C2B2C" w:rsidRPr="00144F8C" w:rsidTr="009F0E43">
        <w:trPr>
          <w:cantSplit/>
        </w:trPr>
        <w:tc>
          <w:tcPr>
            <w:tcW w:w="1438" w:type="pct"/>
            <w:tcBorders>
              <w:top w:val="nil"/>
              <w:left w:val="nil"/>
              <w:bottom w:val="nil"/>
              <w:right w:val="nil"/>
            </w:tcBorders>
          </w:tcPr>
          <w:p w:rsidR="000C2B2C" w:rsidRPr="00C07517" w:rsidRDefault="000C2B2C" w:rsidP="00B63A3F">
            <w:pPr>
              <w:pStyle w:val="TableHeadingLeft"/>
              <w:keepNext/>
              <w:rPr>
                <w:b w:val="0"/>
              </w:rPr>
            </w:pPr>
          </w:p>
        </w:tc>
        <w:tc>
          <w:tcPr>
            <w:tcW w:w="660" w:type="pct"/>
            <w:tcBorders>
              <w:top w:val="nil"/>
              <w:left w:val="nil"/>
              <w:bottom w:val="nil"/>
              <w:right w:val="dotted" w:sz="4" w:space="0" w:color="auto"/>
            </w:tcBorders>
          </w:tcPr>
          <w:p w:rsidR="000C2B2C" w:rsidRDefault="000C2B2C" w:rsidP="00B63A3F">
            <w:pPr>
              <w:pStyle w:val="TableTextRight"/>
              <w:keepNext/>
            </w:pPr>
          </w:p>
        </w:tc>
        <w:tc>
          <w:tcPr>
            <w:tcW w:w="505" w:type="pct"/>
            <w:tcBorders>
              <w:top w:val="nil"/>
              <w:left w:val="dotted" w:sz="4" w:space="0" w:color="auto"/>
              <w:bottom w:val="nil"/>
              <w:right w:val="nil"/>
            </w:tcBorders>
          </w:tcPr>
          <w:p w:rsidR="000C2B2C" w:rsidRDefault="000C2B2C" w:rsidP="00B63A3F">
            <w:pPr>
              <w:pStyle w:val="TableTextRight"/>
              <w:keepNext/>
            </w:pPr>
          </w:p>
        </w:tc>
        <w:tc>
          <w:tcPr>
            <w:tcW w:w="506" w:type="pct"/>
            <w:tcBorders>
              <w:top w:val="nil"/>
              <w:left w:val="nil"/>
              <w:bottom w:val="nil"/>
              <w:right w:val="nil"/>
            </w:tcBorders>
          </w:tcPr>
          <w:p w:rsidR="000C2B2C" w:rsidRDefault="000C2B2C" w:rsidP="00B63A3F">
            <w:pPr>
              <w:pStyle w:val="TableTextRight"/>
              <w:keepNext/>
            </w:pPr>
          </w:p>
        </w:tc>
        <w:tc>
          <w:tcPr>
            <w:tcW w:w="502" w:type="pct"/>
            <w:tcBorders>
              <w:top w:val="nil"/>
              <w:left w:val="nil"/>
              <w:bottom w:val="nil"/>
              <w:right w:val="dotted" w:sz="4" w:space="0" w:color="auto"/>
            </w:tcBorders>
          </w:tcPr>
          <w:p w:rsidR="000C2B2C" w:rsidRDefault="000C2B2C" w:rsidP="00B63A3F">
            <w:pPr>
              <w:pStyle w:val="TableTextRight"/>
              <w:keepNext/>
            </w:pPr>
          </w:p>
        </w:tc>
        <w:tc>
          <w:tcPr>
            <w:tcW w:w="505" w:type="pct"/>
            <w:tcBorders>
              <w:top w:val="nil"/>
              <w:left w:val="dotted" w:sz="4" w:space="0" w:color="auto"/>
              <w:bottom w:val="nil"/>
              <w:right w:val="nil"/>
            </w:tcBorders>
          </w:tcPr>
          <w:p w:rsidR="000C2B2C" w:rsidRDefault="000C2B2C" w:rsidP="00B63A3F">
            <w:pPr>
              <w:pStyle w:val="TableTextRight"/>
              <w:keepNext/>
            </w:pPr>
          </w:p>
        </w:tc>
        <w:tc>
          <w:tcPr>
            <w:tcW w:w="418" w:type="pct"/>
            <w:tcBorders>
              <w:top w:val="nil"/>
              <w:left w:val="nil"/>
              <w:bottom w:val="nil"/>
              <w:right w:val="nil"/>
            </w:tcBorders>
          </w:tcPr>
          <w:p w:rsidR="000C2B2C" w:rsidRDefault="000C2B2C" w:rsidP="00B63A3F">
            <w:pPr>
              <w:pStyle w:val="TableTextRight"/>
              <w:keepNext/>
            </w:pPr>
          </w:p>
        </w:tc>
        <w:tc>
          <w:tcPr>
            <w:tcW w:w="467" w:type="pct"/>
            <w:tcBorders>
              <w:top w:val="nil"/>
              <w:left w:val="nil"/>
              <w:bottom w:val="nil"/>
              <w:right w:val="nil"/>
            </w:tcBorders>
          </w:tcPr>
          <w:p w:rsidR="000C2B2C" w:rsidRPr="00B75821" w:rsidRDefault="000C2B2C" w:rsidP="00B63A3F">
            <w:pPr>
              <w:pStyle w:val="TableTextRight"/>
              <w:keepNext/>
            </w:pPr>
          </w:p>
        </w:tc>
      </w:tr>
      <w:tr w:rsidR="000C2B2C" w:rsidRPr="00144F8C" w:rsidTr="009F0E43">
        <w:trPr>
          <w:cantSplit/>
        </w:trPr>
        <w:tc>
          <w:tcPr>
            <w:tcW w:w="1438" w:type="pct"/>
            <w:tcBorders>
              <w:top w:val="nil"/>
              <w:left w:val="nil"/>
              <w:bottom w:val="nil"/>
              <w:right w:val="nil"/>
            </w:tcBorders>
          </w:tcPr>
          <w:p w:rsidR="000C2B2C" w:rsidRPr="00C07517" w:rsidRDefault="000C2B2C" w:rsidP="00B63A3F">
            <w:pPr>
              <w:pStyle w:val="TableHeadingLeft"/>
              <w:keepNext/>
              <w:rPr>
                <w:b w:val="0"/>
              </w:rPr>
            </w:pPr>
            <w:r w:rsidRPr="00C07517">
              <w:rPr>
                <w:b w:val="0"/>
              </w:rPr>
              <w:t xml:space="preserve">Sydney Water </w:t>
            </w:r>
            <w:r w:rsidRPr="00C07517">
              <w:rPr>
                <w:b w:val="0"/>
              </w:rPr>
              <w:sym w:font="Symbol" w:char="F02D"/>
            </w:r>
            <w:r w:rsidRPr="00C07517">
              <w:rPr>
                <w:b w:val="0"/>
              </w:rPr>
              <w:t xml:space="preserve"> residential</w:t>
            </w:r>
          </w:p>
        </w:tc>
        <w:tc>
          <w:tcPr>
            <w:tcW w:w="660" w:type="pct"/>
            <w:tcBorders>
              <w:top w:val="nil"/>
              <w:left w:val="nil"/>
              <w:bottom w:val="nil"/>
              <w:right w:val="dotted" w:sz="4" w:space="0" w:color="auto"/>
            </w:tcBorders>
            <w:vAlign w:val="bottom"/>
          </w:tcPr>
          <w:p w:rsidR="000C2B2C" w:rsidRDefault="00F43EA0" w:rsidP="00B63A3F">
            <w:pPr>
              <w:pStyle w:val="TableTextRight"/>
              <w:keepNext/>
            </w:pPr>
            <w:r>
              <w:t>102.56</w:t>
            </w:r>
          </w:p>
        </w:tc>
        <w:tc>
          <w:tcPr>
            <w:tcW w:w="505" w:type="pct"/>
            <w:tcBorders>
              <w:top w:val="nil"/>
              <w:left w:val="dotted" w:sz="4" w:space="0" w:color="auto"/>
              <w:bottom w:val="nil"/>
              <w:right w:val="nil"/>
            </w:tcBorders>
            <w:vAlign w:val="bottom"/>
          </w:tcPr>
          <w:p w:rsidR="000C2B2C" w:rsidRDefault="000C2B2C" w:rsidP="00B63A3F">
            <w:pPr>
              <w:pStyle w:val="TableTextRight"/>
              <w:keepNext/>
            </w:pPr>
            <w:r>
              <w:t>$2.28</w:t>
            </w:r>
          </w:p>
        </w:tc>
        <w:tc>
          <w:tcPr>
            <w:tcW w:w="506" w:type="pct"/>
            <w:tcBorders>
              <w:top w:val="nil"/>
              <w:left w:val="nil"/>
              <w:bottom w:val="nil"/>
              <w:right w:val="nil"/>
            </w:tcBorders>
          </w:tcPr>
          <w:p w:rsidR="000C2B2C" w:rsidRDefault="000C2B2C" w:rsidP="00B63A3F">
            <w:pPr>
              <w:pStyle w:val="TableTextRight"/>
              <w:keepNext/>
              <w:rPr>
                <w:rFonts w:cs="Arial"/>
                <w:b/>
                <w:color w:val="000033"/>
                <w:szCs w:val="22"/>
              </w:rPr>
            </w:pPr>
          </w:p>
        </w:tc>
        <w:tc>
          <w:tcPr>
            <w:tcW w:w="502" w:type="pct"/>
            <w:tcBorders>
              <w:top w:val="nil"/>
              <w:left w:val="nil"/>
              <w:bottom w:val="nil"/>
              <w:right w:val="dotted" w:sz="4" w:space="0" w:color="auto"/>
            </w:tcBorders>
          </w:tcPr>
          <w:p w:rsidR="000C2B2C" w:rsidRDefault="000C2B2C" w:rsidP="00B63A3F">
            <w:pPr>
              <w:pStyle w:val="TableTextRight"/>
              <w:keepNext/>
              <w:rPr>
                <w:rFonts w:cs="Arial"/>
                <w:b/>
                <w:color w:val="000033"/>
                <w:szCs w:val="22"/>
              </w:rPr>
            </w:pPr>
          </w:p>
        </w:tc>
        <w:tc>
          <w:tcPr>
            <w:tcW w:w="505" w:type="pct"/>
            <w:tcBorders>
              <w:top w:val="nil"/>
              <w:left w:val="dotted" w:sz="4" w:space="0" w:color="auto"/>
              <w:bottom w:val="nil"/>
              <w:right w:val="nil"/>
            </w:tcBorders>
          </w:tcPr>
          <w:p w:rsidR="000C2B2C" w:rsidRDefault="000C2B2C" w:rsidP="00B63A3F">
            <w:pPr>
              <w:pStyle w:val="TableTextRight"/>
              <w:keepNext/>
              <w:rPr>
                <w:rFonts w:cs="Arial"/>
                <w:b/>
                <w:color w:val="000033"/>
                <w:szCs w:val="22"/>
              </w:rPr>
            </w:pPr>
          </w:p>
        </w:tc>
        <w:tc>
          <w:tcPr>
            <w:tcW w:w="418" w:type="pct"/>
            <w:tcBorders>
              <w:top w:val="nil"/>
              <w:left w:val="nil"/>
              <w:bottom w:val="nil"/>
              <w:right w:val="nil"/>
            </w:tcBorders>
          </w:tcPr>
          <w:p w:rsidR="000C2B2C" w:rsidRDefault="000C2B2C" w:rsidP="00B63A3F">
            <w:pPr>
              <w:pStyle w:val="TableTextRight"/>
              <w:keepNext/>
              <w:rPr>
                <w:rFonts w:cs="Arial"/>
                <w:b/>
                <w:color w:val="000033"/>
                <w:szCs w:val="22"/>
              </w:rPr>
            </w:pPr>
          </w:p>
        </w:tc>
        <w:tc>
          <w:tcPr>
            <w:tcW w:w="467" w:type="pct"/>
            <w:tcBorders>
              <w:top w:val="nil"/>
              <w:left w:val="nil"/>
              <w:bottom w:val="nil"/>
              <w:right w:val="nil"/>
            </w:tcBorders>
          </w:tcPr>
          <w:p w:rsidR="000C2B2C" w:rsidRPr="00B75821" w:rsidRDefault="000C2B2C" w:rsidP="00B63A3F">
            <w:pPr>
              <w:pStyle w:val="TableTextRight"/>
              <w:keepNext/>
            </w:pPr>
            <w:r>
              <w:t>558</w:t>
            </w:r>
          </w:p>
        </w:tc>
      </w:tr>
      <w:tr w:rsidR="000C2B2C" w:rsidRPr="00144F8C" w:rsidTr="009F0E43">
        <w:trPr>
          <w:cantSplit/>
        </w:trPr>
        <w:tc>
          <w:tcPr>
            <w:tcW w:w="1438" w:type="pct"/>
            <w:tcBorders>
              <w:top w:val="nil"/>
              <w:left w:val="nil"/>
              <w:bottom w:val="nil"/>
              <w:right w:val="nil"/>
            </w:tcBorders>
          </w:tcPr>
          <w:p w:rsidR="000C2B2C" w:rsidRPr="00C07517" w:rsidRDefault="000C2B2C" w:rsidP="00B63A3F">
            <w:pPr>
              <w:pStyle w:val="TableHeadingLeft"/>
              <w:keepNext/>
              <w:rPr>
                <w:b w:val="0"/>
              </w:rPr>
            </w:pPr>
            <w:r>
              <w:rPr>
                <w:b w:val="0"/>
              </w:rPr>
              <w:t xml:space="preserve">                       </w:t>
            </w:r>
            <w:r w:rsidRPr="00C07517">
              <w:rPr>
                <w:b w:val="0"/>
              </w:rPr>
              <w:t xml:space="preserve"> </w:t>
            </w:r>
            <w:r w:rsidRPr="00C07517">
              <w:rPr>
                <w:b w:val="0"/>
              </w:rPr>
              <w:sym w:font="Symbol" w:char="F02D"/>
            </w:r>
            <w:r w:rsidRPr="00C07517">
              <w:rPr>
                <w:b w:val="0"/>
              </w:rPr>
              <w:t xml:space="preserve"> business</w:t>
            </w:r>
            <w:r w:rsidR="00F43EA0">
              <w:rPr>
                <w:b w:val="0"/>
                <w:vertAlign w:val="superscript"/>
              </w:rPr>
              <w:t>(d</w:t>
            </w:r>
            <w:r w:rsidRPr="00C07517">
              <w:rPr>
                <w:b w:val="0"/>
                <w:vertAlign w:val="superscript"/>
              </w:rPr>
              <w:t>)</w:t>
            </w:r>
          </w:p>
        </w:tc>
        <w:tc>
          <w:tcPr>
            <w:tcW w:w="660" w:type="pct"/>
            <w:tcBorders>
              <w:top w:val="nil"/>
              <w:left w:val="nil"/>
              <w:bottom w:val="nil"/>
              <w:right w:val="dotted" w:sz="4" w:space="0" w:color="auto"/>
            </w:tcBorders>
            <w:vAlign w:val="bottom"/>
          </w:tcPr>
          <w:p w:rsidR="000C2B2C" w:rsidRDefault="000C2B2C" w:rsidP="00B63A3F">
            <w:pPr>
              <w:pStyle w:val="TableTextRight"/>
              <w:keepNext/>
            </w:pPr>
            <w:r>
              <w:t>1</w:t>
            </w:r>
            <w:r w:rsidR="00F43EA0">
              <w:t>02</w:t>
            </w:r>
            <w:r>
              <w:t>.</w:t>
            </w:r>
            <w:r w:rsidR="00F43EA0">
              <w:t>5</w:t>
            </w:r>
            <w:r>
              <w:t>6</w:t>
            </w:r>
          </w:p>
        </w:tc>
        <w:tc>
          <w:tcPr>
            <w:tcW w:w="505" w:type="pct"/>
            <w:tcBorders>
              <w:top w:val="nil"/>
              <w:left w:val="dotted" w:sz="4" w:space="0" w:color="auto"/>
              <w:bottom w:val="nil"/>
              <w:right w:val="nil"/>
            </w:tcBorders>
            <w:vAlign w:val="bottom"/>
          </w:tcPr>
          <w:p w:rsidR="000C2B2C" w:rsidRDefault="000C2B2C" w:rsidP="00B63A3F">
            <w:pPr>
              <w:pStyle w:val="TableTextRight"/>
              <w:keepNext/>
            </w:pPr>
            <w:r>
              <w:t>$2.28</w:t>
            </w:r>
          </w:p>
        </w:tc>
        <w:tc>
          <w:tcPr>
            <w:tcW w:w="506" w:type="pct"/>
            <w:tcBorders>
              <w:top w:val="nil"/>
              <w:left w:val="nil"/>
              <w:bottom w:val="nil"/>
              <w:right w:val="nil"/>
            </w:tcBorders>
          </w:tcPr>
          <w:p w:rsidR="000C2B2C" w:rsidRDefault="000C2B2C" w:rsidP="00B63A3F">
            <w:pPr>
              <w:pStyle w:val="TableTextRight"/>
              <w:keepNext/>
              <w:rPr>
                <w:rFonts w:cs="Arial"/>
                <w:b/>
                <w:color w:val="000033"/>
                <w:szCs w:val="22"/>
              </w:rPr>
            </w:pPr>
          </w:p>
        </w:tc>
        <w:tc>
          <w:tcPr>
            <w:tcW w:w="502" w:type="pct"/>
            <w:tcBorders>
              <w:top w:val="nil"/>
              <w:left w:val="nil"/>
              <w:bottom w:val="nil"/>
              <w:right w:val="dotted" w:sz="4" w:space="0" w:color="auto"/>
            </w:tcBorders>
          </w:tcPr>
          <w:p w:rsidR="000C2B2C" w:rsidRDefault="000C2B2C" w:rsidP="00B63A3F">
            <w:pPr>
              <w:pStyle w:val="TableTextRight"/>
              <w:keepNext/>
              <w:rPr>
                <w:rFonts w:cs="Arial"/>
                <w:b/>
                <w:color w:val="000033"/>
                <w:szCs w:val="22"/>
              </w:rPr>
            </w:pPr>
          </w:p>
        </w:tc>
        <w:tc>
          <w:tcPr>
            <w:tcW w:w="505" w:type="pct"/>
            <w:tcBorders>
              <w:top w:val="nil"/>
              <w:left w:val="dotted" w:sz="4" w:space="0" w:color="auto"/>
              <w:bottom w:val="nil"/>
              <w:right w:val="nil"/>
            </w:tcBorders>
          </w:tcPr>
          <w:p w:rsidR="000C2B2C" w:rsidRDefault="000C2B2C" w:rsidP="00B63A3F">
            <w:pPr>
              <w:pStyle w:val="TableTextRight"/>
              <w:keepNext/>
              <w:rPr>
                <w:rFonts w:cs="Arial"/>
                <w:b/>
                <w:color w:val="000033"/>
                <w:szCs w:val="22"/>
              </w:rPr>
            </w:pPr>
          </w:p>
        </w:tc>
        <w:tc>
          <w:tcPr>
            <w:tcW w:w="418" w:type="pct"/>
            <w:tcBorders>
              <w:top w:val="nil"/>
              <w:left w:val="nil"/>
              <w:bottom w:val="nil"/>
              <w:right w:val="nil"/>
            </w:tcBorders>
          </w:tcPr>
          <w:p w:rsidR="000C2B2C" w:rsidRDefault="000C2B2C" w:rsidP="00B63A3F">
            <w:pPr>
              <w:pStyle w:val="TableTextRight"/>
              <w:keepNext/>
              <w:rPr>
                <w:rFonts w:cs="Arial"/>
                <w:b/>
                <w:color w:val="000033"/>
                <w:szCs w:val="22"/>
              </w:rPr>
            </w:pPr>
          </w:p>
        </w:tc>
        <w:tc>
          <w:tcPr>
            <w:tcW w:w="467" w:type="pct"/>
            <w:tcBorders>
              <w:top w:val="nil"/>
              <w:left w:val="nil"/>
              <w:bottom w:val="nil"/>
              <w:right w:val="nil"/>
            </w:tcBorders>
          </w:tcPr>
          <w:p w:rsidR="000C2B2C" w:rsidRPr="00B75821" w:rsidRDefault="008D5D1E" w:rsidP="00B63A3F">
            <w:pPr>
              <w:pStyle w:val="TableTextRight"/>
              <w:keepNext/>
            </w:pPr>
            <w:r>
              <w:t>558</w:t>
            </w:r>
          </w:p>
        </w:tc>
      </w:tr>
      <w:tr w:rsidR="000C2B2C" w:rsidRPr="00144F8C" w:rsidTr="009F0E43">
        <w:trPr>
          <w:cantSplit/>
        </w:trPr>
        <w:tc>
          <w:tcPr>
            <w:tcW w:w="1438" w:type="pct"/>
            <w:tcBorders>
              <w:top w:val="nil"/>
              <w:left w:val="nil"/>
              <w:bottom w:val="nil"/>
              <w:right w:val="nil"/>
            </w:tcBorders>
          </w:tcPr>
          <w:p w:rsidR="000C2B2C" w:rsidRPr="00C07517" w:rsidRDefault="000C2B2C" w:rsidP="00B63A3F">
            <w:pPr>
              <w:pStyle w:val="TableHeadingLeft"/>
              <w:keepNext/>
              <w:rPr>
                <w:b w:val="0"/>
              </w:rPr>
            </w:pPr>
            <w:r>
              <w:rPr>
                <w:b w:val="0"/>
              </w:rPr>
              <w:t xml:space="preserve">                      </w:t>
            </w:r>
            <w:r w:rsidRPr="00C07517">
              <w:rPr>
                <w:b w:val="0"/>
              </w:rPr>
              <w:t xml:space="preserve">  </w:t>
            </w:r>
            <w:r w:rsidRPr="00C07517">
              <w:rPr>
                <w:b w:val="0"/>
              </w:rPr>
              <w:sym w:font="Symbol" w:char="F02D"/>
            </w:r>
            <w:r w:rsidRPr="00C07517">
              <w:rPr>
                <w:b w:val="0"/>
              </w:rPr>
              <w:t xml:space="preserve"> business</w:t>
            </w:r>
            <w:r w:rsidRPr="00C07517">
              <w:rPr>
                <w:b w:val="0"/>
                <w:vertAlign w:val="superscript"/>
              </w:rPr>
              <w:t>(</w:t>
            </w:r>
            <w:r w:rsidR="00C242CA">
              <w:rPr>
                <w:b w:val="0"/>
                <w:vertAlign w:val="superscript"/>
              </w:rPr>
              <w:t>e</w:t>
            </w:r>
            <w:r w:rsidRPr="00C07517">
              <w:rPr>
                <w:b w:val="0"/>
                <w:vertAlign w:val="superscript"/>
              </w:rPr>
              <w:t>)</w:t>
            </w:r>
          </w:p>
        </w:tc>
        <w:tc>
          <w:tcPr>
            <w:tcW w:w="660" w:type="pct"/>
            <w:tcBorders>
              <w:top w:val="nil"/>
              <w:left w:val="nil"/>
              <w:bottom w:val="nil"/>
              <w:right w:val="dotted" w:sz="4" w:space="0" w:color="auto"/>
            </w:tcBorders>
            <w:vAlign w:val="bottom"/>
          </w:tcPr>
          <w:p w:rsidR="000C2B2C" w:rsidRDefault="00F43EA0" w:rsidP="00B63A3F">
            <w:pPr>
              <w:pStyle w:val="TableTextRight"/>
              <w:keepNext/>
            </w:pPr>
            <w:r>
              <w:t>80</w:t>
            </w:r>
            <w:r w:rsidR="000C2B2C">
              <w:t>,</w:t>
            </w:r>
            <w:r>
              <w:t>955</w:t>
            </w:r>
            <w:r w:rsidR="000C2B2C">
              <w:t>.</w:t>
            </w:r>
            <w:r>
              <w:t>00</w:t>
            </w:r>
          </w:p>
        </w:tc>
        <w:tc>
          <w:tcPr>
            <w:tcW w:w="505" w:type="pct"/>
            <w:tcBorders>
              <w:top w:val="nil"/>
              <w:left w:val="dotted" w:sz="4" w:space="0" w:color="auto"/>
              <w:bottom w:val="nil"/>
              <w:right w:val="nil"/>
            </w:tcBorders>
            <w:vAlign w:val="bottom"/>
          </w:tcPr>
          <w:p w:rsidR="000C2B2C" w:rsidRDefault="000C2B2C" w:rsidP="00B63A3F">
            <w:pPr>
              <w:pStyle w:val="TableTextRight"/>
              <w:keepNext/>
            </w:pPr>
            <w:r>
              <w:t>$2.28</w:t>
            </w:r>
          </w:p>
        </w:tc>
        <w:tc>
          <w:tcPr>
            <w:tcW w:w="506" w:type="pct"/>
            <w:tcBorders>
              <w:top w:val="nil"/>
              <w:left w:val="nil"/>
              <w:bottom w:val="nil"/>
              <w:right w:val="nil"/>
            </w:tcBorders>
          </w:tcPr>
          <w:p w:rsidR="000C2B2C" w:rsidRDefault="000C2B2C" w:rsidP="00B63A3F">
            <w:pPr>
              <w:pStyle w:val="TableTextRight"/>
              <w:keepNext/>
              <w:rPr>
                <w:rFonts w:cs="Arial"/>
                <w:b/>
                <w:color w:val="000033"/>
                <w:szCs w:val="22"/>
              </w:rPr>
            </w:pPr>
          </w:p>
        </w:tc>
        <w:tc>
          <w:tcPr>
            <w:tcW w:w="502" w:type="pct"/>
            <w:tcBorders>
              <w:top w:val="nil"/>
              <w:left w:val="nil"/>
              <w:bottom w:val="nil"/>
              <w:right w:val="dotted" w:sz="4" w:space="0" w:color="auto"/>
            </w:tcBorders>
          </w:tcPr>
          <w:p w:rsidR="000C2B2C" w:rsidRDefault="000C2B2C" w:rsidP="00B63A3F">
            <w:pPr>
              <w:pStyle w:val="TableTextRight"/>
              <w:keepNext/>
              <w:rPr>
                <w:rFonts w:cs="Arial"/>
                <w:b/>
                <w:color w:val="000033"/>
                <w:szCs w:val="22"/>
              </w:rPr>
            </w:pPr>
          </w:p>
        </w:tc>
        <w:tc>
          <w:tcPr>
            <w:tcW w:w="505" w:type="pct"/>
            <w:tcBorders>
              <w:top w:val="nil"/>
              <w:left w:val="dotted" w:sz="4" w:space="0" w:color="auto"/>
              <w:bottom w:val="nil"/>
              <w:right w:val="nil"/>
            </w:tcBorders>
          </w:tcPr>
          <w:p w:rsidR="000C2B2C" w:rsidRDefault="000C2B2C" w:rsidP="00B63A3F">
            <w:pPr>
              <w:pStyle w:val="TableTextRight"/>
              <w:keepNext/>
              <w:rPr>
                <w:rFonts w:cs="Arial"/>
                <w:b/>
                <w:color w:val="000033"/>
                <w:szCs w:val="22"/>
              </w:rPr>
            </w:pPr>
          </w:p>
        </w:tc>
        <w:tc>
          <w:tcPr>
            <w:tcW w:w="418" w:type="pct"/>
            <w:tcBorders>
              <w:top w:val="nil"/>
              <w:left w:val="nil"/>
              <w:bottom w:val="nil"/>
              <w:right w:val="nil"/>
            </w:tcBorders>
          </w:tcPr>
          <w:p w:rsidR="000C2B2C" w:rsidRDefault="000C2B2C" w:rsidP="00B63A3F">
            <w:pPr>
              <w:pStyle w:val="TableTextRight"/>
              <w:keepNext/>
              <w:rPr>
                <w:rFonts w:cs="Arial"/>
                <w:b/>
                <w:color w:val="000033"/>
                <w:szCs w:val="22"/>
              </w:rPr>
            </w:pPr>
          </w:p>
        </w:tc>
        <w:tc>
          <w:tcPr>
            <w:tcW w:w="467" w:type="pct"/>
            <w:tcBorders>
              <w:top w:val="nil"/>
              <w:left w:val="nil"/>
              <w:bottom w:val="nil"/>
              <w:right w:val="nil"/>
            </w:tcBorders>
          </w:tcPr>
          <w:p w:rsidR="000C2B2C" w:rsidRPr="00B75821" w:rsidRDefault="008D5D1E" w:rsidP="00B63A3F">
            <w:pPr>
              <w:pStyle w:val="TableTextRight"/>
              <w:keepNext/>
            </w:pPr>
            <w:r>
              <w:t>81,141</w:t>
            </w:r>
          </w:p>
        </w:tc>
      </w:tr>
      <w:tr w:rsidR="000C2B2C" w:rsidRPr="00144F8C" w:rsidTr="009F0E43">
        <w:trPr>
          <w:cantSplit/>
        </w:trPr>
        <w:tc>
          <w:tcPr>
            <w:tcW w:w="1438" w:type="pct"/>
            <w:tcBorders>
              <w:top w:val="nil"/>
              <w:left w:val="nil"/>
              <w:bottom w:val="nil"/>
              <w:right w:val="nil"/>
            </w:tcBorders>
          </w:tcPr>
          <w:p w:rsidR="000C2B2C" w:rsidRPr="00C07517" w:rsidRDefault="000C2B2C" w:rsidP="00B63A3F">
            <w:pPr>
              <w:pStyle w:val="TableHeadingLeft"/>
              <w:keepNext/>
              <w:rPr>
                <w:b w:val="0"/>
              </w:rPr>
            </w:pPr>
          </w:p>
        </w:tc>
        <w:tc>
          <w:tcPr>
            <w:tcW w:w="660" w:type="pct"/>
            <w:tcBorders>
              <w:top w:val="nil"/>
              <w:left w:val="nil"/>
              <w:bottom w:val="nil"/>
              <w:right w:val="dotted" w:sz="4" w:space="0" w:color="auto"/>
            </w:tcBorders>
          </w:tcPr>
          <w:p w:rsidR="000C2B2C" w:rsidRDefault="000C2B2C" w:rsidP="00B63A3F">
            <w:pPr>
              <w:pStyle w:val="TableTextRight"/>
              <w:keepNext/>
            </w:pPr>
          </w:p>
        </w:tc>
        <w:tc>
          <w:tcPr>
            <w:tcW w:w="505" w:type="pct"/>
            <w:tcBorders>
              <w:top w:val="nil"/>
              <w:left w:val="dotted" w:sz="4" w:space="0" w:color="auto"/>
              <w:bottom w:val="nil"/>
              <w:right w:val="nil"/>
            </w:tcBorders>
          </w:tcPr>
          <w:p w:rsidR="000C2B2C" w:rsidRDefault="000C2B2C" w:rsidP="00B63A3F">
            <w:pPr>
              <w:pStyle w:val="TableTextRight"/>
              <w:keepNext/>
            </w:pPr>
          </w:p>
        </w:tc>
        <w:tc>
          <w:tcPr>
            <w:tcW w:w="506" w:type="pct"/>
            <w:tcBorders>
              <w:top w:val="nil"/>
              <w:left w:val="nil"/>
              <w:bottom w:val="nil"/>
              <w:right w:val="nil"/>
            </w:tcBorders>
          </w:tcPr>
          <w:p w:rsidR="000C2B2C" w:rsidRDefault="000C2B2C" w:rsidP="00B63A3F">
            <w:pPr>
              <w:pStyle w:val="TableTextRight"/>
              <w:keepNext/>
            </w:pPr>
          </w:p>
        </w:tc>
        <w:tc>
          <w:tcPr>
            <w:tcW w:w="502" w:type="pct"/>
            <w:tcBorders>
              <w:top w:val="nil"/>
              <w:left w:val="nil"/>
              <w:bottom w:val="nil"/>
              <w:right w:val="dotted" w:sz="4" w:space="0" w:color="auto"/>
            </w:tcBorders>
          </w:tcPr>
          <w:p w:rsidR="000C2B2C" w:rsidRDefault="000C2B2C" w:rsidP="00B63A3F">
            <w:pPr>
              <w:pStyle w:val="TableTextRight"/>
              <w:keepNext/>
            </w:pPr>
          </w:p>
        </w:tc>
        <w:tc>
          <w:tcPr>
            <w:tcW w:w="505" w:type="pct"/>
            <w:tcBorders>
              <w:top w:val="nil"/>
              <w:left w:val="dotted" w:sz="4" w:space="0" w:color="auto"/>
              <w:bottom w:val="nil"/>
              <w:right w:val="nil"/>
            </w:tcBorders>
          </w:tcPr>
          <w:p w:rsidR="000C2B2C" w:rsidRDefault="000C2B2C" w:rsidP="00B63A3F">
            <w:pPr>
              <w:pStyle w:val="TableTextRight"/>
              <w:keepNext/>
            </w:pPr>
          </w:p>
        </w:tc>
        <w:tc>
          <w:tcPr>
            <w:tcW w:w="418" w:type="pct"/>
            <w:tcBorders>
              <w:top w:val="nil"/>
              <w:left w:val="nil"/>
              <w:bottom w:val="nil"/>
              <w:right w:val="nil"/>
            </w:tcBorders>
          </w:tcPr>
          <w:p w:rsidR="000C2B2C" w:rsidRDefault="000C2B2C" w:rsidP="00B63A3F">
            <w:pPr>
              <w:pStyle w:val="TableTextRight"/>
              <w:keepNext/>
            </w:pPr>
          </w:p>
        </w:tc>
        <w:tc>
          <w:tcPr>
            <w:tcW w:w="467" w:type="pct"/>
            <w:tcBorders>
              <w:top w:val="nil"/>
              <w:left w:val="nil"/>
              <w:bottom w:val="nil"/>
              <w:right w:val="nil"/>
            </w:tcBorders>
          </w:tcPr>
          <w:p w:rsidR="000C2B2C" w:rsidRPr="00B75821" w:rsidRDefault="000C2B2C" w:rsidP="00B63A3F">
            <w:pPr>
              <w:pStyle w:val="TableTextRight"/>
              <w:keepNext/>
            </w:pPr>
          </w:p>
        </w:tc>
      </w:tr>
      <w:tr w:rsidR="000C2B2C" w:rsidRPr="00144F8C" w:rsidTr="009F0E43">
        <w:trPr>
          <w:cantSplit/>
        </w:trPr>
        <w:tc>
          <w:tcPr>
            <w:tcW w:w="1438" w:type="pct"/>
            <w:tcBorders>
              <w:top w:val="nil"/>
              <w:left w:val="nil"/>
              <w:bottom w:val="nil"/>
              <w:right w:val="nil"/>
            </w:tcBorders>
          </w:tcPr>
          <w:p w:rsidR="000C2B2C" w:rsidRPr="00C07517" w:rsidRDefault="000C2B2C" w:rsidP="00B63A3F">
            <w:pPr>
              <w:pStyle w:val="TableHeadingLeft"/>
              <w:keepNext/>
              <w:rPr>
                <w:b w:val="0"/>
              </w:rPr>
            </w:pPr>
            <w:r w:rsidRPr="00C07517">
              <w:rPr>
                <w:b w:val="0"/>
              </w:rPr>
              <w:t xml:space="preserve">TasWater </w:t>
            </w:r>
            <w:r w:rsidRPr="00C07517">
              <w:rPr>
                <w:b w:val="0"/>
              </w:rPr>
              <w:sym w:font="Symbol" w:char="F02D"/>
            </w:r>
            <w:r w:rsidRPr="00C07517">
              <w:rPr>
                <w:b w:val="0"/>
              </w:rPr>
              <w:t xml:space="preserve"> res &amp; business</w:t>
            </w:r>
            <w:r w:rsidRPr="00C07517">
              <w:rPr>
                <w:b w:val="0"/>
                <w:vertAlign w:val="superscript"/>
              </w:rPr>
              <w:t>(</w:t>
            </w:r>
            <w:r w:rsidR="00C242CA">
              <w:rPr>
                <w:b w:val="0"/>
                <w:vertAlign w:val="superscript"/>
              </w:rPr>
              <w:t>f</w:t>
            </w:r>
            <w:r w:rsidRPr="00C07517">
              <w:rPr>
                <w:b w:val="0"/>
                <w:vertAlign w:val="superscript"/>
              </w:rPr>
              <w:t>)</w:t>
            </w:r>
          </w:p>
        </w:tc>
        <w:tc>
          <w:tcPr>
            <w:tcW w:w="660" w:type="pct"/>
            <w:tcBorders>
              <w:top w:val="nil"/>
              <w:left w:val="nil"/>
              <w:bottom w:val="nil"/>
              <w:right w:val="dotted" w:sz="4" w:space="0" w:color="auto"/>
            </w:tcBorders>
            <w:vAlign w:val="bottom"/>
          </w:tcPr>
          <w:p w:rsidR="000C2B2C" w:rsidRDefault="000C2B2C" w:rsidP="00B63A3F">
            <w:pPr>
              <w:pStyle w:val="TableTextRight"/>
              <w:keepNext/>
            </w:pPr>
            <w:r>
              <w:t>329.48</w:t>
            </w:r>
          </w:p>
        </w:tc>
        <w:tc>
          <w:tcPr>
            <w:tcW w:w="505" w:type="pct"/>
            <w:tcBorders>
              <w:top w:val="nil"/>
              <w:left w:val="dotted" w:sz="4" w:space="0" w:color="auto"/>
              <w:bottom w:val="nil"/>
              <w:right w:val="nil"/>
            </w:tcBorders>
            <w:vAlign w:val="bottom"/>
          </w:tcPr>
          <w:p w:rsidR="000C2B2C" w:rsidRDefault="000C2B2C" w:rsidP="00B63A3F">
            <w:pPr>
              <w:pStyle w:val="TableTextRight"/>
              <w:keepNext/>
            </w:pPr>
            <w:r>
              <w:t>$</w:t>
            </w:r>
            <w:r w:rsidR="0048363E">
              <w:t>1</w:t>
            </w:r>
            <w:r>
              <w:t>.</w:t>
            </w:r>
            <w:r w:rsidR="0048363E">
              <w:t>00</w:t>
            </w:r>
          </w:p>
        </w:tc>
        <w:tc>
          <w:tcPr>
            <w:tcW w:w="506" w:type="pct"/>
            <w:tcBorders>
              <w:top w:val="nil"/>
              <w:left w:val="nil"/>
              <w:bottom w:val="nil"/>
              <w:right w:val="nil"/>
            </w:tcBorders>
          </w:tcPr>
          <w:p w:rsidR="000C2B2C" w:rsidRDefault="000C2B2C" w:rsidP="00B63A3F">
            <w:pPr>
              <w:pStyle w:val="TableTextRight"/>
              <w:keepNext/>
              <w:rPr>
                <w:rFonts w:cs="Arial"/>
                <w:b/>
                <w:color w:val="000033"/>
                <w:szCs w:val="22"/>
              </w:rPr>
            </w:pPr>
          </w:p>
        </w:tc>
        <w:tc>
          <w:tcPr>
            <w:tcW w:w="502" w:type="pct"/>
            <w:tcBorders>
              <w:top w:val="nil"/>
              <w:left w:val="nil"/>
              <w:bottom w:val="nil"/>
              <w:right w:val="dotted" w:sz="4" w:space="0" w:color="auto"/>
            </w:tcBorders>
          </w:tcPr>
          <w:p w:rsidR="000C2B2C" w:rsidRDefault="000C2B2C" w:rsidP="00B63A3F">
            <w:pPr>
              <w:pStyle w:val="TableTextRight"/>
              <w:keepNext/>
              <w:rPr>
                <w:rFonts w:cs="Arial"/>
                <w:b/>
                <w:color w:val="000033"/>
                <w:szCs w:val="22"/>
              </w:rPr>
            </w:pPr>
          </w:p>
        </w:tc>
        <w:tc>
          <w:tcPr>
            <w:tcW w:w="505" w:type="pct"/>
            <w:tcBorders>
              <w:top w:val="nil"/>
              <w:left w:val="dotted" w:sz="4" w:space="0" w:color="auto"/>
              <w:bottom w:val="nil"/>
              <w:right w:val="nil"/>
            </w:tcBorders>
          </w:tcPr>
          <w:p w:rsidR="000C2B2C" w:rsidRDefault="000C2B2C" w:rsidP="00B63A3F">
            <w:pPr>
              <w:pStyle w:val="TableTextRight"/>
              <w:keepNext/>
              <w:rPr>
                <w:rFonts w:cs="Arial"/>
                <w:b/>
                <w:color w:val="000033"/>
                <w:szCs w:val="22"/>
              </w:rPr>
            </w:pPr>
          </w:p>
        </w:tc>
        <w:tc>
          <w:tcPr>
            <w:tcW w:w="418" w:type="pct"/>
            <w:tcBorders>
              <w:top w:val="nil"/>
              <w:left w:val="nil"/>
              <w:bottom w:val="nil"/>
              <w:right w:val="nil"/>
            </w:tcBorders>
          </w:tcPr>
          <w:p w:rsidR="000C2B2C" w:rsidRDefault="000C2B2C" w:rsidP="00B63A3F">
            <w:pPr>
              <w:pStyle w:val="TableTextRight"/>
              <w:keepNext/>
              <w:rPr>
                <w:rFonts w:cs="Arial"/>
                <w:b/>
                <w:color w:val="000033"/>
                <w:szCs w:val="22"/>
              </w:rPr>
            </w:pPr>
          </w:p>
        </w:tc>
        <w:tc>
          <w:tcPr>
            <w:tcW w:w="467" w:type="pct"/>
            <w:tcBorders>
              <w:top w:val="nil"/>
              <w:left w:val="nil"/>
              <w:bottom w:val="nil"/>
              <w:right w:val="nil"/>
            </w:tcBorders>
          </w:tcPr>
          <w:p w:rsidR="000C2B2C" w:rsidRPr="00B75821" w:rsidRDefault="000C2B2C" w:rsidP="008D5D1E">
            <w:pPr>
              <w:pStyle w:val="TableTextRight"/>
              <w:keepNext/>
            </w:pPr>
            <w:r>
              <w:t>52</w:t>
            </w:r>
            <w:r w:rsidR="008D5D1E">
              <w:t>9</w:t>
            </w:r>
          </w:p>
        </w:tc>
      </w:tr>
      <w:tr w:rsidR="000C2B2C" w:rsidRPr="00144F8C" w:rsidTr="009F0E43">
        <w:trPr>
          <w:cantSplit/>
        </w:trPr>
        <w:tc>
          <w:tcPr>
            <w:tcW w:w="1438" w:type="pct"/>
            <w:tcBorders>
              <w:top w:val="nil"/>
              <w:left w:val="nil"/>
              <w:bottom w:val="single" w:sz="12" w:space="0" w:color="1F497D" w:themeColor="text2"/>
              <w:right w:val="nil"/>
            </w:tcBorders>
          </w:tcPr>
          <w:p w:rsidR="000C2B2C" w:rsidRPr="00C07517" w:rsidRDefault="000C2B2C" w:rsidP="00B63A3F">
            <w:pPr>
              <w:pStyle w:val="TableHeadingLeft"/>
              <w:keepNext/>
              <w:rPr>
                <w:b w:val="0"/>
              </w:rPr>
            </w:pPr>
            <w:r>
              <w:rPr>
                <w:b w:val="0"/>
              </w:rPr>
              <w:t xml:space="preserve">                 </w:t>
            </w:r>
            <w:r w:rsidRPr="00C07517">
              <w:rPr>
                <w:b w:val="0"/>
              </w:rPr>
              <w:sym w:font="Symbol" w:char="F02D"/>
            </w:r>
            <w:r w:rsidRPr="00C07517">
              <w:rPr>
                <w:b w:val="0"/>
              </w:rPr>
              <w:t xml:space="preserve"> res &amp; business</w:t>
            </w:r>
            <w:r w:rsidRPr="00C07517">
              <w:rPr>
                <w:b w:val="0"/>
                <w:vertAlign w:val="superscript"/>
              </w:rPr>
              <w:t>(</w:t>
            </w:r>
            <w:r w:rsidR="00C242CA">
              <w:rPr>
                <w:b w:val="0"/>
                <w:vertAlign w:val="superscript"/>
              </w:rPr>
              <w:t>g</w:t>
            </w:r>
            <w:r w:rsidRPr="00C07517">
              <w:rPr>
                <w:b w:val="0"/>
                <w:vertAlign w:val="superscript"/>
              </w:rPr>
              <w:t>)</w:t>
            </w:r>
          </w:p>
        </w:tc>
        <w:tc>
          <w:tcPr>
            <w:tcW w:w="660" w:type="pct"/>
            <w:tcBorders>
              <w:top w:val="nil"/>
              <w:left w:val="nil"/>
              <w:bottom w:val="single" w:sz="12" w:space="0" w:color="1F497D" w:themeColor="text2"/>
              <w:right w:val="dotted" w:sz="4" w:space="0" w:color="auto"/>
            </w:tcBorders>
            <w:vAlign w:val="bottom"/>
          </w:tcPr>
          <w:p w:rsidR="000C2B2C" w:rsidRDefault="000C2B2C" w:rsidP="00B63A3F">
            <w:pPr>
              <w:pStyle w:val="TableTextRight"/>
              <w:keepNext/>
            </w:pPr>
            <w:r>
              <w:t>51,481.25</w:t>
            </w:r>
          </w:p>
        </w:tc>
        <w:tc>
          <w:tcPr>
            <w:tcW w:w="505" w:type="pct"/>
            <w:tcBorders>
              <w:top w:val="nil"/>
              <w:left w:val="dotted" w:sz="4" w:space="0" w:color="auto"/>
              <w:bottom w:val="single" w:sz="12" w:space="0" w:color="1F497D" w:themeColor="text2"/>
              <w:right w:val="nil"/>
            </w:tcBorders>
            <w:vAlign w:val="bottom"/>
          </w:tcPr>
          <w:p w:rsidR="000C2B2C" w:rsidRDefault="000C2B2C" w:rsidP="00B63A3F">
            <w:pPr>
              <w:pStyle w:val="TableTextRight"/>
              <w:keepNext/>
            </w:pPr>
            <w:r>
              <w:t>$</w:t>
            </w:r>
            <w:r w:rsidR="0048363E">
              <w:t>1</w:t>
            </w:r>
            <w:r>
              <w:t>.</w:t>
            </w:r>
            <w:r w:rsidR="0048363E">
              <w:t>00</w:t>
            </w:r>
          </w:p>
        </w:tc>
        <w:tc>
          <w:tcPr>
            <w:tcW w:w="506" w:type="pct"/>
            <w:tcBorders>
              <w:top w:val="nil"/>
              <w:left w:val="nil"/>
              <w:bottom w:val="single" w:sz="12" w:space="0" w:color="1F497D" w:themeColor="text2"/>
              <w:right w:val="nil"/>
            </w:tcBorders>
          </w:tcPr>
          <w:p w:rsidR="000C2B2C" w:rsidRDefault="000C2B2C" w:rsidP="00B63A3F">
            <w:pPr>
              <w:pStyle w:val="TableTextRight"/>
              <w:keepNext/>
              <w:rPr>
                <w:rFonts w:cs="Arial"/>
                <w:b/>
                <w:color w:val="000033"/>
                <w:szCs w:val="22"/>
              </w:rPr>
            </w:pPr>
          </w:p>
        </w:tc>
        <w:tc>
          <w:tcPr>
            <w:tcW w:w="502" w:type="pct"/>
            <w:tcBorders>
              <w:top w:val="nil"/>
              <w:left w:val="nil"/>
              <w:bottom w:val="single" w:sz="12" w:space="0" w:color="1F497D" w:themeColor="text2"/>
              <w:right w:val="dotted" w:sz="4" w:space="0" w:color="auto"/>
            </w:tcBorders>
          </w:tcPr>
          <w:p w:rsidR="000C2B2C" w:rsidRDefault="000C2B2C" w:rsidP="00B63A3F">
            <w:pPr>
              <w:pStyle w:val="TableTextRight"/>
              <w:keepNext/>
              <w:rPr>
                <w:rFonts w:cs="Arial"/>
                <w:b/>
                <w:color w:val="000033"/>
                <w:szCs w:val="22"/>
              </w:rPr>
            </w:pPr>
          </w:p>
        </w:tc>
        <w:tc>
          <w:tcPr>
            <w:tcW w:w="505" w:type="pct"/>
            <w:tcBorders>
              <w:top w:val="nil"/>
              <w:left w:val="dotted" w:sz="4" w:space="0" w:color="auto"/>
              <w:bottom w:val="single" w:sz="12" w:space="0" w:color="1F497D" w:themeColor="text2"/>
              <w:right w:val="nil"/>
            </w:tcBorders>
          </w:tcPr>
          <w:p w:rsidR="000C2B2C" w:rsidRDefault="000C2B2C" w:rsidP="00B63A3F">
            <w:pPr>
              <w:pStyle w:val="TableTextRight"/>
              <w:keepNext/>
              <w:rPr>
                <w:rFonts w:cs="Arial"/>
                <w:b/>
                <w:color w:val="000033"/>
                <w:szCs w:val="22"/>
              </w:rPr>
            </w:pPr>
          </w:p>
        </w:tc>
        <w:tc>
          <w:tcPr>
            <w:tcW w:w="418" w:type="pct"/>
            <w:tcBorders>
              <w:top w:val="nil"/>
              <w:left w:val="nil"/>
              <w:bottom w:val="single" w:sz="12" w:space="0" w:color="1F497D" w:themeColor="text2"/>
              <w:right w:val="nil"/>
            </w:tcBorders>
          </w:tcPr>
          <w:p w:rsidR="000C2B2C" w:rsidRDefault="000C2B2C" w:rsidP="00B63A3F">
            <w:pPr>
              <w:pStyle w:val="TableTextRight"/>
              <w:keepNext/>
              <w:rPr>
                <w:rFonts w:cs="Arial"/>
                <w:b/>
                <w:color w:val="000033"/>
                <w:szCs w:val="22"/>
              </w:rPr>
            </w:pPr>
          </w:p>
        </w:tc>
        <w:tc>
          <w:tcPr>
            <w:tcW w:w="467" w:type="pct"/>
            <w:tcBorders>
              <w:top w:val="nil"/>
              <w:left w:val="nil"/>
              <w:bottom w:val="single" w:sz="12" w:space="0" w:color="1F497D" w:themeColor="text2"/>
              <w:right w:val="nil"/>
            </w:tcBorders>
          </w:tcPr>
          <w:p w:rsidR="000C2B2C" w:rsidRPr="00B75821" w:rsidRDefault="000C2B2C" w:rsidP="008D5D1E">
            <w:pPr>
              <w:pStyle w:val="TableTextRight"/>
              <w:keepNext/>
            </w:pPr>
            <w:r>
              <w:t>51,6</w:t>
            </w:r>
            <w:r w:rsidR="008D5D1E">
              <w:t>81</w:t>
            </w:r>
          </w:p>
        </w:tc>
      </w:tr>
    </w:tbl>
    <w:p w:rsidR="009F0E43" w:rsidRDefault="009F0E43" w:rsidP="000C2B2C">
      <w:pPr>
        <w:pStyle w:val="TableNotesHanging"/>
        <w:keepLines w:val="0"/>
      </w:pPr>
      <w:r>
        <w:t>(a) Prices from 1 July 2016 to 31 December 2016.</w:t>
      </w:r>
    </w:p>
    <w:p w:rsidR="000C2B2C" w:rsidRDefault="000C2B2C" w:rsidP="000C2B2C">
      <w:pPr>
        <w:pStyle w:val="TableNotesHanging"/>
        <w:keepLines w:val="0"/>
      </w:pPr>
      <w:r>
        <w:t>(</w:t>
      </w:r>
      <w:r w:rsidR="003362A2">
        <w:t>b</w:t>
      </w:r>
      <w:r>
        <w:t>)</w:t>
      </w:r>
      <w:r w:rsidRPr="008A0348">
        <w:t xml:space="preserve"> </w:t>
      </w:r>
      <w:r w:rsidR="003362A2">
        <w:t>O</w:t>
      </w:r>
      <w:r>
        <w:t>ne 20 mm connection.</w:t>
      </w:r>
    </w:p>
    <w:p w:rsidR="000C2B2C" w:rsidRDefault="000C2B2C" w:rsidP="000C2B2C">
      <w:pPr>
        <w:pStyle w:val="TableNotesHanging"/>
        <w:keepLines w:val="0"/>
      </w:pPr>
      <w:r>
        <w:t>(</w:t>
      </w:r>
      <w:r w:rsidR="003362A2">
        <w:t>c</w:t>
      </w:r>
      <w:r>
        <w:t>)</w:t>
      </w:r>
      <w:r w:rsidRPr="008A0348">
        <w:t xml:space="preserve"> </w:t>
      </w:r>
      <w:r w:rsidR="003362A2">
        <w:t>One 350</w:t>
      </w:r>
      <w:r>
        <w:t xml:space="preserve"> mm connection.</w:t>
      </w:r>
    </w:p>
    <w:p w:rsidR="000C2B2C" w:rsidRDefault="000C2B2C" w:rsidP="000C2B2C">
      <w:pPr>
        <w:pStyle w:val="TableNotesHanging"/>
        <w:keepLines w:val="0"/>
        <w:ind w:left="0" w:firstLine="0"/>
      </w:pPr>
      <w:r>
        <w:t>(</w:t>
      </w:r>
      <w:r w:rsidR="00F43EA0">
        <w:t>d</w:t>
      </w:r>
      <w:r>
        <w:t>)</w:t>
      </w:r>
      <w:r w:rsidRPr="008A0348">
        <w:t xml:space="preserve"> </w:t>
      </w:r>
      <w:r>
        <w:t>One 20 mm connection.</w:t>
      </w:r>
    </w:p>
    <w:p w:rsidR="000C2B2C" w:rsidRDefault="000C2B2C" w:rsidP="000C2B2C">
      <w:pPr>
        <w:pStyle w:val="TableNotesHanging"/>
        <w:keepLines w:val="0"/>
        <w:ind w:left="0" w:firstLine="0"/>
      </w:pPr>
      <w:r>
        <w:t>(</w:t>
      </w:r>
      <w:r w:rsidR="00F43EA0">
        <w:t>e</w:t>
      </w:r>
      <w:r>
        <w:t>)</w:t>
      </w:r>
      <w:r w:rsidRPr="008A0348">
        <w:t xml:space="preserve"> </w:t>
      </w:r>
      <w:r>
        <w:t>600 mm connection.</w:t>
      </w:r>
    </w:p>
    <w:p w:rsidR="000C2B2C" w:rsidRDefault="000C2B2C" w:rsidP="000C2B2C">
      <w:pPr>
        <w:pStyle w:val="TableNotesHanging"/>
        <w:keepLines w:val="0"/>
        <w:ind w:left="0" w:firstLine="0"/>
      </w:pPr>
      <w:r>
        <w:t>(</w:t>
      </w:r>
      <w:r w:rsidR="00F43EA0">
        <w:t>f</w:t>
      </w:r>
      <w:r>
        <w:t>)</w:t>
      </w:r>
      <w:r w:rsidRPr="008A0348">
        <w:t xml:space="preserve"> </w:t>
      </w:r>
      <w:r>
        <w:t>One 20 mm connection.</w:t>
      </w:r>
    </w:p>
    <w:p w:rsidR="000C2B2C" w:rsidRDefault="000C2B2C" w:rsidP="000C2B2C">
      <w:pPr>
        <w:pStyle w:val="TableNotesHanging"/>
        <w:keepLines w:val="0"/>
        <w:ind w:left="0" w:firstLine="0"/>
      </w:pPr>
      <w:r>
        <w:t>(</w:t>
      </w:r>
      <w:r w:rsidR="00F43EA0">
        <w:t>g</w:t>
      </w:r>
      <w:r>
        <w:t>)</w:t>
      </w:r>
      <w:r w:rsidRPr="008A0348">
        <w:t xml:space="preserve"> </w:t>
      </w:r>
      <w:r>
        <w:t>250 mm connection.</w:t>
      </w:r>
    </w:p>
    <w:p w:rsidR="000C2B2C" w:rsidRDefault="000C2B2C" w:rsidP="000C2B2C">
      <w:pPr>
        <w:pStyle w:val="TableNotesHangingLast"/>
        <w:keepLines w:val="0"/>
        <w:spacing w:after="0"/>
      </w:pPr>
      <w:r>
        <w:t>Note:</w:t>
      </w:r>
      <w:r>
        <w:tab/>
        <w:t xml:space="preserve">This table only contains a sample of the </w:t>
      </w:r>
      <w:r w:rsidR="00B14BFA">
        <w:t>supply</w:t>
      </w:r>
      <w:r>
        <w:t xml:space="preserve"> water charges by connection size for Sydney Water and TasWater. For the full lists, see </w:t>
      </w:r>
      <w:hyperlink r:id="rId87" w:history="1">
        <w:r w:rsidRPr="008A0348">
          <w:t>www.sydneywater.com.au/SW/accounts-billing/understanding-your-bill/our-prices/index.htm</w:t>
        </w:r>
      </w:hyperlink>
      <w:r>
        <w:t xml:space="preserve"> and </w:t>
      </w:r>
      <w:r w:rsidRPr="005D4C2D">
        <w:t>www.taswater.com.au/Your-Account/Water-and-Sewerage-Charges</w:t>
      </w:r>
      <w:r>
        <w:t>.</w:t>
      </w:r>
    </w:p>
    <w:p w:rsidR="000C2B2C" w:rsidRPr="000C2B2C" w:rsidRDefault="000C2B2C" w:rsidP="00971E36">
      <w:pPr>
        <w:pStyle w:val="TableNotesHangingLast"/>
        <w:keepLines w:val="0"/>
      </w:pPr>
      <w:r>
        <w:t>Source:</w:t>
      </w:r>
      <w:r>
        <w:tab/>
      </w:r>
      <w:r w:rsidR="006F7B33">
        <w:fldChar w:fldCharType="begin"/>
      </w:r>
      <w:r w:rsidR="006F7B33">
        <w:instrText xml:space="preserve"> ADDIN EN.CITE &lt;EndNote&gt;&lt;Cite&gt;&lt;Author&gt;Sydney Water&lt;/Author&gt;&lt;Year&gt;2016&lt;/Year&gt;&lt;RecNum&gt;745&lt;/RecNum&gt;&lt;DisplayText&gt;Sydney Water (2016b)&lt;/DisplayText&gt;&lt;record&gt;&lt;rec-number&gt;745&lt;/rec-number&gt;&lt;foreign-keys&gt;&lt;key app="EN" db-id="5xwt9zxa6r5fesevwr5xzp97r95ev9wx9zpw" timestamp="1472517235"&gt;745&lt;/key&gt;&lt;/foreign-keys&gt;&lt;ref-type name="AAA ICRC Water References"&gt;40&lt;/ref-type&gt;&lt;contributors&gt;&lt;authors&gt;&lt;author&gt;Sydney Water,&lt;/author&gt;&lt;/authors&gt;&lt;/contributors&gt;&lt;titles&gt;&lt;title&gt;Prices for your home: 1 July 2016 to 30 June 2017 &lt;/title&gt;&lt;/titles&gt;&lt;dates&gt;&lt;year&gt;2016&lt;/year&gt;&lt;pub-dates&gt;&lt;date&gt;June 2016&lt;/date&gt;&lt;/pub-dates&gt;&lt;/dates&gt;&lt;pub-location&gt;Sydney&lt;/pub-location&gt;&lt;publisher&gt;Sydney Water Corporation&lt;/publisher&gt;&lt;urls&gt;&lt;/urls&gt;&lt;/record&gt;&lt;/Cite&gt;&lt;/EndNote&gt;</w:instrText>
      </w:r>
      <w:r w:rsidR="006F7B33">
        <w:fldChar w:fldCharType="separate"/>
      </w:r>
      <w:hyperlink w:anchor="_ENREF_37" w:tooltip="Sydney Water, 2016 #745" w:history="1">
        <w:r w:rsidR="00A2488A">
          <w:rPr>
            <w:noProof/>
          </w:rPr>
          <w:t>Sydney Water (2016b</w:t>
        </w:r>
      </w:hyperlink>
      <w:r w:rsidR="006F7B33">
        <w:rPr>
          <w:noProof/>
        </w:rPr>
        <w:t>)</w:t>
      </w:r>
      <w:r w:rsidR="006F7B33">
        <w:fldChar w:fldCharType="end"/>
      </w:r>
      <w:r>
        <w:t xml:space="preserve">; </w:t>
      </w:r>
      <w:r w:rsidR="006F7B33">
        <w:fldChar w:fldCharType="begin"/>
      </w:r>
      <w:r w:rsidR="006F7B33">
        <w:instrText xml:space="preserve"> ADDIN EN.CITE &lt;EndNote&gt;&lt;Cite&gt;&lt;Author&gt;Sydney Water&lt;/Author&gt;&lt;Year&gt;2016&lt;/Year&gt;&lt;RecNum&gt;746&lt;/RecNum&gt;&lt;DisplayText&gt;Sydney Water (2016a)&lt;/DisplayText&gt;&lt;record&gt;&lt;rec-number&gt;746&lt;/rec-number&gt;&lt;foreign-keys&gt;&lt;key app="EN" db-id="5xwt9zxa6r5fesevwr5xzp97r95ev9wx9zpw" timestamp="1472517235"&gt;746&lt;/key&gt;&lt;/foreign-keys&gt;&lt;ref-type name="AAA ICRC Water References"&gt;40&lt;/ref-type&gt;&lt;contributors&gt;&lt;authors&gt;&lt;author&gt;Sydney Water,&lt;/author&gt;&lt;/authors&gt;&lt;/contributors&gt;&lt;titles&gt;&lt;title&gt;Commercial customers: Trade wastewater fees and charges for 2016–17&lt;/title&gt;&lt;/titles&gt;&lt;dates&gt;&lt;year&gt;2016&lt;/year&gt;&lt;pub-dates&gt;&lt;date&gt;June 2016&lt;/date&gt;&lt;/pub-dates&gt;&lt;/dates&gt;&lt;pub-location&gt;Sydney&lt;/pub-location&gt;&lt;publisher&gt;Sydney Water&lt;/publisher&gt;&lt;urls&gt;&lt;/urls&gt;&lt;/record&gt;&lt;/Cite&gt;&lt;/EndNote&gt;</w:instrText>
      </w:r>
      <w:r w:rsidR="006F7B33">
        <w:fldChar w:fldCharType="separate"/>
      </w:r>
      <w:hyperlink w:anchor="_ENREF_36" w:tooltip="Sydney Water, 2016 #746" w:history="1">
        <w:r w:rsidR="00A2488A">
          <w:rPr>
            <w:noProof/>
          </w:rPr>
          <w:t>Sydney Water (2016a</w:t>
        </w:r>
      </w:hyperlink>
      <w:r w:rsidR="006F7B33">
        <w:rPr>
          <w:noProof/>
        </w:rPr>
        <w:t>)</w:t>
      </w:r>
      <w:r w:rsidR="006F7B33">
        <w:fldChar w:fldCharType="end"/>
      </w:r>
      <w:r w:rsidR="006F7B33">
        <w:t xml:space="preserve">; </w:t>
      </w:r>
      <w:r w:rsidR="006F7B33">
        <w:fldChar w:fldCharType="begin"/>
      </w:r>
      <w:r w:rsidR="006F7B33">
        <w:instrText xml:space="preserve"> ADDIN EN.CITE &lt;EndNote&gt;&lt;Cite&gt;&lt;Author&gt;City West Water&lt;/Author&gt;&lt;Year&gt;2016&lt;/Year&gt;&lt;RecNum&gt;742&lt;/RecNum&gt;&lt;DisplayText&gt;City West Water (2016)&lt;/DisplayText&gt;&lt;record&gt;&lt;rec-number&gt;742&lt;/rec-number&gt;&lt;foreign-keys&gt;&lt;key app="EN" db-id="5xwt9zxa6r5fesevwr5xzp97r95ev9wx9zpw" timestamp="1470280575"&gt;742&lt;/key&gt;&lt;key app="ENWeb" db-id=""&gt;0&lt;/key&gt;&lt;/foreign-keys&gt;&lt;ref-type name="AAA ICRC Water References"&gt;40&lt;/ref-type&gt;&lt;contributors&gt;&lt;authors&gt;&lt;author&gt;City West Water,&lt;/author&gt;&lt;/authors&gt;&lt;/contributors&gt;&lt;titles&gt;&lt;title&gt;Pricing Handbook 2016-17&lt;/title&gt;&lt;/titles&gt;&lt;dates&gt;&lt;year&gt;2016&lt;/year&gt;&lt;/dates&gt;&lt;pub-location&gt;Melbourne&lt;/pub-location&gt;&lt;urls&gt;&lt;/urls&gt;&lt;/record&gt;&lt;/Cite&gt;&lt;/EndNote&gt;</w:instrText>
      </w:r>
      <w:r w:rsidR="006F7B33">
        <w:fldChar w:fldCharType="separate"/>
      </w:r>
      <w:hyperlink w:anchor="_ENREF_6" w:tooltip="City West Water, 2016 #742" w:history="1">
        <w:r w:rsidR="00A2488A">
          <w:rPr>
            <w:noProof/>
          </w:rPr>
          <w:t>City West Water (2016</w:t>
        </w:r>
      </w:hyperlink>
      <w:r w:rsidR="006F7B33">
        <w:rPr>
          <w:noProof/>
        </w:rPr>
        <w:t>)</w:t>
      </w:r>
      <w:r w:rsidR="006F7B33">
        <w:fldChar w:fldCharType="end"/>
      </w:r>
      <w:r w:rsidR="006F7B33">
        <w:t xml:space="preserve">; </w:t>
      </w:r>
      <w:r w:rsidR="006F7B33">
        <w:fldChar w:fldCharType="begin"/>
      </w:r>
      <w:r w:rsidR="006F7B33">
        <w:instrText xml:space="preserve"> ADDIN EN.CITE &lt;EndNote&gt;&lt;Cite&gt;&lt;Author&gt;Hunter Water&lt;/Author&gt;&lt;Year&gt;2016&lt;/Year&gt;&lt;RecNum&gt;748&lt;/RecNum&gt;&lt;DisplayText&gt;Hunter Water (2016a; Hunter Water (2016b)&lt;/DisplayText&gt;&lt;record&gt;&lt;rec-number&gt;748&lt;/rec-number&gt;&lt;foreign-keys&gt;&lt;key app="EN" db-id="5xwt9zxa6r5fesevwr5xzp97r95ev9wx9zpw" timestamp="1472517423"&gt;748&lt;/key&gt;&lt;/foreign-keys&gt;&lt;ref-type name="AAA ICRC Water References"&gt;40&lt;/ref-type&gt;&lt;contributors&gt;&lt;authors&gt;&lt;author&gt;Hunter Water,&lt;/author&gt;&lt;/authors&gt;&lt;/contributors&gt;&lt;titles&gt;&lt;title&gt;Customer charges 2016-17&lt;/title&gt;&lt;/titles&gt;&lt;dates&gt;&lt;year&gt;2016&lt;/year&gt;&lt;/dates&gt;&lt;pub-location&gt;Newcastle&lt;/pub-location&gt;&lt;publisher&gt;Hunter Water&lt;/publisher&gt;&lt;urls&gt;&lt;/urls&gt;&lt;/record&gt;&lt;/Cite&gt;&lt;Cite&gt;&lt;Author&gt;Hunter Water&lt;/Author&gt;&lt;Year&gt;2016&lt;/Year&gt;&lt;RecNum&gt;749&lt;/RecNum&gt;&lt;record&gt;&lt;rec-number&gt;749&lt;/rec-number&gt;&lt;foreign-keys&gt;&lt;key app="EN" db-id="5xwt9zxa6r5fesevwr5xzp97r95ev9wx9zpw" timestamp="1472517423"&gt;749&lt;/key&gt;&lt;/foreign-keys&gt;&lt;ref-type name="AAA ICRC Water References"&gt;40&lt;/ref-type&gt;&lt;contributors&gt;&lt;authors&gt;&lt;author&gt;Hunter Water,&lt;/author&gt;&lt;/authors&gt;&lt;/contributors&gt;&lt;titles&gt;&lt;title&gt;Non-residential pricing and charges 2016-17&lt;/title&gt;&lt;/titles&gt;&lt;dates&gt;&lt;year&gt;2016&lt;/year&gt;&lt;/dates&gt;&lt;pub-location&gt;Newcastle&lt;/pub-location&gt;&lt;publisher&gt;Hunter Water&lt;/publisher&gt;&lt;urls&gt;&lt;/urls&gt;&lt;/record&gt;&lt;/Cite&gt;&lt;/EndNote&gt;</w:instrText>
      </w:r>
      <w:r w:rsidR="006F7B33">
        <w:fldChar w:fldCharType="separate"/>
      </w:r>
      <w:hyperlink w:anchor="_ENREF_15" w:tooltip="Hunter Water, 2016 #748" w:history="1">
        <w:r w:rsidR="00A2488A">
          <w:rPr>
            <w:noProof/>
          </w:rPr>
          <w:t>Hunter Water (2016a</w:t>
        </w:r>
      </w:hyperlink>
      <w:r w:rsidR="006F7B33">
        <w:rPr>
          <w:noProof/>
        </w:rPr>
        <w:t xml:space="preserve">; </w:t>
      </w:r>
      <w:hyperlink w:anchor="_ENREF_16" w:tooltip="Hunter Water, 2016 #749" w:history="1">
        <w:r w:rsidR="00A2488A">
          <w:rPr>
            <w:noProof/>
          </w:rPr>
          <w:t>Hunter Water (2016b</w:t>
        </w:r>
      </w:hyperlink>
      <w:r w:rsidR="006F7B33">
        <w:rPr>
          <w:noProof/>
        </w:rPr>
        <w:t>)</w:t>
      </w:r>
      <w:r w:rsidR="006F7B33">
        <w:fldChar w:fldCharType="end"/>
      </w:r>
      <w:r>
        <w:t xml:space="preserve">; </w:t>
      </w:r>
      <w:r w:rsidR="006F7B33">
        <w:fldChar w:fldCharType="begin"/>
      </w:r>
      <w:r w:rsidR="006F7B33">
        <w:instrText xml:space="preserve"> ADDIN EN.CITE &lt;EndNote&gt;&lt;Cite&gt;&lt;Author&gt;TasWater&lt;/Author&gt;&lt;Year&gt;2015&lt;/Year&gt;&lt;RecNum&gt;594&lt;/RecNum&gt;&lt;DisplayText&gt;TasWater (2015)&lt;/DisplayText&gt;&lt;record&gt;&lt;rec-number&gt;594&lt;/rec-number&gt;&lt;foreign-keys&gt;&lt;key app="EN" db-id="5xwt9zxa6r5fesevwr5xzp97r95ev9wx9zpw" timestamp="1443141068"&gt;594&lt;/key&gt;&lt;/foreign-keys&gt;&lt;ref-type name="AAA ICRC Water References"&gt;40&lt;/ref-type&gt;&lt;contributors&gt;&lt;authors&gt;&lt;author&gt;TasWater,&lt;/author&gt;&lt;/authors&gt;&lt;/contributors&gt;&lt;titles&gt;&lt;title&gt;Price and service plan 2015-18: Schedule of Fees and Charges&lt;/title&gt;&lt;/titles&gt;&lt;dates&gt;&lt;year&gt;2015&lt;/year&gt;&lt;/dates&gt;&lt;pub-location&gt;Hobart&lt;/pub-location&gt;&lt;publisher&gt;TasWater&lt;/publisher&gt;&lt;urls&gt;&lt;/urls&gt;&lt;/record&gt;&lt;/Cite&gt;&lt;/EndNote&gt;</w:instrText>
      </w:r>
      <w:r w:rsidR="006F7B33">
        <w:fldChar w:fldCharType="separate"/>
      </w:r>
      <w:hyperlink w:anchor="_ENREF_38" w:tooltip="TasWater, 2015 #594" w:history="1">
        <w:r w:rsidR="00A2488A">
          <w:rPr>
            <w:noProof/>
          </w:rPr>
          <w:t>TasWater (2015</w:t>
        </w:r>
      </w:hyperlink>
      <w:r w:rsidR="006F7B33">
        <w:rPr>
          <w:noProof/>
        </w:rPr>
        <w:t>)</w:t>
      </w:r>
      <w:r w:rsidR="006F7B33">
        <w:fldChar w:fldCharType="end"/>
      </w:r>
      <w:r>
        <w:t xml:space="preserve">; </w:t>
      </w:r>
      <w:r w:rsidR="006F7B33">
        <w:fldChar w:fldCharType="begin"/>
      </w:r>
      <w:r w:rsidR="006F7B33">
        <w:instrText xml:space="preserve"> ADDIN EN.CITE &lt;EndNote&gt;&lt;Cite&gt;&lt;Author&gt;SA Water&lt;/Author&gt;&lt;Year&gt;2016&lt;/Year&gt;&lt;RecNum&gt;751&lt;/RecNum&gt;&lt;DisplayText&gt;SA Water (2016)&lt;/DisplayText&gt;&lt;record&gt;&lt;rec-number&gt;751&lt;/rec-number&gt;&lt;foreign-keys&gt;&lt;key app="EN" db-id="5xwt9zxa6r5fesevwr5xzp97r95ev9wx9zpw" timestamp="1472517542"&gt;751&lt;/key&gt;&lt;/foreign-keys&gt;&lt;ref-type name="AAA ICRC Water References"&gt;40&lt;/ref-type&gt;&lt;contributors&gt;&lt;authors&gt;&lt;author&gt;SA Water,&lt;/author&gt;&lt;/authors&gt;&lt;/contributors&gt;&lt;titles&gt;&lt;title&gt;Fees and Charges Schedule 2016-17&lt;/title&gt;&lt;/titles&gt;&lt;dates&gt;&lt;year&gt;2016&lt;/year&gt;&lt;/dates&gt;&lt;pub-location&gt;Adelaide&lt;/pub-location&gt;&lt;publisher&gt;South Australian Water Corporation&lt;/publisher&gt;&lt;urls&gt;&lt;/urls&gt;&lt;/record&gt;&lt;/Cite&gt;&lt;/EndNote&gt;</w:instrText>
      </w:r>
      <w:r w:rsidR="006F7B33">
        <w:fldChar w:fldCharType="separate"/>
      </w:r>
      <w:hyperlink w:anchor="_ENREF_34" w:tooltip="SA Water, 2016 #751" w:history="1">
        <w:r w:rsidR="00A2488A">
          <w:rPr>
            <w:noProof/>
          </w:rPr>
          <w:t>SA Water (2016</w:t>
        </w:r>
      </w:hyperlink>
      <w:r w:rsidR="006F7B33">
        <w:rPr>
          <w:noProof/>
        </w:rPr>
        <w:t>)</w:t>
      </w:r>
      <w:r w:rsidR="006F7B33">
        <w:fldChar w:fldCharType="end"/>
      </w:r>
      <w:r>
        <w:t>.</w:t>
      </w:r>
    </w:p>
    <w:p w:rsidR="000C2B2C" w:rsidRPr="000C2B2C" w:rsidRDefault="000C2B2C" w:rsidP="000C2B2C"/>
    <w:p w:rsidR="000C2B2C" w:rsidRDefault="000C2B2C" w:rsidP="00BA22CC">
      <w:pPr>
        <w:pStyle w:val="TableNotesLast"/>
        <w:keepNext/>
      </w:pPr>
    </w:p>
    <w:p w:rsidR="00BA22CC" w:rsidRDefault="00BA22CC" w:rsidP="00BA22CC"/>
    <w:p w:rsidR="00C6744A" w:rsidRDefault="00C6744A" w:rsidP="00C6744A">
      <w:pPr>
        <w:sectPr w:rsidR="00C6744A" w:rsidSect="00A704CD">
          <w:headerReference w:type="even" r:id="rId88"/>
          <w:headerReference w:type="default" r:id="rId89"/>
          <w:endnotePr>
            <w:numFmt w:val="decimal"/>
          </w:endnotePr>
          <w:type w:val="continuous"/>
          <w:pgSz w:w="11907" w:h="16840" w:code="9"/>
          <w:pgMar w:top="2268" w:right="2098" w:bottom="1701" w:left="2098" w:header="578" w:footer="578" w:gutter="0"/>
          <w:cols w:space="720"/>
          <w:docGrid w:linePitch="360"/>
        </w:sectPr>
      </w:pPr>
    </w:p>
    <w:p w:rsidR="008C4D2D" w:rsidRDefault="007A1FA7" w:rsidP="00C7285A">
      <w:pPr>
        <w:pStyle w:val="Heading1a"/>
      </w:pPr>
      <w:bookmarkStart w:id="245" w:name="Abbreviations_and_acronyms"/>
      <w:bookmarkStart w:id="246" w:name="_Toc460572241"/>
      <w:r w:rsidRPr="002E2FD3">
        <w:lastRenderedPageBreak/>
        <w:t>Abbreviations and acronyms</w:t>
      </w:r>
      <w:bookmarkEnd w:id="105"/>
      <w:bookmarkEnd w:id="245"/>
      <w:bookmarkEnd w:id="246"/>
    </w:p>
    <w:p w:rsidR="008C4D2D" w:rsidRDefault="008C4D2D" w:rsidP="007E230D">
      <w:pPr>
        <w:sectPr w:rsidR="008C4D2D" w:rsidSect="00FD0141">
          <w:headerReference w:type="even" r:id="rId90"/>
          <w:headerReference w:type="default" r:id="rId91"/>
          <w:endnotePr>
            <w:numFmt w:val="decimal"/>
          </w:endnotePr>
          <w:type w:val="oddPage"/>
          <w:pgSz w:w="11907" w:h="16840" w:code="9"/>
          <w:pgMar w:top="2268" w:right="2098" w:bottom="1701" w:left="2098" w:header="578" w:footer="578" w:gutter="0"/>
          <w:cols w:space="720"/>
          <w:docGrid w:linePitch="360"/>
        </w:sectPr>
      </w:pPr>
    </w:p>
    <w:tbl>
      <w:tblPr>
        <w:tblW w:w="7796" w:type="dxa"/>
        <w:shd w:val="clear" w:color="auto" w:fill="FFFFFF" w:themeFill="background1"/>
        <w:tblLayout w:type="fixed"/>
        <w:tblLook w:val="01E0" w:firstRow="1" w:lastRow="1" w:firstColumn="1" w:lastColumn="1" w:noHBand="0" w:noVBand="0"/>
      </w:tblPr>
      <w:tblGrid>
        <w:gridCol w:w="2268"/>
        <w:gridCol w:w="5528"/>
      </w:tblGrid>
      <w:tr w:rsidR="00DC650D" w:rsidRPr="007976E2" w:rsidTr="00DE682F">
        <w:trPr>
          <w:trHeight w:val="284"/>
        </w:trPr>
        <w:tc>
          <w:tcPr>
            <w:tcW w:w="2268" w:type="dxa"/>
            <w:shd w:val="clear" w:color="auto" w:fill="FFFFFF" w:themeFill="background1"/>
          </w:tcPr>
          <w:p w:rsidR="00DC650D" w:rsidRDefault="00DC650D" w:rsidP="007E230D">
            <w:r>
              <w:t>ACT</w:t>
            </w:r>
          </w:p>
        </w:tc>
        <w:tc>
          <w:tcPr>
            <w:tcW w:w="5528" w:type="dxa"/>
            <w:shd w:val="clear" w:color="auto" w:fill="FFFFFF" w:themeFill="background1"/>
          </w:tcPr>
          <w:p w:rsidR="00DC650D" w:rsidRDefault="00DC650D" w:rsidP="007E230D">
            <w:r>
              <w:t>Australian Capital Territory</w:t>
            </w:r>
          </w:p>
        </w:tc>
      </w:tr>
      <w:tr w:rsidR="00DC16F7" w:rsidRPr="007976E2" w:rsidTr="00DE682F">
        <w:trPr>
          <w:trHeight w:val="284"/>
        </w:trPr>
        <w:tc>
          <w:tcPr>
            <w:tcW w:w="2268" w:type="dxa"/>
            <w:shd w:val="clear" w:color="auto" w:fill="FFFFFF" w:themeFill="background1"/>
          </w:tcPr>
          <w:p w:rsidR="00DC16F7" w:rsidRDefault="00DC16F7" w:rsidP="00DC16F7">
            <w:r>
              <w:t>ACAT</w:t>
            </w:r>
          </w:p>
        </w:tc>
        <w:tc>
          <w:tcPr>
            <w:tcW w:w="5528" w:type="dxa"/>
            <w:shd w:val="clear" w:color="auto" w:fill="FFFFFF" w:themeFill="background1"/>
          </w:tcPr>
          <w:p w:rsidR="00DC16F7" w:rsidRDefault="00DC16F7" w:rsidP="007E230D">
            <w:r>
              <w:t>ACT Civil and Administrative Tribunal</w:t>
            </w:r>
          </w:p>
        </w:tc>
      </w:tr>
      <w:tr w:rsidR="009F68FD" w:rsidRPr="007976E2" w:rsidTr="00DE682F">
        <w:trPr>
          <w:trHeight w:val="284"/>
        </w:trPr>
        <w:tc>
          <w:tcPr>
            <w:tcW w:w="2268" w:type="dxa"/>
            <w:shd w:val="clear" w:color="auto" w:fill="FFFFFF" w:themeFill="background1"/>
          </w:tcPr>
          <w:p w:rsidR="009F68FD" w:rsidRDefault="009F68FD" w:rsidP="007E230D">
            <w:r>
              <w:t>AIC</w:t>
            </w:r>
          </w:p>
        </w:tc>
        <w:tc>
          <w:tcPr>
            <w:tcW w:w="5528" w:type="dxa"/>
            <w:shd w:val="clear" w:color="auto" w:fill="FFFFFF" w:themeFill="background1"/>
          </w:tcPr>
          <w:p w:rsidR="009F68FD" w:rsidRDefault="000130ED" w:rsidP="007E230D">
            <w:r>
              <w:t>Average incremental cost</w:t>
            </w:r>
          </w:p>
        </w:tc>
      </w:tr>
      <w:tr w:rsidR="00765AAA" w:rsidRPr="007976E2" w:rsidTr="00DE682F">
        <w:trPr>
          <w:trHeight w:val="284"/>
        </w:trPr>
        <w:tc>
          <w:tcPr>
            <w:tcW w:w="2268" w:type="dxa"/>
            <w:shd w:val="clear" w:color="auto" w:fill="FFFFFF" w:themeFill="background1"/>
          </w:tcPr>
          <w:p w:rsidR="00765AAA" w:rsidRPr="005B6158" w:rsidRDefault="00765AAA" w:rsidP="00765AAA">
            <w:r w:rsidRPr="007976E2">
              <w:t>Commission</w:t>
            </w:r>
          </w:p>
        </w:tc>
        <w:tc>
          <w:tcPr>
            <w:tcW w:w="5528" w:type="dxa"/>
            <w:shd w:val="clear" w:color="auto" w:fill="FFFFFF" w:themeFill="background1"/>
          </w:tcPr>
          <w:p w:rsidR="00765AAA" w:rsidRPr="005B6158" w:rsidRDefault="00765AAA" w:rsidP="00765AAA">
            <w:r w:rsidRPr="007976E2">
              <w:t>Independent Competition and Regulatory Commission</w:t>
            </w:r>
          </w:p>
        </w:tc>
      </w:tr>
      <w:tr w:rsidR="00765AAA" w:rsidRPr="007976E2" w:rsidTr="00DE682F">
        <w:trPr>
          <w:trHeight w:val="284"/>
        </w:trPr>
        <w:tc>
          <w:tcPr>
            <w:tcW w:w="2268" w:type="dxa"/>
            <w:shd w:val="clear" w:color="auto" w:fill="FFFFFF" w:themeFill="background1"/>
          </w:tcPr>
          <w:p w:rsidR="00765AAA" w:rsidRPr="007976E2" w:rsidRDefault="00765AAA" w:rsidP="00765AAA">
            <w:r>
              <w:t>GL</w:t>
            </w:r>
          </w:p>
        </w:tc>
        <w:tc>
          <w:tcPr>
            <w:tcW w:w="5528" w:type="dxa"/>
            <w:shd w:val="clear" w:color="auto" w:fill="FFFFFF" w:themeFill="background1"/>
          </w:tcPr>
          <w:p w:rsidR="00765AAA" w:rsidRPr="007976E2" w:rsidRDefault="00765AAA" w:rsidP="00765AAA">
            <w:r>
              <w:t>gigalitre (one thousand megalitres)</w:t>
            </w:r>
          </w:p>
        </w:tc>
      </w:tr>
      <w:tr w:rsidR="00765AAA" w:rsidRPr="007976E2" w:rsidTr="00DE682F">
        <w:trPr>
          <w:trHeight w:val="284"/>
        </w:trPr>
        <w:tc>
          <w:tcPr>
            <w:tcW w:w="2268" w:type="dxa"/>
            <w:shd w:val="clear" w:color="auto" w:fill="FFFFFF" w:themeFill="background1"/>
          </w:tcPr>
          <w:p w:rsidR="00765AAA" w:rsidRPr="005B6158" w:rsidRDefault="00765AAA" w:rsidP="00765AAA">
            <w:r w:rsidRPr="007976E2">
              <w:t>ICRC</w:t>
            </w:r>
          </w:p>
        </w:tc>
        <w:tc>
          <w:tcPr>
            <w:tcW w:w="5528" w:type="dxa"/>
            <w:shd w:val="clear" w:color="auto" w:fill="FFFFFF" w:themeFill="background1"/>
          </w:tcPr>
          <w:p w:rsidR="00765AAA" w:rsidRPr="005B6158" w:rsidRDefault="00765AAA" w:rsidP="00765AAA">
            <w:r w:rsidRPr="007976E2">
              <w:t>Independent Competition and Regulatory Commission</w:t>
            </w:r>
          </w:p>
        </w:tc>
      </w:tr>
      <w:tr w:rsidR="00765AAA" w:rsidRPr="007976E2" w:rsidTr="00DE682F">
        <w:trPr>
          <w:trHeight w:val="284"/>
        </w:trPr>
        <w:tc>
          <w:tcPr>
            <w:tcW w:w="2268" w:type="dxa"/>
            <w:shd w:val="clear" w:color="auto" w:fill="FFFFFF" w:themeFill="background1"/>
          </w:tcPr>
          <w:p w:rsidR="00765AAA" w:rsidRPr="005B6158" w:rsidRDefault="00765AAA" w:rsidP="00765AAA">
            <w:r w:rsidRPr="007976E2">
              <w:t>ICRC Act</w:t>
            </w:r>
          </w:p>
        </w:tc>
        <w:tc>
          <w:tcPr>
            <w:tcW w:w="5528" w:type="dxa"/>
            <w:shd w:val="clear" w:color="auto" w:fill="FFFFFF" w:themeFill="background1"/>
          </w:tcPr>
          <w:p w:rsidR="00765AAA" w:rsidRPr="005B6158" w:rsidRDefault="00765AAA" w:rsidP="00765AAA">
            <w:r w:rsidRPr="00D56742">
              <w:rPr>
                <w:rStyle w:val="Italic"/>
              </w:rPr>
              <w:t>Independent Competition and Regulatory Commission Act</w:t>
            </w:r>
            <w:r w:rsidRPr="005B6158">
              <w:t xml:space="preserve"> </w:t>
            </w:r>
            <w:r w:rsidRPr="005B6158">
              <w:rPr>
                <w:rStyle w:val="Italic"/>
              </w:rPr>
              <w:t xml:space="preserve">1997 </w:t>
            </w:r>
            <w:r w:rsidRPr="005B6158">
              <w:t>(ACT)</w:t>
            </w:r>
          </w:p>
        </w:tc>
      </w:tr>
      <w:tr w:rsidR="00765AAA" w:rsidRPr="007976E2" w:rsidTr="00DE682F">
        <w:trPr>
          <w:trHeight w:val="284"/>
        </w:trPr>
        <w:tc>
          <w:tcPr>
            <w:tcW w:w="2268" w:type="dxa"/>
            <w:shd w:val="clear" w:color="auto" w:fill="FFFFFF" w:themeFill="background1"/>
          </w:tcPr>
          <w:p w:rsidR="00765AAA" w:rsidRPr="005B6158" w:rsidRDefault="00765AAA" w:rsidP="00765AAA">
            <w:r>
              <w:t>kL</w:t>
            </w:r>
          </w:p>
        </w:tc>
        <w:tc>
          <w:tcPr>
            <w:tcW w:w="5528" w:type="dxa"/>
            <w:shd w:val="clear" w:color="auto" w:fill="FFFFFF" w:themeFill="background1"/>
          </w:tcPr>
          <w:p w:rsidR="00765AAA" w:rsidRPr="005B6158" w:rsidRDefault="00765AAA" w:rsidP="00765AAA">
            <w:r>
              <w:t>kilolitre (one thousand litres)</w:t>
            </w:r>
          </w:p>
        </w:tc>
      </w:tr>
      <w:tr w:rsidR="00980897" w:rsidRPr="007976E2" w:rsidTr="00DE682F">
        <w:trPr>
          <w:trHeight w:val="284"/>
        </w:trPr>
        <w:tc>
          <w:tcPr>
            <w:tcW w:w="2268" w:type="dxa"/>
            <w:shd w:val="clear" w:color="auto" w:fill="FFFFFF" w:themeFill="background1"/>
          </w:tcPr>
          <w:p w:rsidR="00980897" w:rsidRDefault="00980897" w:rsidP="00765AAA">
            <w:r>
              <w:t>LMWQCC</w:t>
            </w:r>
          </w:p>
        </w:tc>
        <w:tc>
          <w:tcPr>
            <w:tcW w:w="5528" w:type="dxa"/>
            <w:shd w:val="clear" w:color="auto" w:fill="FFFFFF" w:themeFill="background1"/>
          </w:tcPr>
          <w:p w:rsidR="00980897" w:rsidRDefault="00980897" w:rsidP="00980897">
            <w:r>
              <w:t>Lower Molonglo Water Quality Control Centre</w:t>
            </w:r>
          </w:p>
        </w:tc>
      </w:tr>
      <w:tr w:rsidR="00765AAA" w:rsidRPr="007976E2" w:rsidTr="00DE682F">
        <w:trPr>
          <w:trHeight w:val="284"/>
        </w:trPr>
        <w:tc>
          <w:tcPr>
            <w:tcW w:w="2268" w:type="dxa"/>
            <w:shd w:val="clear" w:color="auto" w:fill="FFFFFF" w:themeFill="background1"/>
          </w:tcPr>
          <w:p w:rsidR="00765AAA" w:rsidRDefault="00765AAA" w:rsidP="00765AAA">
            <w:r>
              <w:t>MIC</w:t>
            </w:r>
          </w:p>
        </w:tc>
        <w:tc>
          <w:tcPr>
            <w:tcW w:w="5528" w:type="dxa"/>
            <w:shd w:val="clear" w:color="auto" w:fill="FFFFFF" w:themeFill="background1"/>
          </w:tcPr>
          <w:p w:rsidR="00765AAA" w:rsidRDefault="00765AAA" w:rsidP="00765AAA">
            <w:r>
              <w:t>marginal incremental cost</w:t>
            </w:r>
          </w:p>
        </w:tc>
      </w:tr>
      <w:tr w:rsidR="00765AAA" w:rsidRPr="007976E2" w:rsidTr="00DE682F">
        <w:trPr>
          <w:trHeight w:val="284"/>
        </w:trPr>
        <w:tc>
          <w:tcPr>
            <w:tcW w:w="2268" w:type="dxa"/>
            <w:shd w:val="clear" w:color="auto" w:fill="FFFFFF" w:themeFill="background1"/>
          </w:tcPr>
          <w:p w:rsidR="00765AAA" w:rsidRDefault="00765AAA" w:rsidP="00765AAA">
            <w:r>
              <w:t>ML</w:t>
            </w:r>
          </w:p>
        </w:tc>
        <w:tc>
          <w:tcPr>
            <w:tcW w:w="5528" w:type="dxa"/>
            <w:shd w:val="clear" w:color="auto" w:fill="FFFFFF" w:themeFill="background1"/>
          </w:tcPr>
          <w:p w:rsidR="00765AAA" w:rsidRDefault="00765AAA" w:rsidP="00765AAA">
            <w:r>
              <w:t>megalitre (one thousand kilolitres)</w:t>
            </w:r>
          </w:p>
        </w:tc>
      </w:tr>
      <w:tr w:rsidR="00765AAA" w:rsidRPr="007976E2" w:rsidTr="00DE682F">
        <w:trPr>
          <w:trHeight w:val="284"/>
        </w:trPr>
        <w:tc>
          <w:tcPr>
            <w:tcW w:w="2268" w:type="dxa"/>
            <w:shd w:val="clear" w:color="auto" w:fill="FFFFFF" w:themeFill="background1"/>
          </w:tcPr>
          <w:p w:rsidR="00765AAA" w:rsidRDefault="00765AAA" w:rsidP="00765AAA">
            <w:r>
              <w:t>NWI</w:t>
            </w:r>
          </w:p>
        </w:tc>
        <w:tc>
          <w:tcPr>
            <w:tcW w:w="5528" w:type="dxa"/>
            <w:shd w:val="clear" w:color="auto" w:fill="FFFFFF" w:themeFill="background1"/>
          </w:tcPr>
          <w:p w:rsidR="00765AAA" w:rsidRDefault="00765AAA" w:rsidP="00765AAA">
            <w:r>
              <w:t>National Water Initiative</w:t>
            </w:r>
          </w:p>
        </w:tc>
      </w:tr>
      <w:tr w:rsidR="00765AAA" w:rsidRPr="007976E2" w:rsidTr="00DE682F">
        <w:trPr>
          <w:trHeight w:val="284"/>
        </w:trPr>
        <w:tc>
          <w:tcPr>
            <w:tcW w:w="2268" w:type="dxa"/>
            <w:shd w:val="clear" w:color="auto" w:fill="FFFFFF" w:themeFill="background1"/>
          </w:tcPr>
          <w:p w:rsidR="00765AAA" w:rsidRDefault="00765AAA" w:rsidP="00765AAA">
            <w:r>
              <w:t>SRMC</w:t>
            </w:r>
          </w:p>
        </w:tc>
        <w:tc>
          <w:tcPr>
            <w:tcW w:w="5528" w:type="dxa"/>
            <w:shd w:val="clear" w:color="auto" w:fill="FFFFFF" w:themeFill="background1"/>
          </w:tcPr>
          <w:p w:rsidR="00765AAA" w:rsidRDefault="00765AAA" w:rsidP="00765AAA">
            <w:r>
              <w:t xml:space="preserve">short-run marginal cost </w:t>
            </w:r>
          </w:p>
        </w:tc>
      </w:tr>
      <w:tr w:rsidR="00765AAA" w:rsidRPr="007976E2" w:rsidTr="00DE682F">
        <w:trPr>
          <w:trHeight w:val="284"/>
        </w:trPr>
        <w:tc>
          <w:tcPr>
            <w:tcW w:w="2268" w:type="dxa"/>
            <w:shd w:val="clear" w:color="auto" w:fill="FFFFFF" w:themeFill="background1"/>
          </w:tcPr>
          <w:p w:rsidR="00765AAA" w:rsidRPr="002466F6" w:rsidRDefault="00765AAA" w:rsidP="00765AAA">
            <w:r>
              <w:t>TMC</w:t>
            </w:r>
          </w:p>
        </w:tc>
        <w:tc>
          <w:tcPr>
            <w:tcW w:w="5528" w:type="dxa"/>
            <w:shd w:val="clear" w:color="auto" w:fill="FFFFFF" w:themeFill="background1"/>
          </w:tcPr>
          <w:p w:rsidR="00765AAA" w:rsidRPr="002466F6" w:rsidRDefault="00765AAA" w:rsidP="00765AAA">
            <w:r>
              <w:t>‘Textbook’ marginal cost</w:t>
            </w:r>
          </w:p>
        </w:tc>
      </w:tr>
      <w:tr w:rsidR="00DC16F7" w:rsidRPr="007976E2" w:rsidTr="00DE682F">
        <w:trPr>
          <w:trHeight w:val="284"/>
        </w:trPr>
        <w:tc>
          <w:tcPr>
            <w:tcW w:w="2268" w:type="dxa"/>
            <w:shd w:val="clear" w:color="auto" w:fill="FFFFFF" w:themeFill="background1"/>
          </w:tcPr>
          <w:p w:rsidR="00DC16F7" w:rsidRPr="002466F6" w:rsidRDefault="00DC16F7" w:rsidP="00765AAA">
            <w:r>
              <w:t>TOC Act</w:t>
            </w:r>
          </w:p>
        </w:tc>
        <w:tc>
          <w:tcPr>
            <w:tcW w:w="5528" w:type="dxa"/>
            <w:shd w:val="clear" w:color="auto" w:fill="FFFFFF" w:themeFill="background1"/>
          </w:tcPr>
          <w:p w:rsidR="00DC16F7" w:rsidRPr="00DC16F7" w:rsidRDefault="00DC16F7" w:rsidP="00DC16F7">
            <w:pPr>
              <w:rPr>
                <w:i/>
              </w:rPr>
            </w:pPr>
            <w:r w:rsidRPr="00DC16F7">
              <w:rPr>
                <w:i/>
              </w:rPr>
              <w:t xml:space="preserve">Territory-owned Corporations Act 1990 (ACT) </w:t>
            </w:r>
          </w:p>
        </w:tc>
      </w:tr>
      <w:tr w:rsidR="00765AAA" w:rsidRPr="007976E2" w:rsidTr="00DE682F">
        <w:trPr>
          <w:trHeight w:val="284"/>
        </w:trPr>
        <w:tc>
          <w:tcPr>
            <w:tcW w:w="2268" w:type="dxa"/>
            <w:shd w:val="clear" w:color="auto" w:fill="FFFFFF" w:themeFill="background1"/>
          </w:tcPr>
          <w:p w:rsidR="00765AAA" w:rsidRPr="002466F6" w:rsidRDefault="00765AAA" w:rsidP="00765AAA">
            <w:r w:rsidRPr="002466F6">
              <w:t>WAC</w:t>
            </w:r>
          </w:p>
        </w:tc>
        <w:tc>
          <w:tcPr>
            <w:tcW w:w="5528" w:type="dxa"/>
            <w:shd w:val="clear" w:color="auto" w:fill="FFFFFF" w:themeFill="background1"/>
          </w:tcPr>
          <w:p w:rsidR="00765AAA" w:rsidRPr="002466F6" w:rsidRDefault="00765AAA" w:rsidP="00765AAA">
            <w:r w:rsidRPr="002466F6">
              <w:t xml:space="preserve">Water </w:t>
            </w:r>
            <w:r>
              <w:t>A</w:t>
            </w:r>
            <w:r w:rsidRPr="002466F6">
              <w:t xml:space="preserve">bstraction </w:t>
            </w:r>
            <w:r>
              <w:t>C</w:t>
            </w:r>
            <w:r w:rsidRPr="002466F6">
              <w:t>harge</w:t>
            </w:r>
          </w:p>
        </w:tc>
      </w:tr>
    </w:tbl>
    <w:p w:rsidR="0074524D" w:rsidRDefault="0074524D" w:rsidP="008A1C91">
      <w:pPr>
        <w:pStyle w:val="References"/>
      </w:pPr>
    </w:p>
    <w:p w:rsidR="0074524D" w:rsidRDefault="0074524D" w:rsidP="008A1C91">
      <w:pPr>
        <w:pStyle w:val="References"/>
      </w:pPr>
    </w:p>
    <w:p w:rsidR="0074524D" w:rsidRDefault="0074524D" w:rsidP="008A1C91">
      <w:pPr>
        <w:pStyle w:val="References"/>
      </w:pPr>
    </w:p>
    <w:p w:rsidR="0074524D" w:rsidRDefault="0074524D" w:rsidP="008A1C91">
      <w:pPr>
        <w:pStyle w:val="References"/>
      </w:pPr>
    </w:p>
    <w:p w:rsidR="00E82CAF" w:rsidRDefault="00E82CAF" w:rsidP="008A1C91">
      <w:pPr>
        <w:pStyle w:val="References"/>
        <w:sectPr w:rsidR="00E82CAF" w:rsidSect="008C4D2D">
          <w:headerReference w:type="even" r:id="rId92"/>
          <w:headerReference w:type="default" r:id="rId93"/>
          <w:endnotePr>
            <w:numFmt w:val="decimal"/>
          </w:endnotePr>
          <w:type w:val="continuous"/>
          <w:pgSz w:w="11907" w:h="16840" w:code="9"/>
          <w:pgMar w:top="2268" w:right="2098" w:bottom="1701" w:left="2098" w:header="578" w:footer="578" w:gutter="0"/>
          <w:cols w:space="720"/>
          <w:docGrid w:linePitch="360"/>
        </w:sectPr>
      </w:pPr>
    </w:p>
    <w:p w:rsidR="008C4D2D" w:rsidRDefault="007A1FA7" w:rsidP="00C7285A">
      <w:pPr>
        <w:pStyle w:val="Heading1a"/>
        <w:sectPr w:rsidR="008C4D2D" w:rsidSect="00FD0141">
          <w:headerReference w:type="even" r:id="rId94"/>
          <w:headerReference w:type="default" r:id="rId95"/>
          <w:endnotePr>
            <w:numFmt w:val="decimal"/>
          </w:endnotePr>
          <w:type w:val="oddPage"/>
          <w:pgSz w:w="11907" w:h="16840" w:code="9"/>
          <w:pgMar w:top="2268" w:right="2098" w:bottom="1701" w:left="2098" w:header="578" w:footer="578" w:gutter="0"/>
          <w:cols w:space="720"/>
          <w:docGrid w:linePitch="360"/>
        </w:sectPr>
      </w:pPr>
      <w:bookmarkStart w:id="247" w:name="_Toc460572242"/>
      <w:r w:rsidRPr="002E2FD3">
        <w:lastRenderedPageBreak/>
        <w:t>References</w:t>
      </w:r>
      <w:bookmarkEnd w:id="247"/>
    </w:p>
    <w:p w:rsidR="00A2488A" w:rsidRPr="00A2488A" w:rsidRDefault="00A51443" w:rsidP="00EE7096">
      <w:pPr>
        <w:pStyle w:val="References"/>
      </w:pPr>
      <w:r w:rsidRPr="001D57A3">
        <w:rPr>
          <w:noProof/>
          <w:szCs w:val="20"/>
          <w:lang w:val="en-US"/>
        </w:rPr>
        <w:fldChar w:fldCharType="begin"/>
      </w:r>
      <w:r w:rsidR="00D92B9C" w:rsidRPr="001D57A3">
        <w:instrText xml:space="preserve"> ADDIN EN.REFLIST </w:instrText>
      </w:r>
      <w:r w:rsidRPr="001D57A3">
        <w:rPr>
          <w:noProof/>
          <w:szCs w:val="20"/>
          <w:lang w:val="en-US"/>
        </w:rPr>
        <w:fldChar w:fldCharType="separate"/>
      </w:r>
      <w:bookmarkStart w:id="248" w:name="_ENREF_1"/>
      <w:r w:rsidR="00A2488A" w:rsidRPr="00A2488A">
        <w:t>ACAT 2016. "Submission No 4 to the 2016 Tariff Review." Canberra.</w:t>
      </w:r>
      <w:bookmarkEnd w:id="248"/>
    </w:p>
    <w:p w:rsidR="00A2488A" w:rsidRPr="00A2488A" w:rsidRDefault="00A2488A" w:rsidP="00EE7096">
      <w:pPr>
        <w:pStyle w:val="References"/>
      </w:pPr>
      <w:bookmarkStart w:id="249" w:name="_ENREF_2"/>
      <w:r w:rsidRPr="00A2488A">
        <w:t xml:space="preserve">ACT Government 1997. "Independent Competition and Regulatory Commission Act 1997." </w:t>
      </w:r>
      <w:r w:rsidRPr="00A2488A">
        <w:rPr>
          <w:i/>
        </w:rPr>
        <w:t>In:</w:t>
      </w:r>
      <w:r w:rsidRPr="00A2488A">
        <w:t xml:space="preserve"> Counsel, AP (ed.) </w:t>
      </w:r>
      <w:r w:rsidRPr="00A2488A">
        <w:rPr>
          <w:i/>
        </w:rPr>
        <w:t>A1997-77.</w:t>
      </w:r>
      <w:r w:rsidRPr="00A2488A">
        <w:t xml:space="preserve"> Canberra: ACT Government.</w:t>
      </w:r>
      <w:bookmarkEnd w:id="249"/>
    </w:p>
    <w:p w:rsidR="00A2488A" w:rsidRPr="00A2488A" w:rsidRDefault="00A2488A" w:rsidP="00EE7096">
      <w:pPr>
        <w:pStyle w:val="References"/>
      </w:pPr>
      <w:bookmarkStart w:id="250" w:name="_ENREF_3"/>
      <w:r w:rsidRPr="00A2488A">
        <w:t>ACT Government 2014. "ACT Water Abstraction Charge (WAC)." Canberra: Environment and Planning Directorate.</w:t>
      </w:r>
      <w:bookmarkEnd w:id="250"/>
    </w:p>
    <w:p w:rsidR="00A2488A" w:rsidRPr="00A2488A" w:rsidRDefault="00A2488A" w:rsidP="00EE7096">
      <w:pPr>
        <w:pStyle w:val="References"/>
      </w:pPr>
      <w:bookmarkStart w:id="251" w:name="_ENREF_4"/>
      <w:r w:rsidRPr="00A2488A">
        <w:t>ACT Legislative Assembly 2016. "Select Committee on Estimates 2016-2017: Transcript of evidence, Canberra, Tuesday 21 June 2016." Canberra.</w:t>
      </w:r>
      <w:bookmarkEnd w:id="251"/>
    </w:p>
    <w:p w:rsidR="00A2488A" w:rsidRPr="00A2488A" w:rsidRDefault="00A2488A" w:rsidP="00EE7096">
      <w:pPr>
        <w:pStyle w:val="References"/>
      </w:pPr>
      <w:bookmarkStart w:id="252" w:name="_ENREF_5"/>
      <w:r w:rsidRPr="00A2488A">
        <w:t xml:space="preserve">Baumol, WJ and Bradford, DF 1970. "Optimal Departures From Marginal Cost Pricing." </w:t>
      </w:r>
      <w:r w:rsidRPr="00A2488A">
        <w:rPr>
          <w:i/>
        </w:rPr>
        <w:t>The American Economic Review</w:t>
      </w:r>
      <w:r w:rsidRPr="00A2488A">
        <w:t>. 60, 265-283.</w:t>
      </w:r>
      <w:bookmarkEnd w:id="252"/>
    </w:p>
    <w:p w:rsidR="00A2488A" w:rsidRPr="00A2488A" w:rsidRDefault="00A2488A" w:rsidP="00EE7096">
      <w:pPr>
        <w:pStyle w:val="References"/>
      </w:pPr>
      <w:bookmarkStart w:id="253" w:name="_ENREF_6"/>
      <w:r w:rsidRPr="00A2488A">
        <w:t>City West Water 2016. "Pricing Handbook 2016-17." Melbourne.</w:t>
      </w:r>
      <w:bookmarkEnd w:id="253"/>
    </w:p>
    <w:p w:rsidR="00A2488A" w:rsidRPr="00A2488A" w:rsidRDefault="00A2488A" w:rsidP="00EE7096">
      <w:pPr>
        <w:pStyle w:val="References"/>
      </w:pPr>
      <w:bookmarkStart w:id="254" w:name="_ENREF_7"/>
      <w:r w:rsidRPr="00A2488A">
        <w:t>ClubsACT 2016. "Submission No 5 to the Tariff Review 2016." Canberra.</w:t>
      </w:r>
      <w:bookmarkEnd w:id="254"/>
    </w:p>
    <w:p w:rsidR="00A2488A" w:rsidRPr="00A2488A" w:rsidRDefault="00A2488A" w:rsidP="00EE7096">
      <w:pPr>
        <w:pStyle w:val="References"/>
      </w:pPr>
      <w:bookmarkStart w:id="255" w:name="_ENREF_8"/>
      <w:r w:rsidRPr="00A2488A">
        <w:t>COAG 2004. "Intergovernmental Agreement on a National Water Initiative." Canberra ACT: Council of Australian Governments.</w:t>
      </w:r>
      <w:bookmarkEnd w:id="255"/>
    </w:p>
    <w:p w:rsidR="00A2488A" w:rsidRPr="00A2488A" w:rsidRDefault="00A2488A" w:rsidP="00EE7096">
      <w:pPr>
        <w:pStyle w:val="References"/>
      </w:pPr>
      <w:bookmarkStart w:id="256" w:name="_ENREF_9"/>
      <w:r w:rsidRPr="00A2488A">
        <w:t>Dalhuisen, JM, Florax, RJ, De Groot, HL and Nijkamp, P 2001. "Price and income elasticities of residential water demand: Why empirical estimates differ." Amsterdam: Tinbergen Institute.</w:t>
      </w:r>
      <w:bookmarkEnd w:id="256"/>
    </w:p>
    <w:p w:rsidR="00A2488A" w:rsidRPr="00A2488A" w:rsidRDefault="00A2488A" w:rsidP="00EE7096">
      <w:pPr>
        <w:pStyle w:val="References"/>
      </w:pPr>
      <w:bookmarkStart w:id="257" w:name="_ENREF_10"/>
      <w:r w:rsidRPr="00A2488A">
        <w:t>Denham, D 2016. "Submission No 7 to the 2016 Tariff Review." Canberra.</w:t>
      </w:r>
      <w:bookmarkEnd w:id="257"/>
    </w:p>
    <w:p w:rsidR="00A2488A" w:rsidRPr="00A2488A" w:rsidRDefault="00A2488A" w:rsidP="00EE7096">
      <w:pPr>
        <w:pStyle w:val="References"/>
      </w:pPr>
      <w:bookmarkStart w:id="258" w:name="_ENREF_11"/>
      <w:r w:rsidRPr="00A2488A">
        <w:t>Federal Golf Club 2016. "Submission no 8 to the 2016 Tariff Review." Canberra.</w:t>
      </w:r>
      <w:bookmarkEnd w:id="258"/>
    </w:p>
    <w:p w:rsidR="00A2488A" w:rsidRPr="00A2488A" w:rsidRDefault="00A2488A" w:rsidP="00EE7096">
      <w:pPr>
        <w:pStyle w:val="References"/>
      </w:pPr>
      <w:bookmarkStart w:id="259" w:name="_ENREF_12"/>
      <w:r w:rsidRPr="00A2488A">
        <w:t xml:space="preserve">Gotora, G 2012. "Zimbabwe: Bulawayo urges residents to flush together to unblock sewers." </w:t>
      </w:r>
      <w:r w:rsidRPr="00A2488A">
        <w:rPr>
          <w:i/>
        </w:rPr>
        <w:t>Associated Press</w:t>
      </w:r>
      <w:r w:rsidRPr="00A2488A">
        <w:t>, 24 September 2012.</w:t>
      </w:r>
      <w:bookmarkEnd w:id="259"/>
    </w:p>
    <w:p w:rsidR="00A2488A" w:rsidRPr="00A2488A" w:rsidRDefault="00A2488A" w:rsidP="00EE7096">
      <w:pPr>
        <w:pStyle w:val="References"/>
      </w:pPr>
      <w:bookmarkStart w:id="260" w:name="_ENREF_13"/>
      <w:r w:rsidRPr="00A2488A">
        <w:t>Grafton, RQ and Ward, M 2010. "Dynamically Efficient Urban Water Policy." Canberra: Centre for Water Economics, Environment and Policy, The Australian National University.</w:t>
      </w:r>
      <w:bookmarkEnd w:id="260"/>
    </w:p>
    <w:p w:rsidR="00A2488A" w:rsidRPr="00A2488A" w:rsidRDefault="00A2488A" w:rsidP="00EE7096">
      <w:pPr>
        <w:pStyle w:val="References"/>
      </w:pPr>
      <w:bookmarkStart w:id="261" w:name="_ENREF_14"/>
      <w:r w:rsidRPr="00A2488A">
        <w:t>Grant, P 2015. "Pricing of regulated water and sewerage services: Review of the regulatory framework - Final report." Canberra: ACT Government.</w:t>
      </w:r>
      <w:bookmarkEnd w:id="261"/>
    </w:p>
    <w:p w:rsidR="00A2488A" w:rsidRPr="00A2488A" w:rsidRDefault="00A2488A" w:rsidP="00EE7096">
      <w:pPr>
        <w:pStyle w:val="References"/>
      </w:pPr>
      <w:bookmarkStart w:id="262" w:name="_ENREF_15"/>
      <w:r w:rsidRPr="00A2488A">
        <w:t>Hunter Water 2016a. "Customer charges 2016-17." Newcastle: Hunter Water.</w:t>
      </w:r>
      <w:bookmarkEnd w:id="262"/>
    </w:p>
    <w:p w:rsidR="00A2488A" w:rsidRPr="00A2488A" w:rsidRDefault="00A2488A" w:rsidP="00EE7096">
      <w:pPr>
        <w:pStyle w:val="References"/>
      </w:pPr>
      <w:bookmarkStart w:id="263" w:name="_ENREF_16"/>
      <w:r w:rsidRPr="00A2488A">
        <w:t>Hunter Water 2016b. "Non-residential pricing and charges 2016-17." Newcastle: Hunter Water.</w:t>
      </w:r>
      <w:bookmarkEnd w:id="263"/>
    </w:p>
    <w:p w:rsidR="00A2488A" w:rsidRPr="00A2488A" w:rsidRDefault="00A2488A" w:rsidP="00EE7096">
      <w:pPr>
        <w:pStyle w:val="References"/>
      </w:pPr>
      <w:bookmarkStart w:id="264" w:name="_ENREF_17"/>
      <w:r w:rsidRPr="00A2488A">
        <w:t>Icon Water 2016a. "Cotter Dam now full!". Canberra: Icon Water.</w:t>
      </w:r>
      <w:bookmarkEnd w:id="264"/>
    </w:p>
    <w:p w:rsidR="00A2488A" w:rsidRPr="00A2488A" w:rsidRDefault="00A2488A" w:rsidP="00EE7096">
      <w:pPr>
        <w:pStyle w:val="References"/>
      </w:pPr>
      <w:bookmarkStart w:id="265" w:name="_ENREF_18"/>
      <w:r w:rsidRPr="00A2488A">
        <w:lastRenderedPageBreak/>
        <w:t>Icon Water 2016b. "Submission No 1 to the Tariff Review 2016." Canberra: Icon Water.</w:t>
      </w:r>
      <w:bookmarkEnd w:id="265"/>
    </w:p>
    <w:p w:rsidR="00A2488A" w:rsidRPr="00A2488A" w:rsidRDefault="00A2488A" w:rsidP="00EE7096">
      <w:pPr>
        <w:pStyle w:val="References"/>
      </w:pPr>
      <w:bookmarkStart w:id="266" w:name="_ENREF_19"/>
      <w:r w:rsidRPr="00A2488A">
        <w:t>Icon Water 2016c. "Submission No 9 to the Tariff Review 2016." Canberra.</w:t>
      </w:r>
      <w:bookmarkEnd w:id="266"/>
    </w:p>
    <w:p w:rsidR="00A2488A" w:rsidRPr="00A2488A" w:rsidRDefault="00A2488A" w:rsidP="00EE7096">
      <w:pPr>
        <w:pStyle w:val="References"/>
      </w:pPr>
      <w:bookmarkStart w:id="267" w:name="_ENREF_20"/>
      <w:r w:rsidRPr="00A2488A">
        <w:t>ICRC 2013a. "Final Report Regulated Water and Sewerage Services 1 July 2013 to 30 June 2019." Canberra: ICRC.</w:t>
      </w:r>
      <w:bookmarkEnd w:id="267"/>
    </w:p>
    <w:p w:rsidR="00A2488A" w:rsidRPr="00A2488A" w:rsidRDefault="00A2488A" w:rsidP="00EE7096">
      <w:pPr>
        <w:pStyle w:val="References"/>
      </w:pPr>
      <w:bookmarkStart w:id="268" w:name="_ENREF_21"/>
      <w:r w:rsidRPr="00A2488A">
        <w:t>ICRC 2013b. "Price Direction Regulated Water and Sewerage Services 1 July 2013 to 30 June 2019." Canberra: ICRC.</w:t>
      </w:r>
      <w:bookmarkEnd w:id="268"/>
    </w:p>
    <w:p w:rsidR="00A2488A" w:rsidRPr="00A2488A" w:rsidRDefault="00A2488A" w:rsidP="00EE7096">
      <w:pPr>
        <w:pStyle w:val="References"/>
      </w:pPr>
      <w:bookmarkStart w:id="269" w:name="_ENREF_22"/>
      <w:r w:rsidRPr="00A2488A">
        <w:t>ICRC 2015a. "Issues Paper: Tariff Review 2016 - Regulated Water and Sewerage Services." Canberra: ICRC.</w:t>
      </w:r>
      <w:bookmarkEnd w:id="269"/>
    </w:p>
    <w:p w:rsidR="00A2488A" w:rsidRPr="00A2488A" w:rsidRDefault="00A2488A" w:rsidP="00EE7096">
      <w:pPr>
        <w:pStyle w:val="References"/>
      </w:pPr>
      <w:bookmarkStart w:id="270" w:name="_ENREF_23"/>
      <w:r w:rsidRPr="00A2488A">
        <w:t>ICRC 2015b. "Water Demand Forecasting Final Technical Paper." Canberra: Independent Competition and Regulatory Commision.</w:t>
      </w:r>
      <w:bookmarkEnd w:id="270"/>
    </w:p>
    <w:p w:rsidR="00A2488A" w:rsidRPr="00A2488A" w:rsidRDefault="00A2488A" w:rsidP="00EE7096">
      <w:pPr>
        <w:pStyle w:val="References"/>
      </w:pPr>
      <w:bookmarkStart w:id="271" w:name="_ENREF_24"/>
      <w:r w:rsidRPr="00A2488A">
        <w:t>ICRC 2016a. "Technical paper 1: Price elasticity of water demand in the ACT." Canberra: Independent Competition and Regulatory Commission.</w:t>
      </w:r>
      <w:bookmarkEnd w:id="271"/>
    </w:p>
    <w:p w:rsidR="00A2488A" w:rsidRPr="00A2488A" w:rsidRDefault="00A2488A" w:rsidP="00EE7096">
      <w:pPr>
        <w:pStyle w:val="References"/>
      </w:pPr>
      <w:bookmarkStart w:id="272" w:name="_ENREF_25"/>
      <w:r w:rsidRPr="00A2488A">
        <w:t>ICRC 2016b. "Technical paper 2: Marginal cost pricing in the ACT." Canberra: Independent Competition and Regulatory Commission.</w:t>
      </w:r>
      <w:bookmarkEnd w:id="272"/>
    </w:p>
    <w:p w:rsidR="00A2488A" w:rsidRPr="00A2488A" w:rsidRDefault="00A2488A" w:rsidP="00EE7096">
      <w:pPr>
        <w:pStyle w:val="References"/>
      </w:pPr>
      <w:bookmarkStart w:id="273" w:name="_ENREF_26"/>
      <w:r w:rsidRPr="00A2488A">
        <w:t>Industry Panel 2015. "Substituted Price Direction: Regulated Water and Sewerage Services 1 July 2013 to 30 June 2018." Canberra: Industry Panel.</w:t>
      </w:r>
      <w:bookmarkEnd w:id="273"/>
    </w:p>
    <w:p w:rsidR="00A2488A" w:rsidRPr="00A2488A" w:rsidRDefault="00A2488A" w:rsidP="00EE7096">
      <w:pPr>
        <w:pStyle w:val="References"/>
      </w:pPr>
      <w:bookmarkStart w:id="274" w:name="_ENREF_27"/>
      <w:r w:rsidRPr="00A2488A">
        <w:t>Klugman, K 2016. "Submission No 3 to the 2016 Tariff Review." Canberra.</w:t>
      </w:r>
      <w:bookmarkEnd w:id="274"/>
    </w:p>
    <w:p w:rsidR="00A2488A" w:rsidRPr="00A2488A" w:rsidRDefault="00A2488A" w:rsidP="00EE7096">
      <w:pPr>
        <w:pStyle w:val="References"/>
      </w:pPr>
      <w:bookmarkStart w:id="275" w:name="_ENREF_28"/>
      <w:r w:rsidRPr="00A2488A">
        <w:t>Knee, R 2016. "Submission No 6 to the 2016 Tariff Review." Canberra.</w:t>
      </w:r>
      <w:bookmarkEnd w:id="275"/>
    </w:p>
    <w:p w:rsidR="00A2488A" w:rsidRPr="00A2488A" w:rsidRDefault="00A2488A" w:rsidP="00EE7096">
      <w:pPr>
        <w:pStyle w:val="References"/>
      </w:pPr>
      <w:bookmarkStart w:id="276" w:name="_ENREF_29"/>
      <w:r w:rsidRPr="00A2488A">
        <w:t>NRMMC 2010. "National Water Initiative Pricing Principles." Canberra: Natural Resource Management Ministerial Council.</w:t>
      </w:r>
      <w:bookmarkEnd w:id="276"/>
    </w:p>
    <w:p w:rsidR="00A2488A" w:rsidRPr="00A2488A" w:rsidRDefault="00A2488A" w:rsidP="00EE7096">
      <w:pPr>
        <w:pStyle w:val="References"/>
      </w:pPr>
      <w:bookmarkStart w:id="277" w:name="_ENREF_30"/>
      <w:r w:rsidRPr="00A2488A">
        <w:t>NWC 2011. "Efficient water resource pricing in Australia: an assessment of administered scarcity pricing in urban areas." Canberra: National Water Commission.</w:t>
      </w:r>
      <w:bookmarkEnd w:id="277"/>
    </w:p>
    <w:p w:rsidR="00A2488A" w:rsidRPr="00A2488A" w:rsidRDefault="00A2488A" w:rsidP="00EE7096">
      <w:pPr>
        <w:pStyle w:val="References"/>
      </w:pPr>
      <w:bookmarkStart w:id="278" w:name="_ENREF_31"/>
      <w:r w:rsidRPr="00A2488A">
        <w:t>Rae, J 2016. "Submission No 2 to the 2016 Tariff Review." Canberra.</w:t>
      </w:r>
      <w:bookmarkEnd w:id="278"/>
    </w:p>
    <w:p w:rsidR="00A2488A" w:rsidRPr="00A2488A" w:rsidRDefault="00A2488A" w:rsidP="00EE7096">
      <w:pPr>
        <w:pStyle w:val="References"/>
      </w:pPr>
      <w:bookmarkStart w:id="279" w:name="_ENREF_32"/>
      <w:r w:rsidRPr="00A2488A">
        <w:t xml:space="preserve">Ramsey, FP 1927. "A Contribution to the Theory of Taxation." </w:t>
      </w:r>
      <w:r w:rsidRPr="00A2488A">
        <w:rPr>
          <w:i/>
        </w:rPr>
        <w:t>The Economic Journal</w:t>
      </w:r>
      <w:r w:rsidRPr="00A2488A">
        <w:t>. 37, 47-61.</w:t>
      </w:r>
      <w:bookmarkEnd w:id="279"/>
    </w:p>
    <w:p w:rsidR="00A2488A" w:rsidRPr="00A2488A" w:rsidRDefault="00A2488A" w:rsidP="00EE7096">
      <w:pPr>
        <w:pStyle w:val="References"/>
      </w:pPr>
      <w:bookmarkStart w:id="280" w:name="_ENREF_33"/>
      <w:r w:rsidRPr="00A2488A">
        <w:t xml:space="preserve">Renwick, ME and Green, RD 2000. "Do Residential Water Demand Side Management Policies Measure Up? An Analysis of Eight California Water Agencies." </w:t>
      </w:r>
      <w:r w:rsidRPr="00A2488A">
        <w:rPr>
          <w:i/>
        </w:rPr>
        <w:t>Journal of Environmental Economics and Management</w:t>
      </w:r>
      <w:r w:rsidRPr="00A2488A">
        <w:t>. 40, 37-55.</w:t>
      </w:r>
      <w:bookmarkEnd w:id="280"/>
    </w:p>
    <w:p w:rsidR="00A2488A" w:rsidRPr="00A2488A" w:rsidRDefault="00A2488A" w:rsidP="00EE7096">
      <w:pPr>
        <w:pStyle w:val="References"/>
      </w:pPr>
      <w:bookmarkStart w:id="281" w:name="_ENREF_34"/>
      <w:r w:rsidRPr="00A2488A">
        <w:t>SA Water 2016. "Fees and Charges Schedule 2016-17." Adelaide: South Australian Water Corporation.</w:t>
      </w:r>
      <w:bookmarkEnd w:id="281"/>
    </w:p>
    <w:p w:rsidR="00A2488A" w:rsidRPr="00A2488A" w:rsidRDefault="00A2488A" w:rsidP="00EE7096">
      <w:pPr>
        <w:pStyle w:val="References"/>
      </w:pPr>
      <w:bookmarkStart w:id="282" w:name="_ENREF_35"/>
      <w:r w:rsidRPr="00A2488A">
        <w:lastRenderedPageBreak/>
        <w:t>Saunders, RJ, Warford, JJ and Mann, PC 1977. "Alternative Concepts of Marginal Cost for Public Utility Pricing: Problems of Applicationin the Water Supply Sector." World Bank.</w:t>
      </w:r>
      <w:bookmarkEnd w:id="282"/>
    </w:p>
    <w:p w:rsidR="00A2488A" w:rsidRPr="00A2488A" w:rsidRDefault="00A2488A" w:rsidP="00EE7096">
      <w:pPr>
        <w:pStyle w:val="References"/>
      </w:pPr>
      <w:bookmarkStart w:id="283" w:name="_ENREF_36"/>
      <w:r w:rsidRPr="00A2488A">
        <w:t>Sydney Water 2016a. "Commercial customers: Trade wastewater fees and charges for 2016–17." Sydney: Sydney Water.</w:t>
      </w:r>
      <w:bookmarkEnd w:id="283"/>
    </w:p>
    <w:p w:rsidR="00A2488A" w:rsidRPr="00A2488A" w:rsidRDefault="00A2488A" w:rsidP="00EE7096">
      <w:pPr>
        <w:pStyle w:val="References"/>
      </w:pPr>
      <w:bookmarkStart w:id="284" w:name="_ENREF_37"/>
      <w:r w:rsidRPr="00A2488A">
        <w:t>Sydney Water 2016b. "Prices for your home: 1 July 2016 to 30 June 2017 ". Sydney: Sydney Water Corporation.</w:t>
      </w:r>
      <w:bookmarkEnd w:id="284"/>
    </w:p>
    <w:p w:rsidR="00A2488A" w:rsidRPr="00A2488A" w:rsidRDefault="00A2488A" w:rsidP="00EE7096">
      <w:pPr>
        <w:pStyle w:val="References"/>
      </w:pPr>
      <w:bookmarkStart w:id="285" w:name="_ENREF_38"/>
      <w:r w:rsidRPr="00A2488A">
        <w:t>TasWater 2015. "Price and service plan 2015-18: Schedule of Fees and Charges." Hobart: TasWater.</w:t>
      </w:r>
      <w:bookmarkEnd w:id="285"/>
    </w:p>
    <w:p w:rsidR="00A2488A" w:rsidRPr="00A2488A" w:rsidRDefault="00A2488A" w:rsidP="00EE7096">
      <w:pPr>
        <w:pStyle w:val="References"/>
      </w:pPr>
      <w:bookmarkStart w:id="286" w:name="_ENREF_39"/>
      <w:r w:rsidRPr="00A2488A">
        <w:t xml:space="preserve">Train, KE 1991. </w:t>
      </w:r>
      <w:r w:rsidRPr="00A2488A">
        <w:rPr>
          <w:i/>
        </w:rPr>
        <w:t xml:space="preserve">Optimal Regulation: The Economic Theory of Natural Monopoly, </w:t>
      </w:r>
      <w:r w:rsidRPr="00A2488A">
        <w:t>London, MIT Press.</w:t>
      </w:r>
      <w:bookmarkEnd w:id="286"/>
    </w:p>
    <w:p w:rsidR="00A2488A" w:rsidRPr="00A2488A" w:rsidRDefault="00A2488A" w:rsidP="00EE7096">
      <w:pPr>
        <w:pStyle w:val="References"/>
      </w:pPr>
      <w:bookmarkStart w:id="287" w:name="_ENREF_40"/>
      <w:r w:rsidRPr="00A2488A">
        <w:t xml:space="preserve">Turvey, R 1976. "Analyzing the Marginal Cost of Water Supply." </w:t>
      </w:r>
      <w:r w:rsidRPr="00A2488A">
        <w:rPr>
          <w:i/>
        </w:rPr>
        <w:t>Land Economics</w:t>
      </w:r>
      <w:r w:rsidRPr="00A2488A">
        <w:t>. 52, 158-168.</w:t>
      </w:r>
      <w:bookmarkEnd w:id="287"/>
    </w:p>
    <w:p w:rsidR="00736E08" w:rsidRDefault="00A51443" w:rsidP="00EE7096">
      <w:pPr>
        <w:pStyle w:val="References"/>
      </w:pPr>
      <w:r w:rsidRPr="001D57A3">
        <w:fldChar w:fldCharType="end"/>
      </w:r>
      <w:r>
        <w:fldChar w:fldCharType="begin"/>
      </w:r>
      <w:r w:rsidR="000307A1">
        <w:instrText xml:space="preserve"> ADDIN </w:instrText>
      </w:r>
      <w:r>
        <w:fldChar w:fldCharType="end"/>
      </w:r>
      <w:r>
        <w:fldChar w:fldCharType="begin"/>
      </w:r>
      <w:r w:rsidR="00FF584E">
        <w:instrText xml:space="preserve"> ADDIN </w:instrText>
      </w:r>
      <w:r>
        <w:fldChar w:fldCharType="end"/>
      </w:r>
    </w:p>
    <w:sectPr w:rsidR="00736E08" w:rsidSect="00FD0141">
      <w:headerReference w:type="even" r:id="rId96"/>
      <w:headerReference w:type="default" r:id="rId97"/>
      <w:endnotePr>
        <w:numFmt w:val="decimal"/>
      </w:endnotePr>
      <w:type w:val="continuous"/>
      <w:pgSz w:w="11907" w:h="16840" w:code="9"/>
      <w:pgMar w:top="2268" w:right="2098" w:bottom="1701" w:left="2098" w:header="578" w:footer="57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4077" w:rsidRDefault="001B4077" w:rsidP="00474ECC">
      <w:pPr>
        <w:spacing w:after="0" w:line="240" w:lineRule="auto"/>
      </w:pPr>
      <w:r>
        <w:separator/>
      </w:r>
    </w:p>
    <w:p w:rsidR="001B4077" w:rsidRDefault="001B4077"/>
  </w:endnote>
  <w:endnote w:type="continuationSeparator" w:id="0">
    <w:p w:rsidR="001B4077" w:rsidRDefault="001B4077" w:rsidP="00474ECC">
      <w:pPr>
        <w:spacing w:after="0" w:line="240" w:lineRule="auto"/>
      </w:pPr>
      <w:r>
        <w:continuationSeparator/>
      </w:r>
    </w:p>
    <w:p w:rsidR="001B4077" w:rsidRDefault="001B40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onsolas">
    <w:panose1 w:val="020B0609020204030204"/>
    <w:charset w:val="00"/>
    <w:family w:val="modern"/>
    <w:pitch w:val="fixed"/>
    <w:sig w:usb0="E00002FF" w:usb1="0000FCFF" w:usb2="00000001"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889"/>
      <w:gridCol w:w="7038"/>
    </w:tblGrid>
    <w:tr w:rsidR="001B0AB1" w:rsidTr="00DE64FD">
      <w:tc>
        <w:tcPr>
          <w:tcW w:w="918" w:type="dxa"/>
          <w:vAlign w:val="center"/>
        </w:tcPr>
        <w:p w:rsidR="001B0AB1" w:rsidRDefault="001B0AB1" w:rsidP="00DE64FD">
          <w:pPr>
            <w:pStyle w:val="Footer"/>
            <w:jc w:val="center"/>
            <w:rPr>
              <w:b/>
              <w:color w:val="4F81BD" w:themeColor="accent1"/>
              <w:sz w:val="32"/>
              <w:szCs w:val="32"/>
            </w:rPr>
          </w:pPr>
          <w:r>
            <w:fldChar w:fldCharType="begin"/>
          </w:r>
          <w:r>
            <w:instrText xml:space="preserve"> PAGE   \* MERGEFORMAT </w:instrText>
          </w:r>
          <w:r>
            <w:fldChar w:fldCharType="separate"/>
          </w:r>
          <w:r w:rsidRPr="00CB1337">
            <w:rPr>
              <w:b/>
              <w:noProof/>
              <w:color w:val="4F81BD" w:themeColor="accent1"/>
              <w:sz w:val="32"/>
              <w:szCs w:val="32"/>
            </w:rPr>
            <w:t>106</w:t>
          </w:r>
          <w:r>
            <w:rPr>
              <w:b/>
              <w:noProof/>
              <w:color w:val="4F81BD" w:themeColor="accent1"/>
              <w:sz w:val="32"/>
              <w:szCs w:val="32"/>
            </w:rPr>
            <w:fldChar w:fldCharType="end"/>
          </w:r>
        </w:p>
      </w:tc>
      <w:tc>
        <w:tcPr>
          <w:tcW w:w="7938" w:type="dxa"/>
          <w:vAlign w:val="center"/>
        </w:tcPr>
        <w:p w:rsidR="001B0AB1" w:rsidRDefault="001B0AB1" w:rsidP="00DE64FD">
          <w:pPr>
            <w:pStyle w:val="Footer"/>
            <w:ind w:left="-1134"/>
            <w:jc w:val="right"/>
          </w:pPr>
          <w:r>
            <w:rPr>
              <w:noProof/>
              <w:lang w:val="en-AU" w:eastAsia="en-AU"/>
            </w:rPr>
            <mc:AlternateContent>
              <mc:Choice Requires="wps">
                <w:drawing>
                  <wp:anchor distT="0" distB="0" distL="114300" distR="114300" simplePos="0" relativeHeight="251707392" behindDoc="0" locked="0" layoutInCell="1" allowOverlap="1" wp14:anchorId="4DDFF41B" wp14:editId="23A4903E">
                    <wp:simplePos x="0" y="0"/>
                    <wp:positionH relativeFrom="column">
                      <wp:posOffset>-43180</wp:posOffset>
                    </wp:positionH>
                    <wp:positionV relativeFrom="paragraph">
                      <wp:posOffset>40005</wp:posOffset>
                    </wp:positionV>
                    <wp:extent cx="2567940" cy="278130"/>
                    <wp:effectExtent l="0" t="0" r="3810" b="7620"/>
                    <wp:wrapNone/>
                    <wp:docPr id="49"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94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0AB1" w:rsidRDefault="001B0AB1" w:rsidP="00723FE5">
                                <w:pPr>
                                  <w:pStyle w:val="Footer"/>
                                  <w:ind w:left="-1134"/>
                                  <w:jc w:val="both"/>
                                </w:pPr>
                                <w:r>
                                  <w:fldChar w:fldCharType="begin"/>
                                </w:r>
                                <w:r>
                                  <w:instrText xml:space="preserve"> PAGE </w:instrText>
                                </w:r>
                                <w:r>
                                  <w:fldChar w:fldCharType="separate"/>
                                </w:r>
                                <w:r>
                                  <w:rPr>
                                    <w:noProof/>
                                  </w:rPr>
                                  <w:t>106</w:t>
                                </w:r>
                                <w:r>
                                  <w:rPr>
                                    <w:noProof/>
                                  </w:rPr>
                                  <w:fldChar w:fldCharType="end"/>
                                </w:r>
                                <w:r>
                                  <w:t xml:space="preserve"> —&lt;Insert   </w:t>
                                </w:r>
                                <w:sdt>
                                  <w:sdtPr>
                                    <w:alias w:val="Title"/>
                                    <w:id w:val="227770461"/>
                                    <w:dataBinding w:prefixMappings="xmlns:ns0='http://purl.org/dc/elements/1.1/' xmlns:ns1='http://schemas.openxmlformats.org/package/2006/metadata/core-properties' " w:xpath="/ns1:coreProperties[1]/ns0:title[1]" w:storeItemID="{6C3C8BC8-F283-45AE-878A-BAB7291924A1}"/>
                                    <w:text/>
                                  </w:sdtPr>
                                  <w:sdtEndPr/>
                                  <w:sdtContent>
                                    <w:r>
                                      <w:rPr>
                                        <w:lang w:val="en-AU"/>
                                      </w:rPr>
                                      <w:t>Regulated water and sewerage services</w:t>
                                    </w:r>
                                  </w:sdtContent>
                                </w:sdt>
                              </w:p>
                              <w:p w:rsidR="001B0AB1" w:rsidRDefault="001B0AB1" w:rsidP="00723FE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3CCF3A7" id="_x0000_t202" coordsize="21600,21600" o:spt="202" path="m,l,21600r21600,l21600,xe">
                    <v:stroke joinstyle="miter"/>
                    <v:path gradientshapeok="t" o:connecttype="rect"/>
                  </v:shapetype>
                  <v:shape id="Text Box 97" o:spid="_x0000_s1027" type="#_x0000_t202" style="position:absolute;left:0;text-align:left;margin-left:-3.4pt;margin-top:3.15pt;width:202.2pt;height:21.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eHRgwIAABE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" stroked="f">
                    <v:textbox>
                      <w:txbxContent>
                        <w:p w:rsidR="001B0AB1" w:rsidRDefault="001B0AB1" w:rsidP="00723FE5">
                          <w:pPr>
                            <w:pStyle w:val="Footer"/>
                            <w:ind w:left="-1134"/>
                            <w:jc w:val="both"/>
                          </w:pPr>
                          <w:r>
                            <w:fldChar w:fldCharType="begin"/>
                          </w:r>
                          <w:r>
                            <w:instrText xml:space="preserve"> PAGE </w:instrText>
                          </w:r>
                          <w:r>
                            <w:fldChar w:fldCharType="separate"/>
                          </w:r>
                          <w:r>
                            <w:rPr>
                              <w:noProof/>
                            </w:rPr>
                            <w:t>106</w:t>
                          </w:r>
                          <w:r>
                            <w:rPr>
                              <w:noProof/>
                            </w:rPr>
                            <w:fldChar w:fldCharType="end"/>
                          </w:r>
                          <w:r>
                            <w:t xml:space="preserve"> —&lt;Insert   </w:t>
                          </w:r>
                          <w:sdt>
                            <w:sdtPr>
                              <w:alias w:val="Title"/>
                              <w:id w:val="227770461"/>
                              <w:dataBinding w:prefixMappings="xmlns:ns0='http://purl.org/dc/elements/1.1/' xmlns:ns1='http://schemas.openxmlformats.org/package/2006/metadata/core-properties' " w:xpath="/ns1:coreProperties[1]/ns0:title[1]" w:storeItemID="{6C3C8BC8-F283-45AE-878A-BAB7291924A1}"/>
                              <w:text/>
                            </w:sdtPr>
                            <w:sdtEndPr/>
                            <w:sdtContent>
                              <w:r>
                                <w:rPr>
                                  <w:lang w:val="en-AU"/>
                                </w:rPr>
                                <w:t>Regulated water and sewerage services</w:t>
                              </w:r>
                            </w:sdtContent>
                          </w:sdt>
                        </w:p>
                        <w:p w:rsidR="001B0AB1" w:rsidRDefault="001B0AB1" w:rsidP="00723FE5"/>
                      </w:txbxContent>
                    </v:textbox>
                  </v:shape>
                </w:pict>
              </mc:Fallback>
            </mc:AlternateContent>
          </w:r>
          <w:r w:rsidRPr="00DE64FD">
            <w:rPr>
              <w:noProof/>
              <w:lang w:val="en-AU" w:eastAsia="en-AU"/>
            </w:rPr>
            <w:drawing>
              <wp:inline distT="0" distB="0" distL="0" distR="0" wp14:anchorId="7B3E6B98" wp14:editId="24B29497">
                <wp:extent cx="1159470" cy="381693"/>
                <wp:effectExtent l="19050" t="0" r="2580" b="0"/>
                <wp:docPr id="22" name="Picture 7" descr="ICRC logo New 2011.jpg"/>
                <wp:cNvGraphicFramePr/>
                <a:graphic xmlns:a="http://schemas.openxmlformats.org/drawingml/2006/main">
                  <a:graphicData uri="http://schemas.openxmlformats.org/drawingml/2006/picture">
                    <pic:pic xmlns:pic="http://schemas.openxmlformats.org/drawingml/2006/picture">
                      <pic:nvPicPr>
                        <pic:cNvPr id="0" name="Picture 0" descr="ICRC logo New 2011.jpg"/>
                        <pic:cNvPicPr>
                          <a:picLocks noChangeAspect="1" noChangeArrowheads="1"/>
                        </pic:cNvPicPr>
                      </pic:nvPicPr>
                      <pic:blipFill>
                        <a:blip r:embed="rId1">
                          <a:duotone>
                            <a:schemeClr val="accent1">
                              <a:shade val="45000"/>
                              <a:satMod val="135000"/>
                            </a:schemeClr>
                            <a:prstClr val="white"/>
                          </a:duotone>
                        </a:blip>
                        <a:srcRect/>
                        <a:stretch>
                          <a:fillRect/>
                        </a:stretch>
                      </pic:blipFill>
                      <pic:spPr bwMode="auto">
                        <a:xfrm>
                          <a:off x="0" y="0"/>
                          <a:ext cx="1157656" cy="381096"/>
                        </a:xfrm>
                        <a:prstGeom prst="rect">
                          <a:avLst/>
                        </a:prstGeom>
                        <a:noFill/>
                        <a:ln w="9525">
                          <a:noFill/>
                          <a:miter lim="800000"/>
                          <a:headEnd/>
                          <a:tailEnd/>
                        </a:ln>
                      </pic:spPr>
                    </pic:pic>
                  </a:graphicData>
                </a:graphic>
              </wp:inline>
            </w:drawing>
          </w:r>
        </w:p>
      </w:tc>
    </w:tr>
  </w:tbl>
  <w:p w:rsidR="001B0AB1" w:rsidRDefault="001B0AB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AB1" w:rsidRDefault="001B0AB1" w:rsidP="00EF6AF3">
    <w:pPr>
      <w:pStyle w:val="Footer"/>
    </w:pPr>
    <w:r>
      <w:t xml:space="preserve">ICRC </w:t>
    </w:r>
    <w:r>
      <w:tab/>
      <w:t xml:space="preserve">Draft Report — Enlarged Cotter Dam Water Security Project — </w:t>
    </w:r>
    <w:r>
      <w:fldChar w:fldCharType="begin"/>
    </w:r>
    <w:r>
      <w:instrText xml:space="preserve"> PAGE </w:instrText>
    </w:r>
    <w:r>
      <w:fldChar w:fldCharType="separate"/>
    </w:r>
    <w:r>
      <w:rPr>
        <w:noProof/>
      </w:rPr>
      <w:t>i</w:t>
    </w:r>
    <w:r>
      <w:rPr>
        <w:noProof/>
      </w:rPr>
      <w:fldChar w:fldCharType="end"/>
    </w:r>
  </w:p>
  <w:p w:rsidR="001B0AB1" w:rsidRDefault="001B0AB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AB1" w:rsidRDefault="001B0AB1">
    <w:pPr>
      <w:pStyle w:val="Footer"/>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Style1"/>
      <w:tblW w:w="7905" w:type="dxa"/>
      <w:tblBorders>
        <w:top w:val="none" w:sz="0" w:space="0" w:color="auto"/>
        <w:bottom w:val="none" w:sz="0" w:space="0" w:color="auto"/>
      </w:tblBorders>
      <w:tblLook w:val="04A0" w:firstRow="1" w:lastRow="0" w:firstColumn="1" w:lastColumn="0" w:noHBand="0" w:noVBand="1"/>
    </w:tblPr>
    <w:tblGrid>
      <w:gridCol w:w="2943"/>
      <w:gridCol w:w="4962"/>
    </w:tblGrid>
    <w:tr w:rsidR="001B0AB1" w:rsidRPr="00280AFD" w:rsidTr="00FD5811">
      <w:trPr>
        <w:trHeight w:hRule="exact" w:val="655"/>
      </w:trPr>
      <w:tc>
        <w:tcPr>
          <w:tcW w:w="2943" w:type="dxa"/>
          <w:vAlign w:val="center"/>
        </w:tcPr>
        <w:p w:rsidR="001B0AB1" w:rsidRPr="00280AFD" w:rsidRDefault="001B0AB1" w:rsidP="00B01B32">
          <w:pPr>
            <w:pStyle w:val="Footer"/>
            <w:tabs>
              <w:tab w:val="clear" w:pos="8732"/>
            </w:tabs>
          </w:pPr>
          <w:r>
            <w:rPr>
              <w:noProof/>
              <w:color w:val="auto"/>
              <w:lang w:val="en-AU" w:eastAsia="en-AU"/>
            </w:rPr>
            <mc:AlternateContent>
              <mc:Choice Requires="wps">
                <w:drawing>
                  <wp:anchor distT="0" distB="0" distL="114300" distR="114300" simplePos="0" relativeHeight="251782144" behindDoc="0" locked="0" layoutInCell="1" allowOverlap="1" wp14:anchorId="71FB2DC2" wp14:editId="4C176190">
                    <wp:simplePos x="0" y="0"/>
                    <wp:positionH relativeFrom="column">
                      <wp:posOffset>-75565</wp:posOffset>
                    </wp:positionH>
                    <wp:positionV relativeFrom="paragraph">
                      <wp:posOffset>-108585</wp:posOffset>
                    </wp:positionV>
                    <wp:extent cx="5039995" cy="14605"/>
                    <wp:effectExtent l="0" t="0" r="8255" b="4445"/>
                    <wp:wrapNone/>
                    <wp:docPr id="48"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9995" cy="14605"/>
                            </a:xfrm>
                            <a:prstGeom prst="rect">
                              <a:avLst/>
                            </a:prstGeom>
                            <a:gradFill rotWithShape="1">
                              <a:gsLst>
                                <a:gs pos="0">
                                  <a:srgbClr val="FFA12D"/>
                                </a:gs>
                                <a:gs pos="100000">
                                  <a:srgbClr val="FFA12D">
                                    <a:gamma/>
                                    <a:tint val="10588"/>
                                    <a:invGamma/>
                                  </a:srgb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rect w14:anchorId="62188666" id="Rectangle 152" o:spid="_x0000_s1026" style="position:absolute;margin-left:-5.95pt;margin-top:-8.55pt;width:396.85pt;height:1.1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" fillcolor="#ffa12d" stroked="f">
                    <v:fill color2="#fff5e9" rotate="t" angle="90" focus="100%" type="gradient"/>
                  </v:rect>
                </w:pict>
              </mc:Fallback>
            </mc:AlternateContent>
          </w:r>
          <w:r w:rsidRPr="00280AFD">
            <w:rPr>
              <w:color w:val="000033"/>
            </w:rPr>
            <w:fldChar w:fldCharType="begin"/>
          </w:r>
          <w:r w:rsidRPr="00280AFD">
            <w:rPr>
              <w:color w:val="000033"/>
            </w:rPr>
            <w:instrText xml:space="preserve"> PAGE   \* MERGEFORMAT </w:instrText>
          </w:r>
          <w:r w:rsidRPr="00280AFD">
            <w:rPr>
              <w:color w:val="000033"/>
            </w:rPr>
            <w:fldChar w:fldCharType="separate"/>
          </w:r>
          <w:r w:rsidR="007B3D81" w:rsidRPr="007B3D81">
            <w:rPr>
              <w:b/>
              <w:noProof/>
              <w:color w:val="000033"/>
              <w:sz w:val="32"/>
              <w:szCs w:val="32"/>
            </w:rPr>
            <w:t>54</w:t>
          </w:r>
          <w:r w:rsidRPr="00280AFD">
            <w:rPr>
              <w:b/>
              <w:noProof/>
              <w:color w:val="000033"/>
              <w:sz w:val="32"/>
              <w:szCs w:val="32"/>
            </w:rPr>
            <w:fldChar w:fldCharType="end"/>
          </w:r>
        </w:p>
      </w:tc>
      <w:tc>
        <w:tcPr>
          <w:tcW w:w="4962" w:type="dxa"/>
          <w:vAlign w:val="center"/>
        </w:tcPr>
        <w:p w:rsidR="001B0AB1" w:rsidRDefault="001B0AB1" w:rsidP="00280AFD">
          <w:pPr>
            <w:pStyle w:val="Footer"/>
            <w:tabs>
              <w:tab w:val="clear" w:pos="8732"/>
            </w:tabs>
            <w:jc w:val="right"/>
          </w:pPr>
          <w:r>
            <w:t>Draft report</w:t>
          </w:r>
        </w:p>
        <w:p w:rsidR="001B0AB1" w:rsidRPr="00280AFD" w:rsidRDefault="001B0AB1" w:rsidP="00E9444F">
          <w:pPr>
            <w:pStyle w:val="Footer"/>
            <w:tabs>
              <w:tab w:val="clear" w:pos="8732"/>
            </w:tabs>
            <w:jc w:val="right"/>
            <w:rPr>
              <w:color w:val="000033"/>
            </w:rPr>
          </w:pPr>
          <w:r>
            <w:t>Tariff Review 2016</w:t>
          </w:r>
        </w:p>
      </w:tc>
    </w:tr>
  </w:tbl>
  <w:p w:rsidR="001B0AB1" w:rsidRPr="00D5242B" w:rsidRDefault="001B0AB1" w:rsidP="00280AFD">
    <w:pPr>
      <w:pStyle w:val="Footer"/>
    </w:pPr>
    <w:r>
      <w:rPr>
        <w:noProof/>
        <w:lang w:val="en-AU" w:eastAsia="en-AU"/>
      </w:rPr>
      <w:drawing>
        <wp:anchor distT="0" distB="0" distL="114300" distR="114300" simplePos="0" relativeHeight="251661312" behindDoc="0" locked="1" layoutInCell="1" allowOverlap="1" wp14:anchorId="3806B558" wp14:editId="7467B740">
          <wp:simplePos x="0" y="0"/>
          <wp:positionH relativeFrom="column">
            <wp:posOffset>458470</wp:posOffset>
          </wp:positionH>
          <wp:positionV relativeFrom="paragraph">
            <wp:posOffset>-344170</wp:posOffset>
          </wp:positionV>
          <wp:extent cx="1123950" cy="266700"/>
          <wp:effectExtent l="19050" t="0" r="0" b="0"/>
          <wp:wrapNone/>
          <wp:docPr id="13" name="Picture 1" descr="ICRC logo New Blue (modified J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RC logo New Blue (modified JG).jpg"/>
                  <pic:cNvPicPr/>
                </pic:nvPicPr>
                <pic:blipFill>
                  <a:blip r:embed="rId1"/>
                  <a:stretch>
                    <a:fillRect/>
                  </a:stretch>
                </pic:blipFill>
                <pic:spPr>
                  <a:xfrm>
                    <a:off x="0" y="0"/>
                    <a:ext cx="1123950" cy="266700"/>
                  </a:xfrm>
                  <a:prstGeom prst="rect">
                    <a:avLst/>
                  </a:prstGeom>
                </pic:spPr>
              </pic:pic>
            </a:graphicData>
          </a:graphic>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Style1"/>
      <w:tblW w:w="7905" w:type="dxa"/>
      <w:tblBorders>
        <w:top w:val="none" w:sz="0" w:space="0" w:color="auto"/>
        <w:bottom w:val="none" w:sz="0" w:space="0" w:color="auto"/>
      </w:tblBorders>
      <w:tblLook w:val="04A0" w:firstRow="1" w:lastRow="0" w:firstColumn="1" w:lastColumn="0" w:noHBand="0" w:noVBand="1"/>
    </w:tblPr>
    <w:tblGrid>
      <w:gridCol w:w="5070"/>
      <w:gridCol w:w="2835"/>
    </w:tblGrid>
    <w:tr w:rsidR="001B0AB1" w:rsidRPr="00280AFD" w:rsidTr="00594C5C">
      <w:trPr>
        <w:trHeight w:hRule="exact" w:val="641"/>
      </w:trPr>
      <w:tc>
        <w:tcPr>
          <w:tcW w:w="5070" w:type="dxa"/>
          <w:vAlign w:val="center"/>
        </w:tcPr>
        <w:p w:rsidR="001B0AB1" w:rsidRDefault="001B0AB1" w:rsidP="00280AFD">
          <w:pPr>
            <w:pStyle w:val="Footer"/>
            <w:tabs>
              <w:tab w:val="clear" w:pos="8732"/>
            </w:tabs>
          </w:pPr>
          <w:r>
            <w:rPr>
              <w:noProof/>
              <w:color w:val="auto"/>
              <w:lang w:val="en-AU" w:eastAsia="en-AU"/>
            </w:rPr>
            <mc:AlternateContent>
              <mc:Choice Requires="wps">
                <w:drawing>
                  <wp:anchor distT="0" distB="0" distL="114300" distR="114300" simplePos="0" relativeHeight="251780096" behindDoc="0" locked="0" layoutInCell="1" allowOverlap="1" wp14:anchorId="49EDFAA0" wp14:editId="49B4A703">
                    <wp:simplePos x="0" y="0"/>
                    <wp:positionH relativeFrom="column">
                      <wp:posOffset>-80010</wp:posOffset>
                    </wp:positionH>
                    <wp:positionV relativeFrom="paragraph">
                      <wp:posOffset>-81915</wp:posOffset>
                    </wp:positionV>
                    <wp:extent cx="5039995" cy="14605"/>
                    <wp:effectExtent l="0" t="0" r="8255" b="4445"/>
                    <wp:wrapNone/>
                    <wp:docPr id="2"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9995" cy="14605"/>
                            </a:xfrm>
                            <a:prstGeom prst="rect">
                              <a:avLst/>
                            </a:prstGeom>
                            <a:gradFill rotWithShape="1">
                              <a:gsLst>
                                <a:gs pos="0">
                                  <a:srgbClr val="FFA12D">
                                    <a:gamma/>
                                    <a:tint val="10588"/>
                                    <a:invGamma/>
                                  </a:srgbClr>
                                </a:gs>
                                <a:gs pos="100000">
                                  <a:srgbClr val="FFA12D"/>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rect w14:anchorId="31360F32" id="Rectangle 151" o:spid="_x0000_s1026" style="position:absolute;margin-left:-6.3pt;margin-top:-6.45pt;width:396.85pt;height:1.1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" fillcolor="#fff5e9" stroked="f">
                    <v:fill color2="#ffa12d" rotate="t" angle="90" focus="100%" type="gradient"/>
                  </v:rect>
                </w:pict>
              </mc:Fallback>
            </mc:AlternateContent>
          </w:r>
          <w:r>
            <w:t>Technical paper 2: Marginal cost pricing</w:t>
          </w:r>
        </w:p>
        <w:p w:rsidR="001B0AB1" w:rsidRPr="00280AFD" w:rsidRDefault="001B0AB1" w:rsidP="00E9444F">
          <w:pPr>
            <w:pStyle w:val="Footer"/>
            <w:tabs>
              <w:tab w:val="clear" w:pos="8732"/>
            </w:tabs>
          </w:pPr>
          <w:r>
            <w:t>Tariff Review 2016</w:t>
          </w:r>
        </w:p>
      </w:tc>
      <w:tc>
        <w:tcPr>
          <w:tcW w:w="2835" w:type="dxa"/>
          <w:vAlign w:val="center"/>
        </w:tcPr>
        <w:p w:rsidR="001B0AB1" w:rsidRPr="001E3780" w:rsidRDefault="001B0AB1" w:rsidP="00280AFD">
          <w:pPr>
            <w:pStyle w:val="Footer"/>
            <w:tabs>
              <w:tab w:val="clear" w:pos="8732"/>
            </w:tabs>
            <w:jc w:val="right"/>
            <w:rPr>
              <w:color w:val="000033"/>
              <w:sz w:val="32"/>
              <w:szCs w:val="32"/>
            </w:rPr>
          </w:pPr>
          <w:r w:rsidRPr="001E3780">
            <w:rPr>
              <w:color w:val="000033"/>
              <w:sz w:val="32"/>
              <w:szCs w:val="32"/>
            </w:rPr>
            <w:fldChar w:fldCharType="begin"/>
          </w:r>
          <w:r w:rsidRPr="001E3780">
            <w:rPr>
              <w:color w:val="000033"/>
              <w:sz w:val="32"/>
              <w:szCs w:val="32"/>
            </w:rPr>
            <w:instrText xml:space="preserve"> PAGE   \* MERGEFORMAT </w:instrText>
          </w:r>
          <w:r w:rsidRPr="001E3780">
            <w:rPr>
              <w:color w:val="000033"/>
              <w:sz w:val="32"/>
              <w:szCs w:val="32"/>
            </w:rPr>
            <w:fldChar w:fldCharType="separate"/>
          </w:r>
          <w:r w:rsidR="005E113A" w:rsidRPr="005E113A">
            <w:rPr>
              <w:rFonts w:eastAsia="Cambria"/>
              <w:b/>
              <w:bCs/>
              <w:noProof/>
              <w:color w:val="000033"/>
              <w:sz w:val="32"/>
              <w:szCs w:val="32"/>
              <w:lang w:val="en-US"/>
            </w:rPr>
            <w:t>i</w:t>
          </w:r>
          <w:r w:rsidRPr="001E3780">
            <w:rPr>
              <w:b/>
              <w:noProof/>
              <w:color w:val="000033"/>
              <w:sz w:val="32"/>
              <w:szCs w:val="32"/>
            </w:rPr>
            <w:fldChar w:fldCharType="end"/>
          </w:r>
        </w:p>
      </w:tc>
    </w:tr>
  </w:tbl>
  <w:p w:rsidR="001B0AB1" w:rsidRPr="00E42160" w:rsidRDefault="001B0AB1" w:rsidP="00280AFD">
    <w:pPr>
      <w:pStyle w:val="Footer"/>
    </w:pPr>
    <w:r>
      <w:rPr>
        <w:noProof/>
        <w:lang w:val="en-AU" w:eastAsia="en-AU"/>
      </w:rPr>
      <w:drawing>
        <wp:anchor distT="0" distB="0" distL="114300" distR="114300" simplePos="0" relativeHeight="251659264" behindDoc="0" locked="1" layoutInCell="1" allowOverlap="1" wp14:anchorId="32780498" wp14:editId="41550147">
          <wp:simplePos x="0" y="0"/>
          <wp:positionH relativeFrom="column">
            <wp:posOffset>3296920</wp:posOffset>
          </wp:positionH>
          <wp:positionV relativeFrom="paragraph">
            <wp:posOffset>-344170</wp:posOffset>
          </wp:positionV>
          <wp:extent cx="1123950" cy="266700"/>
          <wp:effectExtent l="19050" t="0" r="0" b="0"/>
          <wp:wrapNone/>
          <wp:docPr id="14" name="Picture 1" descr="ICRC logo New Blue (modified J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RC logo New Blue (modified JG).jpg"/>
                  <pic:cNvPicPr/>
                </pic:nvPicPr>
                <pic:blipFill>
                  <a:blip r:embed="rId1"/>
                  <a:stretch>
                    <a:fillRect/>
                  </a:stretch>
                </pic:blipFill>
                <pic:spPr>
                  <a:xfrm>
                    <a:off x="0" y="0"/>
                    <a:ext cx="1123950" cy="266700"/>
                  </a:xfrm>
                  <a:prstGeom prst="rect">
                    <a:avLst/>
                  </a:prstGeom>
                </pic:spPr>
              </pic:pic>
            </a:graphicData>
          </a:graphic>
        </wp:anchor>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Style1"/>
      <w:tblW w:w="7905" w:type="dxa"/>
      <w:tblBorders>
        <w:top w:val="none" w:sz="0" w:space="0" w:color="auto"/>
        <w:bottom w:val="none" w:sz="0" w:space="0" w:color="auto"/>
      </w:tblBorders>
      <w:tblLook w:val="04A0" w:firstRow="1" w:lastRow="0" w:firstColumn="1" w:lastColumn="0" w:noHBand="0" w:noVBand="1"/>
    </w:tblPr>
    <w:tblGrid>
      <w:gridCol w:w="5070"/>
      <w:gridCol w:w="2835"/>
    </w:tblGrid>
    <w:tr w:rsidR="001B0AB1" w:rsidRPr="00280AFD" w:rsidTr="00594C5C">
      <w:trPr>
        <w:trHeight w:hRule="exact" w:val="641"/>
      </w:trPr>
      <w:tc>
        <w:tcPr>
          <w:tcW w:w="5070" w:type="dxa"/>
          <w:vAlign w:val="center"/>
        </w:tcPr>
        <w:p w:rsidR="001B0AB1" w:rsidRDefault="001B0AB1" w:rsidP="00280AFD">
          <w:pPr>
            <w:pStyle w:val="Footer"/>
            <w:tabs>
              <w:tab w:val="clear" w:pos="8732"/>
            </w:tabs>
          </w:pPr>
          <w:r>
            <w:rPr>
              <w:noProof/>
              <w:lang w:val="en-AU" w:eastAsia="en-AU"/>
            </w:rPr>
            <mc:AlternateContent>
              <mc:Choice Requires="wps">
                <w:drawing>
                  <wp:anchor distT="0" distB="0" distL="114300" distR="114300" simplePos="0" relativeHeight="251773952" behindDoc="0" locked="0" layoutInCell="1" allowOverlap="1" wp14:anchorId="3DF4A770" wp14:editId="6DC84F66">
                    <wp:simplePos x="0" y="0"/>
                    <wp:positionH relativeFrom="column">
                      <wp:posOffset>-80010</wp:posOffset>
                    </wp:positionH>
                    <wp:positionV relativeFrom="paragraph">
                      <wp:posOffset>-81915</wp:posOffset>
                    </wp:positionV>
                    <wp:extent cx="5039995" cy="14605"/>
                    <wp:effectExtent l="0" t="0" r="8255" b="4445"/>
                    <wp:wrapNone/>
                    <wp:docPr id="47"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9995" cy="14605"/>
                            </a:xfrm>
                            <a:prstGeom prst="rect">
                              <a:avLst/>
                            </a:prstGeom>
                            <a:gradFill rotWithShape="1">
                              <a:gsLst>
                                <a:gs pos="0">
                                  <a:srgbClr val="FFA12D">
                                    <a:gamma/>
                                    <a:tint val="10588"/>
                                    <a:invGamma/>
                                  </a:srgbClr>
                                </a:gs>
                                <a:gs pos="100000">
                                  <a:srgbClr val="FFA12D"/>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6se="http://schemas.microsoft.com/office/word/2015/wordml/symex">
                <w:pict>
                  <v:rect w14:anchorId="60B8A5FC" id="Rectangle 151" o:spid="_x0000_s1026" style="position:absolute;margin-left:-6.3pt;margin-top:-6.45pt;width:396.85pt;height:1.1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" fillcolor="#fff5e9" stroked="f">
                    <v:fill color2="#ffa12d" rotate="t" angle="90" focus="100%" type="gradient"/>
                  </v:rect>
                </w:pict>
              </mc:Fallback>
            </mc:AlternateContent>
          </w:r>
          <w:r>
            <w:t>Draft report</w:t>
          </w:r>
        </w:p>
        <w:p w:rsidR="001B0AB1" w:rsidRPr="00280AFD" w:rsidRDefault="001B0AB1" w:rsidP="005172A0">
          <w:pPr>
            <w:pStyle w:val="Footer"/>
            <w:tabs>
              <w:tab w:val="clear" w:pos="8732"/>
            </w:tabs>
          </w:pPr>
          <w:r>
            <w:t>Tariff Review 201</w:t>
          </w:r>
          <w:r w:rsidRPr="00D535AD">
            <w:t>6</w:t>
          </w:r>
        </w:p>
      </w:tc>
      <w:tc>
        <w:tcPr>
          <w:tcW w:w="2835" w:type="dxa"/>
          <w:vAlign w:val="center"/>
        </w:tcPr>
        <w:p w:rsidR="001B0AB1" w:rsidRPr="001E3780" w:rsidRDefault="001B0AB1" w:rsidP="00280AFD">
          <w:pPr>
            <w:pStyle w:val="Footer"/>
            <w:tabs>
              <w:tab w:val="clear" w:pos="8732"/>
            </w:tabs>
            <w:jc w:val="right"/>
            <w:rPr>
              <w:color w:val="000033"/>
              <w:sz w:val="32"/>
              <w:szCs w:val="32"/>
            </w:rPr>
          </w:pPr>
          <w:r w:rsidRPr="001E3780">
            <w:rPr>
              <w:color w:val="000033"/>
              <w:sz w:val="32"/>
              <w:szCs w:val="32"/>
            </w:rPr>
            <w:fldChar w:fldCharType="begin"/>
          </w:r>
          <w:r w:rsidRPr="001E3780">
            <w:rPr>
              <w:color w:val="000033"/>
              <w:sz w:val="32"/>
              <w:szCs w:val="32"/>
            </w:rPr>
            <w:instrText xml:space="preserve"> PAGE   \* MERGEFORMAT </w:instrText>
          </w:r>
          <w:r w:rsidRPr="001E3780">
            <w:rPr>
              <w:color w:val="000033"/>
              <w:sz w:val="32"/>
              <w:szCs w:val="32"/>
            </w:rPr>
            <w:fldChar w:fldCharType="separate"/>
          </w:r>
          <w:r w:rsidR="007B3D81" w:rsidRPr="007B3D81">
            <w:rPr>
              <w:rFonts w:eastAsia="Cambria"/>
              <w:b/>
              <w:bCs/>
              <w:noProof/>
              <w:color w:val="000033"/>
              <w:sz w:val="32"/>
              <w:szCs w:val="32"/>
              <w:lang w:val="en-US"/>
            </w:rPr>
            <w:t>55</w:t>
          </w:r>
          <w:r w:rsidRPr="001E3780">
            <w:rPr>
              <w:b/>
              <w:noProof/>
              <w:color w:val="000033"/>
              <w:sz w:val="32"/>
              <w:szCs w:val="32"/>
            </w:rPr>
            <w:fldChar w:fldCharType="end"/>
          </w:r>
        </w:p>
      </w:tc>
    </w:tr>
  </w:tbl>
  <w:p w:rsidR="001B0AB1" w:rsidRPr="00E42160" w:rsidRDefault="001B0AB1" w:rsidP="00280AFD">
    <w:pPr>
      <w:pStyle w:val="Footer"/>
    </w:pPr>
    <w:r>
      <w:rPr>
        <w:noProof/>
        <w:lang w:val="en-AU" w:eastAsia="en-AU"/>
      </w:rPr>
      <w:drawing>
        <wp:anchor distT="0" distB="0" distL="114300" distR="114300" simplePos="0" relativeHeight="251655168" behindDoc="0" locked="1" layoutInCell="1" allowOverlap="1" wp14:anchorId="389AE27C" wp14:editId="28EF6E37">
          <wp:simplePos x="0" y="0"/>
          <wp:positionH relativeFrom="column">
            <wp:posOffset>3296920</wp:posOffset>
          </wp:positionH>
          <wp:positionV relativeFrom="paragraph">
            <wp:posOffset>-344170</wp:posOffset>
          </wp:positionV>
          <wp:extent cx="1123950" cy="266700"/>
          <wp:effectExtent l="19050" t="0" r="0" b="0"/>
          <wp:wrapNone/>
          <wp:docPr id="1" name="Picture 1" descr="ICRC logo New Blue (modified J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RC logo New Blue (modified JG).jpg"/>
                  <pic:cNvPicPr/>
                </pic:nvPicPr>
                <pic:blipFill>
                  <a:blip r:embed="rId1"/>
                  <a:stretch>
                    <a:fillRect/>
                  </a:stretch>
                </pic:blipFill>
                <pic:spPr>
                  <a:xfrm>
                    <a:off x="0" y="0"/>
                    <a:ext cx="1123950" cy="26670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4077" w:rsidRDefault="001B4077" w:rsidP="006522B3">
      <w:pPr>
        <w:spacing w:after="0" w:line="240" w:lineRule="auto"/>
      </w:pPr>
      <w:r>
        <w:separator/>
      </w:r>
    </w:p>
  </w:footnote>
  <w:footnote w:type="continuationSeparator" w:id="0">
    <w:p w:rsidR="001B4077" w:rsidRDefault="001B4077" w:rsidP="006522B3">
      <w:pPr>
        <w:spacing w:after="0" w:line="240" w:lineRule="auto"/>
      </w:pPr>
      <w:r>
        <w:continuationSeparator/>
      </w:r>
    </w:p>
  </w:footnote>
  <w:footnote w:type="continuationNotice" w:id="1">
    <w:p w:rsidR="001B4077" w:rsidRDefault="001B4077">
      <w:pPr>
        <w:spacing w:after="0" w:line="240" w:lineRule="auto"/>
      </w:pPr>
    </w:p>
  </w:footnote>
  <w:footnote w:id="2">
    <w:p w:rsidR="001B0AB1" w:rsidRDefault="001B0AB1">
      <w:pPr>
        <w:pStyle w:val="FootnoteText"/>
      </w:pPr>
      <w:r>
        <w:rPr>
          <w:rStyle w:val="FootnoteReference"/>
        </w:rPr>
        <w:footnoteRef/>
      </w:r>
      <w:r>
        <w:t xml:space="preserve"> </w:t>
      </w:r>
      <w:hyperlink r:id="rId1" w:history="1">
        <w:r w:rsidRPr="008A5B7D">
          <w:rPr>
            <w:rStyle w:val="Hyperlink"/>
            <w:sz w:val="18"/>
          </w:rPr>
          <w:t>https://www.iconwater.com.au/Water-and-Sewerage-System/Dams/Cotter-Dam.aspx</w:t>
        </w:r>
      </w:hyperlink>
      <w:r>
        <w:t xml:space="preserve">. </w:t>
      </w:r>
    </w:p>
  </w:footnote>
  <w:footnote w:id="3">
    <w:p w:rsidR="001B0AB1" w:rsidRDefault="001B0AB1">
      <w:pPr>
        <w:pStyle w:val="FootnoteText"/>
      </w:pPr>
      <w:r>
        <w:rPr>
          <w:rStyle w:val="FootnoteReference"/>
        </w:rPr>
        <w:footnoteRef/>
      </w:r>
      <w:r>
        <w:t xml:space="preserve"> Per capita volumes are obtained by dividing total dam releases by the sum of the ACT and Queanbeyan population.</w:t>
      </w:r>
    </w:p>
  </w:footnote>
  <w:footnote w:id="4">
    <w:p w:rsidR="006A4B71" w:rsidRDefault="006A4B71" w:rsidP="006A4B71">
      <w:pPr>
        <w:pStyle w:val="FootnoteText"/>
      </w:pPr>
      <w:r>
        <w:rPr>
          <w:rStyle w:val="FootnoteReference"/>
        </w:rPr>
        <w:footnoteRef/>
      </w:r>
      <w:r>
        <w:t xml:space="preserve"> The minor demand growth scenario </w:t>
      </w:r>
      <w:r w:rsidR="00DC62B5">
        <w:t>is based on the Australian Bureau of Statistics (ABS)</w:t>
      </w:r>
      <w:r>
        <w:t xml:space="preserve"> medium series population growth with only 50 per cent of the incremental population contributing to aggregate demand growth. </w:t>
      </w:r>
    </w:p>
  </w:footnote>
  <w:footnote w:id="5">
    <w:p w:rsidR="006A4B71" w:rsidRDefault="006A4B71" w:rsidP="006A4B71">
      <w:pPr>
        <w:pStyle w:val="FootnoteText"/>
      </w:pPr>
      <w:r>
        <w:rPr>
          <w:rStyle w:val="FootnoteReference"/>
        </w:rPr>
        <w:footnoteRef/>
      </w:r>
      <w:r>
        <w:t xml:space="preserve"> The medium demand growth scenario </w:t>
      </w:r>
      <w:r w:rsidR="00DC62B5">
        <w:t xml:space="preserve">is based on the ABS </w:t>
      </w:r>
      <w:r>
        <w:t xml:space="preserve">medium series population growth with 100 per cent of the incremental population contributing to aggregate demand growth. </w:t>
      </w:r>
    </w:p>
  </w:footnote>
  <w:footnote w:id="6">
    <w:p w:rsidR="006A4B71" w:rsidRDefault="006A4B71" w:rsidP="006A4B71">
      <w:pPr>
        <w:pStyle w:val="FootnoteText"/>
      </w:pPr>
      <w:r>
        <w:rPr>
          <w:rStyle w:val="FootnoteReference"/>
        </w:rPr>
        <w:footnoteRef/>
      </w:r>
      <w:r>
        <w:t xml:space="preserve"> The high demand growth scenario </w:t>
      </w:r>
      <w:r w:rsidR="00DC62B5">
        <w:t>is based on the ABS</w:t>
      </w:r>
      <w:r>
        <w:t xml:space="preserve"> high series population growth with 100 per cent of the incremental population contributing to aggregate</w:t>
      </w:r>
      <w:r w:rsidR="00592F3E">
        <w:t xml:space="preserve"> demand growth.</w:t>
      </w:r>
    </w:p>
  </w:footnote>
  <w:footnote w:id="7">
    <w:p w:rsidR="001B0AB1" w:rsidRDefault="001B0AB1" w:rsidP="009A61D6">
      <w:pPr>
        <w:pStyle w:val="FootnoteText"/>
      </w:pPr>
      <w:r>
        <w:rPr>
          <w:rStyle w:val="FootnoteReference"/>
        </w:rPr>
        <w:footnoteRef/>
      </w:r>
      <w:r>
        <w:t xml:space="preserve"> </w:t>
      </w:r>
      <w:r>
        <w:fldChar w:fldCharType="begin"/>
      </w:r>
      <w:r>
        <w:instrText xml:space="preserve"> ADDIN EN.CITE &lt;EndNote&gt;&lt;Cite&gt;&lt;Author&gt;ACT Legislative Assembly&lt;/Author&gt;&lt;Year&gt;2016&lt;/Year&gt;&lt;RecNum&gt;744&lt;/RecNum&gt;&lt;DisplayText&gt;ACT Legislative Assembly, 2016: &lt;/DisplayText&gt;&lt;record&gt;&lt;rec-number&gt;744&lt;/rec-number&gt;&lt;foreign-keys&gt;&lt;key app="EN" db-id="5xwt9zxa6r5fesevwr5xzp97r95ev9wx9zpw" timestamp="1471832570"&gt;744&lt;/key&gt;&lt;key app="ENWeb" db-id=""&gt;0&lt;/key&gt;&lt;/foreign-keys&gt;&lt;ref-type name="AAA ICRC Water References"&gt;40&lt;/ref-type&gt;&lt;contributors&gt;&lt;authors&gt;&lt;author&gt;ACT Legislative Assembly,&lt;/author&gt;&lt;/authors&gt;&lt;/contributors&gt;&lt;titles&gt;&lt;title&gt;Select Committee on Estimates 2016-2017: Transcript of evidence, Canberra, Tuesday 21 June 2016&lt;/title&gt;&lt;/titles&gt;&lt;dates&gt;&lt;year&gt;2016&lt;/year&gt;&lt;/dates&gt;&lt;pub-location&gt;Canberra&lt;/pub-location&gt;&lt;urls&gt;&lt;/urls&gt;&lt;/record&gt;&lt;/Cite&gt;&lt;/EndNote&gt;</w:instrText>
      </w:r>
      <w:r>
        <w:fldChar w:fldCharType="separate"/>
      </w:r>
      <w:r>
        <w:rPr>
          <w:noProof/>
        </w:rPr>
        <w:t xml:space="preserve">ACT Legislative Assembly, 2016: </w:t>
      </w:r>
      <w:r>
        <w:fldChar w:fldCharType="end"/>
      </w:r>
      <w:r>
        <w:t>285.</w:t>
      </w:r>
    </w:p>
  </w:footnote>
  <w:footnote w:id="8">
    <w:p w:rsidR="001B0AB1" w:rsidRDefault="001B0AB1">
      <w:pPr>
        <w:pStyle w:val="FootnoteText"/>
      </w:pPr>
      <w:r>
        <w:rPr>
          <w:rStyle w:val="FootnoteReference"/>
        </w:rPr>
        <w:footnoteRef/>
      </w:r>
      <w:r>
        <w:t xml:space="preserve"> For example, see </w:t>
      </w:r>
      <w:r>
        <w:rPr>
          <w:noProof/>
        </w:rPr>
        <w:fldChar w:fldCharType="begin"/>
      </w:r>
      <w:r w:rsidR="00C6689B">
        <w:rPr>
          <w:noProof/>
        </w:rPr>
        <w:instrText xml:space="preserve"> ADDIN EN.CITE &lt;EndNote&gt;&lt;Cite&gt;&lt;Author&gt;Grafton&lt;/Author&gt;&lt;Year&gt;2010&lt;/Year&gt;&lt;RecNum&gt;584&lt;/RecNum&gt;&lt;DisplayText&gt;Grafton and Ward, 2010: &lt;/DisplayText&gt;&lt;record&gt;&lt;rec-number&gt;584&lt;/rec-number&gt;&lt;foreign-keys&gt;&lt;key app="EN" db-id="5xwt9zxa6r5fesevwr5xzp97r95ev9wx9zpw" timestamp="1442464790"&gt;584&lt;/key&gt;&lt;/foreign-keys&gt;&lt;ref-type name="AAA ICRC Water References"&gt;40&lt;/ref-type&gt;&lt;contributors&gt;&lt;authors&gt;&lt;author&gt;Grafton, R Quentin&lt;/author&gt;&lt;author&gt;Ward, Michael&lt;/author&gt;&lt;/authors&gt;&lt;/contributors&gt;&lt;titles&gt;&lt;title&gt;Dynamically Efficient Urban Water Policy&lt;/title&gt;&lt;/titles&gt;&lt;volume&gt;Reserach Papers 10-13&lt;/volume&gt;&lt;dates&gt;&lt;year&gt;2010&lt;/year&gt;&lt;pub-dates&gt;&lt;date&gt;12 November 2010&lt;/date&gt;&lt;/pub-dates&gt;&lt;/dates&gt;&lt;pub-location&gt;Canberra&lt;/pub-location&gt;&lt;publisher&gt;Centre for Water Economics, Environment and Policy, The Australian National University&lt;/publisher&gt;&lt;urls&gt;&lt;/urls&gt;&lt;/record&gt;&lt;/Cite&gt;&lt;/EndNote&gt;</w:instrText>
      </w:r>
      <w:r>
        <w:rPr>
          <w:noProof/>
        </w:rPr>
        <w:fldChar w:fldCharType="separate"/>
      </w:r>
      <w:r w:rsidR="00C6689B">
        <w:rPr>
          <w:noProof/>
        </w:rPr>
        <w:t xml:space="preserve">Grafton and Ward, 2010: </w:t>
      </w:r>
      <w:r>
        <w:rPr>
          <w:noProof/>
        </w:rPr>
        <w:fldChar w:fldCharType="end"/>
      </w:r>
      <w:r>
        <w:rPr>
          <w:noProof/>
        </w:rPr>
        <w:t>.</w:t>
      </w:r>
    </w:p>
  </w:footnote>
  <w:footnote w:id="9">
    <w:p w:rsidR="001B0AB1" w:rsidRDefault="001B0AB1">
      <w:pPr>
        <w:pStyle w:val="FootnoteText"/>
      </w:pPr>
      <w:r>
        <w:rPr>
          <w:rStyle w:val="FootnoteReference"/>
        </w:rPr>
        <w:footnoteRef/>
      </w:r>
      <w:r>
        <w:t xml:space="preserve"> The Commission released an issues paper in November 2015. This was followed by a technical paper on the elasticity of demand for water in the ACT published in February 2016 and a technical paper on marginal cost pricing in the ACT released in June 2016.</w:t>
      </w:r>
    </w:p>
  </w:footnote>
  <w:footnote w:id="10">
    <w:p w:rsidR="001B0AB1" w:rsidRDefault="001B0AB1" w:rsidP="006209AF">
      <w:pPr>
        <w:pStyle w:val="FootnoteText"/>
      </w:pPr>
      <w:r>
        <w:rPr>
          <w:rStyle w:val="FootnoteReference"/>
        </w:rPr>
        <w:footnoteRef/>
      </w:r>
      <w:r>
        <w:t xml:space="preserve"> </w:t>
      </w:r>
      <w:r>
        <w:fldChar w:fldCharType="begin"/>
      </w:r>
      <w:r>
        <w:instrText xml:space="preserve"> ADDIN EN.CITE &lt;EndNote&gt;&lt;Cite&gt;&lt;Author&gt;ICRC&lt;/Author&gt;&lt;Year&gt;2013&lt;/Year&gt;&lt;RecNum&gt;195&lt;/RecNum&gt;&lt;DisplayText&gt;ICRC, 2013a: &lt;/DisplayText&gt;&lt;record&gt;&lt;rec-number&gt;195&lt;/rec-number&gt;&lt;foreign-keys&gt;&lt;key app="EN" db-id="5xwt9zxa6r5fesevwr5xzp97r95ev9wx9zpw" timestamp="1375230149"&gt;195&lt;/key&gt;&lt;/foreign-keys&gt;&lt;ref-type name="AAA ICRC Water References"&gt;40&lt;/ref-type&gt;&lt;contributors&gt;&lt;authors&gt;&lt;author&gt;ICRC,&lt;/author&gt;&lt;/authors&gt;&lt;/contributors&gt;&lt;titles&gt;&lt;title&gt;Final Report Regulated Water and Sewerage Services 1 July 2013 to 30 June 2019&lt;/title&gt;&lt;/titles&gt;&lt;volume&gt;Report 5 of 2013&lt;/volume&gt;&lt;dates&gt;&lt;year&gt;2013&lt;/year&gt;&lt;pub-dates&gt;&lt;date&gt;June 2013&lt;/date&gt;&lt;/pub-dates&gt;&lt;/dates&gt;&lt;pub-location&gt;Canberra&lt;/pub-location&gt;&lt;publisher&gt;ICRC&lt;/publisher&gt;&lt;urls&gt;&lt;/urls&gt;&lt;/record&gt;&lt;/Cite&gt;&lt;/EndNote&gt;</w:instrText>
      </w:r>
      <w:r>
        <w:fldChar w:fldCharType="separate"/>
      </w:r>
      <w:r>
        <w:rPr>
          <w:noProof/>
        </w:rPr>
        <w:t xml:space="preserve">ICRC, 2013a: </w:t>
      </w:r>
      <w:r>
        <w:fldChar w:fldCharType="end"/>
      </w:r>
      <w:r>
        <w:t>165.</w:t>
      </w:r>
    </w:p>
  </w:footnote>
  <w:footnote w:id="11">
    <w:p w:rsidR="001B0AB1" w:rsidRDefault="001B0AB1" w:rsidP="006209AF">
      <w:pPr>
        <w:pStyle w:val="FootnoteText"/>
      </w:pPr>
      <w:r>
        <w:rPr>
          <w:rStyle w:val="FootnoteReference"/>
        </w:rPr>
        <w:footnoteRef/>
      </w:r>
      <w:r>
        <w:t xml:space="preserve"> </w:t>
      </w:r>
      <w:r>
        <w:fldChar w:fldCharType="begin"/>
      </w:r>
      <w:r>
        <w:instrText xml:space="preserve"> ADDIN EN.CITE &lt;EndNote&gt;&lt;Cite&gt;&lt;Author&gt;ICRC&lt;/Author&gt;&lt;Year&gt;2013&lt;/Year&gt;&lt;RecNum&gt;196&lt;/RecNum&gt;&lt;DisplayText&gt;ICRC, 2013b: &lt;/DisplayText&gt;&lt;record&gt;&lt;rec-number&gt;196&lt;/rec-number&gt;&lt;foreign-keys&gt;&lt;key app="EN" db-id="5xwt9zxa6r5fesevwr5xzp97r95ev9wx9zpw" timestamp="1375230172"&gt;196&lt;/key&gt;&lt;/foreign-keys&gt;&lt;ref-type name="AAA ICRC Water References"&gt;40&lt;/ref-type&gt;&lt;contributors&gt;&lt;authors&gt;&lt;author&gt;ICRC,&lt;/author&gt;&lt;/authors&gt;&lt;/contributors&gt;&lt;titles&gt;&lt;title&gt;Price Direction Regulated Water and Sewerage Services 1 July 2013 to 30 June 2019&lt;/title&gt;&lt;/titles&gt;&lt;volume&gt;Report 6 of 2013&lt;/volume&gt;&lt;dates&gt;&lt;year&gt;2013&lt;/year&gt;&lt;pub-dates&gt;&lt;date&gt;June 2013&lt;/date&gt;&lt;/pub-dates&gt;&lt;/dates&gt;&lt;pub-location&gt;Canberra&lt;/pub-location&gt;&lt;publisher&gt;ICRC&lt;/publisher&gt;&lt;urls&gt;&lt;/urls&gt;&lt;/record&gt;&lt;/Cite&gt;&lt;/EndNote&gt;</w:instrText>
      </w:r>
      <w:r>
        <w:fldChar w:fldCharType="separate"/>
      </w:r>
      <w:r>
        <w:rPr>
          <w:noProof/>
        </w:rPr>
        <w:t xml:space="preserve">ICRC, 2013b: </w:t>
      </w:r>
      <w:r>
        <w:fldChar w:fldCharType="end"/>
      </w:r>
      <w:r>
        <w:t>13.</w:t>
      </w:r>
    </w:p>
  </w:footnote>
  <w:footnote w:id="12">
    <w:p w:rsidR="001B0AB1" w:rsidRDefault="001B0AB1" w:rsidP="006209AF">
      <w:pPr>
        <w:pStyle w:val="FootnoteText"/>
      </w:pPr>
      <w:r>
        <w:rPr>
          <w:rStyle w:val="FootnoteReference"/>
        </w:rPr>
        <w:footnoteRef/>
      </w:r>
      <w:r>
        <w:t xml:space="preserve"> </w:t>
      </w:r>
      <w:r>
        <w:fldChar w:fldCharType="begin"/>
      </w:r>
      <w:r>
        <w:instrText xml:space="preserve"> ADDIN EN.CITE &lt;EndNote&gt;&lt;Cite&gt;&lt;Author&gt;Industry Panel&lt;/Author&gt;&lt;Year&gt;2015&lt;/Year&gt;&lt;RecNum&gt;565&lt;/RecNum&gt;&lt;DisplayText&gt;Industry Panel, 2015: &lt;/DisplayText&gt;&lt;record&gt;&lt;rec-number&gt;565&lt;/rec-number&gt;&lt;foreign-keys&gt;&lt;key app="EN" db-id="5xwt9zxa6r5fesevwr5xzp97r95ev9wx9zpw" timestamp="1468455324"&gt;565&lt;/key&gt;&lt;key app="ENWeb" db-id=""&gt;0&lt;/key&gt;&lt;/foreign-keys&gt;&lt;ref-type name="AAA ICRC Water References"&gt;40&lt;/ref-type&gt;&lt;contributors&gt;&lt;authors&gt;&lt;author&gt;Industry Panel,&lt;/author&gt;&lt;/authors&gt;&lt;/contributors&gt;&lt;titles&gt;&lt;title&gt;Substituted Price Direction: Regulated Water and Sewerage Services 1 July 2013 to 30 June 2018&lt;/title&gt;&lt;/titles&gt;&lt;dates&gt;&lt;year&gt;2015&lt;/year&gt;&lt;pub-dates&gt;&lt;date&gt;April 2015&lt;/date&gt;&lt;/pub-dates&gt;&lt;/dates&gt;&lt;pub-location&gt;Canberra&lt;/pub-location&gt;&lt;publisher&gt;Industry Panel&lt;/publisher&gt;&lt;urls&gt;&lt;/urls&gt;&lt;/record&gt;&lt;/Cite&gt;&lt;/EndNote&gt;</w:instrText>
      </w:r>
      <w:r>
        <w:fldChar w:fldCharType="separate"/>
      </w:r>
      <w:r>
        <w:rPr>
          <w:noProof/>
        </w:rPr>
        <w:t xml:space="preserve">Industry Panel, 2015: </w:t>
      </w:r>
      <w:r>
        <w:fldChar w:fldCharType="end"/>
      </w:r>
      <w:r>
        <w:t>12.</w:t>
      </w:r>
    </w:p>
  </w:footnote>
  <w:footnote w:id="13">
    <w:p w:rsidR="001B0AB1" w:rsidRDefault="001B0AB1" w:rsidP="00615707">
      <w:pPr>
        <w:pStyle w:val="FootnoteText"/>
      </w:pPr>
      <w:r>
        <w:rPr>
          <w:rStyle w:val="FootnoteReference"/>
        </w:rPr>
        <w:footnoteRef/>
      </w:r>
      <w:r>
        <w:t xml:space="preserve"> </w:t>
      </w:r>
      <w:r>
        <w:fldChar w:fldCharType="begin"/>
      </w:r>
      <w:r>
        <w:instrText xml:space="preserve"> ADDIN EN.CITE &lt;EndNote&gt;&lt;Cite&gt;&lt;Author&gt;ICRC&lt;/Author&gt;&lt;Year&gt;2015&lt;/Year&gt;&lt;RecNum&gt;630&lt;/RecNum&gt;&lt;DisplayText&gt;ICRC, 2015a: &lt;/DisplayText&gt;&lt;record&gt;&lt;rec-number&gt;630&lt;/rec-number&gt;&lt;foreign-keys&gt;&lt;key app="EN" db-id="5xwt9zxa6r5fesevwr5xzp97r95ev9wx9zpw" timestamp="1445552628"&gt;630&lt;/key&gt;&lt;/foreign-keys&gt;&lt;ref-type name="AAA ICRC Water References"&gt;40&lt;/ref-type&gt;&lt;contributors&gt;&lt;authors&gt;&lt;author&gt;ICRC,&lt;/author&gt;&lt;/authors&gt;&lt;/contributors&gt;&lt;titles&gt;&lt;title&gt;Issues Paper: Tariff Review 2016 - Regulated Water and Sewerage Services&lt;/title&gt;&lt;/titles&gt;&lt;volume&gt;Report 7 of 2015&lt;/volume&gt;&lt;dates&gt;&lt;year&gt;2015&lt;/year&gt;&lt;pub-dates&gt;&lt;date&gt;November 2015&lt;/date&gt;&lt;/pub-dates&gt;&lt;/dates&gt;&lt;pub-location&gt;Canberra&lt;/pub-location&gt;&lt;publisher&gt;ICRC&lt;/publisher&gt;&lt;urls&gt;&lt;/urls&gt;&lt;/record&gt;&lt;/Cite&gt;&lt;/EndNote&gt;</w:instrText>
      </w:r>
      <w:r>
        <w:fldChar w:fldCharType="separate"/>
      </w:r>
      <w:r>
        <w:rPr>
          <w:noProof/>
        </w:rPr>
        <w:t xml:space="preserve">ICRC, 2015a: </w:t>
      </w:r>
      <w:r>
        <w:fldChar w:fldCharType="end"/>
      </w:r>
      <w:r>
        <w:t xml:space="preserve">1-90. Available for download from: </w:t>
      </w:r>
      <w:r w:rsidRPr="00570913">
        <w:t>http://www.icrc.act.gov.au/wp-content/uploads/2015/11/Report-7-of-2015-Issues-Paper-Tariff-Review-2016-November-2015.pdf</w:t>
      </w:r>
      <w:r>
        <w:t>.</w:t>
      </w:r>
    </w:p>
  </w:footnote>
  <w:footnote w:id="14">
    <w:p w:rsidR="001B0AB1" w:rsidRDefault="001B0AB1" w:rsidP="00615707">
      <w:pPr>
        <w:pStyle w:val="FootnoteText"/>
      </w:pPr>
      <w:r>
        <w:rPr>
          <w:rStyle w:val="FootnoteReference"/>
        </w:rPr>
        <w:footnoteRef/>
      </w:r>
      <w:r>
        <w:t xml:space="preserve"> </w:t>
      </w:r>
      <w:r>
        <w:fldChar w:fldCharType="begin"/>
      </w:r>
      <w:r>
        <w:instrText xml:space="preserve"> ADDIN EN.CITE &lt;EndNote&gt;&lt;Cite&gt;&lt;Author&gt;ICRC&lt;/Author&gt;&lt;Year&gt;2016&lt;/Year&gt;&lt;RecNum&gt;697&lt;/RecNum&gt;&lt;DisplayText&gt;ICRC, 2016a: &lt;/DisplayText&gt;&lt;record&gt;&lt;rec-number&gt;697&lt;/rec-number&gt;&lt;foreign-keys&gt;&lt;key app="EN" db-id="5xwt9zxa6r5fesevwr5xzp97r95ev9wx9zpw" timestamp="1458518329"&gt;697&lt;/key&gt;&lt;key app="ENWeb" db-id=""&gt;0&lt;/key&gt;&lt;/foreign-keys&gt;&lt;ref-type name="AAA ICRC Water References"&gt;40&lt;/ref-type&gt;&lt;contributors&gt;&lt;authors&gt;&lt;author&gt;ICRC,&lt;/author&gt;&lt;/authors&gt;&lt;/contributors&gt;&lt;titles&gt;&lt;title&gt;Technical paper 1: Price elasticity of water demand in the ACT&lt;/title&gt;&lt;/titles&gt;&lt;volume&gt;Report 1 of 2016&lt;/volume&gt;&lt;dates&gt;&lt;year&gt;2016&lt;/year&gt;&lt;pub-dates&gt;&lt;date&gt;February 2016&lt;/date&gt;&lt;/pub-dates&gt;&lt;/dates&gt;&lt;pub-location&gt;Canberra&lt;/pub-location&gt;&lt;publisher&gt;Independent Competition and Regulatory Commission&lt;/publisher&gt;&lt;urls&gt;&lt;/urls&gt;&lt;/record&gt;&lt;/Cite&gt;&lt;/EndNote&gt;</w:instrText>
      </w:r>
      <w:r>
        <w:fldChar w:fldCharType="separate"/>
      </w:r>
      <w:r>
        <w:rPr>
          <w:noProof/>
        </w:rPr>
        <w:t xml:space="preserve">ICRC, 2016a: </w:t>
      </w:r>
      <w:r>
        <w:fldChar w:fldCharType="end"/>
      </w:r>
      <w:r>
        <w:t xml:space="preserve">1-31. Available for download from: </w:t>
      </w:r>
      <w:hyperlink r:id="rId2" w:history="1">
        <w:r w:rsidRPr="005D4542">
          <w:t>http://www.icrc.act.gov.au/wp-content/uploads/2015/11/TariffRev_Elasticity_paperv8.pdf</w:t>
        </w:r>
      </w:hyperlink>
      <w:r>
        <w:t>.</w:t>
      </w:r>
    </w:p>
  </w:footnote>
  <w:footnote w:id="15">
    <w:p w:rsidR="001B0AB1" w:rsidRDefault="001B0AB1" w:rsidP="00615707">
      <w:pPr>
        <w:pStyle w:val="FootnoteText"/>
      </w:pPr>
      <w:r>
        <w:rPr>
          <w:rStyle w:val="FootnoteReference"/>
        </w:rPr>
        <w:footnoteRef/>
      </w:r>
      <w:r>
        <w:t xml:space="preserve"> </w:t>
      </w:r>
      <w:r>
        <w:fldChar w:fldCharType="begin"/>
      </w:r>
      <w:r>
        <w:instrText xml:space="preserve"> ADDIN EN.CITE &lt;EndNote&gt;&lt;Cite&gt;&lt;Author&gt;ICRC&lt;/Author&gt;&lt;Year&gt;2016&lt;/Year&gt;&lt;RecNum&gt;727&lt;/RecNum&gt;&lt;DisplayText&gt;ICRC, 2016b: &lt;/DisplayText&gt;&lt;record&gt;&lt;rec-number&gt;727&lt;/rec-number&gt;&lt;foreign-keys&gt;&lt;key app="EN" db-id="5xwt9zxa6r5fesevwr5xzp97r95ev9wx9zpw" timestamp="1465197388"&gt;727&lt;/key&gt;&lt;/foreign-keys&gt;&lt;ref-type name="AAA ICRC Water References"&gt;40&lt;/ref-type&gt;&lt;contributors&gt;&lt;authors&gt;&lt;author&gt;ICRC,&lt;/author&gt;&lt;/authors&gt;&lt;/contributors&gt;&lt;titles&gt;&lt;title&gt;Technical paper 2: Marginal cost pricing in the ACT&lt;/title&gt;&lt;/titles&gt;&lt;volume&gt;Report 4 of 2016&lt;/volume&gt;&lt;dates&gt;&lt;year&gt;2016&lt;/year&gt;&lt;pub-dates&gt;&lt;date&gt;June 2016&lt;/date&gt;&lt;/pub-dates&gt;&lt;/dates&gt;&lt;pub-location&gt;Canberra&lt;/pub-location&gt;&lt;publisher&gt;Independent Competition and Regulatory Commission&lt;/publisher&gt;&lt;urls&gt;&lt;/urls&gt;&lt;/record&gt;&lt;/Cite&gt;&lt;/EndNote&gt;</w:instrText>
      </w:r>
      <w:r>
        <w:fldChar w:fldCharType="separate"/>
      </w:r>
      <w:r>
        <w:rPr>
          <w:noProof/>
        </w:rPr>
        <w:t xml:space="preserve">ICRC, 2016b: </w:t>
      </w:r>
      <w:r>
        <w:fldChar w:fldCharType="end"/>
      </w:r>
      <w:r>
        <w:t xml:space="preserve">1-81. </w:t>
      </w:r>
      <w:r w:rsidRPr="00536325">
        <w:t xml:space="preserve">Available for download from: </w:t>
      </w:r>
      <w:hyperlink r:id="rId3" w:history="1">
        <w:r w:rsidRPr="00C8548E">
          <w:t>http://www.icrc.act.gov.au/wp-content/uploads/2016/06/Report-4-of-2016-June-2016.pdf</w:t>
        </w:r>
      </w:hyperlink>
      <w:r>
        <w:t>.</w:t>
      </w:r>
    </w:p>
  </w:footnote>
  <w:footnote w:id="16">
    <w:p w:rsidR="001B0AB1" w:rsidRDefault="001B0AB1" w:rsidP="008946B5">
      <w:pPr>
        <w:pStyle w:val="FootnoteText"/>
      </w:pPr>
      <w:r>
        <w:rPr>
          <w:rStyle w:val="FootnoteReference"/>
        </w:rPr>
        <w:footnoteRef/>
      </w:r>
      <w:r>
        <w:t xml:space="preserve"> This encompasses both the total amount of water and sewerage services consumed and the distribution of that consumption among customers. The objective is to secure an outcome in which social welfare could not be improved by consuming more of the services, nor by reallocating consumption between users, nor by some combination of the two.</w:t>
      </w:r>
    </w:p>
  </w:footnote>
  <w:footnote w:id="17">
    <w:p w:rsidR="001B0AB1" w:rsidRDefault="001B0AB1" w:rsidP="008946B5">
      <w:pPr>
        <w:pStyle w:val="FootnoteText"/>
      </w:pPr>
      <w:r>
        <w:rPr>
          <w:rStyle w:val="FootnoteReference"/>
        </w:rPr>
        <w:footnoteRef/>
      </w:r>
      <w:r>
        <w:t xml:space="preserve"> It is important to note that prices can be cost-reflective only if the costs reflected are prudent and efficient.</w:t>
      </w:r>
    </w:p>
  </w:footnote>
  <w:footnote w:id="18">
    <w:p w:rsidR="001B0AB1" w:rsidRDefault="001B0AB1" w:rsidP="008946B5">
      <w:pPr>
        <w:pStyle w:val="FootnoteText"/>
      </w:pPr>
      <w:r>
        <w:rPr>
          <w:rStyle w:val="FootnoteReference"/>
        </w:rPr>
        <w:footnoteRef/>
      </w:r>
      <w:r>
        <w:t xml:space="preserve"> </w:t>
      </w:r>
      <w:r>
        <w:fldChar w:fldCharType="begin"/>
      </w:r>
      <w:r>
        <w:instrText xml:space="preserve"> ADDIN EN.CITE &lt;EndNote&gt;&lt;Cite&gt;&lt;Author&gt;Turvey&lt;/Author&gt;&lt;Year&gt;1976&lt;/Year&gt;&lt;RecNum&gt;519&lt;/RecNum&gt;&lt;DisplayText&gt;Turvey, 1976: &lt;/DisplayText&gt;&lt;record&gt;&lt;rec-number&gt;519&lt;/rec-number&gt;&lt;foreign-keys&gt;&lt;key app="EN" db-id="5xwt9zxa6r5fesevwr5xzp97r95ev9wx9zpw" timestamp="1439945729"&gt;519&lt;/key&gt;&lt;/foreign-keys&gt;&lt;ref-type name="Journal Article"&gt;17&lt;/ref-type&gt;&lt;contributors&gt;&lt;authors&gt;&lt;author&gt;Turvey, Ralph&lt;/author&gt;&lt;/authors&gt;&lt;/contributors&gt;&lt;titles&gt;&lt;title&gt;Analyzing the Marginal Cost of Water Supply&lt;/title&gt;&lt;secondary-title&gt;Land Economics&lt;/secondary-title&gt;&lt;/titles&gt;&lt;periodical&gt;&lt;full-title&gt;Land Economics&lt;/full-title&gt;&lt;/periodical&gt;&lt;pages&gt;158-168&lt;/pages&gt;&lt;volume&gt;52&lt;/volume&gt;&lt;keywords&gt;&lt;keyword&gt;Water Supply&lt;/keyword&gt;&lt;keyword&gt;Marginal Cost of Water&lt;/keyword&gt;&lt;/keywords&gt;&lt;dates&gt;&lt;year&gt;1976&lt;/year&gt;&lt;/dates&gt;&lt;urls&gt;&lt;/urls&gt;&lt;/record&gt;&lt;/Cite&gt;&lt;/EndNote&gt;</w:instrText>
      </w:r>
      <w:r>
        <w:fldChar w:fldCharType="separate"/>
      </w:r>
      <w:r>
        <w:rPr>
          <w:noProof/>
        </w:rPr>
        <w:t xml:space="preserve">Turvey, 1976: </w:t>
      </w:r>
      <w:r>
        <w:fldChar w:fldCharType="end"/>
      </w:r>
      <w:r>
        <w:t>159.</w:t>
      </w:r>
    </w:p>
  </w:footnote>
  <w:footnote w:id="19">
    <w:p w:rsidR="001B0AB1" w:rsidRDefault="001B0AB1" w:rsidP="008946B5">
      <w:pPr>
        <w:pStyle w:val="FootnoteText"/>
      </w:pPr>
      <w:r>
        <w:rPr>
          <w:rStyle w:val="FootnoteReference"/>
        </w:rPr>
        <w:footnoteRef/>
      </w:r>
      <w:r>
        <w:t xml:space="preserve"> </w:t>
      </w:r>
      <w:r>
        <w:fldChar w:fldCharType="begin"/>
      </w:r>
      <w:r>
        <w:instrText xml:space="preserve"> ADDIN EN.CITE &lt;EndNote&gt;&lt;Cite&gt;&lt;Author&gt;Grafton&lt;/Author&gt;&lt;Year&gt;2010&lt;/Year&gt;&lt;RecNum&gt;584&lt;/RecNum&gt;&lt;DisplayText&gt;Grafton and Ward, 2010: &lt;/DisplayText&gt;&lt;record&gt;&lt;rec-number&gt;584&lt;/rec-number&gt;&lt;foreign-keys&gt;&lt;key app="EN" db-id="5xwt9zxa6r5fesevwr5xzp97r95ev9wx9zpw" timestamp="1442464790"&gt;584&lt;/key&gt;&lt;/foreign-keys&gt;&lt;ref-type name="AAA ICRC Water References"&gt;40&lt;/ref-type&gt;&lt;contributors&gt;&lt;authors&gt;&lt;author&gt;Grafton, R Quentin&lt;/author&gt;&lt;author&gt;Ward, Michael&lt;/author&gt;&lt;/authors&gt;&lt;/contributors&gt;&lt;titles&gt;&lt;title&gt;Dynamically Efficient Urban Water Policy&lt;/title&gt;&lt;/titles&gt;&lt;volume&gt;Reserach Papers 10-13&lt;/volume&gt;&lt;dates&gt;&lt;year&gt;2010&lt;/year&gt;&lt;pub-dates&gt;&lt;date&gt;12 November 2010&lt;/date&gt;&lt;/pub-dates&gt;&lt;/dates&gt;&lt;pub-location&gt;Canberra&lt;/pub-location&gt;&lt;publisher&gt;Centre for Water Economics, Environment and Policy, The Australian National University&lt;/publisher&gt;&lt;urls&gt;&lt;/urls&gt;&lt;/record&gt;&lt;/Cite&gt;&lt;/EndNote&gt;</w:instrText>
      </w:r>
      <w:r>
        <w:fldChar w:fldCharType="separate"/>
      </w:r>
      <w:r>
        <w:rPr>
          <w:noProof/>
        </w:rPr>
        <w:t xml:space="preserve">Grafton and Ward, 2010: </w:t>
      </w:r>
      <w:r>
        <w:fldChar w:fldCharType="end"/>
      </w:r>
      <w:r>
        <w:t>4.</w:t>
      </w:r>
    </w:p>
  </w:footnote>
  <w:footnote w:id="20">
    <w:p w:rsidR="001B0AB1" w:rsidRDefault="001B0AB1">
      <w:pPr>
        <w:pStyle w:val="FootnoteText"/>
      </w:pPr>
      <w:r>
        <w:rPr>
          <w:rStyle w:val="FootnoteReference"/>
        </w:rPr>
        <w:footnoteRef/>
      </w:r>
      <w:r>
        <w:t xml:space="preserve"> </w:t>
      </w:r>
      <w:r>
        <w:fldChar w:fldCharType="begin"/>
      </w:r>
      <w:r>
        <w:instrText xml:space="preserve"> ADDIN EN.CITE &lt;EndNote&gt;&lt;Cite&gt;&lt;Author&gt;Icon Water&lt;/Author&gt;&lt;Year&gt;2016&lt;/Year&gt;&lt;RecNum&gt;739&lt;/RecNum&gt;&lt;DisplayText&gt;Icon Water, 2016c: &lt;/DisplayText&gt;&lt;record&gt;&lt;rec-number&gt;739&lt;/rec-number&gt;&lt;foreign-keys&gt;&lt;key app="EN" db-id="5xwt9zxa6r5fesevwr5xzp97r95ev9wx9zpw" timestamp="1468804218"&gt;739&lt;/key&gt;&lt;key app="ENWeb" db-id=""&gt;0&lt;/key&gt;&lt;/foreign-keys&gt;&lt;ref-type name="AAA ICRC Water References"&gt;40&lt;/ref-type&gt;&lt;contributors&gt;&lt;authors&gt;&lt;author&gt;Icon Water,&lt;/author&gt;&lt;/authors&gt;&lt;/contributors&gt;&lt;titles&gt;&lt;title&gt;Submission No 9 to the Tariff Review 2016&lt;/title&gt;&lt;/titles&gt;&lt;dates&gt;&lt;year&gt;2016&lt;/year&gt;&lt;pub-dates&gt;&lt;date&gt;15 July 2016&lt;/date&gt;&lt;/pub-dates&gt;&lt;/dates&gt;&lt;pub-location&gt;Canberra&lt;/pub-location&gt;&lt;urls&gt;&lt;/urls&gt;&lt;/record&gt;&lt;/Cite&gt;&lt;/EndNote&gt;</w:instrText>
      </w:r>
      <w:r>
        <w:fldChar w:fldCharType="separate"/>
      </w:r>
      <w:r>
        <w:rPr>
          <w:noProof/>
        </w:rPr>
        <w:t xml:space="preserve">Icon Water, 2016c: </w:t>
      </w:r>
      <w:r>
        <w:fldChar w:fldCharType="end"/>
      </w:r>
      <w:r>
        <w:t>18.</w:t>
      </w:r>
    </w:p>
  </w:footnote>
  <w:footnote w:id="21">
    <w:p w:rsidR="001B0AB1" w:rsidRDefault="001B0AB1" w:rsidP="00054C38">
      <w:pPr>
        <w:pStyle w:val="FootnoteText"/>
      </w:pPr>
      <w:r>
        <w:rPr>
          <w:rStyle w:val="FootnoteReference"/>
        </w:rPr>
        <w:footnoteRef/>
      </w:r>
      <w:r>
        <w:t xml:space="preserve"> </w:t>
      </w:r>
      <w:r>
        <w:fldChar w:fldCharType="begin"/>
      </w:r>
      <w:r>
        <w:instrText xml:space="preserve"> ADDIN EN.CITE &lt;EndNote&gt;&lt;Cite&gt;&lt;Author&gt;Denham&lt;/Author&gt;&lt;Year&gt;2016&lt;/Year&gt;&lt;RecNum&gt;737&lt;/RecNum&gt;&lt;DisplayText&gt;Denham, 2016: &lt;/DisplayText&gt;&lt;record&gt;&lt;rec-number&gt;737&lt;/rec-number&gt;&lt;foreign-keys&gt;&lt;key app="EN" db-id="5xwt9zxa6r5fesevwr5xzp97r95ev9wx9zpw" timestamp="1468365556"&gt;737&lt;/key&gt;&lt;key app="ENWeb" db-id=""&gt;0&lt;/key&gt;&lt;/foreign-keys&gt;&lt;ref-type name="AAA ICRC Water References"&gt;40&lt;/ref-type&gt;&lt;contributors&gt;&lt;authors&gt;&lt;author&gt;Denham, D&lt;/author&gt;&lt;/authors&gt;&lt;/contributors&gt;&lt;titles&gt;&lt;title&gt;Submission No 7 to the 2016 Tariff Review&lt;/title&gt;&lt;/titles&gt;&lt;dates&gt;&lt;year&gt;2016&lt;/year&gt;&lt;/dates&gt;&lt;pub-location&gt;Canberra&lt;/pub-location&gt;&lt;urls&gt;&lt;/urls&gt;&lt;/record&gt;&lt;/Cite&gt;&lt;/EndNote&gt;</w:instrText>
      </w:r>
      <w:r>
        <w:fldChar w:fldCharType="separate"/>
      </w:r>
      <w:r>
        <w:rPr>
          <w:noProof/>
        </w:rPr>
        <w:t xml:space="preserve">Denham, 2016: </w:t>
      </w:r>
      <w:r>
        <w:fldChar w:fldCharType="end"/>
      </w:r>
      <w:r>
        <w:t>1.</w:t>
      </w:r>
    </w:p>
  </w:footnote>
  <w:footnote w:id="22">
    <w:p w:rsidR="001B0AB1" w:rsidRDefault="001B0AB1" w:rsidP="007D3EAE">
      <w:pPr>
        <w:pStyle w:val="FootnoteText"/>
      </w:pPr>
      <w:r>
        <w:rPr>
          <w:rStyle w:val="FootnoteReference"/>
        </w:rPr>
        <w:footnoteRef/>
      </w:r>
      <w:r>
        <w:t xml:space="preserve"> This amendment followed the Grant review recommendations regarding the lack of an overarching economic efficiency objective in the ICRC Act (</w:t>
      </w:r>
      <w:r>
        <w:fldChar w:fldCharType="begin"/>
      </w:r>
      <w:r>
        <w:instrText xml:space="preserve"> ADDIN EN.CITE &lt;EndNote&gt;&lt;Cite&gt;&lt;Author&gt;Grant&lt;/Author&gt;&lt;Year&gt;2015&lt;/Year&gt;&lt;RecNum&gt;566&lt;/RecNum&gt;&lt;DisplayText&gt;Grant, 2015: &lt;/DisplayText&gt;&lt;record&gt;&lt;rec-number&gt;566&lt;/rec-number&gt;&lt;foreign-keys&gt;&lt;key app="EN" db-id="5xwt9zxa6r5fesevwr5xzp97r95ev9wx9zpw" timestamp="1441689680"&gt;566&lt;/key&gt;&lt;/foreign-keys&gt;&lt;ref-type name="AAA ICRC Water References"&gt;40&lt;/ref-type&gt;&lt;contributors&gt;&lt;authors&gt;&lt;author&gt;Grant, Peter&lt;/author&gt;&lt;/authors&gt;&lt;/contributors&gt;&lt;titles&gt;&lt;title&gt;Pricing of regulated water and sewerage services: Review of the regulatory framework - Final report&lt;/title&gt;&lt;/titles&gt;&lt;dates&gt;&lt;year&gt;2015&lt;/year&gt;&lt;pub-dates&gt;&lt;date&gt;February 2015&lt;/date&gt;&lt;/pub-dates&gt;&lt;/dates&gt;&lt;pub-location&gt;Canberra&lt;/pub-location&gt;&lt;publisher&gt;ACT Government&lt;/publisher&gt;&lt;urls&gt;&lt;/urls&gt;&lt;/record&gt;&lt;/Cite&gt;&lt;/EndNote&gt;</w:instrText>
      </w:r>
      <w:r>
        <w:fldChar w:fldCharType="separate"/>
      </w:r>
      <w:r>
        <w:rPr>
          <w:noProof/>
        </w:rPr>
        <w:t xml:space="preserve">Grant, 2015: </w:t>
      </w:r>
      <w:r>
        <w:fldChar w:fldCharType="end"/>
      </w:r>
      <w:r>
        <w:t xml:space="preserve">86). </w:t>
      </w:r>
    </w:p>
  </w:footnote>
  <w:footnote w:id="23">
    <w:p w:rsidR="001B0AB1" w:rsidRDefault="001B0AB1" w:rsidP="007D3EAE">
      <w:pPr>
        <w:pStyle w:val="FootnoteText"/>
      </w:pPr>
      <w:r>
        <w:rPr>
          <w:rStyle w:val="FootnoteReference"/>
        </w:rPr>
        <w:footnoteRef/>
      </w:r>
      <w:r>
        <w:t xml:space="preserve"> </w:t>
      </w:r>
      <w:r>
        <w:fldChar w:fldCharType="begin"/>
      </w:r>
      <w:r>
        <w:instrText xml:space="preserve"> ADDIN EN.CITE &lt;EndNote&gt;&lt;Cite&gt;&lt;Author&gt;ACT Government&lt;/Author&gt;&lt;Year&gt;1997&lt;/Year&gt;&lt;RecNum&gt;448&lt;/RecNum&gt;&lt;DisplayText&gt;ACT Government, 1997: &lt;/DisplayText&gt;&lt;record&gt;&lt;rec-number&gt;448&lt;/rec-number&gt;&lt;foreign-keys&gt;&lt;key app="EN" db-id="5xwt9zxa6r5fesevwr5xzp97r95ev9wx9zpw" timestamp="1398145465"&gt;448&lt;/key&gt;&lt;/foreign-keys&gt;&lt;ref-type name="Legal Rule or Regulation"&gt;50&lt;/ref-type&gt;&lt;contributors&gt;&lt;authors&gt;&lt;author&gt;ACT Government,&lt;/author&gt;&lt;/authors&gt;&lt;secondary-authors&gt;&lt;author&gt;ACT Parliamentary Counsel&lt;/author&gt;&lt;/secondary-authors&gt;&lt;/contributors&gt;&lt;titles&gt;&lt;title&gt;Independent Competition and Regulatory Commission Act 1997&lt;/title&gt;&lt;secondary-title&gt;A1997-77&lt;/secondary-title&gt;&lt;/titles&gt;&lt;dates&gt;&lt;year&gt;1997&lt;/year&gt;&lt;/dates&gt;&lt;pub-location&gt;Canberra&lt;/pub-location&gt;&lt;publisher&gt;ACT Government&lt;/publisher&gt;&lt;urls&gt;&lt;/urls&gt;&lt;/record&gt;&lt;/Cite&gt;&lt;/EndNote&gt;</w:instrText>
      </w:r>
      <w:r>
        <w:fldChar w:fldCharType="separate"/>
      </w:r>
      <w:r>
        <w:rPr>
          <w:noProof/>
        </w:rPr>
        <w:t xml:space="preserve">ACT Government, 1997: </w:t>
      </w:r>
      <w:r>
        <w:fldChar w:fldCharType="end"/>
      </w:r>
      <w:r>
        <w:t>27.</w:t>
      </w:r>
    </w:p>
  </w:footnote>
  <w:footnote w:id="24">
    <w:p w:rsidR="001B0AB1" w:rsidRDefault="001B0AB1" w:rsidP="004B79E1">
      <w:pPr>
        <w:pStyle w:val="FootnoteText"/>
      </w:pPr>
      <w:r>
        <w:rPr>
          <w:rStyle w:val="FootnoteReference"/>
        </w:rPr>
        <w:footnoteRef/>
      </w:r>
      <w:r>
        <w:t xml:space="preserve"> Measuring welfare using the concept of aggregate surplus, which is the sum of producers’ and consumers’ surplus, was introduced by Alfred Marshall in his analysis of the effects of taxes and price shifts on market equilibrium.</w:t>
      </w:r>
    </w:p>
  </w:footnote>
  <w:footnote w:id="25">
    <w:p w:rsidR="001B0AB1" w:rsidRDefault="001B0AB1">
      <w:pPr>
        <w:pStyle w:val="FootnoteText"/>
      </w:pPr>
      <w:r>
        <w:rPr>
          <w:rStyle w:val="FootnoteReference"/>
        </w:rPr>
        <w:footnoteRef/>
      </w:r>
      <w:r>
        <w:t xml:space="preserve"> </w:t>
      </w:r>
      <w:r>
        <w:fldChar w:fldCharType="begin"/>
      </w:r>
      <w:r>
        <w:instrText xml:space="preserve"> ADDIN EN.CITE &lt;EndNote&gt;&lt;Cite&gt;&lt;Author&gt;Icon Water&lt;/Author&gt;&lt;Year&gt;2016&lt;/Year&gt;&lt;RecNum&gt;728&lt;/RecNum&gt;&lt;DisplayText&gt;Icon Water, 2016b: &lt;/DisplayText&gt;&lt;record&gt;&lt;rec-number&gt;728&lt;/rec-number&gt;&lt;foreign-keys&gt;&lt;key app="EN" db-id="5xwt9zxa6r5fesevwr5xzp97r95ev9wx9zpw" timestamp="1465200452"&gt;728&lt;/key&gt;&lt;/foreign-keys&gt;&lt;ref-type name="AAA ICRC Water References"&gt;40&lt;/ref-type&gt;&lt;contributors&gt;&lt;authors&gt;&lt;author&gt;Icon Water,&lt;/author&gt;&lt;/authors&gt;&lt;/contributors&gt;&lt;titles&gt;&lt;title&gt;Submission No 1 to the Tariff Review 2016&lt;/title&gt;&lt;/titles&gt;&lt;dates&gt;&lt;year&gt;2016&lt;/year&gt;&lt;pub-dates&gt;&lt;date&gt;8 January 2016&lt;/date&gt;&lt;/pub-dates&gt;&lt;/dates&gt;&lt;pub-location&gt;Canberra&lt;/pub-location&gt;&lt;publisher&gt;Icon Water&lt;/publisher&gt;&lt;urls&gt;&lt;/urls&gt;&lt;/record&gt;&lt;/Cite&gt;&lt;/EndNote&gt;</w:instrText>
      </w:r>
      <w:r>
        <w:fldChar w:fldCharType="separate"/>
      </w:r>
      <w:r>
        <w:rPr>
          <w:noProof/>
        </w:rPr>
        <w:t xml:space="preserve">Icon Water, 2016b: </w:t>
      </w:r>
      <w:r>
        <w:fldChar w:fldCharType="end"/>
      </w:r>
      <w:r>
        <w:t>2.</w:t>
      </w:r>
    </w:p>
  </w:footnote>
  <w:footnote w:id="26">
    <w:p w:rsidR="001B0AB1" w:rsidRDefault="001B0AB1">
      <w:pPr>
        <w:pStyle w:val="FootnoteText"/>
      </w:pPr>
      <w:r>
        <w:rPr>
          <w:rStyle w:val="FootnoteReference"/>
        </w:rPr>
        <w:footnoteRef/>
      </w:r>
      <w:r>
        <w:t xml:space="preserve"> </w:t>
      </w:r>
      <w:r>
        <w:fldChar w:fldCharType="begin"/>
      </w:r>
      <w:r>
        <w:instrText xml:space="preserve"> ADDIN EN.CITE &lt;EndNote&gt;&lt;Cite&gt;&lt;Author&gt;Icon Water&lt;/Author&gt;&lt;Year&gt;2016&lt;/Year&gt;&lt;RecNum&gt;739&lt;/RecNum&gt;&lt;DisplayText&gt;Icon Water, 2016c: &lt;/DisplayText&gt;&lt;record&gt;&lt;rec-number&gt;739&lt;/rec-number&gt;&lt;foreign-keys&gt;&lt;key app="EN" db-id="5xwt9zxa6r5fesevwr5xzp97r95ev9wx9zpw" timestamp="1468804218"&gt;739&lt;/key&gt;&lt;key app="ENWeb" db-id=""&gt;0&lt;/key&gt;&lt;/foreign-keys&gt;&lt;ref-type name="AAA ICRC Water References"&gt;40&lt;/ref-type&gt;&lt;contributors&gt;&lt;authors&gt;&lt;author&gt;Icon Water,&lt;/author&gt;&lt;/authors&gt;&lt;/contributors&gt;&lt;titles&gt;&lt;title&gt;Submission No 9 to the Tariff Review 2016&lt;/title&gt;&lt;/titles&gt;&lt;dates&gt;&lt;year&gt;2016&lt;/year&gt;&lt;pub-dates&gt;&lt;date&gt;15 July 2016&lt;/date&gt;&lt;/pub-dates&gt;&lt;/dates&gt;&lt;pub-location&gt;Canberra&lt;/pub-location&gt;&lt;urls&gt;&lt;/urls&gt;&lt;/record&gt;&lt;/Cite&gt;&lt;/EndNote&gt;</w:instrText>
      </w:r>
      <w:r>
        <w:fldChar w:fldCharType="separate"/>
      </w:r>
      <w:r>
        <w:rPr>
          <w:noProof/>
        </w:rPr>
        <w:t xml:space="preserve">Icon Water, 2016c: </w:t>
      </w:r>
      <w:r>
        <w:fldChar w:fldCharType="end"/>
      </w:r>
      <w:r>
        <w:t>18.</w:t>
      </w:r>
    </w:p>
  </w:footnote>
  <w:footnote w:id="27">
    <w:p w:rsidR="001B0AB1" w:rsidRDefault="001B0AB1">
      <w:pPr>
        <w:pStyle w:val="FootnoteText"/>
      </w:pPr>
      <w:r>
        <w:rPr>
          <w:rStyle w:val="FootnoteReference"/>
        </w:rPr>
        <w:footnoteRef/>
      </w:r>
      <w:r>
        <w:t xml:space="preserve"> </w:t>
      </w:r>
      <w:r>
        <w:fldChar w:fldCharType="begin"/>
      </w:r>
      <w:r>
        <w:instrText xml:space="preserve"> ADDIN EN.CITE &lt;EndNote&gt;&lt;Cite&gt;&lt;Author&gt;Denham&lt;/Author&gt;&lt;Year&gt;2016&lt;/Year&gt;&lt;RecNum&gt;737&lt;/RecNum&gt;&lt;DisplayText&gt;Denham, 2016: &lt;/DisplayText&gt;&lt;record&gt;&lt;rec-number&gt;737&lt;/rec-number&gt;&lt;foreign-keys&gt;&lt;key app="EN" db-id="5xwt9zxa6r5fesevwr5xzp97r95ev9wx9zpw" timestamp="1468365556"&gt;737&lt;/key&gt;&lt;key app="ENWeb" db-id=""&gt;0&lt;/key&gt;&lt;/foreign-keys&gt;&lt;ref-type name="AAA ICRC Water References"&gt;40&lt;/ref-type&gt;&lt;contributors&gt;&lt;authors&gt;&lt;author&gt;Denham, D&lt;/author&gt;&lt;/authors&gt;&lt;/contributors&gt;&lt;titles&gt;&lt;title&gt;Submission No 7 to the 2016 Tariff Review&lt;/title&gt;&lt;/titles&gt;&lt;dates&gt;&lt;year&gt;2016&lt;/year&gt;&lt;/dates&gt;&lt;pub-location&gt;Canberra&lt;/pub-location&gt;&lt;urls&gt;&lt;/urls&gt;&lt;/record&gt;&lt;/Cite&gt;&lt;/EndNote&gt;</w:instrText>
      </w:r>
      <w:r>
        <w:fldChar w:fldCharType="separate"/>
      </w:r>
      <w:r>
        <w:rPr>
          <w:noProof/>
        </w:rPr>
        <w:t xml:space="preserve">Denham, 2016: </w:t>
      </w:r>
      <w:r>
        <w:fldChar w:fldCharType="end"/>
      </w:r>
      <w:r>
        <w:t>2.</w:t>
      </w:r>
    </w:p>
  </w:footnote>
  <w:footnote w:id="28">
    <w:p w:rsidR="001B0AB1" w:rsidRDefault="001B0AB1">
      <w:pPr>
        <w:pStyle w:val="FootnoteText"/>
      </w:pPr>
      <w:r>
        <w:rPr>
          <w:rStyle w:val="FootnoteReference"/>
        </w:rPr>
        <w:footnoteRef/>
      </w:r>
      <w:r>
        <w:t xml:space="preserve"> </w:t>
      </w:r>
      <w:r>
        <w:fldChar w:fldCharType="begin"/>
      </w:r>
      <w:r>
        <w:instrText xml:space="preserve"> ADDIN EN.CITE &lt;EndNote&gt;&lt;Cite&gt;&lt;Author&gt;Icon Water&lt;/Author&gt;&lt;Year&gt;2016&lt;/Year&gt;&lt;RecNum&gt;739&lt;/RecNum&gt;&lt;DisplayText&gt;Icon Water, 2016c: &lt;/DisplayText&gt;&lt;record&gt;&lt;rec-number&gt;739&lt;/rec-number&gt;&lt;foreign-keys&gt;&lt;key app="EN" db-id="5xwt9zxa6r5fesevwr5xzp97r95ev9wx9zpw" timestamp="1468804218"&gt;739&lt;/key&gt;&lt;key app="ENWeb" db-id=""&gt;0&lt;/key&gt;&lt;/foreign-keys&gt;&lt;ref-type name="AAA ICRC Water References"&gt;40&lt;/ref-type&gt;&lt;contributors&gt;&lt;authors&gt;&lt;author&gt;Icon Water,&lt;/author&gt;&lt;/authors&gt;&lt;/contributors&gt;&lt;titles&gt;&lt;title&gt;Submission No 9 to the Tariff Review 2016&lt;/title&gt;&lt;/titles&gt;&lt;dates&gt;&lt;year&gt;2016&lt;/year&gt;&lt;pub-dates&gt;&lt;date&gt;15 July 2016&lt;/date&gt;&lt;/pub-dates&gt;&lt;/dates&gt;&lt;pub-location&gt;Canberra&lt;/pub-location&gt;&lt;urls&gt;&lt;/urls&gt;&lt;/record&gt;&lt;/Cite&gt;&lt;/EndNote&gt;</w:instrText>
      </w:r>
      <w:r>
        <w:fldChar w:fldCharType="separate"/>
      </w:r>
      <w:r>
        <w:rPr>
          <w:noProof/>
        </w:rPr>
        <w:t xml:space="preserve">Icon Water, 2016c: </w:t>
      </w:r>
      <w:r>
        <w:fldChar w:fldCharType="end"/>
      </w:r>
      <w:r>
        <w:t>20.</w:t>
      </w:r>
    </w:p>
  </w:footnote>
  <w:footnote w:id="29">
    <w:p w:rsidR="001B0AB1" w:rsidRDefault="001B0AB1" w:rsidP="007B7BF3">
      <w:pPr>
        <w:pStyle w:val="FootnoteText"/>
      </w:pPr>
      <w:r>
        <w:rPr>
          <w:rStyle w:val="FootnoteReference"/>
        </w:rPr>
        <w:footnoteRef/>
      </w:r>
      <w:r>
        <w:t xml:space="preserve"> </w:t>
      </w:r>
      <w:r>
        <w:fldChar w:fldCharType="begin"/>
      </w:r>
      <w:r>
        <w:instrText xml:space="preserve"> ADDIN EN.CITE &lt;EndNote&gt;&lt;Cite&gt;&lt;Author&gt;Icon Water&lt;/Author&gt;&lt;Year&gt;2016&lt;/Year&gt;&lt;RecNum&gt;739&lt;/RecNum&gt;&lt;DisplayText&gt;Icon Water, 2016c: &lt;/DisplayText&gt;&lt;record&gt;&lt;rec-number&gt;739&lt;/rec-number&gt;&lt;foreign-keys&gt;&lt;key app="EN" db-id="5xwt9zxa6r5fesevwr5xzp97r95ev9wx9zpw" timestamp="1468804218"&gt;739&lt;/key&gt;&lt;key app="ENWeb" db-id=""&gt;0&lt;/key&gt;&lt;/foreign-keys&gt;&lt;ref-type name="AAA ICRC Water References"&gt;40&lt;/ref-type&gt;&lt;contributors&gt;&lt;authors&gt;&lt;author&gt;Icon Water,&lt;/author&gt;&lt;/authors&gt;&lt;/contributors&gt;&lt;titles&gt;&lt;title&gt;Submission No 9 to the Tariff Review 2016&lt;/title&gt;&lt;/titles&gt;&lt;dates&gt;&lt;year&gt;2016&lt;/year&gt;&lt;pub-dates&gt;&lt;date&gt;15 July 2016&lt;/date&gt;&lt;/pub-dates&gt;&lt;/dates&gt;&lt;pub-location&gt;Canberra&lt;/pub-location&gt;&lt;urls&gt;&lt;/urls&gt;&lt;/record&gt;&lt;/Cite&gt;&lt;/EndNote&gt;</w:instrText>
      </w:r>
      <w:r>
        <w:fldChar w:fldCharType="separate"/>
      </w:r>
      <w:r>
        <w:rPr>
          <w:noProof/>
        </w:rPr>
        <w:t xml:space="preserve">Icon Water, 2016c: </w:t>
      </w:r>
      <w:r>
        <w:fldChar w:fldCharType="end"/>
      </w:r>
      <w:r>
        <w:t>9.</w:t>
      </w:r>
    </w:p>
  </w:footnote>
  <w:footnote w:id="30">
    <w:p w:rsidR="001B0AB1" w:rsidRDefault="001B0AB1">
      <w:pPr>
        <w:pStyle w:val="FootnoteText"/>
      </w:pPr>
      <w:r>
        <w:rPr>
          <w:rStyle w:val="FootnoteReference"/>
        </w:rPr>
        <w:footnoteRef/>
      </w:r>
      <w:r>
        <w:t xml:space="preserve"> </w:t>
      </w:r>
      <w:r>
        <w:fldChar w:fldCharType="begin"/>
      </w:r>
      <w:r>
        <w:instrText xml:space="preserve"> ADDIN EN.CITE &lt;EndNote&gt;&lt;Cite&gt;&lt;Author&gt;Icon Water&lt;/Author&gt;&lt;Year&gt;2016&lt;/Year&gt;&lt;RecNum&gt;728&lt;/RecNum&gt;&lt;DisplayText&gt;Icon Water, 2016b: &lt;/DisplayText&gt;&lt;record&gt;&lt;rec-number&gt;728&lt;/rec-number&gt;&lt;foreign-keys&gt;&lt;key app="EN" db-id="5xwt9zxa6r5fesevwr5xzp97r95ev9wx9zpw" timestamp="1465200452"&gt;728&lt;/key&gt;&lt;/foreign-keys&gt;&lt;ref-type name="AAA ICRC Water References"&gt;40&lt;/ref-type&gt;&lt;contributors&gt;&lt;authors&gt;&lt;author&gt;Icon Water,&lt;/author&gt;&lt;/authors&gt;&lt;/contributors&gt;&lt;titles&gt;&lt;title&gt;Submission No 1 to the Tariff Review 2016&lt;/title&gt;&lt;/titles&gt;&lt;dates&gt;&lt;year&gt;2016&lt;/year&gt;&lt;pub-dates&gt;&lt;date&gt;8 January 2016&lt;/date&gt;&lt;/pub-dates&gt;&lt;/dates&gt;&lt;pub-location&gt;Canberra&lt;/pub-location&gt;&lt;publisher&gt;Icon Water&lt;/publisher&gt;&lt;urls&gt;&lt;/urls&gt;&lt;/record&gt;&lt;/Cite&gt;&lt;/EndNote&gt;</w:instrText>
      </w:r>
      <w:r>
        <w:fldChar w:fldCharType="separate"/>
      </w:r>
      <w:r>
        <w:rPr>
          <w:noProof/>
        </w:rPr>
        <w:t xml:space="preserve">Icon Water, 2016b: </w:t>
      </w:r>
      <w:r>
        <w:fldChar w:fldCharType="end"/>
      </w:r>
      <w:r>
        <w:t>3.</w:t>
      </w:r>
    </w:p>
  </w:footnote>
  <w:footnote w:id="31">
    <w:p w:rsidR="001B0AB1" w:rsidRDefault="001B0AB1">
      <w:pPr>
        <w:pStyle w:val="FootnoteText"/>
      </w:pPr>
      <w:r>
        <w:rPr>
          <w:rStyle w:val="FootnoteReference"/>
        </w:rPr>
        <w:footnoteRef/>
      </w:r>
      <w:r>
        <w:t xml:space="preserve"> </w:t>
      </w:r>
      <w:r>
        <w:fldChar w:fldCharType="begin"/>
      </w:r>
      <w:r>
        <w:instrText xml:space="preserve"> ADDIN EN.CITE &lt;EndNote&gt;&lt;Cite&gt;&lt;Author&gt;Icon Water&lt;/Author&gt;&lt;Year&gt;2016&lt;/Year&gt;&lt;RecNum&gt;739&lt;/RecNum&gt;&lt;DisplayText&gt;Icon Water, 2016c: &lt;/DisplayText&gt;&lt;record&gt;&lt;rec-number&gt;739&lt;/rec-number&gt;&lt;foreign-keys&gt;&lt;key app="EN" db-id="5xwt9zxa6r5fesevwr5xzp97r95ev9wx9zpw" timestamp="1468804218"&gt;739&lt;/key&gt;&lt;key app="ENWeb" db-id=""&gt;0&lt;/key&gt;&lt;/foreign-keys&gt;&lt;ref-type name="AAA ICRC Water References"&gt;40&lt;/ref-type&gt;&lt;contributors&gt;&lt;authors&gt;&lt;author&gt;Icon Water,&lt;/author&gt;&lt;/authors&gt;&lt;/contributors&gt;&lt;titles&gt;&lt;title&gt;Submission No 9 to the Tariff Review 2016&lt;/title&gt;&lt;/titles&gt;&lt;dates&gt;&lt;year&gt;2016&lt;/year&gt;&lt;pub-dates&gt;&lt;date&gt;15 July 2016&lt;/date&gt;&lt;/pub-dates&gt;&lt;/dates&gt;&lt;pub-location&gt;Canberra&lt;/pub-location&gt;&lt;urls&gt;&lt;/urls&gt;&lt;/record&gt;&lt;/Cite&gt;&lt;/EndNote&gt;</w:instrText>
      </w:r>
      <w:r>
        <w:fldChar w:fldCharType="separate"/>
      </w:r>
      <w:r>
        <w:rPr>
          <w:noProof/>
        </w:rPr>
        <w:t xml:space="preserve">Icon Water, 2016c: </w:t>
      </w:r>
      <w:r>
        <w:fldChar w:fldCharType="end"/>
      </w:r>
      <w:r>
        <w:t>17.</w:t>
      </w:r>
    </w:p>
  </w:footnote>
  <w:footnote w:id="32">
    <w:p w:rsidR="001B0AB1" w:rsidRDefault="001B0AB1">
      <w:pPr>
        <w:pStyle w:val="FootnoteText"/>
      </w:pPr>
      <w:r>
        <w:rPr>
          <w:rStyle w:val="FootnoteReference"/>
        </w:rPr>
        <w:footnoteRef/>
      </w:r>
      <w:r>
        <w:t xml:space="preserve"> </w:t>
      </w:r>
      <w:r>
        <w:fldChar w:fldCharType="begin"/>
      </w:r>
      <w:r>
        <w:instrText xml:space="preserve"> ADDIN EN.CITE &lt;EndNote&gt;&lt;Cite&gt;&lt;Author&gt;Icon Water&lt;/Author&gt;&lt;Year&gt;2016&lt;/Year&gt;&lt;RecNum&gt;739&lt;/RecNum&gt;&lt;DisplayText&gt;Icon Water, 2016c: &lt;/DisplayText&gt;&lt;record&gt;&lt;rec-number&gt;739&lt;/rec-number&gt;&lt;foreign-keys&gt;&lt;key app="EN" db-id="5xwt9zxa6r5fesevwr5xzp97r95ev9wx9zpw" timestamp="1468804218"&gt;739&lt;/key&gt;&lt;key app="ENWeb" db-id=""&gt;0&lt;/key&gt;&lt;/foreign-keys&gt;&lt;ref-type name="AAA ICRC Water References"&gt;40&lt;/ref-type&gt;&lt;contributors&gt;&lt;authors&gt;&lt;author&gt;Icon Water,&lt;/author&gt;&lt;/authors&gt;&lt;/contributors&gt;&lt;titles&gt;&lt;title&gt;Submission No 9 to the Tariff Review 2016&lt;/title&gt;&lt;/titles&gt;&lt;dates&gt;&lt;year&gt;2016&lt;/year&gt;&lt;pub-dates&gt;&lt;date&gt;15 July 2016&lt;/date&gt;&lt;/pub-dates&gt;&lt;/dates&gt;&lt;pub-location&gt;Canberra&lt;/pub-location&gt;&lt;urls&gt;&lt;/urls&gt;&lt;/record&gt;&lt;/Cite&gt;&lt;/EndNote&gt;</w:instrText>
      </w:r>
      <w:r>
        <w:fldChar w:fldCharType="separate"/>
      </w:r>
      <w:r>
        <w:rPr>
          <w:noProof/>
        </w:rPr>
        <w:t xml:space="preserve">Icon Water, 2016c: </w:t>
      </w:r>
      <w:r>
        <w:fldChar w:fldCharType="end"/>
      </w:r>
      <w:r>
        <w:t>19.</w:t>
      </w:r>
    </w:p>
  </w:footnote>
  <w:footnote w:id="33">
    <w:p w:rsidR="001B0AB1" w:rsidRDefault="001B0AB1" w:rsidP="00932AAE">
      <w:pPr>
        <w:pStyle w:val="FootnoteText"/>
      </w:pPr>
      <w:r>
        <w:rPr>
          <w:rStyle w:val="FootnoteReference"/>
        </w:rPr>
        <w:footnoteRef/>
      </w:r>
      <w:r>
        <w:t xml:space="preserve"> </w:t>
      </w:r>
      <w:r>
        <w:fldChar w:fldCharType="begin"/>
      </w:r>
      <w:r>
        <w:instrText xml:space="preserve"> ADDIN EN.CITE &lt;EndNote&gt;&lt;Cite&gt;&lt;Author&gt;Industry Panel&lt;/Author&gt;&lt;Year&gt;2015&lt;/Year&gt;&lt;RecNum&gt;565&lt;/RecNum&gt;&lt;DisplayText&gt;Industry Panel, 2015: &lt;/DisplayText&gt;&lt;record&gt;&lt;rec-number&gt;565&lt;/rec-number&gt;&lt;foreign-keys&gt;&lt;key app="EN" db-id="5xwt9zxa6r5fesevwr5xzp97r95ev9wx9zpw" timestamp="1468455324"&gt;565&lt;/key&gt;&lt;key app="ENWeb" db-id=""&gt;0&lt;/key&gt;&lt;/foreign-keys&gt;&lt;ref-type name="AAA ICRC Water References"&gt;40&lt;/ref-type&gt;&lt;contributors&gt;&lt;authors&gt;&lt;author&gt;Industry Panel,&lt;/author&gt;&lt;/authors&gt;&lt;/contributors&gt;&lt;titles&gt;&lt;title&gt;Substituted Price Direction: Regulated Water and Sewerage Services 1 July 2013 to 30 June 2018&lt;/title&gt;&lt;/titles&gt;&lt;dates&gt;&lt;year&gt;2015&lt;/year&gt;&lt;pub-dates&gt;&lt;date&gt;April 2015&lt;/date&gt;&lt;/pub-dates&gt;&lt;/dates&gt;&lt;pub-location&gt;Canberra&lt;/pub-location&gt;&lt;publisher&gt;Industry Panel&lt;/publisher&gt;&lt;urls&gt;&lt;/urls&gt;&lt;/record&gt;&lt;/Cite&gt;&lt;/EndNote&gt;</w:instrText>
      </w:r>
      <w:r>
        <w:fldChar w:fldCharType="separate"/>
      </w:r>
      <w:r>
        <w:rPr>
          <w:noProof/>
        </w:rPr>
        <w:t xml:space="preserve">Industry Panel, 2015: </w:t>
      </w:r>
      <w:r>
        <w:fldChar w:fldCharType="end"/>
      </w:r>
      <w:r>
        <w:t>27.</w:t>
      </w:r>
    </w:p>
  </w:footnote>
  <w:footnote w:id="34">
    <w:p w:rsidR="001B0AB1" w:rsidRDefault="001B0AB1" w:rsidP="00932AAE">
      <w:pPr>
        <w:pStyle w:val="FootnoteText"/>
      </w:pPr>
      <w:r>
        <w:rPr>
          <w:rStyle w:val="FootnoteReference"/>
        </w:rPr>
        <w:footnoteRef/>
      </w:r>
      <w:r>
        <w:t xml:space="preserve"> </w:t>
      </w:r>
      <w:r>
        <w:fldChar w:fldCharType="begin"/>
      </w:r>
      <w:r>
        <w:instrText xml:space="preserve"> ADDIN EN.CITE &lt;EndNote&gt;&lt;Cite&gt;&lt;Author&gt;Icon Water&lt;/Author&gt;&lt;Year&gt;2016&lt;/Year&gt;&lt;RecNum&gt;739&lt;/RecNum&gt;&lt;DisplayText&gt;Icon Water, 2016c: &lt;/DisplayText&gt;&lt;record&gt;&lt;rec-number&gt;739&lt;/rec-number&gt;&lt;foreign-keys&gt;&lt;key app="EN" db-id="5xwt9zxa6r5fesevwr5xzp97r95ev9wx9zpw" timestamp="1468804218"&gt;739&lt;/key&gt;&lt;key app="ENWeb" db-id=""&gt;0&lt;/key&gt;&lt;/foreign-keys&gt;&lt;ref-type name="AAA ICRC Water References"&gt;40&lt;/ref-type&gt;&lt;contributors&gt;&lt;authors&gt;&lt;author&gt;Icon Water,&lt;/author&gt;&lt;/authors&gt;&lt;/contributors&gt;&lt;titles&gt;&lt;title&gt;Submission No 9 to the Tariff Review 2016&lt;/title&gt;&lt;/titles&gt;&lt;dates&gt;&lt;year&gt;2016&lt;/year&gt;&lt;pub-dates&gt;&lt;date&gt;15 July 2016&lt;/date&gt;&lt;/pub-dates&gt;&lt;/dates&gt;&lt;pub-location&gt;Canberra&lt;/pub-location&gt;&lt;urls&gt;&lt;/urls&gt;&lt;/record&gt;&lt;/Cite&gt;&lt;/EndNote&gt;</w:instrText>
      </w:r>
      <w:r>
        <w:fldChar w:fldCharType="separate"/>
      </w:r>
      <w:r>
        <w:rPr>
          <w:noProof/>
        </w:rPr>
        <w:t xml:space="preserve">Icon Water, 2016c: </w:t>
      </w:r>
      <w:r>
        <w:fldChar w:fldCharType="end"/>
      </w:r>
      <w:r>
        <w:t>5.</w:t>
      </w:r>
    </w:p>
  </w:footnote>
  <w:footnote w:id="35">
    <w:p w:rsidR="001B0AB1" w:rsidRDefault="001B0AB1" w:rsidP="0012112F">
      <w:pPr>
        <w:pStyle w:val="FootnoteText"/>
      </w:pPr>
      <w:r>
        <w:rPr>
          <w:rStyle w:val="FootnoteReference"/>
        </w:rPr>
        <w:footnoteRef/>
      </w:r>
      <w:r>
        <w:t xml:space="preserve"> It is important to note that prices can be cost-reflective only if the costs reflected are prudent and efficient.</w:t>
      </w:r>
    </w:p>
  </w:footnote>
  <w:footnote w:id="36">
    <w:p w:rsidR="001B0AB1" w:rsidRDefault="001B0AB1">
      <w:pPr>
        <w:pStyle w:val="FootnoteText"/>
      </w:pPr>
      <w:r>
        <w:rPr>
          <w:rStyle w:val="FootnoteReference"/>
        </w:rPr>
        <w:footnoteRef/>
      </w:r>
      <w:r>
        <w:t xml:space="preserve"> These included textbook marginal cost (TMC), average incremental cost (AIC) and marginal incremental cost (MIC).</w:t>
      </w:r>
    </w:p>
  </w:footnote>
  <w:footnote w:id="37">
    <w:p w:rsidR="001B0AB1" w:rsidRDefault="001B0AB1" w:rsidP="00AD168F">
      <w:pPr>
        <w:pStyle w:val="FootnoteText"/>
      </w:pPr>
      <w:r>
        <w:rPr>
          <w:rStyle w:val="FootnoteReference"/>
        </w:rPr>
        <w:footnoteRef/>
      </w:r>
      <w:r>
        <w:t xml:space="preserve"> </w:t>
      </w:r>
      <w:r>
        <w:fldChar w:fldCharType="begin"/>
      </w:r>
      <w:r>
        <w:instrText xml:space="preserve"> ADDIN EN.CITE &lt;EndNote&gt;&lt;Cite&gt;&lt;Author&gt;Icon Water&lt;/Author&gt;&lt;Year&gt;2016&lt;/Year&gt;&lt;RecNum&gt;739&lt;/RecNum&gt;&lt;DisplayText&gt;Icon Water, 2016c: &lt;/DisplayText&gt;&lt;record&gt;&lt;rec-number&gt;739&lt;/rec-number&gt;&lt;foreign-keys&gt;&lt;key app="EN" db-id="5xwt9zxa6r5fesevwr5xzp97r95ev9wx9zpw" timestamp="1468804218"&gt;739&lt;/key&gt;&lt;key app="ENWeb" db-id=""&gt;0&lt;/key&gt;&lt;/foreign-keys&gt;&lt;ref-type name="AAA ICRC Water References"&gt;40&lt;/ref-type&gt;&lt;contributors&gt;&lt;authors&gt;&lt;author&gt;Icon Water,&lt;/author&gt;&lt;/authors&gt;&lt;/contributors&gt;&lt;titles&gt;&lt;title&gt;Submission No 9 to the Tariff Review 2016&lt;/title&gt;&lt;/titles&gt;&lt;dates&gt;&lt;year&gt;2016&lt;/year&gt;&lt;pub-dates&gt;&lt;date&gt;15 July 2016&lt;/date&gt;&lt;/pub-dates&gt;&lt;/dates&gt;&lt;pub-location&gt;Canberra&lt;/pub-location&gt;&lt;urls&gt;&lt;/urls&gt;&lt;/record&gt;&lt;/Cite&gt;&lt;/EndNote&gt;</w:instrText>
      </w:r>
      <w:r>
        <w:fldChar w:fldCharType="separate"/>
      </w:r>
      <w:r>
        <w:rPr>
          <w:noProof/>
        </w:rPr>
        <w:t xml:space="preserve">Icon Water, 2016c: </w:t>
      </w:r>
      <w:r>
        <w:fldChar w:fldCharType="end"/>
      </w:r>
      <w:r>
        <w:t>5.</w:t>
      </w:r>
    </w:p>
  </w:footnote>
  <w:footnote w:id="38">
    <w:p w:rsidR="001B0AB1" w:rsidRDefault="001B0AB1" w:rsidP="00351ECD">
      <w:pPr>
        <w:pStyle w:val="FootnoteText"/>
      </w:pPr>
      <w:r>
        <w:rPr>
          <w:rStyle w:val="FootnoteReference"/>
        </w:rPr>
        <w:footnoteRef/>
      </w:r>
      <w:r>
        <w:t xml:space="preserve"> </w:t>
      </w:r>
      <w:r>
        <w:fldChar w:fldCharType="begin"/>
      </w:r>
      <w:r>
        <w:instrText xml:space="preserve"> ADDIN EN.CITE &lt;EndNote&gt;&lt;Cite&gt;&lt;Author&gt;ACAT&lt;/Author&gt;&lt;Year&gt;2016&lt;/Year&gt;&lt;RecNum&gt;740&lt;/RecNum&gt;&lt;DisplayText&gt;ACAT, 2016: &lt;/DisplayText&gt;&lt;record&gt;&lt;rec-number&gt;740&lt;/rec-number&gt;&lt;foreign-keys&gt;&lt;key app="EN" db-id="5xwt9zxa6r5fesevwr5xzp97r95ev9wx9zpw" timestamp="1469162478"&gt;740&lt;/key&gt;&lt;key app="ENWeb" db-id=""&gt;0&lt;/key&gt;&lt;/foreign-keys&gt;&lt;ref-type name="AAA ICRC Water References"&gt;40&lt;/ref-type&gt;&lt;contributors&gt;&lt;authors&gt;&lt;author&gt;ACAT,&lt;/author&gt;&lt;/authors&gt;&lt;/contributors&gt;&lt;titles&gt;&lt;title&gt;Submission No 4 to the 2016 Tariff Review&lt;/title&gt;&lt;/titles&gt;&lt;dates&gt;&lt;year&gt;2016&lt;/year&gt;&lt;pub-dates&gt;&lt;date&gt;26 February 2016&lt;/date&gt;&lt;/pub-dates&gt;&lt;/dates&gt;&lt;pub-location&gt;Canberra&lt;/pub-location&gt;&lt;urls&gt;&lt;/urls&gt;&lt;/record&gt;&lt;/Cite&gt;&lt;/EndNote&gt;</w:instrText>
      </w:r>
      <w:r>
        <w:fldChar w:fldCharType="separate"/>
      </w:r>
      <w:r>
        <w:rPr>
          <w:noProof/>
        </w:rPr>
        <w:t xml:space="preserve">ACAT, 2016: </w:t>
      </w:r>
      <w:r>
        <w:fldChar w:fldCharType="end"/>
      </w:r>
      <w:r>
        <w:t>2.</w:t>
      </w:r>
    </w:p>
  </w:footnote>
  <w:footnote w:id="39">
    <w:p w:rsidR="001B0AB1" w:rsidRDefault="001B0AB1" w:rsidP="00351ECD">
      <w:pPr>
        <w:pStyle w:val="FootnoteText"/>
      </w:pPr>
      <w:r>
        <w:rPr>
          <w:rStyle w:val="FootnoteReference"/>
        </w:rPr>
        <w:footnoteRef/>
      </w:r>
      <w:r>
        <w:t xml:space="preserve"> </w:t>
      </w:r>
      <w:r>
        <w:fldChar w:fldCharType="begin"/>
      </w:r>
      <w:r>
        <w:instrText xml:space="preserve"> ADDIN EN.CITE &lt;EndNote&gt;&lt;Cite&gt;&lt;Author&gt;Rae&lt;/Author&gt;&lt;Year&gt;2016&lt;/Year&gt;&lt;RecNum&gt;730&lt;/RecNum&gt;&lt;DisplayText&gt;Rae, 2016: &lt;/DisplayText&gt;&lt;record&gt;&lt;rec-number&gt;730&lt;/rec-number&gt;&lt;foreign-keys&gt;&lt;key app="EN" db-id="5xwt9zxa6r5fesevwr5xzp97r95ev9wx9zpw" timestamp="1466984155"&gt;730&lt;/key&gt;&lt;key app="ENWeb" db-id=""&gt;0&lt;/key&gt;&lt;/foreign-keys&gt;&lt;ref-type name="AAA ICRC Water References"&gt;40&lt;/ref-type&gt;&lt;contributors&gt;&lt;authors&gt;&lt;author&gt;Rae, Jason&lt;/author&gt;&lt;/authors&gt;&lt;/contributors&gt;&lt;titles&gt;&lt;title&gt;Submission No 2 to the 2016 Tariff Review&lt;/title&gt;&lt;/titles&gt;&lt;dates&gt;&lt;year&gt;2016&lt;/year&gt;&lt;/dates&gt;&lt;pub-location&gt;Canberra&lt;/pub-location&gt;&lt;urls&gt;&lt;/urls&gt;&lt;/record&gt;&lt;/Cite&gt;&lt;/EndNote&gt;</w:instrText>
      </w:r>
      <w:r>
        <w:fldChar w:fldCharType="separate"/>
      </w:r>
      <w:r>
        <w:rPr>
          <w:noProof/>
        </w:rPr>
        <w:t xml:space="preserve">Rae, 2016: </w:t>
      </w:r>
      <w:r>
        <w:fldChar w:fldCharType="end"/>
      </w:r>
      <w:r>
        <w:t>1.</w:t>
      </w:r>
    </w:p>
  </w:footnote>
  <w:footnote w:id="40">
    <w:p w:rsidR="001B0AB1" w:rsidRDefault="001B0AB1">
      <w:pPr>
        <w:pStyle w:val="FootnoteText"/>
      </w:pPr>
      <w:r>
        <w:rPr>
          <w:rStyle w:val="FootnoteReference"/>
        </w:rPr>
        <w:footnoteRef/>
      </w:r>
      <w:r>
        <w:t xml:space="preserve"> </w:t>
      </w:r>
      <w:r>
        <w:fldChar w:fldCharType="begin"/>
      </w:r>
      <w:r>
        <w:instrText xml:space="preserve"> ADDIN EN.CITE &lt;EndNote&gt;&lt;Cite&gt;&lt;Author&gt;Knee&lt;/Author&gt;&lt;Year&gt;2016&lt;/Year&gt;&lt;RecNum&gt;733&lt;/RecNum&gt;&lt;DisplayText&gt;Knee, 2016: &lt;/DisplayText&gt;&lt;record&gt;&lt;rec-number&gt;733&lt;/rec-number&gt;&lt;foreign-keys&gt;&lt;key app="EN" db-id="5xwt9zxa6r5fesevwr5xzp97r95ev9wx9zpw" timestamp="1466984397"&gt;733&lt;/key&gt;&lt;/foreign-keys&gt;&lt;ref-type name="AAA ICRC Water References"&gt;40&lt;/ref-type&gt;&lt;contributors&gt;&lt;authors&gt;&lt;author&gt;Knee, Ross&lt;/author&gt;&lt;/authors&gt;&lt;/contributors&gt;&lt;titles&gt;&lt;title&gt;Submission No 6 to the 2016 Tariff Review&lt;/title&gt;&lt;/titles&gt;&lt;dates&gt;&lt;year&gt;2016&lt;/year&gt;&lt;/dates&gt;&lt;pub-location&gt;Canberra&lt;/pub-location&gt;&lt;urls&gt;&lt;/urls&gt;&lt;/record&gt;&lt;/Cite&gt;&lt;/EndNote&gt;</w:instrText>
      </w:r>
      <w:r>
        <w:fldChar w:fldCharType="separate"/>
      </w:r>
      <w:r>
        <w:rPr>
          <w:noProof/>
        </w:rPr>
        <w:t xml:space="preserve">Knee, 2016: </w:t>
      </w:r>
      <w:r>
        <w:fldChar w:fldCharType="end"/>
      </w:r>
      <w:r>
        <w:t>2.</w:t>
      </w:r>
    </w:p>
  </w:footnote>
  <w:footnote w:id="41">
    <w:p w:rsidR="001B0AB1" w:rsidRDefault="001B0AB1" w:rsidP="00351ECD">
      <w:pPr>
        <w:pStyle w:val="FootnoteText"/>
      </w:pPr>
      <w:r>
        <w:rPr>
          <w:rStyle w:val="FootnoteReference"/>
        </w:rPr>
        <w:footnoteRef/>
      </w:r>
      <w:r>
        <w:t xml:space="preserve"> </w:t>
      </w:r>
      <w:r>
        <w:fldChar w:fldCharType="begin"/>
      </w:r>
      <w:r>
        <w:instrText xml:space="preserve"> ADDIN EN.CITE &lt;EndNote&gt;&lt;Cite&gt;&lt;Author&gt;Denham&lt;/Author&gt;&lt;Year&gt;2016&lt;/Year&gt;&lt;RecNum&gt;737&lt;/RecNum&gt;&lt;DisplayText&gt;Denham, 2016: &lt;/DisplayText&gt;&lt;record&gt;&lt;rec-number&gt;737&lt;/rec-number&gt;&lt;foreign-keys&gt;&lt;key app="EN" db-id="5xwt9zxa6r5fesevwr5xzp97r95ev9wx9zpw" timestamp="1468365556"&gt;737&lt;/key&gt;&lt;key app="ENWeb" db-id=""&gt;0&lt;/key&gt;&lt;/foreign-keys&gt;&lt;ref-type name="AAA ICRC Water References"&gt;40&lt;/ref-type&gt;&lt;contributors&gt;&lt;authors&gt;&lt;author&gt;Denham, D&lt;/author&gt;&lt;/authors&gt;&lt;/contributors&gt;&lt;titles&gt;&lt;title&gt;Submission No 7 to the 2016 Tariff Review&lt;/title&gt;&lt;/titles&gt;&lt;dates&gt;&lt;year&gt;2016&lt;/year&gt;&lt;/dates&gt;&lt;pub-location&gt;Canberra&lt;/pub-location&gt;&lt;urls&gt;&lt;/urls&gt;&lt;/record&gt;&lt;/Cite&gt;&lt;/EndNote&gt;</w:instrText>
      </w:r>
      <w:r>
        <w:fldChar w:fldCharType="separate"/>
      </w:r>
      <w:r>
        <w:rPr>
          <w:noProof/>
        </w:rPr>
        <w:t xml:space="preserve">Denham, 2016: </w:t>
      </w:r>
      <w:r>
        <w:fldChar w:fldCharType="end"/>
      </w:r>
      <w:r>
        <w:t>2.</w:t>
      </w:r>
    </w:p>
  </w:footnote>
  <w:footnote w:id="42">
    <w:p w:rsidR="001B0AB1" w:rsidRDefault="001B0AB1" w:rsidP="00351ECD">
      <w:pPr>
        <w:pStyle w:val="FootnoteText"/>
      </w:pPr>
      <w:r>
        <w:rPr>
          <w:rStyle w:val="FootnoteReference"/>
        </w:rPr>
        <w:footnoteRef/>
      </w:r>
      <w:r>
        <w:t xml:space="preserve"> </w:t>
      </w:r>
      <w:r>
        <w:fldChar w:fldCharType="begin"/>
      </w:r>
      <w:r>
        <w:instrText xml:space="preserve"> ADDIN EN.CITE &lt;EndNote&gt;&lt;Cite&gt;&lt;Author&gt;Klugman&lt;/Author&gt;&lt;Year&gt;2016&lt;/Year&gt;&lt;RecNum&gt;731&lt;/RecNum&gt;&lt;DisplayText&gt;Klugman, 2016: &lt;/DisplayText&gt;&lt;record&gt;&lt;rec-number&gt;731&lt;/rec-number&gt;&lt;foreign-keys&gt;&lt;key app="EN" db-id="5xwt9zxa6r5fesevwr5xzp97r95ev9wx9zpw" timestamp="1466984264"&gt;731&lt;/key&gt;&lt;/foreign-keys&gt;&lt;ref-type name="AAA ICRC Water References"&gt;40&lt;/ref-type&gt;&lt;contributors&gt;&lt;authors&gt;&lt;author&gt;Klugman, Kristine&lt;/author&gt;&lt;/authors&gt;&lt;/contributors&gt;&lt;titles&gt;&lt;title&gt;Submission No 3 to the 2016 Tariff Review&lt;/title&gt;&lt;/titles&gt;&lt;dates&gt;&lt;year&gt;2016&lt;/year&gt;&lt;/dates&gt;&lt;pub-location&gt;Canberra&lt;/pub-location&gt;&lt;urls&gt;&lt;/urls&gt;&lt;/record&gt;&lt;/Cite&gt;&lt;/EndNote&gt;</w:instrText>
      </w:r>
      <w:r>
        <w:fldChar w:fldCharType="separate"/>
      </w:r>
      <w:r>
        <w:rPr>
          <w:noProof/>
        </w:rPr>
        <w:t xml:space="preserve">Klugman, 2016: </w:t>
      </w:r>
      <w:r>
        <w:fldChar w:fldCharType="end"/>
      </w:r>
      <w:r>
        <w:t>1.</w:t>
      </w:r>
    </w:p>
  </w:footnote>
  <w:footnote w:id="43">
    <w:p w:rsidR="001B0AB1" w:rsidRDefault="001B0AB1" w:rsidP="00351ECD">
      <w:pPr>
        <w:pStyle w:val="FootnoteText"/>
      </w:pPr>
      <w:r>
        <w:rPr>
          <w:rStyle w:val="FootnoteReference"/>
        </w:rPr>
        <w:footnoteRef/>
      </w:r>
      <w:r>
        <w:t xml:space="preserve"> </w:t>
      </w:r>
      <w:r>
        <w:fldChar w:fldCharType="begin"/>
      </w:r>
      <w:r>
        <w:instrText xml:space="preserve"> ADDIN EN.CITE &lt;EndNote&gt;&lt;Cite&gt;&lt;Author&gt;Federal Golf Club&lt;/Author&gt;&lt;Year&gt;2016&lt;/Year&gt;&lt;RecNum&gt;738&lt;/RecNum&gt;&lt;DisplayText&gt;Federal Golf Club, 2016: &lt;/DisplayText&gt;&lt;record&gt;&lt;rec-number&gt;738&lt;/rec-number&gt;&lt;foreign-keys&gt;&lt;key app="EN" db-id="5xwt9zxa6r5fesevwr5xzp97r95ev9wx9zpw" timestamp="1468382745"&gt;738&lt;/key&gt;&lt;key app="ENWeb" db-id=""&gt;0&lt;/key&gt;&lt;/foreign-keys&gt;&lt;ref-type name="AAA ICRC Water References"&gt;40&lt;/ref-type&gt;&lt;contributors&gt;&lt;authors&gt;&lt;author&gt;Federal Golf Club,&lt;/author&gt;&lt;/authors&gt;&lt;/contributors&gt;&lt;titles&gt;&lt;title&gt;Submission no 8 to the 2016 Tariff Review&lt;/title&gt;&lt;/titles&gt;&lt;dates&gt;&lt;year&gt;2016&lt;/year&gt;&lt;/dates&gt;&lt;pub-location&gt;Canberra&lt;/pub-location&gt;&lt;urls&gt;&lt;/urls&gt;&lt;/record&gt;&lt;/Cite&gt;&lt;/EndNote&gt;</w:instrText>
      </w:r>
      <w:r>
        <w:fldChar w:fldCharType="separate"/>
      </w:r>
      <w:r>
        <w:rPr>
          <w:noProof/>
        </w:rPr>
        <w:t xml:space="preserve">Federal Golf Club, 2016: </w:t>
      </w:r>
      <w:r>
        <w:fldChar w:fldCharType="end"/>
      </w:r>
      <w:r>
        <w:t>1.</w:t>
      </w:r>
    </w:p>
  </w:footnote>
  <w:footnote w:id="44">
    <w:p w:rsidR="001B0AB1" w:rsidRDefault="001B0AB1" w:rsidP="00351ECD">
      <w:pPr>
        <w:pStyle w:val="FootnoteText"/>
      </w:pPr>
      <w:r>
        <w:rPr>
          <w:rStyle w:val="FootnoteReference"/>
        </w:rPr>
        <w:footnoteRef/>
      </w:r>
      <w:r>
        <w:t xml:space="preserve"> </w:t>
      </w:r>
      <w:r>
        <w:fldChar w:fldCharType="begin"/>
      </w:r>
      <w:r>
        <w:instrText xml:space="preserve"> ADDIN EN.CITE &lt;EndNote&gt;&lt;Cite&gt;&lt;Author&gt;Icon Water&lt;/Author&gt;&lt;RecNum&gt;739&lt;/RecNum&gt;&lt;DisplayText&gt;Icon Water, 2016c: &lt;/DisplayText&gt;&lt;record&gt;&lt;rec-number&gt;739&lt;/rec-number&gt;&lt;foreign-keys&gt;&lt;key app="EN" db-id="5xwt9zxa6r5fesevwr5xzp97r95ev9wx9zpw" timestamp="1468804218"&gt;739&lt;/key&gt;&lt;key app="ENWeb" db-id=""&gt;0&lt;/key&gt;&lt;/foreign-keys&gt;&lt;ref-type name="AAA ICRC Water References"&gt;40&lt;/ref-type&gt;&lt;contributors&gt;&lt;authors&gt;&lt;author&gt;Icon Water,&lt;/author&gt;&lt;/authors&gt;&lt;/contributors&gt;&lt;titles&gt;&lt;title&gt;Submission No 9 to the Tariff Review 2016&lt;/title&gt;&lt;/titles&gt;&lt;dates&gt;&lt;year&gt;2016&lt;/year&gt;&lt;pub-dates&gt;&lt;date&gt;15 July 2016&lt;/date&gt;&lt;/pub-dates&gt;&lt;/dates&gt;&lt;pub-location&gt;Canberra&lt;/pub-location&gt;&lt;urls&gt;&lt;/urls&gt;&lt;/record&gt;&lt;/Cite&gt;&lt;/EndNote&gt;</w:instrText>
      </w:r>
      <w:r>
        <w:fldChar w:fldCharType="separate"/>
      </w:r>
      <w:r>
        <w:rPr>
          <w:noProof/>
        </w:rPr>
        <w:t xml:space="preserve">Icon Water, 2016c: </w:t>
      </w:r>
      <w:r>
        <w:fldChar w:fldCharType="end"/>
      </w:r>
      <w:r>
        <w:t>3.</w:t>
      </w:r>
    </w:p>
  </w:footnote>
  <w:footnote w:id="45">
    <w:p w:rsidR="001B0AB1" w:rsidRDefault="001B0AB1">
      <w:pPr>
        <w:pStyle w:val="FootnoteText"/>
      </w:pPr>
      <w:r>
        <w:rPr>
          <w:rStyle w:val="FootnoteReference"/>
        </w:rPr>
        <w:footnoteRef/>
      </w:r>
      <w:r>
        <w:t xml:space="preserve"> </w:t>
      </w:r>
      <w:r>
        <w:fldChar w:fldCharType="begin"/>
      </w:r>
      <w:r>
        <w:instrText xml:space="preserve"> ADDIN EN.CITE &lt;EndNote&gt;&lt;Cite&gt;&lt;Author&gt;Icon Water&lt;/Author&gt;&lt;Year&gt;2016&lt;/Year&gt;&lt;RecNum&gt;739&lt;/RecNum&gt;&lt;DisplayText&gt;Icon Water, 2016c: &lt;/DisplayText&gt;&lt;record&gt;&lt;rec-number&gt;739&lt;/rec-number&gt;&lt;foreign-keys&gt;&lt;key app="EN" db-id="5xwt9zxa6r5fesevwr5xzp97r95ev9wx9zpw" timestamp="1468804218"&gt;739&lt;/key&gt;&lt;key app="ENWeb" db-id=""&gt;0&lt;/key&gt;&lt;/foreign-keys&gt;&lt;ref-type name="AAA ICRC Water References"&gt;40&lt;/ref-type&gt;&lt;contributors&gt;&lt;authors&gt;&lt;author&gt;Icon Water,&lt;/author&gt;&lt;/authors&gt;&lt;/contributors&gt;&lt;titles&gt;&lt;title&gt;Submission No 9 to the Tariff Review 2016&lt;/title&gt;&lt;/titles&gt;&lt;dates&gt;&lt;year&gt;2016&lt;/year&gt;&lt;pub-dates&gt;&lt;date&gt;15 July 2016&lt;/date&gt;&lt;/pub-dates&gt;&lt;/dates&gt;&lt;pub-location&gt;Canberra&lt;/pub-location&gt;&lt;urls&gt;&lt;/urls&gt;&lt;/record&gt;&lt;/Cite&gt;&lt;/EndNote&gt;</w:instrText>
      </w:r>
      <w:r>
        <w:fldChar w:fldCharType="separate"/>
      </w:r>
      <w:r>
        <w:rPr>
          <w:noProof/>
        </w:rPr>
        <w:t xml:space="preserve">Icon Water, 2016c: </w:t>
      </w:r>
      <w:r>
        <w:fldChar w:fldCharType="end"/>
      </w:r>
      <w:r>
        <w:t>11-12.</w:t>
      </w:r>
    </w:p>
  </w:footnote>
  <w:footnote w:id="46">
    <w:p w:rsidR="001B0AB1" w:rsidRDefault="001B0AB1">
      <w:pPr>
        <w:pStyle w:val="FootnoteText"/>
      </w:pPr>
      <w:r>
        <w:rPr>
          <w:rStyle w:val="FootnoteReference"/>
        </w:rPr>
        <w:footnoteRef/>
      </w:r>
      <w:r>
        <w:t xml:space="preserve"> </w:t>
      </w:r>
      <w:r>
        <w:fldChar w:fldCharType="begin"/>
      </w:r>
      <w:r>
        <w:instrText xml:space="preserve"> ADDIN EN.CITE &lt;EndNote&gt;&lt;Cite&gt;&lt;Author&gt;Icon Water&lt;/Author&gt;&lt;Year&gt;2016&lt;/Year&gt;&lt;RecNum&gt;739&lt;/RecNum&gt;&lt;DisplayText&gt;Icon Water, 2016c: &lt;/DisplayText&gt;&lt;record&gt;&lt;rec-number&gt;739&lt;/rec-number&gt;&lt;foreign-keys&gt;&lt;key app="EN" db-id="5xwt9zxa6r5fesevwr5xzp97r95ev9wx9zpw" timestamp="1468804218"&gt;739&lt;/key&gt;&lt;key app="ENWeb" db-id=""&gt;0&lt;/key&gt;&lt;/foreign-keys&gt;&lt;ref-type name="AAA ICRC Water References"&gt;40&lt;/ref-type&gt;&lt;contributors&gt;&lt;authors&gt;&lt;author&gt;Icon Water,&lt;/author&gt;&lt;/authors&gt;&lt;/contributors&gt;&lt;titles&gt;&lt;title&gt;Submission No 9 to the Tariff Review 2016&lt;/title&gt;&lt;/titles&gt;&lt;dates&gt;&lt;year&gt;2016&lt;/year&gt;&lt;pub-dates&gt;&lt;date&gt;15 July 2016&lt;/date&gt;&lt;/pub-dates&gt;&lt;/dates&gt;&lt;pub-location&gt;Canberra&lt;/pub-location&gt;&lt;urls&gt;&lt;/urls&gt;&lt;/record&gt;&lt;/Cite&gt;&lt;/EndNote&gt;</w:instrText>
      </w:r>
      <w:r>
        <w:fldChar w:fldCharType="separate"/>
      </w:r>
      <w:r>
        <w:rPr>
          <w:noProof/>
        </w:rPr>
        <w:t xml:space="preserve">Icon Water, 2016c: </w:t>
      </w:r>
      <w:r>
        <w:fldChar w:fldCharType="end"/>
      </w:r>
      <w:r>
        <w:t>12.</w:t>
      </w:r>
    </w:p>
  </w:footnote>
  <w:footnote w:id="47">
    <w:p w:rsidR="001B0AB1" w:rsidRDefault="001B0AB1">
      <w:pPr>
        <w:pStyle w:val="FootnoteText"/>
      </w:pPr>
      <w:r>
        <w:rPr>
          <w:rStyle w:val="FootnoteReference"/>
        </w:rPr>
        <w:footnoteRef/>
      </w:r>
      <w:r>
        <w:t xml:space="preserve"> </w:t>
      </w:r>
      <w:r>
        <w:fldChar w:fldCharType="begin"/>
      </w:r>
      <w:r>
        <w:instrText xml:space="preserve"> ADDIN EN.CITE &lt;EndNote&gt;&lt;Cite&gt;&lt;Author&gt;Icon Water&lt;/Author&gt;&lt;Year&gt;2016&lt;/Year&gt;&lt;RecNum&gt;739&lt;/RecNum&gt;&lt;DisplayText&gt;Icon Water, 2016c: &lt;/DisplayText&gt;&lt;record&gt;&lt;rec-number&gt;739&lt;/rec-number&gt;&lt;foreign-keys&gt;&lt;key app="EN" db-id="5xwt9zxa6r5fesevwr5xzp97r95ev9wx9zpw" timestamp="1468804218"&gt;739&lt;/key&gt;&lt;key app="ENWeb" db-id=""&gt;0&lt;/key&gt;&lt;/foreign-keys&gt;&lt;ref-type name="AAA ICRC Water References"&gt;40&lt;/ref-type&gt;&lt;contributors&gt;&lt;authors&gt;&lt;author&gt;Icon Water,&lt;/author&gt;&lt;/authors&gt;&lt;/contributors&gt;&lt;titles&gt;&lt;title&gt;Submission No 9 to the Tariff Review 2016&lt;/title&gt;&lt;/titles&gt;&lt;dates&gt;&lt;year&gt;2016&lt;/year&gt;&lt;pub-dates&gt;&lt;date&gt;15 July 2016&lt;/date&gt;&lt;/pub-dates&gt;&lt;/dates&gt;&lt;pub-location&gt;Canberra&lt;/pub-location&gt;&lt;urls&gt;&lt;/urls&gt;&lt;/record&gt;&lt;/Cite&gt;&lt;/EndNote&gt;</w:instrText>
      </w:r>
      <w:r>
        <w:fldChar w:fldCharType="separate"/>
      </w:r>
      <w:r>
        <w:rPr>
          <w:noProof/>
        </w:rPr>
        <w:t xml:space="preserve">Icon Water, 2016c: </w:t>
      </w:r>
      <w:r>
        <w:fldChar w:fldCharType="end"/>
      </w:r>
      <w:r>
        <w:t>15.</w:t>
      </w:r>
    </w:p>
  </w:footnote>
  <w:footnote w:id="48">
    <w:p w:rsidR="001B0AB1" w:rsidRDefault="001B0AB1" w:rsidP="00D21608">
      <w:pPr>
        <w:pStyle w:val="FootnoteText"/>
      </w:pPr>
      <w:r>
        <w:rPr>
          <w:rStyle w:val="FootnoteReference"/>
        </w:rPr>
        <w:footnoteRef/>
      </w:r>
      <w:r>
        <w:t xml:space="preserve"> </w:t>
      </w:r>
      <w:r>
        <w:fldChar w:fldCharType="begin"/>
      </w:r>
      <w:r>
        <w:instrText xml:space="preserve"> ADDIN EN.CITE &lt;EndNote&gt;&lt;Cite&gt;&lt;Author&gt;ClubsACT&lt;/Author&gt;&lt;Year&gt;2016&lt;/Year&gt;&lt;RecNum&gt;736&lt;/RecNum&gt;&lt;DisplayText&gt;ClubsACT, 2016: &lt;/DisplayText&gt;&lt;record&gt;&lt;rec-number&gt;736&lt;/rec-number&gt;&lt;foreign-keys&gt;&lt;key app="EN" db-id="5xwt9zxa6r5fesevwr5xzp97r95ev9wx9zpw" timestamp="1467329642"&gt;736&lt;/key&gt;&lt;key app="ENWeb" db-id=""&gt;0&lt;/key&gt;&lt;/foreign-keys&gt;&lt;ref-type name="AAA ICRC Water References"&gt;40&lt;/ref-type&gt;&lt;contributors&gt;&lt;authors&gt;&lt;author&gt;ClubsACT,&lt;/author&gt;&lt;/authors&gt;&lt;/contributors&gt;&lt;titles&gt;&lt;title&gt;Submission No 5 to the Tariff Review 2016&lt;/title&gt;&lt;/titles&gt;&lt;dates&gt;&lt;year&gt;2016&lt;/year&gt;&lt;/dates&gt;&lt;pub-location&gt;Canberra&lt;/pub-location&gt;&lt;urls&gt;&lt;/urls&gt;&lt;/record&gt;&lt;/Cite&gt;&lt;/EndNote&gt;</w:instrText>
      </w:r>
      <w:r>
        <w:fldChar w:fldCharType="separate"/>
      </w:r>
      <w:r>
        <w:rPr>
          <w:noProof/>
        </w:rPr>
        <w:t xml:space="preserve">ClubsACT, 2016: </w:t>
      </w:r>
      <w:r>
        <w:fldChar w:fldCharType="end"/>
      </w:r>
      <w:r>
        <w:t>6.</w:t>
      </w:r>
    </w:p>
  </w:footnote>
  <w:footnote w:id="49">
    <w:p w:rsidR="001B0AB1" w:rsidRDefault="001B0AB1" w:rsidP="003B45BA">
      <w:pPr>
        <w:pStyle w:val="FootnoteText"/>
      </w:pPr>
      <w:r>
        <w:rPr>
          <w:rStyle w:val="FootnoteReference"/>
        </w:rPr>
        <w:footnoteRef/>
      </w:r>
      <w:r>
        <w:t xml:space="preserve"> </w:t>
      </w:r>
      <w:r>
        <w:fldChar w:fldCharType="begin"/>
      </w:r>
      <w:r>
        <w:instrText xml:space="preserve"> ADDIN EN.CITE &lt;EndNote&gt;&lt;Cite&gt;&lt;Author&gt;Saunders&lt;/Author&gt;&lt;Year&gt;1977&lt;/Year&gt;&lt;RecNum&gt;681&lt;/RecNum&gt;&lt;DisplayText&gt;Saunders, Warford and Mann, 1977: &lt;/DisplayText&gt;&lt;record&gt;&lt;rec-number&gt;681&lt;/rec-number&gt;&lt;foreign-keys&gt;&lt;key app="EN" db-id="5xwt9zxa6r5fesevwr5xzp97r95ev9wx9zpw" timestamp="1457654329"&gt;681&lt;/key&gt;&lt;key app="ENWeb" db-id=""&gt;0&lt;/key&gt;&lt;/foreign-keys&gt;&lt;ref-type name="AAA ICRC Water References"&gt;40&lt;/ref-type&gt;&lt;contributors&gt;&lt;authors&gt;&lt;author&gt;Saunders, Robert J.&lt;/author&gt;&lt;author&gt;Warford, Jeremy J.&lt;/author&gt;&lt;author&gt;Mann, Patrick C. &lt;/author&gt;&lt;/authors&gt;&lt;/contributors&gt;&lt;titles&gt;&lt;title&gt;Alternative Concepts of Marginal Cost for Public Utility Pricing: Problems of Applicationin the Water Supply Sector&lt;/title&gt;&lt;/titles&gt;&lt;volume&gt;Staff Working Paper No. 25&lt;/volume&gt;&lt;dates&gt;&lt;year&gt;1977&lt;/year&gt;&lt;pub-dates&gt;&lt;date&gt;May 1977&lt;/date&gt;&lt;/pub-dates&gt;&lt;/dates&gt;&lt;publisher&gt;World Bank&lt;/publisher&gt;&lt;urls&gt;&lt;/urls&gt;&lt;/record&gt;&lt;/Cite&gt;&lt;/EndNote&gt;</w:instrText>
      </w:r>
      <w:r>
        <w:fldChar w:fldCharType="separate"/>
      </w:r>
      <w:r>
        <w:rPr>
          <w:noProof/>
        </w:rPr>
        <w:t xml:space="preserve">Saunders, Warford and Mann, 1977: </w:t>
      </w:r>
      <w:r>
        <w:fldChar w:fldCharType="end"/>
      </w:r>
      <w:r>
        <w:t>18.</w:t>
      </w:r>
    </w:p>
  </w:footnote>
  <w:footnote w:id="50">
    <w:p w:rsidR="001B0AB1" w:rsidRDefault="001B0AB1">
      <w:pPr>
        <w:pStyle w:val="FootnoteText"/>
      </w:pPr>
      <w:r>
        <w:rPr>
          <w:rStyle w:val="FootnoteReference"/>
        </w:rPr>
        <w:footnoteRef/>
      </w:r>
      <w:r>
        <w:t xml:space="preserve"> </w:t>
      </w:r>
      <w:r>
        <w:fldChar w:fldCharType="begin"/>
      </w:r>
      <w:r>
        <w:instrText xml:space="preserve"> ADDIN EN.CITE &lt;EndNote&gt;&lt;Cite&gt;&lt;Author&gt;Icon Water&lt;/Author&gt;&lt;Year&gt;2016&lt;/Year&gt;&lt;RecNum&gt;739&lt;/RecNum&gt;&lt;DisplayText&gt;Icon Water, 2016c: &lt;/DisplayText&gt;&lt;record&gt;&lt;rec-number&gt;739&lt;/rec-number&gt;&lt;foreign-keys&gt;&lt;key app="EN" db-id="5xwt9zxa6r5fesevwr5xzp97r95ev9wx9zpw" timestamp="1468804218"&gt;739&lt;/key&gt;&lt;key app="ENWeb" db-id=""&gt;0&lt;/key&gt;&lt;/foreign-keys&gt;&lt;ref-type name="AAA ICRC Water References"&gt;40&lt;/ref-type&gt;&lt;contributors&gt;&lt;authors&gt;&lt;author&gt;Icon Water,&lt;/author&gt;&lt;/authors&gt;&lt;/contributors&gt;&lt;titles&gt;&lt;title&gt;Submission No 9 to the Tariff Review 2016&lt;/title&gt;&lt;/titles&gt;&lt;dates&gt;&lt;year&gt;2016&lt;/year&gt;&lt;pub-dates&gt;&lt;date&gt;15 July 2016&lt;/date&gt;&lt;/pub-dates&gt;&lt;/dates&gt;&lt;pub-location&gt;Canberra&lt;/pub-location&gt;&lt;urls&gt;&lt;/urls&gt;&lt;/record&gt;&lt;/Cite&gt;&lt;/EndNote&gt;</w:instrText>
      </w:r>
      <w:r>
        <w:fldChar w:fldCharType="separate"/>
      </w:r>
      <w:r>
        <w:rPr>
          <w:noProof/>
        </w:rPr>
        <w:t xml:space="preserve">Icon Water, 2016c: </w:t>
      </w:r>
      <w:r>
        <w:fldChar w:fldCharType="end"/>
      </w:r>
      <w:r>
        <w:t>10.</w:t>
      </w:r>
    </w:p>
  </w:footnote>
  <w:footnote w:id="51">
    <w:p w:rsidR="001B0AB1" w:rsidRDefault="001B0AB1">
      <w:pPr>
        <w:pStyle w:val="FootnoteText"/>
      </w:pPr>
      <w:r>
        <w:rPr>
          <w:rStyle w:val="FootnoteReference"/>
        </w:rPr>
        <w:footnoteRef/>
      </w:r>
      <w:r>
        <w:t xml:space="preserve"> </w:t>
      </w:r>
      <w:r>
        <w:fldChar w:fldCharType="begin"/>
      </w:r>
      <w:r>
        <w:instrText xml:space="preserve"> ADDIN EN.CITE &lt;EndNote&gt;&lt;Cite&gt;&lt;Author&gt;Icon Water&lt;/Author&gt;&lt;Year&gt;2016&lt;/Year&gt;&lt;RecNum&gt;741&lt;/RecNum&gt;&lt;DisplayText&gt;Icon Water, 2016a: &lt;/DisplayText&gt;&lt;record&gt;&lt;rec-number&gt;741&lt;/rec-number&gt;&lt;foreign-keys&gt;&lt;key app="EN" db-id="5xwt9zxa6r5fesevwr5xzp97r95ev9wx9zpw" timestamp="1469404358"&gt;741&lt;/key&gt;&lt;key app="ENWeb" db-id=""&gt;0&lt;/key&gt;&lt;/foreign-keys&gt;&lt;ref-type name="AAA ICRC Water References"&gt;40&lt;/ref-type&gt;&lt;contributors&gt;&lt;authors&gt;&lt;author&gt;Icon Water,&lt;/author&gt;&lt;/authors&gt;&lt;/contributors&gt;&lt;titles&gt;&lt;title&gt;Cotter Dam now full!&lt;/title&gt;&lt;/titles&gt;&lt;dates&gt;&lt;year&gt;2016&lt;/year&gt;&lt;pub-dates&gt;&lt;date&gt;7 July 2016&lt;/date&gt;&lt;/pub-dates&gt;&lt;/dates&gt;&lt;pub-location&gt;Canberra&lt;/pub-location&gt;&lt;publisher&gt;Icon Water&lt;/publisher&gt;&lt;urls&gt;&lt;/urls&gt;&lt;/record&gt;&lt;/Cite&gt;&lt;/EndNote&gt;</w:instrText>
      </w:r>
      <w:r>
        <w:fldChar w:fldCharType="separate"/>
      </w:r>
      <w:r>
        <w:rPr>
          <w:noProof/>
        </w:rPr>
        <w:t xml:space="preserve">Icon Water, 2016a: </w:t>
      </w:r>
      <w:r>
        <w:fldChar w:fldCharType="end"/>
      </w:r>
      <w:r>
        <w:t>12.</w:t>
      </w:r>
    </w:p>
  </w:footnote>
  <w:footnote w:id="52">
    <w:p w:rsidR="001B0AB1" w:rsidRDefault="001B0AB1" w:rsidP="00600C7E">
      <w:pPr>
        <w:pStyle w:val="FootnoteText"/>
      </w:pPr>
      <w:r>
        <w:rPr>
          <w:rStyle w:val="FootnoteReference"/>
        </w:rPr>
        <w:footnoteRef/>
      </w:r>
      <w:r>
        <w:t xml:space="preserve"> </w:t>
      </w:r>
      <w:hyperlink r:id="rId4" w:history="1">
        <w:r w:rsidRPr="008A5B7D">
          <w:rPr>
            <w:rStyle w:val="Hyperlink"/>
            <w:sz w:val="18"/>
          </w:rPr>
          <w:t>https://www.iconwater.com.au/Water-and-Sewerage-System/Dams/Cotter-Dam.aspx</w:t>
        </w:r>
      </w:hyperlink>
      <w:r>
        <w:t xml:space="preserve">. </w:t>
      </w:r>
    </w:p>
  </w:footnote>
  <w:footnote w:id="53">
    <w:p w:rsidR="001B0AB1" w:rsidRDefault="001B0AB1" w:rsidP="00600C7E">
      <w:pPr>
        <w:pStyle w:val="FootnoteText"/>
      </w:pPr>
      <w:r>
        <w:rPr>
          <w:rStyle w:val="FootnoteReference"/>
        </w:rPr>
        <w:footnoteRef/>
      </w:r>
      <w:r>
        <w:t xml:space="preserve"> Per capita volumes are obtained by dividing total dam releases by the sum of the ACT and Queanbeyan population.</w:t>
      </w:r>
    </w:p>
  </w:footnote>
  <w:footnote w:id="54">
    <w:p w:rsidR="00C6689B" w:rsidRPr="00C55074" w:rsidRDefault="00C6689B" w:rsidP="00C6689B">
      <w:pPr>
        <w:pStyle w:val="FootnoteText"/>
      </w:pPr>
      <w:r>
        <w:rPr>
          <w:rStyle w:val="FootnoteReference"/>
        </w:rPr>
        <w:footnoteRef/>
      </w:r>
      <w:r>
        <w:t xml:space="preserve"> The minor demand growth scenario, which assumes a medium series population growth with 50 per cent contribution to aggregate demand growth, may well be conservative given the recent downward trend in per capita consumption. In this regard, </w:t>
      </w:r>
      <w:r>
        <w:rPr>
          <w:shd w:val="clear" w:color="auto" w:fill="FFFFFF"/>
        </w:rPr>
        <w:t>Icon Water recently noted:</w:t>
      </w:r>
    </w:p>
    <w:p w:rsidR="00C6689B" w:rsidRDefault="00C6689B" w:rsidP="00C6689B">
      <w:pPr>
        <w:pStyle w:val="FootnoteText"/>
        <w:ind w:left="720"/>
      </w:pPr>
      <w:r>
        <w:rPr>
          <w:shd w:val="clear" w:color="auto" w:fill="FFFFFF"/>
        </w:rPr>
        <w:t>We know that Canberra values its water greatly and still use it very wisely following the decade of uncertainty for the region. Our community managed to significantly reduce its water usage over that period and we’ve seen very little bounce back since that time. This is a great indication that even as our population increases, we remain steady in our consumption figures as a community. (</w:t>
      </w:r>
      <w:r>
        <w:rPr>
          <w:shd w:val="clear" w:color="auto" w:fill="FFFFFF"/>
        </w:rPr>
        <w:fldChar w:fldCharType="begin"/>
      </w:r>
      <w:r>
        <w:rPr>
          <w:shd w:val="clear" w:color="auto" w:fill="FFFFFF"/>
        </w:rPr>
        <w:instrText xml:space="preserve"> ADDIN EN.CITE &lt;EndNote&gt;&lt;Cite&gt;&lt;Author&gt;Icon Water&lt;/Author&gt;&lt;Year&gt;2016&lt;/Year&gt;&lt;RecNum&gt;741&lt;/RecNum&gt;&lt;DisplayText&gt;Icon Water, 2016a: &lt;/DisplayText&gt;&lt;record&gt;&lt;rec-number&gt;741&lt;/rec-number&gt;&lt;foreign-keys&gt;&lt;key app="EN" db-id="5xwt9zxa6r5fesevwr5xzp97r95ev9wx9zpw" timestamp="1469404358"&gt;741&lt;/key&gt;&lt;key app="ENWeb" db-id=""&gt;0&lt;/key&gt;&lt;/foreign-keys&gt;&lt;ref-type name="AAA ICRC Water References"&gt;40&lt;/ref-type&gt;&lt;contributors&gt;&lt;authors&gt;&lt;author&gt;Icon Water,&lt;/author&gt;&lt;/authors&gt;&lt;/contributors&gt;&lt;titles&gt;&lt;title&gt;Cotter Dam now full!&lt;/title&gt;&lt;/titles&gt;&lt;dates&gt;&lt;year&gt;2016&lt;/year&gt;&lt;pub-dates&gt;&lt;date&gt;7 July 2016&lt;/date&gt;&lt;/pub-dates&gt;&lt;/dates&gt;&lt;pub-location&gt;Canberra&lt;/pub-location&gt;&lt;publisher&gt;Icon Water&lt;/publisher&gt;&lt;urls&gt;&lt;/urls&gt;&lt;/record&gt;&lt;/Cite&gt;&lt;/EndNote&gt;</w:instrText>
      </w:r>
      <w:r>
        <w:rPr>
          <w:shd w:val="clear" w:color="auto" w:fill="FFFFFF"/>
        </w:rPr>
        <w:fldChar w:fldCharType="separate"/>
      </w:r>
      <w:r>
        <w:rPr>
          <w:noProof/>
          <w:shd w:val="clear" w:color="auto" w:fill="FFFFFF"/>
        </w:rPr>
        <w:t xml:space="preserve">Icon Water, 2016a: </w:t>
      </w:r>
      <w:r>
        <w:rPr>
          <w:shd w:val="clear" w:color="auto" w:fill="FFFFFF"/>
        </w:rPr>
        <w:fldChar w:fldCharType="end"/>
      </w:r>
      <w:r>
        <w:rPr>
          <w:shd w:val="clear" w:color="auto" w:fill="FFFFFF"/>
        </w:rPr>
        <w:t>1).</w:t>
      </w:r>
    </w:p>
  </w:footnote>
  <w:footnote w:id="55">
    <w:p w:rsidR="00C6689B" w:rsidRDefault="00C6689B" w:rsidP="00C6689B">
      <w:pPr>
        <w:pStyle w:val="FootnoteText"/>
      </w:pPr>
      <w:r>
        <w:rPr>
          <w:rStyle w:val="FootnoteReference"/>
        </w:rPr>
        <w:footnoteRef/>
      </w:r>
      <w:r>
        <w:t xml:space="preserve"> The high demand growth scenario assumes a high series population growth with 100 per cent of the incremental population contributing to aggregate demand growth. </w:t>
      </w:r>
    </w:p>
  </w:footnote>
  <w:footnote w:id="56">
    <w:p w:rsidR="001B0AB1" w:rsidRDefault="001B0AB1" w:rsidP="00EC70A4">
      <w:pPr>
        <w:pStyle w:val="FootnoteText"/>
      </w:pPr>
      <w:r>
        <w:rPr>
          <w:rStyle w:val="FootnoteReference"/>
        </w:rPr>
        <w:footnoteRef/>
      </w:r>
      <w:r>
        <w:t xml:space="preserve"> </w:t>
      </w:r>
      <w:r>
        <w:fldChar w:fldCharType="begin"/>
      </w:r>
      <w:r>
        <w:instrText xml:space="preserve"> ADDIN EN.CITE &lt;EndNote&gt;&lt;Cite&gt;&lt;Author&gt;ACT Legislative Assembly&lt;/Author&gt;&lt;Year&gt;2016&lt;/Year&gt;&lt;RecNum&gt;744&lt;/RecNum&gt;&lt;DisplayText&gt;ACT Legislative Assembly, 2016: &lt;/DisplayText&gt;&lt;record&gt;&lt;rec-number&gt;744&lt;/rec-number&gt;&lt;foreign-keys&gt;&lt;key app="EN" db-id="5xwt9zxa6r5fesevwr5xzp97r95ev9wx9zpw" timestamp="1471832570"&gt;744&lt;/key&gt;&lt;key app="ENWeb" db-id=""&gt;0&lt;/key&gt;&lt;/foreign-keys&gt;&lt;ref-type name="AAA ICRC Water References"&gt;40&lt;/ref-type&gt;&lt;contributors&gt;&lt;authors&gt;&lt;author&gt;ACT Legislative Assembly,&lt;/author&gt;&lt;/authors&gt;&lt;/contributors&gt;&lt;titles&gt;&lt;title&gt;Select Committee on Estimates 2016-2017: Transcript of evidence, Canberra, Tuesday 21 June 2016&lt;/title&gt;&lt;/titles&gt;&lt;dates&gt;&lt;year&gt;2016&lt;/year&gt;&lt;/dates&gt;&lt;pub-location&gt;Canberra&lt;/pub-location&gt;&lt;urls&gt;&lt;/urls&gt;&lt;/record&gt;&lt;/Cite&gt;&lt;/EndNote&gt;</w:instrText>
      </w:r>
      <w:r>
        <w:fldChar w:fldCharType="separate"/>
      </w:r>
      <w:r>
        <w:rPr>
          <w:noProof/>
        </w:rPr>
        <w:t xml:space="preserve">ACT Legislative Assembly, 2016: </w:t>
      </w:r>
      <w:r>
        <w:fldChar w:fldCharType="end"/>
      </w:r>
      <w:r>
        <w:t>285.</w:t>
      </w:r>
    </w:p>
  </w:footnote>
  <w:footnote w:id="57">
    <w:p w:rsidR="001B0AB1" w:rsidRDefault="001B0AB1" w:rsidP="00F03630">
      <w:pPr>
        <w:pStyle w:val="FootnoteText"/>
      </w:pPr>
      <w:r>
        <w:rPr>
          <w:rStyle w:val="FootnoteReference"/>
        </w:rPr>
        <w:footnoteRef/>
      </w:r>
      <w:r>
        <w:t xml:space="preserve"> It also worth noting that a portion of the WAC reflects the costs relating to environmental flow, including the effect of storing water in dams on downstream flows (</w:t>
      </w:r>
      <w:r>
        <w:fldChar w:fldCharType="begin"/>
      </w:r>
      <w:r>
        <w:instrText xml:space="preserve"> ADDIN EN.CITE &lt;EndNote&gt;&lt;Cite&gt;&lt;Author&gt;ACT Government&lt;/Author&gt;&lt;Year&gt;2014&lt;/Year&gt;&lt;RecNum&gt;608&lt;/RecNum&gt;&lt;DisplayText&gt;ACT Government, 2014: &lt;/DisplayText&gt;&lt;record&gt;&lt;rec-number&gt;608&lt;/rec-number&gt;&lt;foreign-keys&gt;&lt;key app="EN" db-id="5xwt9zxa6r5fesevwr5xzp97r95ev9wx9zpw" timestamp="1444708889"&gt;608&lt;/key&gt;&lt;/foreign-keys&gt;&lt;ref-type name="AAA ICRC Water References"&gt;40&lt;/ref-type&gt;&lt;contributors&gt;&lt;authors&gt;&lt;author&gt;ACT Government,&lt;/author&gt;&lt;/authors&gt;&lt;/contributors&gt;&lt;titles&gt;&lt;title&gt;ACT Water Abstraction Charge (WAC)&lt;/title&gt;&lt;/titles&gt;&lt;dates&gt;&lt;year&gt;2014&lt;/year&gt;&lt;/dates&gt;&lt;pub-location&gt;Canberra&lt;/pub-location&gt;&lt;publisher&gt;Environment and Planning Directorate&lt;/publisher&gt;&lt;urls&gt;&lt;/urls&gt;&lt;/record&gt;&lt;/Cite&gt;&lt;/EndNote&gt;</w:instrText>
      </w:r>
      <w:r>
        <w:fldChar w:fldCharType="separate"/>
      </w:r>
      <w:r>
        <w:rPr>
          <w:noProof/>
        </w:rPr>
        <w:t xml:space="preserve">ACT Government, 2014: </w:t>
      </w:r>
      <w:r>
        <w:fldChar w:fldCharType="end"/>
      </w:r>
      <w:r>
        <w:t xml:space="preserve">2.)  </w:t>
      </w:r>
    </w:p>
  </w:footnote>
  <w:footnote w:id="58">
    <w:p w:rsidR="001B0AB1" w:rsidRDefault="001B0AB1" w:rsidP="001F279F">
      <w:pPr>
        <w:pStyle w:val="FootnoteText"/>
      </w:pPr>
      <w:r>
        <w:rPr>
          <w:rStyle w:val="FootnoteReference"/>
        </w:rPr>
        <w:footnoteRef/>
      </w:r>
      <w:r>
        <w:t xml:space="preserve"> </w:t>
      </w:r>
      <w:r w:rsidRPr="00D46E4F">
        <w:t>Frank Ramsey</w:t>
      </w:r>
      <w:r>
        <w:t>,</w:t>
      </w:r>
      <w:r w:rsidRPr="00D46E4F">
        <w:t xml:space="preserve"> </w:t>
      </w:r>
      <w:r>
        <w:t xml:space="preserve">in his 1927 seminal article on optimal </w:t>
      </w:r>
      <w:r w:rsidRPr="00D46E4F">
        <w:t>taxation</w:t>
      </w:r>
      <w:r>
        <w:t>,</w:t>
      </w:r>
      <w:r w:rsidRPr="00D46E4F">
        <w:t xml:space="preserve"> provided at least implicitly a solution to the optimal pricing problem for an industry in which marginal cost prices do not cover total costs</w:t>
      </w:r>
      <w:r>
        <w:t xml:space="preserve"> (</w:t>
      </w:r>
      <w:r>
        <w:fldChar w:fldCharType="begin"/>
      </w:r>
      <w:r>
        <w:instrText xml:space="preserve"> ADDIN EN.CITE &lt;EndNote&gt;&lt;Cite&gt;&lt;Author&gt;Ramsey&lt;/Author&gt;&lt;Year&gt;1927&lt;/Year&gt;&lt;RecNum&gt;456&lt;/RecNum&gt;&lt;DisplayText&gt;Ramsey, 1927: &lt;/DisplayText&gt;&lt;record&gt;&lt;rec-number&gt;456&lt;/rec-number&gt;&lt;foreign-keys&gt;&lt;key app="EN" db-id="5xwt9zxa6r5fesevwr5xzp97r95ev9wx9zpw" timestamp="1410828942"&gt;456&lt;/key&gt;&lt;/foreign-keys&gt;&lt;ref-type name="Journal Article"&gt;17&lt;/ref-type&gt;&lt;contributors&gt;&lt;authors&gt;&lt;author&gt;Ramsey, Frank P.&lt;/author&gt;&lt;/authors&gt;&lt;/contributors&gt;&lt;titles&gt;&lt;title&gt;A Contribution to the Theory of Taxation&lt;/title&gt;&lt;secondary-title&gt;The Economic Journal&lt;/secondary-title&gt;&lt;/titles&gt;&lt;periodical&gt;&lt;full-title&gt;The Economic Journal&lt;/full-title&gt;&lt;/periodical&gt;&lt;pages&gt;47-61&lt;/pages&gt;&lt;volume&gt;37&lt;/volume&gt;&lt;number&gt;145&lt;/number&gt;&lt;dates&gt;&lt;year&gt;1927&lt;/year&gt;&lt;/dates&gt;&lt;urls&gt;&lt;/urls&gt;&lt;/record&gt;&lt;/Cite&gt;&lt;/EndNote&gt;</w:instrText>
      </w:r>
      <w:r>
        <w:fldChar w:fldCharType="separate"/>
      </w:r>
      <w:r>
        <w:rPr>
          <w:noProof/>
        </w:rPr>
        <w:t xml:space="preserve">Ramsey, 1927: </w:t>
      </w:r>
      <w:r>
        <w:fldChar w:fldCharType="end"/>
      </w:r>
      <w:r>
        <w:t>47–61).</w:t>
      </w:r>
    </w:p>
  </w:footnote>
  <w:footnote w:id="59">
    <w:p w:rsidR="001B0AB1" w:rsidRDefault="001B0AB1" w:rsidP="001F279F">
      <w:pPr>
        <w:pStyle w:val="FootnoteText"/>
      </w:pPr>
      <w:r>
        <w:rPr>
          <w:rStyle w:val="FootnoteReference"/>
        </w:rPr>
        <w:footnoteRef/>
      </w:r>
      <w:r>
        <w:t xml:space="preserve"> </w:t>
      </w:r>
      <w:r>
        <w:fldChar w:fldCharType="begin"/>
      </w:r>
      <w:r>
        <w:instrText xml:space="preserve"> ADDIN EN.CITE &lt;EndNote&gt;&lt;Cite&gt;&lt;Author&gt;Train&lt;/Author&gt;&lt;Year&gt;1991&lt;/Year&gt;&lt;RecNum&gt;610&lt;/RecNum&gt;&lt;DisplayText&gt;Train, 1991: &lt;/DisplayText&gt;&lt;record&gt;&lt;rec-number&gt;610&lt;/rec-number&gt;&lt;foreign-keys&gt;&lt;key app="EN" db-id="5xwt9zxa6r5fesevwr5xzp97r95ev9wx9zpw" timestamp="1444795794"&gt;610&lt;/key&gt;&lt;/foreign-keys&gt;&lt;ref-type name="Book"&gt;6&lt;/ref-type&gt;&lt;contributors&gt;&lt;authors&gt;&lt;author&gt;Train, Kenneth E&lt;/author&gt;&lt;/authors&gt;&lt;/contributors&gt;&lt;titles&gt;&lt;title&gt;Optimal Regulation: The Economic Theory of Natural Monopoly&lt;/title&gt;&lt;/titles&gt;&lt;dates&gt;&lt;year&gt;1991&lt;/year&gt;&lt;/dates&gt;&lt;pub-location&gt;London&lt;/pub-location&gt;&lt;publisher&gt;MIT Press&lt;/publisher&gt;&lt;urls&gt;&lt;/urls&gt;&lt;/record&gt;&lt;/Cite&gt;&lt;/EndNote&gt;</w:instrText>
      </w:r>
      <w:r>
        <w:fldChar w:fldCharType="separate"/>
      </w:r>
      <w:r>
        <w:rPr>
          <w:noProof/>
        </w:rPr>
        <w:t xml:space="preserve">Train, 1991: </w:t>
      </w:r>
      <w:r>
        <w:fldChar w:fldCharType="end"/>
      </w:r>
      <w:r>
        <w:t>125-35 also provides a derivation of the Ramsey pricing rule.</w:t>
      </w:r>
    </w:p>
  </w:footnote>
  <w:footnote w:id="60">
    <w:p w:rsidR="001B0AB1" w:rsidRDefault="001B0AB1" w:rsidP="001F279F">
      <w:pPr>
        <w:pStyle w:val="FootnoteText"/>
      </w:pPr>
      <w:r>
        <w:rPr>
          <w:rStyle w:val="FootnoteReference"/>
        </w:rPr>
        <w:footnoteRef/>
      </w:r>
      <w:r>
        <w:t>The price elasticity of demand is the percentage change in quantity demanded divided by the percentage change in price that brought it about. Demand is said to be elastic if the percentage change in quantity is greater than the percentage change in price (elasticity is greater than one). Demand is inelastic if the percentage change in quantity is less than the percentage change in price (elasticity is less than one).</w:t>
      </w:r>
    </w:p>
  </w:footnote>
  <w:footnote w:id="61">
    <w:p w:rsidR="001B0AB1" w:rsidRDefault="001B0AB1" w:rsidP="00F5021D">
      <w:pPr>
        <w:pStyle w:val="FootnoteText"/>
      </w:pPr>
      <w:r>
        <w:rPr>
          <w:rStyle w:val="FootnoteReference"/>
        </w:rPr>
        <w:footnoteRef/>
      </w:r>
      <w:r>
        <w:t xml:space="preserve"> </w:t>
      </w:r>
      <w:r>
        <w:fldChar w:fldCharType="begin"/>
      </w:r>
      <w:r>
        <w:instrText xml:space="preserve"> ADDIN EN.CITE &lt;EndNote&gt;&lt;Cite&gt;&lt;Author&gt;NWC&lt;/Author&gt;&lt;Year&gt;2011&lt;/Year&gt;&lt;RecNum&gt;210&lt;/RecNum&gt;&lt;DisplayText&gt;NWC, 2011: &lt;/DisplayText&gt;&lt;record&gt;&lt;rec-number&gt;210&lt;/rec-number&gt;&lt;foreign-keys&gt;&lt;key app="EN" db-id="5xwt9zxa6r5fesevwr5xzp97r95ev9wx9zpw" timestamp="1375249247"&gt;210&lt;/key&gt;&lt;/foreign-keys&gt;&lt;ref-type name="AAA ICRC Water References"&gt;40&lt;/ref-type&gt;&lt;contributors&gt;&lt;authors&gt;&lt;author&gt;NWC,&lt;/author&gt;&lt;/authors&gt;&lt;/contributors&gt;&lt;titles&gt;&lt;title&gt;Efficient water resource pricing in Australia: an assessment of administered scarcity pricing in urban areas&lt;/title&gt;&lt;/titles&gt;&lt;volume&gt;Waterlines Report Series No 44&lt;/volume&gt;&lt;dates&gt;&lt;year&gt;2011&lt;/year&gt;&lt;pub-dates&gt;&lt;date&gt;April 2011&lt;/date&gt;&lt;/pub-dates&gt;&lt;/dates&gt;&lt;pub-location&gt;Canberra&lt;/pub-location&gt;&lt;publisher&gt;National Water Commission&lt;/publisher&gt;&lt;urls&gt;&lt;/urls&gt;&lt;/record&gt;&lt;/Cite&gt;&lt;/EndNote&gt;</w:instrText>
      </w:r>
      <w:r>
        <w:fldChar w:fldCharType="separate"/>
      </w:r>
      <w:r>
        <w:rPr>
          <w:noProof/>
        </w:rPr>
        <w:t xml:space="preserve">NWC, 2011: </w:t>
      </w:r>
      <w:r>
        <w:fldChar w:fldCharType="end"/>
      </w:r>
      <w:r>
        <w:t>5.</w:t>
      </w:r>
    </w:p>
  </w:footnote>
  <w:footnote w:id="62">
    <w:p w:rsidR="001B0AB1" w:rsidRDefault="001B0AB1" w:rsidP="00F5021D">
      <w:pPr>
        <w:pStyle w:val="FootnoteText"/>
      </w:pPr>
      <w:r>
        <w:rPr>
          <w:rStyle w:val="FootnoteReference"/>
        </w:rPr>
        <w:footnoteRef/>
      </w:r>
      <w:r>
        <w:t xml:space="preserve"> </w:t>
      </w:r>
      <w:r>
        <w:fldChar w:fldCharType="begin"/>
      </w:r>
      <w:r>
        <w:instrText xml:space="preserve"> ADDIN EN.CITE &lt;EndNote&gt;&lt;Cite&gt;&lt;Author&gt;Grafton&lt;/Author&gt;&lt;Year&gt;2010&lt;/Year&gt;&lt;RecNum&gt;584&lt;/RecNum&gt;&lt;DisplayText&gt;Grafton and Ward, 2010: &lt;/DisplayText&gt;&lt;record&gt;&lt;rec-number&gt;584&lt;/rec-number&gt;&lt;foreign-keys&gt;&lt;key app="EN" db-id="5xwt9zxa6r5fesevwr5xzp97r95ev9wx9zpw" timestamp="1442464790"&gt;584&lt;/key&gt;&lt;/foreign-keys&gt;&lt;ref-type name="AAA ICRC Water References"&gt;40&lt;/ref-type&gt;&lt;contributors&gt;&lt;authors&gt;&lt;author&gt;Grafton, R Quentin&lt;/author&gt;&lt;author&gt;Ward, Michael&lt;/author&gt;&lt;/authors&gt;&lt;/contributors&gt;&lt;titles&gt;&lt;title&gt;Dynamically Efficient Urban Water Policy&lt;/title&gt;&lt;/titles&gt;&lt;volume&gt;Reserach Papers 10-13&lt;/volume&gt;&lt;dates&gt;&lt;year&gt;2010&lt;/year&gt;&lt;pub-dates&gt;&lt;date&gt;12 November 2010&lt;/date&gt;&lt;/pub-dates&gt;&lt;/dates&gt;&lt;pub-location&gt;Canberra&lt;/pub-location&gt;&lt;publisher&gt;Centre for Water Economics, Environment and Policy, The Australian National University&lt;/publisher&gt;&lt;urls&gt;&lt;/urls&gt;&lt;/record&gt;&lt;/Cite&gt;&lt;/EndNote&gt;</w:instrText>
      </w:r>
      <w:r>
        <w:fldChar w:fldCharType="separate"/>
      </w:r>
      <w:r>
        <w:rPr>
          <w:noProof/>
        </w:rPr>
        <w:t xml:space="preserve">Grafton and Ward, 2010: </w:t>
      </w:r>
      <w:r>
        <w:fldChar w:fldCharType="end"/>
      </w:r>
      <w:r>
        <w:t>1.</w:t>
      </w:r>
    </w:p>
  </w:footnote>
  <w:footnote w:id="63">
    <w:p w:rsidR="001B0AB1" w:rsidRDefault="001B0AB1" w:rsidP="003579C0">
      <w:pPr>
        <w:pStyle w:val="FootnoteText"/>
      </w:pPr>
      <w:r>
        <w:rPr>
          <w:rStyle w:val="FootnoteReference"/>
        </w:rPr>
        <w:footnoteRef/>
      </w:r>
      <w:r>
        <w:t xml:space="preserve"> </w:t>
      </w:r>
      <w:r>
        <w:fldChar w:fldCharType="begin"/>
      </w:r>
      <w:r>
        <w:instrText xml:space="preserve"> ADDIN EN.CITE &lt;EndNote&gt;&lt;Cite&gt;&lt;Author&gt;Icon Water&lt;/Author&gt;&lt;Year&gt;2016&lt;/Year&gt;&lt;RecNum&gt;728&lt;/RecNum&gt;&lt;DisplayText&gt;Icon Water, 2016b: &lt;/DisplayText&gt;&lt;record&gt;&lt;rec-number&gt;728&lt;/rec-number&gt;&lt;foreign-keys&gt;&lt;key app="EN" db-id="5xwt9zxa6r5fesevwr5xzp97r95ev9wx9zpw" timestamp="1465200452"&gt;728&lt;/key&gt;&lt;/foreign-keys&gt;&lt;ref-type name="AAA ICRC Water References"&gt;40&lt;/ref-type&gt;&lt;contributors&gt;&lt;authors&gt;&lt;author&gt;Icon Water,&lt;/author&gt;&lt;/authors&gt;&lt;/contributors&gt;&lt;titles&gt;&lt;title&gt;Submission No 1 to the Tariff Review 2016&lt;/title&gt;&lt;/titles&gt;&lt;dates&gt;&lt;year&gt;2016&lt;/year&gt;&lt;pub-dates&gt;&lt;date&gt;8 January 2016&lt;/date&gt;&lt;/pub-dates&gt;&lt;/dates&gt;&lt;pub-location&gt;Canberra&lt;/pub-location&gt;&lt;publisher&gt;Icon Water&lt;/publisher&gt;&lt;urls&gt;&lt;/urls&gt;&lt;/record&gt;&lt;/Cite&gt;&lt;/EndNote&gt;</w:instrText>
      </w:r>
      <w:r>
        <w:fldChar w:fldCharType="separate"/>
      </w:r>
      <w:r>
        <w:rPr>
          <w:noProof/>
        </w:rPr>
        <w:t xml:space="preserve">Icon Water, 2016b: </w:t>
      </w:r>
      <w:r>
        <w:fldChar w:fldCharType="end"/>
      </w:r>
      <w:r>
        <w:t>3.</w:t>
      </w:r>
    </w:p>
  </w:footnote>
  <w:footnote w:id="64">
    <w:p w:rsidR="001B0AB1" w:rsidRDefault="001B0AB1">
      <w:pPr>
        <w:pStyle w:val="FootnoteText"/>
      </w:pPr>
      <w:r>
        <w:rPr>
          <w:rStyle w:val="FootnoteReference"/>
        </w:rPr>
        <w:footnoteRef/>
      </w:r>
      <w:r>
        <w:t xml:space="preserve"> </w:t>
      </w:r>
      <w:r>
        <w:fldChar w:fldCharType="begin"/>
      </w:r>
      <w:r>
        <w:instrText xml:space="preserve"> ADDIN EN.CITE &lt;EndNote&gt;&lt;Cite&gt;&lt;Author&gt;Icon Water&lt;/Author&gt;&lt;Year&gt;2016&lt;/Year&gt;&lt;RecNum&gt;739&lt;/RecNum&gt;&lt;DisplayText&gt;Icon Water, 2016c: &lt;/DisplayText&gt;&lt;record&gt;&lt;rec-number&gt;739&lt;/rec-number&gt;&lt;foreign-keys&gt;&lt;key app="EN" db-id="5xwt9zxa6r5fesevwr5xzp97r95ev9wx9zpw" timestamp="1468804218"&gt;739&lt;/key&gt;&lt;key app="ENWeb" db-id=""&gt;0&lt;/key&gt;&lt;/foreign-keys&gt;&lt;ref-type name="AAA ICRC Water References"&gt;40&lt;/ref-type&gt;&lt;contributors&gt;&lt;authors&gt;&lt;author&gt;Icon Water,&lt;/author&gt;&lt;/authors&gt;&lt;/contributors&gt;&lt;titles&gt;&lt;title&gt;Submission No 9 to the Tariff Review 2016&lt;/title&gt;&lt;/titles&gt;&lt;dates&gt;&lt;year&gt;2016&lt;/year&gt;&lt;pub-dates&gt;&lt;date&gt;15 July 2016&lt;/date&gt;&lt;/pub-dates&gt;&lt;/dates&gt;&lt;pub-location&gt;Canberra&lt;/pub-location&gt;&lt;urls&gt;&lt;/urls&gt;&lt;/record&gt;&lt;/Cite&gt;&lt;/EndNote&gt;</w:instrText>
      </w:r>
      <w:r>
        <w:fldChar w:fldCharType="separate"/>
      </w:r>
      <w:r>
        <w:rPr>
          <w:noProof/>
        </w:rPr>
        <w:t xml:space="preserve">Icon Water, 2016c: </w:t>
      </w:r>
      <w:r>
        <w:fldChar w:fldCharType="end"/>
      </w:r>
      <w:r>
        <w:t>17.</w:t>
      </w:r>
    </w:p>
  </w:footnote>
  <w:footnote w:id="65">
    <w:p w:rsidR="001B0AB1" w:rsidRDefault="001B0AB1" w:rsidP="00E66F03">
      <w:pPr>
        <w:pStyle w:val="FootnoteText"/>
      </w:pPr>
      <w:r>
        <w:rPr>
          <w:rStyle w:val="FootnoteReference"/>
        </w:rPr>
        <w:footnoteRef/>
      </w:r>
      <w:r>
        <w:t xml:space="preserve"> </w:t>
      </w:r>
      <w:r>
        <w:fldChar w:fldCharType="begin"/>
      </w:r>
      <w:r>
        <w:instrText xml:space="preserve"> ADDIN EN.CITE &lt;EndNote&gt;&lt;Cite&gt;&lt;Author&gt;Knee&lt;/Author&gt;&lt;Year&gt;2016&lt;/Year&gt;&lt;RecNum&gt;733&lt;/RecNum&gt;&lt;DisplayText&gt;Knee, 2016: &lt;/DisplayText&gt;&lt;record&gt;&lt;rec-number&gt;733&lt;/rec-number&gt;&lt;foreign-keys&gt;&lt;key app="EN" db-id="5xwt9zxa6r5fesevwr5xzp97r95ev9wx9zpw" timestamp="1466984397"&gt;733&lt;/key&gt;&lt;/foreign-keys&gt;&lt;ref-type name="AAA ICRC Water References"&gt;40&lt;/ref-type&gt;&lt;contributors&gt;&lt;authors&gt;&lt;author&gt;Knee, Ross&lt;/author&gt;&lt;/authors&gt;&lt;/contributors&gt;&lt;titles&gt;&lt;title&gt;Submission No 6 to the 2016 Tariff Review&lt;/title&gt;&lt;/titles&gt;&lt;dates&gt;&lt;year&gt;2016&lt;/year&gt;&lt;/dates&gt;&lt;pub-location&gt;Canberra&lt;/pub-location&gt;&lt;urls&gt;&lt;/urls&gt;&lt;/record&gt;&lt;/Cite&gt;&lt;/EndNote&gt;</w:instrText>
      </w:r>
      <w:r>
        <w:fldChar w:fldCharType="separate"/>
      </w:r>
      <w:r>
        <w:rPr>
          <w:noProof/>
        </w:rPr>
        <w:t xml:space="preserve">Knee, 2016: </w:t>
      </w:r>
      <w:r>
        <w:fldChar w:fldCharType="end"/>
      </w:r>
      <w:r>
        <w:t>1-2.</w:t>
      </w:r>
    </w:p>
  </w:footnote>
  <w:footnote w:id="66">
    <w:p w:rsidR="001B0AB1" w:rsidRDefault="001B0AB1">
      <w:pPr>
        <w:pStyle w:val="FootnoteText"/>
      </w:pPr>
      <w:r>
        <w:rPr>
          <w:rStyle w:val="FootnoteReference"/>
        </w:rPr>
        <w:footnoteRef/>
      </w:r>
      <w:r>
        <w:t xml:space="preserve"> As discussed at length in the technical paper, the inclining block tariff raises particular econometric difficulties, the key one being the price endogeneity problem arising from the price varying with the quantity of water consumed. The Commission addressed this using the industry standard instrumental variables approach.</w:t>
      </w:r>
    </w:p>
  </w:footnote>
  <w:footnote w:id="67">
    <w:p w:rsidR="001B0AB1" w:rsidRDefault="001B0AB1" w:rsidP="003D2B45">
      <w:pPr>
        <w:pStyle w:val="FootnoteText"/>
      </w:pPr>
      <w:r>
        <w:rPr>
          <w:rStyle w:val="FootnoteReference"/>
        </w:rPr>
        <w:footnoteRef/>
      </w:r>
      <w:r>
        <w:t xml:space="preserve"> </w:t>
      </w:r>
      <w:r>
        <w:fldChar w:fldCharType="begin"/>
      </w:r>
      <w:r>
        <w:instrText xml:space="preserve"> ADDIN EN.CITE &lt;EndNote&gt;&lt;Cite&gt;&lt;Author&gt;ICRC&lt;/Author&gt;&lt;Year&gt;2015&lt;/Year&gt;&lt;RecNum&gt;643&lt;/RecNum&gt;&lt;DisplayText&gt;ICRC, 2015b: &lt;/DisplayText&gt;&lt;record&gt;&lt;rec-number&gt;643&lt;/rec-number&gt;&lt;foreign-keys&gt;&lt;key app="EN" db-id="5xwt9zxa6r5fesevwr5xzp97r95ev9wx9zpw" timestamp="1446005790"&gt;643&lt;/key&gt;&lt;/foreign-keys&gt;&lt;ref-type name="AAA ICRC Water References"&gt;40&lt;/ref-type&gt;&lt;contributors&gt;&lt;authors&gt;&lt;author&gt;ICRC,&lt;/author&gt;&lt;/authors&gt;&lt;/contributors&gt;&lt;titles&gt;&lt;title&gt;Water Demand Forecasting Final Technical Paper&lt;/title&gt;&lt;/titles&gt;&lt;volume&gt;Report 2 of 2015&lt;/volume&gt;&lt;dates&gt;&lt;year&gt;2015&lt;/year&gt;&lt;pub-dates&gt;&lt;date&gt;April 2015&lt;/date&gt;&lt;/pub-dates&gt;&lt;/dates&gt;&lt;pub-location&gt;Canberra&lt;/pub-location&gt;&lt;publisher&gt;Independent Competition and Regulatory Commision&lt;/publisher&gt;&lt;urls&gt;&lt;/urls&gt;&lt;/record&gt;&lt;/Cite&gt;&lt;/EndNote&gt;</w:instrText>
      </w:r>
      <w:r>
        <w:fldChar w:fldCharType="separate"/>
      </w:r>
      <w:r>
        <w:rPr>
          <w:noProof/>
        </w:rPr>
        <w:t xml:space="preserve">ICRC, 2015b: </w:t>
      </w:r>
      <w:r>
        <w:fldChar w:fldCharType="end"/>
      </w:r>
      <w:r>
        <w:t>15.</w:t>
      </w:r>
    </w:p>
  </w:footnote>
  <w:footnote w:id="68">
    <w:p w:rsidR="001B0AB1" w:rsidRDefault="001B0AB1">
      <w:pPr>
        <w:pStyle w:val="FootnoteText"/>
      </w:pPr>
      <w:r>
        <w:rPr>
          <w:rStyle w:val="FootnoteReference"/>
        </w:rPr>
        <w:footnoteRef/>
      </w:r>
      <w:r>
        <w:t xml:space="preserve"> </w:t>
      </w:r>
      <w:r>
        <w:fldChar w:fldCharType="begin"/>
      </w:r>
      <w:r>
        <w:instrText xml:space="preserve"> ADDIN EN.CITE &lt;EndNote&gt;&lt;Cite&gt;&lt;Author&gt;Icon Water&lt;/Author&gt;&lt;Year&gt;2016&lt;/Year&gt;&lt;RecNum&gt;739&lt;/RecNum&gt;&lt;DisplayText&gt;Icon Water, 2016c: &lt;/DisplayText&gt;&lt;record&gt;&lt;rec-number&gt;739&lt;/rec-number&gt;&lt;foreign-keys&gt;&lt;key app="EN" db-id="5xwt9zxa6r5fesevwr5xzp97r95ev9wx9zpw" timestamp="1468804218"&gt;739&lt;/key&gt;&lt;key app="ENWeb" db-id=""&gt;0&lt;/key&gt;&lt;/foreign-keys&gt;&lt;ref-type name="AAA ICRC Water References"&gt;40&lt;/ref-type&gt;&lt;contributors&gt;&lt;authors&gt;&lt;author&gt;Icon Water,&lt;/author&gt;&lt;/authors&gt;&lt;/contributors&gt;&lt;titles&gt;&lt;title&gt;Submission No 9 to the Tariff Review 2016&lt;/title&gt;&lt;/titles&gt;&lt;dates&gt;&lt;year&gt;2016&lt;/year&gt;&lt;pub-dates&gt;&lt;date&gt;15 July 2016&lt;/date&gt;&lt;/pub-dates&gt;&lt;/dates&gt;&lt;pub-location&gt;Canberra&lt;/pub-location&gt;&lt;urls&gt;&lt;/urls&gt;&lt;/record&gt;&lt;/Cite&gt;&lt;/EndNote&gt;</w:instrText>
      </w:r>
      <w:r>
        <w:fldChar w:fldCharType="separate"/>
      </w:r>
      <w:r>
        <w:rPr>
          <w:noProof/>
        </w:rPr>
        <w:t xml:space="preserve">Icon Water, 2016c: </w:t>
      </w:r>
      <w:r>
        <w:fldChar w:fldCharType="end"/>
      </w:r>
      <w:r>
        <w:t>17.</w:t>
      </w:r>
    </w:p>
  </w:footnote>
  <w:footnote w:id="69">
    <w:p w:rsidR="001B0AB1" w:rsidRDefault="001B0AB1">
      <w:pPr>
        <w:pStyle w:val="FootnoteText"/>
      </w:pPr>
      <w:r>
        <w:rPr>
          <w:rStyle w:val="FootnoteReference"/>
        </w:rPr>
        <w:footnoteRef/>
      </w:r>
      <w:r>
        <w:t xml:space="preserve"> </w:t>
      </w:r>
      <w:r>
        <w:fldChar w:fldCharType="begin"/>
      </w:r>
      <w:r>
        <w:instrText xml:space="preserve"> ADDIN EN.CITE &lt;EndNote&gt;&lt;Cite&gt;&lt;Author&gt;ACAT&lt;/Author&gt;&lt;Year&gt;2016&lt;/Year&gt;&lt;RecNum&gt;740&lt;/RecNum&gt;&lt;DisplayText&gt;ACAT, 2016: &lt;/DisplayText&gt;&lt;record&gt;&lt;rec-number&gt;740&lt;/rec-number&gt;&lt;foreign-keys&gt;&lt;key app="EN" db-id="5xwt9zxa6r5fesevwr5xzp97r95ev9wx9zpw" timestamp="1469162478"&gt;740&lt;/key&gt;&lt;key app="ENWeb" db-id=""&gt;0&lt;/key&gt;&lt;/foreign-keys&gt;&lt;ref-type name="AAA ICRC Water References"&gt;40&lt;/ref-type&gt;&lt;contributors&gt;&lt;authors&gt;&lt;author&gt;ACAT,&lt;/author&gt;&lt;/authors&gt;&lt;/contributors&gt;&lt;titles&gt;&lt;title&gt;Submission No 4 to the 2016 Tariff Review&lt;/title&gt;&lt;/titles&gt;&lt;dates&gt;&lt;year&gt;2016&lt;/year&gt;&lt;pub-dates&gt;&lt;date&gt;26 February 2016&lt;/date&gt;&lt;/pub-dates&gt;&lt;/dates&gt;&lt;pub-location&gt;Canberra&lt;/pub-location&gt;&lt;urls&gt;&lt;/urls&gt;&lt;/record&gt;&lt;/Cite&gt;&lt;/EndNote&gt;</w:instrText>
      </w:r>
      <w:r>
        <w:fldChar w:fldCharType="separate"/>
      </w:r>
      <w:r>
        <w:rPr>
          <w:noProof/>
        </w:rPr>
        <w:t xml:space="preserve">ACAT, 2016: </w:t>
      </w:r>
      <w:r>
        <w:fldChar w:fldCharType="end"/>
      </w:r>
      <w:r>
        <w:t>2.</w:t>
      </w:r>
    </w:p>
  </w:footnote>
  <w:footnote w:id="70">
    <w:p w:rsidR="001B0AB1" w:rsidRDefault="001B0AB1" w:rsidP="00010075">
      <w:pPr>
        <w:pStyle w:val="FootnoteText"/>
      </w:pPr>
      <w:r>
        <w:rPr>
          <w:rStyle w:val="FootnoteReference"/>
        </w:rPr>
        <w:footnoteRef/>
      </w:r>
      <w:r>
        <w:t xml:space="preserve"> This is an average cost across the network, with some areas not requiring any pumping.     </w:t>
      </w:r>
    </w:p>
  </w:footnote>
  <w:footnote w:id="71">
    <w:p w:rsidR="001B0AB1" w:rsidRDefault="001B0AB1" w:rsidP="009F0BC1">
      <w:pPr>
        <w:pStyle w:val="FootnoteText"/>
      </w:pPr>
      <w:r>
        <w:rPr>
          <w:rStyle w:val="FootnoteReference"/>
        </w:rPr>
        <w:footnoteRef/>
      </w:r>
      <w:r>
        <w:t xml:space="preserve"> </w:t>
      </w:r>
      <w:r>
        <w:fldChar w:fldCharType="begin"/>
      </w:r>
      <w:r>
        <w:instrText xml:space="preserve"> ADDIN EN.CITE &lt;EndNote&gt;&lt;Cite&gt;&lt;Author&gt;Icon Water&lt;/Author&gt;&lt;Year&gt;2016&lt;/Year&gt;&lt;RecNum&gt;739&lt;/RecNum&gt;&lt;DisplayText&gt;Icon Water, 2016c: &lt;/DisplayText&gt;&lt;record&gt;&lt;rec-number&gt;739&lt;/rec-number&gt;&lt;foreign-keys&gt;&lt;key app="EN" db-id="5xwt9zxa6r5fesevwr5xzp97r95ev9wx9zpw" timestamp="1468804218"&gt;739&lt;/key&gt;&lt;key app="ENWeb" db-id=""&gt;0&lt;/key&gt;&lt;/foreign-keys&gt;&lt;ref-type name="AAA ICRC Water References"&gt;40&lt;/ref-type&gt;&lt;contributors&gt;&lt;authors&gt;&lt;author&gt;Icon Water,&lt;/author&gt;&lt;/authors&gt;&lt;/contributors&gt;&lt;titles&gt;&lt;title&gt;Submission No 9 to the Tariff Review 2016&lt;/title&gt;&lt;/titles&gt;&lt;dates&gt;&lt;year&gt;2016&lt;/year&gt;&lt;pub-dates&gt;&lt;date&gt;15 July 2016&lt;/date&gt;&lt;/pub-dates&gt;&lt;/dates&gt;&lt;pub-location&gt;Canberra&lt;/pub-location&gt;&lt;urls&gt;&lt;/urls&gt;&lt;/record&gt;&lt;/Cite&gt;&lt;/EndNote&gt;</w:instrText>
      </w:r>
      <w:r>
        <w:fldChar w:fldCharType="separate"/>
      </w:r>
      <w:r>
        <w:rPr>
          <w:noProof/>
        </w:rPr>
        <w:t xml:space="preserve">Icon Water, 2016c: </w:t>
      </w:r>
      <w:r>
        <w:fldChar w:fldCharType="end"/>
      </w:r>
      <w:r>
        <w:t>20.</w:t>
      </w:r>
    </w:p>
  </w:footnote>
  <w:footnote w:id="72">
    <w:p w:rsidR="001B0AB1" w:rsidRDefault="001B0AB1">
      <w:pPr>
        <w:pStyle w:val="FootnoteText"/>
      </w:pPr>
      <w:r>
        <w:rPr>
          <w:rStyle w:val="FootnoteReference"/>
        </w:rPr>
        <w:footnoteRef/>
      </w:r>
      <w:r>
        <w:t xml:space="preserve"> </w:t>
      </w:r>
      <w:r>
        <w:fldChar w:fldCharType="begin"/>
      </w:r>
      <w:r>
        <w:instrText xml:space="preserve"> ADDIN EN.CITE &lt;EndNote&gt;&lt;Cite&gt;&lt;Author&gt;Icon Water&lt;/Author&gt;&lt;Year&gt;2016&lt;/Year&gt;&lt;RecNum&gt;739&lt;/RecNum&gt;&lt;DisplayText&gt;Icon Water, 2016c: &lt;/DisplayText&gt;&lt;record&gt;&lt;rec-number&gt;739&lt;/rec-number&gt;&lt;foreign-keys&gt;&lt;key app="EN" db-id="5xwt9zxa6r5fesevwr5xzp97r95ev9wx9zpw" timestamp="1468804218"&gt;739&lt;/key&gt;&lt;key app="ENWeb" db-id=""&gt;0&lt;/key&gt;&lt;/foreign-keys&gt;&lt;ref-type name="AAA ICRC Water References"&gt;40&lt;/ref-type&gt;&lt;contributors&gt;&lt;authors&gt;&lt;author&gt;Icon Water,&lt;/author&gt;&lt;/authors&gt;&lt;/contributors&gt;&lt;titles&gt;&lt;title&gt;Submission No 9 to the Tariff Review 2016&lt;/title&gt;&lt;/titles&gt;&lt;dates&gt;&lt;year&gt;2016&lt;/year&gt;&lt;pub-dates&gt;&lt;date&gt;15 July 2016&lt;/date&gt;&lt;/pub-dates&gt;&lt;/dates&gt;&lt;pub-location&gt;Canberra&lt;/pub-location&gt;&lt;urls&gt;&lt;/urls&gt;&lt;/record&gt;&lt;/Cite&gt;&lt;/EndNote&gt;</w:instrText>
      </w:r>
      <w:r>
        <w:fldChar w:fldCharType="separate"/>
      </w:r>
      <w:r>
        <w:rPr>
          <w:noProof/>
        </w:rPr>
        <w:t xml:space="preserve">Icon Water, 2016c: </w:t>
      </w:r>
      <w:r>
        <w:fldChar w:fldCharType="end"/>
      </w:r>
      <w:r>
        <w:t>9.</w:t>
      </w:r>
    </w:p>
  </w:footnote>
  <w:footnote w:id="73">
    <w:p w:rsidR="001B0AB1" w:rsidRDefault="001B0AB1">
      <w:pPr>
        <w:pStyle w:val="FootnoteText"/>
      </w:pPr>
      <w:r>
        <w:rPr>
          <w:rStyle w:val="FootnoteReference"/>
        </w:rPr>
        <w:footnoteRef/>
      </w:r>
      <w:r>
        <w:t xml:space="preserve"> </w:t>
      </w:r>
      <w:r>
        <w:fldChar w:fldCharType="begin"/>
      </w:r>
      <w:r>
        <w:instrText xml:space="preserve"> ADDIN EN.CITE &lt;EndNote&gt;&lt;Cite&gt;&lt;Author&gt;Federal Golf Club&lt;/Author&gt;&lt;Year&gt;2016&lt;/Year&gt;&lt;RecNum&gt;738&lt;/RecNum&gt;&lt;DisplayText&gt;Federal Golf Club, 2016: &lt;/DisplayText&gt;&lt;record&gt;&lt;rec-number&gt;738&lt;/rec-number&gt;&lt;foreign-keys&gt;&lt;key app="EN" db-id="5xwt9zxa6r5fesevwr5xzp97r95ev9wx9zpw" timestamp="1468382745"&gt;738&lt;/key&gt;&lt;key app="ENWeb" db-id=""&gt;0&lt;/key&gt;&lt;/foreign-keys&gt;&lt;ref-type name="AAA ICRC Water References"&gt;40&lt;/ref-type&gt;&lt;contributors&gt;&lt;authors&gt;&lt;author&gt;Federal Golf Club,&lt;/author&gt;&lt;/authors&gt;&lt;/contributors&gt;&lt;titles&gt;&lt;title&gt;Submission no 8 to the 2016 Tariff Review&lt;/title&gt;&lt;/titles&gt;&lt;dates&gt;&lt;year&gt;2016&lt;/year&gt;&lt;/dates&gt;&lt;pub-location&gt;Canberra&lt;/pub-location&gt;&lt;urls&gt;&lt;/urls&gt;&lt;/record&gt;&lt;/Cite&gt;&lt;/EndNote&gt;</w:instrText>
      </w:r>
      <w:r>
        <w:fldChar w:fldCharType="separate"/>
      </w:r>
      <w:r>
        <w:rPr>
          <w:noProof/>
        </w:rPr>
        <w:t xml:space="preserve">Federal Golf Club, 2016: </w:t>
      </w:r>
      <w:r>
        <w:fldChar w:fldCharType="end"/>
      </w:r>
      <w:r>
        <w:t>1.</w:t>
      </w:r>
    </w:p>
  </w:footnote>
  <w:footnote w:id="74">
    <w:p w:rsidR="001B0AB1" w:rsidRDefault="001B0AB1">
      <w:pPr>
        <w:pStyle w:val="FootnoteText"/>
      </w:pPr>
      <w:r>
        <w:rPr>
          <w:rStyle w:val="FootnoteReference"/>
        </w:rPr>
        <w:footnoteRef/>
      </w:r>
      <w:r>
        <w:t xml:space="preserve"> </w:t>
      </w:r>
      <w:r>
        <w:fldChar w:fldCharType="begin"/>
      </w:r>
      <w:r>
        <w:instrText xml:space="preserve"> ADDIN EN.CITE &lt;EndNote&gt;&lt;Cite&gt;&lt;Author&gt;Denham&lt;/Author&gt;&lt;Year&gt;2016&lt;/Year&gt;&lt;RecNum&gt;737&lt;/RecNum&gt;&lt;DisplayText&gt;Denham, 2016: &lt;/DisplayText&gt;&lt;record&gt;&lt;rec-number&gt;737&lt;/rec-number&gt;&lt;foreign-keys&gt;&lt;key app="EN" db-id="5xwt9zxa6r5fesevwr5xzp97r95ev9wx9zpw" timestamp="1468365556"&gt;737&lt;/key&gt;&lt;key app="ENWeb" db-id=""&gt;0&lt;/key&gt;&lt;/foreign-keys&gt;&lt;ref-type name="AAA ICRC Water References"&gt;40&lt;/ref-type&gt;&lt;contributors&gt;&lt;authors&gt;&lt;author&gt;Denham, D&lt;/author&gt;&lt;/authors&gt;&lt;/contributors&gt;&lt;titles&gt;&lt;title&gt;Submission No 7 to the 2016 Tariff Review&lt;/title&gt;&lt;/titles&gt;&lt;dates&gt;&lt;year&gt;2016&lt;/year&gt;&lt;/dates&gt;&lt;pub-location&gt;Canberra&lt;/pub-location&gt;&lt;urls&gt;&lt;/urls&gt;&lt;/record&gt;&lt;/Cite&gt;&lt;/EndNote&gt;</w:instrText>
      </w:r>
      <w:r>
        <w:fldChar w:fldCharType="separate"/>
      </w:r>
      <w:r>
        <w:rPr>
          <w:noProof/>
        </w:rPr>
        <w:t xml:space="preserve">Denham, 2016: </w:t>
      </w:r>
      <w:r>
        <w:fldChar w:fldCharType="end"/>
      </w:r>
      <w:r>
        <w:t>3.</w:t>
      </w:r>
    </w:p>
  </w:footnote>
  <w:footnote w:id="75">
    <w:p w:rsidR="001B0AB1" w:rsidRDefault="001B0AB1">
      <w:pPr>
        <w:pStyle w:val="FootnoteText"/>
      </w:pPr>
      <w:r>
        <w:rPr>
          <w:rStyle w:val="FootnoteReference"/>
        </w:rPr>
        <w:footnoteRef/>
      </w:r>
      <w:r>
        <w:t xml:space="preserve"> </w:t>
      </w:r>
      <w:r>
        <w:fldChar w:fldCharType="begin"/>
      </w:r>
      <w:r>
        <w:instrText xml:space="preserve"> ADDIN EN.CITE &lt;EndNote&gt;&lt;Cite&gt;&lt;Author&gt;City West Water&lt;/Author&gt;&lt;Year&gt;2016&lt;/Year&gt;&lt;RecNum&gt;742&lt;/RecNum&gt;&lt;DisplayText&gt;City West Water, 2016: &lt;/DisplayText&gt;&lt;record&gt;&lt;rec-number&gt;742&lt;/rec-number&gt;&lt;foreign-keys&gt;&lt;key app="EN" db-id="5xwt9zxa6r5fesevwr5xzp97r95ev9wx9zpw" timestamp="1470280575"&gt;742&lt;/key&gt;&lt;key app="ENWeb" db-id=""&gt;0&lt;/key&gt;&lt;/foreign-keys&gt;&lt;ref-type name="AAA ICRC Water References"&gt;40&lt;/ref-type&gt;&lt;contributors&gt;&lt;authors&gt;&lt;author&gt;City West Water,&lt;/author&gt;&lt;/authors&gt;&lt;/contributors&gt;&lt;titles&gt;&lt;title&gt;Pricing Handbook 2016-17&lt;/title&gt;&lt;/titles&gt;&lt;dates&gt;&lt;year&gt;2016&lt;/year&gt;&lt;/dates&gt;&lt;pub-location&gt;Melbourne&lt;/pub-location&gt;&lt;urls&gt;&lt;/urls&gt;&lt;/record&gt;&lt;/Cite&gt;&lt;/EndNote&gt;</w:instrText>
      </w:r>
      <w:r>
        <w:fldChar w:fldCharType="separate"/>
      </w:r>
      <w:r>
        <w:rPr>
          <w:noProof/>
        </w:rPr>
        <w:t xml:space="preserve">City West Water, 2016: </w:t>
      </w:r>
      <w:r>
        <w:fldChar w:fldCharType="end"/>
      </w:r>
      <w:r>
        <w:t xml:space="preserve">5-9. Available for download at </w:t>
      </w:r>
      <w:r w:rsidRPr="00240538">
        <w:t>http://www.citywestwater.com.au/business/charges_explained.aspx</w:t>
      </w:r>
      <w:r>
        <w:t>.</w:t>
      </w:r>
    </w:p>
  </w:footnote>
  <w:footnote w:id="76">
    <w:p w:rsidR="001B0AB1" w:rsidRDefault="001B0AB1" w:rsidP="00710A58">
      <w:pPr>
        <w:pStyle w:val="FootnoteText"/>
      </w:pPr>
      <w:r>
        <w:rPr>
          <w:rStyle w:val="FootnoteReference"/>
        </w:rPr>
        <w:footnoteRef/>
      </w:r>
      <w:r>
        <w:t xml:space="preserve"> </w:t>
      </w:r>
      <w:r>
        <w:fldChar w:fldCharType="begin"/>
      </w:r>
      <w:r>
        <w:instrText xml:space="preserve"> ADDIN EN.CITE &lt;EndNote&gt;&lt;Cite&gt;&lt;Author&gt;Gotora&lt;/Author&gt;&lt;Year&gt;2012&lt;/Year&gt;&lt;RecNum&gt;615&lt;/RecNum&gt;&lt;DisplayText&gt;Gotora, 2012: &lt;/DisplayText&gt;&lt;record&gt;&lt;rec-number&gt;615&lt;/rec-number&gt;&lt;foreign-keys&gt;&lt;key app="EN" db-id="5xwt9zxa6r5fesevwr5xzp97r95ev9wx9zpw" timestamp="1444877225"&gt;615&lt;/key&gt;&lt;/foreign-keys&gt;&lt;ref-type name="Newspaper Article"&gt;23&lt;/ref-type&gt;&lt;contributors&gt;&lt;authors&gt;&lt;author&gt;Gotora, Gillian&lt;/author&gt;&lt;/authors&gt;&lt;/contributors&gt;&lt;titles&gt;&lt;title&gt;Zimbabwe: Bulawayo urges residents to flush together to unblock sewers&lt;/title&gt;&lt;secondary-title&gt;Associated Press&lt;/secondary-title&gt;&lt;/titles&gt;&lt;dates&gt;&lt;year&gt;2012&lt;/year&gt;&lt;pub-dates&gt;&lt;date&gt;24 September 2012&lt;/date&gt;&lt;/pub-dates&gt;&lt;/dates&gt;&lt;urls&gt;&lt;related-urls&gt;&lt;url&gt;http://www.thestar.com/news/world/2012/09/24/zimbabwe_bulawayo_urges_residents_to_flush_together_to_unblock_sewers.html&lt;/url&gt;&lt;/related-urls&gt;&lt;/urls&gt;&lt;/record&gt;&lt;/Cite&gt;&lt;/EndNote&gt;</w:instrText>
      </w:r>
      <w:r>
        <w:fldChar w:fldCharType="separate"/>
      </w:r>
      <w:r>
        <w:rPr>
          <w:noProof/>
        </w:rPr>
        <w:t xml:space="preserve">Gotora, 2012: </w:t>
      </w:r>
      <w:r>
        <w:fldChar w:fldCharType="end"/>
      </w:r>
      <w:r>
        <w:t>1.</w:t>
      </w:r>
    </w:p>
  </w:footnote>
  <w:footnote w:id="77">
    <w:p w:rsidR="001B0AB1" w:rsidRDefault="001B0AB1" w:rsidP="008A4F05">
      <w:pPr>
        <w:pStyle w:val="FootnoteText"/>
      </w:pPr>
      <w:r>
        <w:rPr>
          <w:rStyle w:val="FootnoteReference"/>
        </w:rPr>
        <w:footnoteRef/>
      </w:r>
      <w:r>
        <w:t xml:space="preserve"> </w:t>
      </w:r>
      <w:r>
        <w:fldChar w:fldCharType="begin"/>
      </w:r>
      <w:r>
        <w:instrText xml:space="preserve"> ADDIN EN.CITE &lt;EndNote&gt;&lt;Cite&gt;&lt;Author&gt;COAG&lt;/Author&gt;&lt;Year&gt;2004&lt;/Year&gt;&lt;RecNum&gt;84&lt;/RecNum&gt;&lt;DisplayText&gt;COAG, 2004: &lt;/DisplayText&gt;&lt;record&gt;&lt;rec-number&gt;84&lt;/rec-number&gt;&lt;foreign-keys&gt;&lt;key app="EN" db-id="5xwt9zxa6r5fesevwr5xzp97r95ev9wx9zpw" timestamp="1331506794"&gt;84&lt;/key&gt;&lt;/foreign-keys&gt;&lt;ref-type name="AAA ICRC Water References"&gt;40&lt;/ref-type&gt;&lt;contributors&gt;&lt;authors&gt;&lt;author&gt;COAG,&lt;/author&gt;&lt;/authors&gt;&lt;/contributors&gt;&lt;titles&gt;&lt;title&gt;Intergovernmental Agreement on a National Water Initiative&lt;/title&gt;&lt;/titles&gt;&lt;dates&gt;&lt;year&gt;2004&lt;/year&gt;&lt;/dates&gt;&lt;pub-location&gt;Canberra ACT&lt;/pub-location&gt;&lt;publisher&gt;Council of Australian Governments&lt;/publisher&gt;&lt;urls&gt;&lt;/urls&gt;&lt;/record&gt;&lt;/Cite&gt;&lt;/EndNote&gt;</w:instrText>
      </w:r>
      <w:r>
        <w:fldChar w:fldCharType="separate"/>
      </w:r>
      <w:r>
        <w:rPr>
          <w:noProof/>
        </w:rPr>
        <w:t xml:space="preserve">COAG, 2004: </w:t>
      </w:r>
      <w:r>
        <w:fldChar w:fldCharType="end"/>
      </w:r>
      <w:r>
        <w:t>14.</w:t>
      </w:r>
    </w:p>
  </w:footnote>
  <w:footnote w:id="78">
    <w:p w:rsidR="001B0AB1" w:rsidRDefault="001B0AB1">
      <w:pPr>
        <w:pStyle w:val="FootnoteText"/>
      </w:pPr>
      <w:r>
        <w:rPr>
          <w:rStyle w:val="FootnoteReference"/>
        </w:rPr>
        <w:footnoteRef/>
      </w:r>
      <w:r>
        <w:t xml:space="preserve"> </w:t>
      </w:r>
      <w:r>
        <w:fldChar w:fldCharType="begin"/>
      </w:r>
      <w:r>
        <w:instrText xml:space="preserve"> ADDIN EN.CITE &lt;EndNote&gt;&lt;Cite&gt;&lt;Author&gt;Icon Water&lt;/Author&gt;&lt;Year&gt;2016&lt;/Year&gt;&lt;RecNum&gt;739&lt;/RecNum&gt;&lt;DisplayText&gt;Icon Water, 2016c: &lt;/DisplayText&gt;&lt;record&gt;&lt;rec-number&gt;739&lt;/rec-number&gt;&lt;foreign-keys&gt;&lt;key app="EN" db-id="5xwt9zxa6r5fesevwr5xzp97r95ev9wx9zpw" timestamp="1468804218"&gt;739&lt;/key&gt;&lt;key app="ENWeb" db-id=""&gt;0&lt;/key&gt;&lt;/foreign-keys&gt;&lt;ref-type name="AAA ICRC Water References"&gt;40&lt;/ref-type&gt;&lt;contributors&gt;&lt;authors&gt;&lt;author&gt;Icon Water,&lt;/author&gt;&lt;/authors&gt;&lt;/contributors&gt;&lt;titles&gt;&lt;title&gt;Submission No 9 to the Tariff Review 2016&lt;/title&gt;&lt;/titles&gt;&lt;dates&gt;&lt;year&gt;2016&lt;/year&gt;&lt;pub-dates&gt;&lt;date&gt;15 July 2016&lt;/date&gt;&lt;/pub-dates&gt;&lt;/dates&gt;&lt;pub-location&gt;Canberra&lt;/pub-location&gt;&lt;urls&gt;&lt;/urls&gt;&lt;/record&gt;&lt;/Cite&gt;&lt;/EndNote&gt;</w:instrText>
      </w:r>
      <w:r>
        <w:fldChar w:fldCharType="separate"/>
      </w:r>
      <w:r>
        <w:rPr>
          <w:noProof/>
        </w:rPr>
        <w:t xml:space="preserve">Icon Water, 2016c: </w:t>
      </w:r>
      <w:r>
        <w:fldChar w:fldCharType="end"/>
      </w:r>
      <w:r>
        <w:t>20.</w:t>
      </w:r>
    </w:p>
  </w:footnote>
  <w:footnote w:id="79">
    <w:p w:rsidR="001B0AB1" w:rsidRDefault="001B0AB1" w:rsidP="00375E06">
      <w:pPr>
        <w:pStyle w:val="FootnoteText"/>
      </w:pPr>
      <w:r>
        <w:rPr>
          <w:rStyle w:val="FootnoteReference"/>
        </w:rPr>
        <w:footnoteRef/>
      </w:r>
      <w:r>
        <w:t xml:space="preserve"> </w:t>
      </w:r>
      <w:r>
        <w:fldChar w:fldCharType="begin"/>
      </w:r>
      <w:r>
        <w:instrText xml:space="preserve"> ADDIN EN.CITE &lt;EndNote&gt;&lt;Cite&gt;&lt;Author&gt;Icon Water&lt;/Author&gt;&lt;Year&gt;2016&lt;/Year&gt;&lt;RecNum&gt;739&lt;/RecNum&gt;&lt;DisplayText&gt;Icon Water, 2016c: &lt;/DisplayText&gt;&lt;record&gt;&lt;rec-number&gt;739&lt;/rec-number&gt;&lt;foreign-keys&gt;&lt;key app="EN" db-id="5xwt9zxa6r5fesevwr5xzp97r95ev9wx9zpw" timestamp="1468804218"&gt;739&lt;/key&gt;&lt;key app="ENWeb" db-id=""&gt;0&lt;/key&gt;&lt;/foreign-keys&gt;&lt;ref-type name="AAA ICRC Water References"&gt;40&lt;/ref-type&gt;&lt;contributors&gt;&lt;authors&gt;&lt;author&gt;Icon Water,&lt;/author&gt;&lt;/authors&gt;&lt;/contributors&gt;&lt;titles&gt;&lt;title&gt;Submission No 9 to the Tariff Review 2016&lt;/title&gt;&lt;/titles&gt;&lt;dates&gt;&lt;year&gt;2016&lt;/year&gt;&lt;pub-dates&gt;&lt;date&gt;15 July 2016&lt;/date&gt;&lt;/pub-dates&gt;&lt;/dates&gt;&lt;pub-location&gt;Canberra&lt;/pub-location&gt;&lt;urls&gt;&lt;/urls&gt;&lt;/record&gt;&lt;/Cite&gt;&lt;/EndNote&gt;</w:instrText>
      </w:r>
      <w:r>
        <w:fldChar w:fldCharType="separate"/>
      </w:r>
      <w:r>
        <w:rPr>
          <w:noProof/>
        </w:rPr>
        <w:t xml:space="preserve">Icon Water, 2016c: </w:t>
      </w:r>
      <w:r>
        <w:fldChar w:fldCharType="end"/>
      </w:r>
      <w:r>
        <w:t>14.</w:t>
      </w:r>
    </w:p>
  </w:footnote>
  <w:footnote w:id="80">
    <w:p w:rsidR="001B0AB1" w:rsidRDefault="001B0AB1">
      <w:pPr>
        <w:pStyle w:val="FootnoteText"/>
      </w:pPr>
      <w:r>
        <w:rPr>
          <w:rStyle w:val="FootnoteReference"/>
        </w:rPr>
        <w:footnoteRef/>
      </w:r>
      <w:r>
        <w:t xml:space="preserve"> The Commission also considered differential charging between residential and commercial customers. The analysis showed that as commercial customers are such a small proportion of total customers, any mitigation of residential customer impacts from </w:t>
      </w:r>
      <w:r w:rsidR="00CC27FD">
        <w:t xml:space="preserve">levying a higher supply charge on </w:t>
      </w:r>
      <w:r>
        <w:t>commercial customers is limited.</w:t>
      </w:r>
    </w:p>
  </w:footnote>
  <w:footnote w:id="81">
    <w:p w:rsidR="001B0AB1" w:rsidRDefault="001B0AB1">
      <w:pPr>
        <w:pStyle w:val="FootnoteText"/>
      </w:pPr>
      <w:r>
        <w:rPr>
          <w:rStyle w:val="FootnoteReference"/>
        </w:rPr>
        <w:footnoteRef/>
      </w:r>
      <w:r>
        <w:t xml:space="preserve"> This reflects 2013</w:t>
      </w:r>
      <w:r>
        <w:sym w:font="Symbol" w:char="F02D"/>
      </w:r>
      <w:r>
        <w:t>14 standalone customer water use and current customer numbers.</w:t>
      </w:r>
    </w:p>
  </w:footnote>
  <w:footnote w:id="82">
    <w:p w:rsidR="001B0AB1" w:rsidRDefault="001B0AB1">
      <w:pPr>
        <w:pStyle w:val="FootnoteText"/>
      </w:pPr>
      <w:r>
        <w:rPr>
          <w:rStyle w:val="FootnoteReference"/>
        </w:rPr>
        <w:footnoteRef/>
      </w:r>
      <w:r>
        <w:t xml:space="preserve"> This reflects 2013</w:t>
      </w:r>
      <w:r>
        <w:sym w:font="Symbol" w:char="F02D"/>
      </w:r>
      <w:r>
        <w:t>14 units and flats customer water use and current customer numbers.</w:t>
      </w:r>
    </w:p>
  </w:footnote>
  <w:footnote w:id="83">
    <w:p w:rsidR="001B0AB1" w:rsidRDefault="001B0AB1" w:rsidP="00B04CFE">
      <w:pPr>
        <w:pStyle w:val="FootnoteText"/>
      </w:pPr>
      <w:r>
        <w:rPr>
          <w:rStyle w:val="FootnoteReference"/>
        </w:rPr>
        <w:footnoteRef/>
      </w:r>
      <w:r>
        <w:t xml:space="preserve"> The calculations include the application of daily pricing consistent with historical water use in each quarter. This means that 200 kL per year customers pay for a small amount of water at the Tier 2 price in some quarters.</w:t>
      </w:r>
    </w:p>
  </w:footnote>
  <w:footnote w:id="84">
    <w:p w:rsidR="001B0AB1" w:rsidRDefault="001B0AB1" w:rsidP="00634941">
      <w:pPr>
        <w:pStyle w:val="FootnoteText"/>
      </w:pPr>
      <w:r>
        <w:rPr>
          <w:rStyle w:val="FootnoteReference"/>
        </w:rPr>
        <w:footnoteRef/>
      </w:r>
      <w:r>
        <w:t xml:space="preserve"> This reflects 2013</w:t>
      </w:r>
      <w:r>
        <w:sym w:font="Symbol" w:char="F02D"/>
      </w:r>
      <w:r>
        <w:t>14 commercial customer water use and current customer numbers.</w:t>
      </w:r>
    </w:p>
  </w:footnote>
  <w:footnote w:id="85">
    <w:p w:rsidR="001B0AB1" w:rsidRDefault="001B0AB1" w:rsidP="00D84B8E">
      <w:pPr>
        <w:pStyle w:val="FootnoteText"/>
      </w:pPr>
      <w:r>
        <w:rPr>
          <w:rStyle w:val="FootnoteReference"/>
        </w:rPr>
        <w:footnoteRef/>
      </w:r>
      <w:r>
        <w:t xml:space="preserve"> </w:t>
      </w:r>
      <w:r>
        <w:rPr>
          <w:noProof/>
        </w:rPr>
        <w:t xml:space="preserve">Industry Panel, 2015b: </w:t>
      </w:r>
      <w:r>
        <w:t>13.</w:t>
      </w:r>
    </w:p>
  </w:footnote>
  <w:footnote w:id="86">
    <w:p w:rsidR="001B0AB1" w:rsidRDefault="001B0AB1" w:rsidP="00F65C69">
      <w:pPr>
        <w:pStyle w:val="FootnoteText"/>
      </w:pPr>
      <w:r>
        <w:rPr>
          <w:rStyle w:val="FootnoteReference"/>
        </w:rPr>
        <w:footnoteRef/>
      </w:r>
      <w:r>
        <w:t xml:space="preserve"> </w:t>
      </w:r>
      <w:r>
        <w:fldChar w:fldCharType="begin"/>
      </w:r>
      <w:r>
        <w:instrText xml:space="preserve"> ADDIN EN.CITE &lt;EndNote&gt;&lt;Cite&gt;&lt;Author&gt;Icon Water&lt;/Author&gt;&lt;Year&gt;2016&lt;/Year&gt;&lt;RecNum&gt;728&lt;/RecNum&gt;&lt;DisplayText&gt;Icon Water, 2016b: &lt;/DisplayText&gt;&lt;record&gt;&lt;rec-number&gt;728&lt;/rec-number&gt;&lt;foreign-keys&gt;&lt;key app="EN" db-id="5xwt9zxa6r5fesevwr5xzp97r95ev9wx9zpw" timestamp="1465200452"&gt;728&lt;/key&gt;&lt;/foreign-keys&gt;&lt;ref-type name="AAA ICRC Water References"&gt;40&lt;/ref-type&gt;&lt;contributors&gt;&lt;authors&gt;&lt;author&gt;Icon Water,&lt;/author&gt;&lt;/authors&gt;&lt;/contributors&gt;&lt;titles&gt;&lt;title&gt;Submission No 1 to the Tariff Review 2016&lt;/title&gt;&lt;/titles&gt;&lt;dates&gt;&lt;year&gt;2016&lt;/year&gt;&lt;pub-dates&gt;&lt;date&gt;8 January 2016&lt;/date&gt;&lt;/pub-dates&gt;&lt;/dates&gt;&lt;pub-location&gt;Canberra&lt;/pub-location&gt;&lt;publisher&gt;Icon Water&lt;/publisher&gt;&lt;urls&gt;&lt;/urls&gt;&lt;/record&gt;&lt;/Cite&gt;&lt;/EndNote&gt;</w:instrText>
      </w:r>
      <w:r>
        <w:fldChar w:fldCharType="separate"/>
      </w:r>
      <w:r>
        <w:rPr>
          <w:noProof/>
        </w:rPr>
        <w:t xml:space="preserve">Icon Water, 2016b: </w:t>
      </w:r>
      <w:r>
        <w:fldChar w:fldCharType="end"/>
      </w:r>
      <w:r>
        <w:t>2.</w:t>
      </w:r>
    </w:p>
  </w:footnote>
  <w:footnote w:id="87">
    <w:p w:rsidR="001B0AB1" w:rsidRDefault="001B0AB1" w:rsidP="00F65C69">
      <w:pPr>
        <w:pStyle w:val="FootnoteText"/>
      </w:pPr>
      <w:r>
        <w:rPr>
          <w:rStyle w:val="FootnoteReference"/>
        </w:rPr>
        <w:footnoteRef/>
      </w:r>
      <w:r>
        <w:t xml:space="preserve"> </w:t>
      </w:r>
      <w:r>
        <w:fldChar w:fldCharType="begin"/>
      </w:r>
      <w:r>
        <w:instrText xml:space="preserve"> ADDIN EN.CITE &lt;EndNote&gt;&lt;Cite&gt;&lt;Author&gt;Icon Water&lt;/Author&gt;&lt;Year&gt;2016&lt;/Year&gt;&lt;RecNum&gt;728&lt;/RecNum&gt;&lt;DisplayText&gt;Icon Water, 2016b: &lt;/DisplayText&gt;&lt;record&gt;&lt;rec-number&gt;728&lt;/rec-number&gt;&lt;foreign-keys&gt;&lt;key app="EN" db-id="5xwt9zxa6r5fesevwr5xzp97r95ev9wx9zpw" timestamp="1465200452"&gt;728&lt;/key&gt;&lt;/foreign-keys&gt;&lt;ref-type name="AAA ICRC Water References"&gt;40&lt;/ref-type&gt;&lt;contributors&gt;&lt;authors&gt;&lt;author&gt;Icon Water,&lt;/author&gt;&lt;/authors&gt;&lt;/contributors&gt;&lt;titles&gt;&lt;title&gt;Submission No 1 to the Tariff Review 2016&lt;/title&gt;&lt;/titles&gt;&lt;dates&gt;&lt;year&gt;2016&lt;/year&gt;&lt;pub-dates&gt;&lt;date&gt;8 January 2016&lt;/date&gt;&lt;/pub-dates&gt;&lt;/dates&gt;&lt;pub-location&gt;Canberra&lt;/pub-location&gt;&lt;publisher&gt;Icon Water&lt;/publisher&gt;&lt;urls&gt;&lt;/urls&gt;&lt;/record&gt;&lt;/Cite&gt;&lt;/EndNote&gt;</w:instrText>
      </w:r>
      <w:r>
        <w:fldChar w:fldCharType="separate"/>
      </w:r>
      <w:r>
        <w:rPr>
          <w:noProof/>
        </w:rPr>
        <w:t xml:space="preserve">Icon Water, 2016b: </w:t>
      </w:r>
      <w:r>
        <w:fldChar w:fldCharType="end"/>
      </w:r>
      <w:r>
        <w:t>2.</w:t>
      </w:r>
    </w:p>
  </w:footnote>
  <w:footnote w:id="88">
    <w:p w:rsidR="001B0AB1" w:rsidRDefault="001B0AB1">
      <w:pPr>
        <w:pStyle w:val="FootnoteText"/>
      </w:pPr>
      <w:r>
        <w:rPr>
          <w:rStyle w:val="FootnoteReference"/>
        </w:rPr>
        <w:footnoteRef/>
      </w:r>
      <w:r>
        <w:t xml:space="preserve"> </w:t>
      </w:r>
      <w:r>
        <w:fldChar w:fldCharType="begin"/>
      </w:r>
      <w:r>
        <w:instrText xml:space="preserve"> ADDIN EN.CITE &lt;EndNote&gt;&lt;Cite&gt;&lt;Author&gt;Icon Water&lt;/Author&gt;&lt;RecNum&gt;739&lt;/RecNum&gt;&lt;DisplayText&gt;Icon Water, 2016c: &lt;/DisplayText&gt;&lt;record&gt;&lt;rec-number&gt;739&lt;/rec-number&gt;&lt;foreign-keys&gt;&lt;key app="EN" db-id="5xwt9zxa6r5fesevwr5xzp97r95ev9wx9zpw" timestamp="1468804218"&gt;739&lt;/key&gt;&lt;key app="ENWeb" db-id=""&gt;0&lt;/key&gt;&lt;/foreign-keys&gt;&lt;ref-type name="AAA ICRC Water References"&gt;40&lt;/ref-type&gt;&lt;contributors&gt;&lt;authors&gt;&lt;author&gt;Icon Water,&lt;/author&gt;&lt;/authors&gt;&lt;/contributors&gt;&lt;titles&gt;&lt;title&gt;Submission No 9 to the Tariff Review 2016&lt;/title&gt;&lt;/titles&gt;&lt;dates&gt;&lt;year&gt;2016&lt;/year&gt;&lt;pub-dates&gt;&lt;date&gt;15 July 2016&lt;/date&gt;&lt;/pub-dates&gt;&lt;/dates&gt;&lt;pub-location&gt;Canberra&lt;/pub-location&gt;&lt;urls&gt;&lt;/urls&gt;&lt;/record&gt;&lt;/Cite&gt;&lt;/EndNote&gt;</w:instrText>
      </w:r>
      <w:r>
        <w:fldChar w:fldCharType="separate"/>
      </w:r>
      <w:r>
        <w:rPr>
          <w:noProof/>
        </w:rPr>
        <w:t xml:space="preserve">Icon Water, 2016c: </w:t>
      </w:r>
      <w:r>
        <w:fldChar w:fldCharType="end"/>
      </w:r>
      <w:r>
        <w:t>3.</w:t>
      </w:r>
    </w:p>
  </w:footnote>
  <w:footnote w:id="89">
    <w:p w:rsidR="001B0AB1" w:rsidRDefault="001B0AB1" w:rsidP="00F65C69">
      <w:pPr>
        <w:pStyle w:val="FootnoteText"/>
      </w:pPr>
      <w:r>
        <w:rPr>
          <w:rStyle w:val="FootnoteReference"/>
        </w:rPr>
        <w:footnoteRef/>
      </w:r>
      <w:r>
        <w:t xml:space="preserve"> </w:t>
      </w:r>
      <w:r>
        <w:fldChar w:fldCharType="begin"/>
      </w:r>
      <w:r>
        <w:instrText xml:space="preserve"> ADDIN EN.CITE &lt;EndNote&gt;&lt;Cite&gt;&lt;Author&gt;Icon Water&lt;/Author&gt;&lt;Year&gt;2016&lt;/Year&gt;&lt;RecNum&gt;728&lt;/RecNum&gt;&lt;DisplayText&gt;Icon Water, 2016b: &lt;/DisplayText&gt;&lt;record&gt;&lt;rec-number&gt;728&lt;/rec-number&gt;&lt;foreign-keys&gt;&lt;key app="EN" db-id="5xwt9zxa6r5fesevwr5xzp97r95ev9wx9zpw" timestamp="1465200452"&gt;728&lt;/key&gt;&lt;/foreign-keys&gt;&lt;ref-type name="AAA ICRC Water References"&gt;40&lt;/ref-type&gt;&lt;contributors&gt;&lt;authors&gt;&lt;author&gt;Icon Water,&lt;/author&gt;&lt;/authors&gt;&lt;/contributors&gt;&lt;titles&gt;&lt;title&gt;Submission No 1 to the Tariff Review 2016&lt;/title&gt;&lt;/titles&gt;&lt;dates&gt;&lt;year&gt;2016&lt;/year&gt;&lt;pub-dates&gt;&lt;date&gt;8 January 2016&lt;/date&gt;&lt;/pub-dates&gt;&lt;/dates&gt;&lt;pub-location&gt;Canberra&lt;/pub-location&gt;&lt;publisher&gt;Icon Water&lt;/publisher&gt;&lt;urls&gt;&lt;/urls&gt;&lt;/record&gt;&lt;/Cite&gt;&lt;/EndNote&gt;</w:instrText>
      </w:r>
      <w:r>
        <w:fldChar w:fldCharType="separate"/>
      </w:r>
      <w:r>
        <w:rPr>
          <w:noProof/>
        </w:rPr>
        <w:t xml:space="preserve">Icon Water, 2016b: </w:t>
      </w:r>
      <w:r>
        <w:fldChar w:fldCharType="end"/>
      </w:r>
      <w:r>
        <w:t>2.</w:t>
      </w:r>
    </w:p>
  </w:footnote>
  <w:footnote w:id="90">
    <w:p w:rsidR="001B0AB1" w:rsidRDefault="001B0AB1" w:rsidP="00F65C69">
      <w:pPr>
        <w:pStyle w:val="FootnoteText"/>
      </w:pPr>
      <w:r>
        <w:rPr>
          <w:rStyle w:val="FootnoteReference"/>
        </w:rPr>
        <w:footnoteRef/>
      </w:r>
      <w:r>
        <w:t xml:space="preserve"> </w:t>
      </w:r>
      <w:r>
        <w:fldChar w:fldCharType="begin"/>
      </w:r>
      <w:r>
        <w:instrText xml:space="preserve"> ADDIN EN.CITE &lt;EndNote&gt;&lt;Cite&gt;&lt;Author&gt;ClubsACT&lt;/Author&gt;&lt;Year&gt;2016&lt;/Year&gt;&lt;RecNum&gt;736&lt;/RecNum&gt;&lt;DisplayText&gt;ClubsACT, 2016: &lt;/DisplayText&gt;&lt;record&gt;&lt;rec-number&gt;736&lt;/rec-number&gt;&lt;foreign-keys&gt;&lt;key app="EN" db-id="5xwt9zxa6r5fesevwr5xzp97r95ev9wx9zpw" timestamp="1467329642"&gt;736&lt;/key&gt;&lt;key app="ENWeb" db-id=""&gt;0&lt;/key&gt;&lt;/foreign-keys&gt;&lt;ref-type name="AAA ICRC Water References"&gt;40&lt;/ref-type&gt;&lt;contributors&gt;&lt;authors&gt;&lt;author&gt;ClubsACT,&lt;/author&gt;&lt;/authors&gt;&lt;/contributors&gt;&lt;titles&gt;&lt;title&gt;Submission No 5 to the Tariff Review 2016&lt;/title&gt;&lt;/titles&gt;&lt;dates&gt;&lt;year&gt;2016&lt;/year&gt;&lt;/dates&gt;&lt;pub-location&gt;Canberra&lt;/pub-location&gt;&lt;urls&gt;&lt;/urls&gt;&lt;/record&gt;&lt;/Cite&gt;&lt;/EndNote&gt;</w:instrText>
      </w:r>
      <w:r>
        <w:fldChar w:fldCharType="separate"/>
      </w:r>
      <w:r>
        <w:rPr>
          <w:noProof/>
        </w:rPr>
        <w:t xml:space="preserve">ClubsACT, 2016: </w:t>
      </w:r>
      <w:r>
        <w:fldChar w:fldCharType="end"/>
      </w:r>
      <w:r>
        <w:t>3.</w:t>
      </w:r>
    </w:p>
  </w:footnote>
  <w:footnote w:id="91">
    <w:p w:rsidR="001B0AB1" w:rsidRDefault="001B0AB1" w:rsidP="00F65C69">
      <w:pPr>
        <w:pStyle w:val="FootnoteText"/>
      </w:pPr>
      <w:r>
        <w:rPr>
          <w:rStyle w:val="FootnoteReference"/>
        </w:rPr>
        <w:footnoteRef/>
      </w:r>
      <w:r>
        <w:t xml:space="preserve"> </w:t>
      </w:r>
      <w:r>
        <w:fldChar w:fldCharType="begin"/>
      </w:r>
      <w:r>
        <w:instrText xml:space="preserve"> ADDIN EN.CITE &lt;EndNote&gt;&lt;Cite&gt;&lt;Author&gt;ClubsACT&lt;/Author&gt;&lt;Year&gt;2016&lt;/Year&gt;&lt;RecNum&gt;736&lt;/RecNum&gt;&lt;DisplayText&gt;ClubsACT, 2016: &lt;/DisplayText&gt;&lt;record&gt;&lt;rec-number&gt;736&lt;/rec-number&gt;&lt;foreign-keys&gt;&lt;key app="EN" db-id="5xwt9zxa6r5fesevwr5xzp97r95ev9wx9zpw" timestamp="1467329642"&gt;736&lt;/key&gt;&lt;key app="ENWeb" db-id=""&gt;0&lt;/key&gt;&lt;/foreign-keys&gt;&lt;ref-type name="AAA ICRC Water References"&gt;40&lt;/ref-type&gt;&lt;contributors&gt;&lt;authors&gt;&lt;author&gt;ClubsACT,&lt;/author&gt;&lt;/authors&gt;&lt;/contributors&gt;&lt;titles&gt;&lt;title&gt;Submission No 5 to the Tariff Review 2016&lt;/title&gt;&lt;/titles&gt;&lt;dates&gt;&lt;year&gt;2016&lt;/year&gt;&lt;/dates&gt;&lt;pub-location&gt;Canberra&lt;/pub-location&gt;&lt;urls&gt;&lt;/urls&gt;&lt;/record&gt;&lt;/Cite&gt;&lt;/EndNote&gt;</w:instrText>
      </w:r>
      <w:r>
        <w:fldChar w:fldCharType="separate"/>
      </w:r>
      <w:r>
        <w:rPr>
          <w:noProof/>
        </w:rPr>
        <w:t xml:space="preserve">ClubsACT, 2016: </w:t>
      </w:r>
      <w:r>
        <w:fldChar w:fldCharType="end"/>
      </w:r>
      <w:r>
        <w:t>6.</w:t>
      </w:r>
    </w:p>
  </w:footnote>
  <w:footnote w:id="92">
    <w:p w:rsidR="001B0AB1" w:rsidRDefault="001B0AB1">
      <w:pPr>
        <w:pStyle w:val="FootnoteText"/>
      </w:pPr>
      <w:r>
        <w:rPr>
          <w:rStyle w:val="FootnoteReference"/>
        </w:rPr>
        <w:footnoteRef/>
      </w:r>
      <w:r>
        <w:t xml:space="preserve"> </w:t>
      </w:r>
      <w:r>
        <w:fldChar w:fldCharType="begin"/>
      </w:r>
      <w:r>
        <w:instrText xml:space="preserve"> ADDIN EN.CITE &lt;EndNote&gt;&lt;Cite&gt;&lt;Author&gt;Federal Golf Club&lt;/Author&gt;&lt;Year&gt;2016&lt;/Year&gt;&lt;RecNum&gt;738&lt;/RecNum&gt;&lt;DisplayText&gt;Federal Golf Club, 2016: &lt;/DisplayText&gt;&lt;record&gt;&lt;rec-number&gt;738&lt;/rec-number&gt;&lt;foreign-keys&gt;&lt;key app="EN" db-id="5xwt9zxa6r5fesevwr5xzp97r95ev9wx9zpw" timestamp="1468382745"&gt;738&lt;/key&gt;&lt;key app="ENWeb" db-id=""&gt;0&lt;/key&gt;&lt;/foreign-keys&gt;&lt;ref-type name="AAA ICRC Water References"&gt;40&lt;/ref-type&gt;&lt;contributors&gt;&lt;authors&gt;&lt;author&gt;Federal Golf Club,&lt;/author&gt;&lt;/authors&gt;&lt;/contributors&gt;&lt;titles&gt;&lt;title&gt;Submission no 8 to the 2016 Tariff Review&lt;/title&gt;&lt;/titles&gt;&lt;dates&gt;&lt;year&gt;2016&lt;/year&gt;&lt;/dates&gt;&lt;pub-location&gt;Canberra&lt;/pub-location&gt;&lt;urls&gt;&lt;/urls&gt;&lt;/record&gt;&lt;/Cite&gt;&lt;/EndNote&gt;</w:instrText>
      </w:r>
      <w:r>
        <w:fldChar w:fldCharType="separate"/>
      </w:r>
      <w:r>
        <w:rPr>
          <w:noProof/>
        </w:rPr>
        <w:t xml:space="preserve">Federal Golf Club, 2016: </w:t>
      </w:r>
      <w:r>
        <w:fldChar w:fldCharType="end"/>
      </w:r>
      <w:r>
        <w:t>1.</w:t>
      </w:r>
    </w:p>
  </w:footnote>
  <w:footnote w:id="93">
    <w:p w:rsidR="001B0AB1" w:rsidRDefault="001B0AB1" w:rsidP="00F65C69">
      <w:pPr>
        <w:pStyle w:val="FootnoteText"/>
      </w:pPr>
      <w:r>
        <w:rPr>
          <w:rStyle w:val="FootnoteReference"/>
        </w:rPr>
        <w:footnoteRef/>
      </w:r>
      <w:r>
        <w:t xml:space="preserve"> </w:t>
      </w:r>
      <w:r>
        <w:fldChar w:fldCharType="begin"/>
      </w:r>
      <w:r>
        <w:instrText xml:space="preserve"> ADDIN EN.CITE &lt;EndNote&gt;&lt;Cite&gt;&lt;Author&gt;Rae&lt;/Author&gt;&lt;Year&gt;2016&lt;/Year&gt;&lt;RecNum&gt;730&lt;/RecNum&gt;&lt;DisplayText&gt;Rae, 2016: &lt;/DisplayText&gt;&lt;record&gt;&lt;rec-number&gt;730&lt;/rec-number&gt;&lt;foreign-keys&gt;&lt;key app="EN" db-id="5xwt9zxa6r5fesevwr5xzp97r95ev9wx9zpw" timestamp="1466984155"&gt;730&lt;/key&gt;&lt;key app="ENWeb" db-id=""&gt;0&lt;/key&gt;&lt;/foreign-keys&gt;&lt;ref-type name="AAA ICRC Water References"&gt;40&lt;/ref-type&gt;&lt;contributors&gt;&lt;authors&gt;&lt;author&gt;Rae, Jason&lt;/author&gt;&lt;/authors&gt;&lt;/contributors&gt;&lt;titles&gt;&lt;title&gt;Submission No 2 to the 2016 Tariff Review&lt;/title&gt;&lt;/titles&gt;&lt;dates&gt;&lt;year&gt;2016&lt;/year&gt;&lt;/dates&gt;&lt;pub-location&gt;Canberra&lt;/pub-location&gt;&lt;urls&gt;&lt;/urls&gt;&lt;/record&gt;&lt;/Cite&gt;&lt;/EndNote&gt;</w:instrText>
      </w:r>
      <w:r>
        <w:fldChar w:fldCharType="separate"/>
      </w:r>
      <w:r>
        <w:rPr>
          <w:noProof/>
        </w:rPr>
        <w:t xml:space="preserve">Rae, 2016: </w:t>
      </w:r>
      <w:r>
        <w:fldChar w:fldCharType="end"/>
      </w:r>
      <w:r>
        <w:t>1.</w:t>
      </w:r>
    </w:p>
  </w:footnote>
  <w:footnote w:id="94">
    <w:p w:rsidR="001B0AB1" w:rsidRDefault="001B0AB1" w:rsidP="00F65C69">
      <w:pPr>
        <w:pStyle w:val="FootnoteText"/>
      </w:pPr>
      <w:r>
        <w:rPr>
          <w:rStyle w:val="FootnoteReference"/>
        </w:rPr>
        <w:footnoteRef/>
      </w:r>
      <w:r>
        <w:t xml:space="preserve"> </w:t>
      </w:r>
      <w:r>
        <w:fldChar w:fldCharType="begin"/>
      </w:r>
      <w:r>
        <w:instrText xml:space="preserve"> ADDIN EN.CITE &lt;EndNote&gt;&lt;Cite&gt;&lt;Author&gt;Klugman&lt;/Author&gt;&lt;Year&gt;2016&lt;/Year&gt;&lt;RecNum&gt;731&lt;/RecNum&gt;&lt;DisplayText&gt;Klugman, 2016: &lt;/DisplayText&gt;&lt;record&gt;&lt;rec-number&gt;731&lt;/rec-number&gt;&lt;foreign-keys&gt;&lt;key app="EN" db-id="5xwt9zxa6r5fesevwr5xzp97r95ev9wx9zpw" timestamp="1466984264"&gt;731&lt;/key&gt;&lt;/foreign-keys&gt;&lt;ref-type name="AAA ICRC Water References"&gt;40&lt;/ref-type&gt;&lt;contributors&gt;&lt;authors&gt;&lt;author&gt;Klugman, Kristine&lt;/author&gt;&lt;/authors&gt;&lt;/contributors&gt;&lt;titles&gt;&lt;title&gt;Submission No 3 to the 2016 Tariff Review&lt;/title&gt;&lt;/titles&gt;&lt;dates&gt;&lt;year&gt;2016&lt;/year&gt;&lt;/dates&gt;&lt;pub-location&gt;Canberra&lt;/pub-location&gt;&lt;urls&gt;&lt;/urls&gt;&lt;/record&gt;&lt;/Cite&gt;&lt;/EndNote&gt;</w:instrText>
      </w:r>
      <w:r>
        <w:fldChar w:fldCharType="separate"/>
      </w:r>
      <w:r>
        <w:rPr>
          <w:noProof/>
        </w:rPr>
        <w:t xml:space="preserve">Klugman, 2016: </w:t>
      </w:r>
      <w:r>
        <w:fldChar w:fldCharType="end"/>
      </w:r>
      <w:r>
        <w:t>1.</w:t>
      </w:r>
    </w:p>
  </w:footnote>
  <w:footnote w:id="95">
    <w:p w:rsidR="001B0AB1" w:rsidRDefault="001B0AB1">
      <w:pPr>
        <w:pStyle w:val="FootnoteText"/>
      </w:pPr>
      <w:r>
        <w:rPr>
          <w:rStyle w:val="FootnoteReference"/>
        </w:rPr>
        <w:footnoteRef/>
      </w:r>
      <w:r>
        <w:t xml:space="preserve"> </w:t>
      </w:r>
      <w:r>
        <w:fldChar w:fldCharType="begin"/>
      </w:r>
      <w:r>
        <w:instrText xml:space="preserve"> ADDIN EN.CITE &lt;EndNote&gt;&lt;Cite&gt;&lt;Author&gt;Knee&lt;/Author&gt;&lt;Year&gt;2016&lt;/Year&gt;&lt;RecNum&gt;733&lt;/RecNum&gt;&lt;DisplayText&gt;Knee, 2016: &lt;/DisplayText&gt;&lt;record&gt;&lt;rec-number&gt;733&lt;/rec-number&gt;&lt;foreign-keys&gt;&lt;key app="EN" db-id="5xwt9zxa6r5fesevwr5xzp97r95ev9wx9zpw" timestamp="1466984397"&gt;733&lt;/key&gt;&lt;/foreign-keys&gt;&lt;ref-type name="AAA ICRC Water References"&gt;40&lt;/ref-type&gt;&lt;contributors&gt;&lt;authors&gt;&lt;author&gt;Knee, Ross&lt;/author&gt;&lt;/authors&gt;&lt;/contributors&gt;&lt;titles&gt;&lt;title&gt;Submission No 6 to the 2016 Tariff Review&lt;/title&gt;&lt;/titles&gt;&lt;dates&gt;&lt;year&gt;2016&lt;/year&gt;&lt;/dates&gt;&lt;pub-location&gt;Canberra&lt;/pub-location&gt;&lt;urls&gt;&lt;/urls&gt;&lt;/record&gt;&lt;/Cite&gt;&lt;/EndNote&gt;</w:instrText>
      </w:r>
      <w:r>
        <w:fldChar w:fldCharType="separate"/>
      </w:r>
      <w:r>
        <w:rPr>
          <w:noProof/>
        </w:rPr>
        <w:t xml:space="preserve">Knee, 2016: </w:t>
      </w:r>
      <w:r>
        <w:fldChar w:fldCharType="end"/>
      </w:r>
      <w:r>
        <w:t>1-2.</w:t>
      </w:r>
    </w:p>
  </w:footnote>
  <w:footnote w:id="96">
    <w:p w:rsidR="001B0AB1" w:rsidRDefault="001B0AB1">
      <w:pPr>
        <w:pStyle w:val="FootnoteText"/>
      </w:pPr>
      <w:r>
        <w:rPr>
          <w:rStyle w:val="FootnoteReference"/>
        </w:rPr>
        <w:footnoteRef/>
      </w:r>
      <w:r>
        <w:t xml:space="preserve"> </w:t>
      </w:r>
      <w:r>
        <w:fldChar w:fldCharType="begin"/>
      </w:r>
      <w:r>
        <w:instrText xml:space="preserve"> ADDIN EN.CITE &lt;EndNote&gt;&lt;Cite&gt;&lt;Author&gt;Denham&lt;/Author&gt;&lt;Year&gt;2016&lt;/Year&gt;&lt;RecNum&gt;737&lt;/RecNum&gt;&lt;DisplayText&gt;Denham, 2016: &lt;/DisplayText&gt;&lt;record&gt;&lt;rec-number&gt;737&lt;/rec-number&gt;&lt;foreign-keys&gt;&lt;key app="EN" db-id="5xwt9zxa6r5fesevwr5xzp97r95ev9wx9zpw" timestamp="1468365556"&gt;737&lt;/key&gt;&lt;key app="ENWeb" db-id=""&gt;0&lt;/key&gt;&lt;/foreign-keys&gt;&lt;ref-type name="AAA ICRC Water References"&gt;40&lt;/ref-type&gt;&lt;contributors&gt;&lt;authors&gt;&lt;author&gt;Denham, D&lt;/author&gt;&lt;/authors&gt;&lt;/contributors&gt;&lt;titles&gt;&lt;title&gt;Submission No 7 to the 2016 Tariff Review&lt;/title&gt;&lt;/titles&gt;&lt;dates&gt;&lt;year&gt;2016&lt;/year&gt;&lt;/dates&gt;&lt;pub-location&gt;Canberra&lt;/pub-location&gt;&lt;urls&gt;&lt;/urls&gt;&lt;/record&gt;&lt;/Cite&gt;&lt;/EndNote&gt;</w:instrText>
      </w:r>
      <w:r>
        <w:fldChar w:fldCharType="separate"/>
      </w:r>
      <w:r>
        <w:rPr>
          <w:noProof/>
        </w:rPr>
        <w:t xml:space="preserve">Denham, 2016: </w:t>
      </w:r>
      <w:r>
        <w:fldChar w:fldCharType="end"/>
      </w:r>
      <w:r>
        <w:t>1.</w:t>
      </w:r>
    </w:p>
  </w:footnote>
  <w:footnote w:id="97">
    <w:p w:rsidR="001B0AB1" w:rsidRDefault="001B0AB1" w:rsidP="006024C7">
      <w:pPr>
        <w:pStyle w:val="FootnoteText"/>
      </w:pPr>
      <w:r>
        <w:rPr>
          <w:rStyle w:val="FootnoteReference"/>
        </w:rPr>
        <w:footnoteRef/>
      </w:r>
      <w:r>
        <w:t xml:space="preserve"> </w:t>
      </w:r>
      <w:r>
        <w:rPr>
          <w:noProof/>
        </w:rPr>
        <w:t xml:space="preserve">ACT Government, 1997: </w:t>
      </w:r>
      <w:r>
        <w:t>26–27.</w:t>
      </w:r>
    </w:p>
  </w:footnote>
  <w:footnote w:id="98">
    <w:p w:rsidR="001B0AB1" w:rsidRDefault="001B0AB1" w:rsidP="006A107D">
      <w:pPr>
        <w:pStyle w:val="FootnoteText"/>
      </w:pPr>
      <w:r>
        <w:rPr>
          <w:rStyle w:val="FootnoteReference"/>
        </w:rPr>
        <w:footnoteRef/>
      </w:r>
      <w:r>
        <w:t xml:space="preserve"> The National Water Initiative defines upper bound pricing as</w:t>
      </w:r>
      <w:r w:rsidRPr="00494DC3">
        <w:t xml:space="preserve"> </w:t>
      </w:r>
      <w:r>
        <w:t>‘</w:t>
      </w:r>
      <w:r w:rsidRPr="00494DC3">
        <w:t xml:space="preserve">the level at which, to avoid monopoly rents, a water business should not recover more than the operational, maintenance and administrative costs, externalities, </w:t>
      </w:r>
      <w:r>
        <w:t>taxes or tax equivalent regimes</w:t>
      </w:r>
      <w:r w:rsidRPr="00494DC3">
        <w:t>, provision for the cost of asset consumption and cost of capital, the latter being calculated using a weighted average cost of capital</w:t>
      </w:r>
      <w:r>
        <w:t>’ (</w:t>
      </w:r>
      <w:r>
        <w:rPr>
          <w:noProof/>
        </w:rPr>
        <w:t xml:space="preserve">COAG, 2004: </w:t>
      </w:r>
      <w:r>
        <w:t>30)</w:t>
      </w:r>
      <w:r w:rsidRPr="00494DC3">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AB1" w:rsidRDefault="001B0AB1">
    <w:pPr>
      <w:spacing w:after="0" w:line="240" w:lineRule="auto"/>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AB1" w:rsidRDefault="001B0AB1" w:rsidP="00CD73EC">
    <w:pPr>
      <w:pStyle w:val="Headerodd"/>
    </w:pPr>
  </w:p>
  <w:p w:rsidR="001B0AB1" w:rsidRDefault="001B0AB1" w:rsidP="00CD73EC">
    <w:pPr>
      <w:pStyle w:val="Headerodd"/>
    </w:pPr>
  </w:p>
  <w:p w:rsidR="001B0AB1" w:rsidRDefault="001B0AB1" w:rsidP="004E4199">
    <w:pPr>
      <w:pStyle w:val="Headereven"/>
    </w:pPr>
    <w:r>
      <w:t>Contents</w:t>
    </w:r>
  </w:p>
  <w:p w:rsidR="001B0AB1" w:rsidRDefault="001B0AB1"/>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AB1" w:rsidRDefault="001B0AB1" w:rsidP="00D67976">
    <w:pPr>
      <w:spacing w:after="0"/>
      <w:jc w:val="right"/>
    </w:pPr>
  </w:p>
  <w:p w:rsidR="001B0AB1" w:rsidRDefault="001B0AB1" w:rsidP="00D67976">
    <w:pPr>
      <w:spacing w:after="0"/>
      <w:jc w:val="right"/>
    </w:pPr>
  </w:p>
  <w:p w:rsidR="001B0AB1" w:rsidRDefault="001B0AB1" w:rsidP="00FD11D6">
    <w:pPr>
      <w:pStyle w:val="Headerodd"/>
    </w:pPr>
    <w:r>
      <w:t>Contents</w:t>
    </w:r>
  </w:p>
  <w:p w:rsidR="001B0AB1" w:rsidRDefault="001B0AB1" w:rsidP="00D67976">
    <w:pPr>
      <w:spacing w:after="0"/>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AB1" w:rsidRDefault="001B0AB1" w:rsidP="00D67976">
    <w:pPr>
      <w:spacing w:after="0"/>
      <w:jc w:val="right"/>
    </w:pPr>
  </w:p>
  <w:p w:rsidR="001B0AB1" w:rsidRDefault="001B0AB1" w:rsidP="00D67976">
    <w:pPr>
      <w:spacing w:after="0"/>
      <w:jc w:val="right"/>
    </w:pPr>
  </w:p>
  <w:p w:rsidR="001B0AB1" w:rsidRDefault="001B0AB1" w:rsidP="00C05E6A">
    <w:pPr>
      <w:pStyle w:val="Headerodd"/>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AB1" w:rsidRDefault="001B0AB1" w:rsidP="00CD73EC">
    <w:pPr>
      <w:pStyle w:val="Headerodd"/>
    </w:pPr>
  </w:p>
  <w:p w:rsidR="001B0AB1" w:rsidRDefault="001B0AB1" w:rsidP="00CD73EC">
    <w:pPr>
      <w:pStyle w:val="Headerodd"/>
    </w:pPr>
  </w:p>
  <w:p w:rsidR="001B0AB1" w:rsidRDefault="001B0AB1" w:rsidP="00CD73EC">
    <w:pPr>
      <w:pStyle w:val="Headereven"/>
    </w:pPr>
    <w:r>
      <w:t>Main conclusions</w:t>
    </w:r>
  </w:p>
  <w:p w:rsidR="001B0AB1" w:rsidRDefault="001B0AB1"/>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AB1" w:rsidRDefault="001B0AB1" w:rsidP="00D67976">
    <w:pPr>
      <w:spacing w:after="0"/>
      <w:jc w:val="right"/>
    </w:pPr>
  </w:p>
  <w:p w:rsidR="001B0AB1" w:rsidRDefault="001B0AB1" w:rsidP="00D67976">
    <w:pPr>
      <w:spacing w:after="0"/>
      <w:jc w:val="right"/>
    </w:pPr>
  </w:p>
  <w:p w:rsidR="001B0AB1" w:rsidRDefault="001B0AB1" w:rsidP="00C05E6A">
    <w:pPr>
      <w:pStyle w:val="Headerodd"/>
    </w:pPr>
    <w:r>
      <w:t>Main conclusions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AB1" w:rsidRDefault="001B0AB1"/>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AB1" w:rsidRDefault="001B0AB1" w:rsidP="00D67976">
    <w:pPr>
      <w:spacing w:after="0"/>
      <w:jc w:val="right"/>
    </w:pPr>
  </w:p>
  <w:p w:rsidR="001B0AB1" w:rsidRPr="0048615F" w:rsidRDefault="001B0AB1" w:rsidP="00522FB8">
    <w:pPr>
      <w:pStyle w:val="Headerodd"/>
      <w:rPr>
        <w:color w:val="auto"/>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AB1" w:rsidRDefault="001B0AB1" w:rsidP="00D67976">
    <w:pPr>
      <w:spacing w:after="0"/>
    </w:pPr>
  </w:p>
  <w:p w:rsidR="001B0AB1" w:rsidRDefault="001B0AB1" w:rsidP="00D67976">
    <w:pPr>
      <w:spacing w:after="0"/>
    </w:pPr>
  </w:p>
  <w:p w:rsidR="001B0AB1" w:rsidRDefault="001B0AB1" w:rsidP="00502D80">
    <w:pPr>
      <w:pStyle w:val="Headereven"/>
    </w:pPr>
    <w:r>
      <w:fldChar w:fldCharType="begin"/>
    </w:r>
    <w:r>
      <w:instrText xml:space="preserve"> REF _Ref338172668 \r \h </w:instrText>
    </w:r>
    <w:r>
      <w:fldChar w:fldCharType="separate"/>
    </w:r>
    <w:r w:rsidR="00A657EB">
      <w:rPr>
        <w:b/>
        <w:bCs/>
        <w:lang w:val="en-US"/>
      </w:rPr>
      <w:t>Error! Reference source not found.</w:t>
    </w:r>
    <w:r>
      <w:fldChar w:fldCharType="end"/>
    </w:r>
    <w:r>
      <w:t xml:space="preserve"> – </w:t>
    </w:r>
    <w:r>
      <w:fldChar w:fldCharType="begin"/>
    </w:r>
    <w:r>
      <w:instrText xml:space="preserve"> REF _Ref338172668 \h </w:instrText>
    </w:r>
    <w:r>
      <w:fldChar w:fldCharType="separate"/>
    </w:r>
    <w:r w:rsidR="00A657EB">
      <w:rPr>
        <w:b/>
        <w:bCs/>
        <w:lang w:val="en-US"/>
      </w:rPr>
      <w:t>Error! Reference source not found.</w:t>
    </w:r>
    <w:r>
      <w:fldChar w:fldCharType="end"/>
    </w:r>
  </w:p>
  <w:p w:rsidR="001B0AB1" w:rsidRDefault="001B0AB1" w:rsidP="00502D80">
    <w:pPr>
      <w:pStyle w:val="Headereven"/>
    </w:pPr>
    <w:r>
      <w:fldChar w:fldCharType="begin"/>
    </w:r>
    <w:r>
      <w:instrText xml:space="preserve"> REF _Ref349552358 \r \h </w:instrText>
    </w:r>
    <w:r>
      <w:fldChar w:fldCharType="separate"/>
    </w:r>
    <w:r w:rsidR="00A657EB">
      <w:rPr>
        <w:b/>
        <w:bCs/>
        <w:lang w:val="en-US"/>
      </w:rPr>
      <w:t>Error! Reference source not found.</w:t>
    </w:r>
    <w:r>
      <w:fldChar w:fldCharType="end"/>
    </w:r>
    <w:r>
      <w:t xml:space="preserve"> – </w:t>
    </w:r>
    <w:r>
      <w:fldChar w:fldCharType="begin"/>
    </w:r>
    <w:r>
      <w:instrText xml:space="preserve"> REF _Ref349552358 \h </w:instrText>
    </w:r>
    <w:r>
      <w:fldChar w:fldCharType="separate"/>
    </w:r>
    <w:r w:rsidR="00A657EB">
      <w:rPr>
        <w:b/>
        <w:bCs/>
        <w:lang w:val="en-US"/>
      </w:rPr>
      <w:t>Error! Reference source not found.</w:t>
    </w:r>
    <w: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AB1" w:rsidRDefault="001B0AB1" w:rsidP="00D67976">
    <w:pPr>
      <w:spacing w:after="0"/>
      <w:jc w:val="right"/>
    </w:pPr>
  </w:p>
  <w:p w:rsidR="001B0AB1" w:rsidRDefault="001B0AB1" w:rsidP="00D67976">
    <w:pPr>
      <w:spacing w:after="0"/>
      <w:jc w:val="right"/>
    </w:pPr>
  </w:p>
  <w:p w:rsidR="001B0AB1" w:rsidRDefault="001B0AB1" w:rsidP="00502D80">
    <w:pPr>
      <w:pStyle w:val="Headerodd"/>
    </w:pPr>
  </w:p>
  <w:p w:rsidR="001B0AB1" w:rsidRPr="00790F62" w:rsidRDefault="001B0AB1" w:rsidP="00502D80">
    <w:pPr>
      <w:pStyle w:val="Headerodd"/>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AB1" w:rsidRDefault="001B0AB1" w:rsidP="00D67976">
    <w:pPr>
      <w:spacing w:after="0"/>
    </w:pPr>
  </w:p>
  <w:p w:rsidR="001B0AB1" w:rsidRDefault="001B0AB1" w:rsidP="00D67976">
    <w:pPr>
      <w:spacing w:after="0"/>
    </w:pPr>
  </w:p>
  <w:p w:rsidR="001B0AB1" w:rsidRDefault="001B0AB1" w:rsidP="00502D80">
    <w:pPr>
      <w:pStyle w:val="Headereven"/>
    </w:pPr>
    <w:r>
      <w:fldChar w:fldCharType="begin"/>
    </w:r>
    <w:r>
      <w:instrText xml:space="preserve"> REF _Ref364695177 \r \h </w:instrText>
    </w:r>
    <w:r>
      <w:fldChar w:fldCharType="separate"/>
    </w:r>
    <w:r w:rsidR="00A657EB">
      <w:t>1</w:t>
    </w:r>
    <w:r>
      <w:fldChar w:fldCharType="end"/>
    </w:r>
    <w:r>
      <w:t xml:space="preserve"> – </w:t>
    </w:r>
    <w:r>
      <w:fldChar w:fldCharType="begin"/>
    </w:r>
    <w:r>
      <w:instrText xml:space="preserve"> REF _Ref364695177 \h </w:instrText>
    </w:r>
    <w:r>
      <w:fldChar w:fldCharType="separate"/>
    </w:r>
    <w:r w:rsidR="00A657EB">
      <w:t>Introduction</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AB1" w:rsidRPr="00EC19F8" w:rsidRDefault="007B3D81" w:rsidP="00EF6AF3">
    <w:pPr>
      <w:jc w:val="center"/>
      <w:rPr>
        <w:sz w:val="44"/>
      </w:rPr>
    </w:pPr>
    <w:r>
      <w:rPr>
        <w:noProof/>
        <w:sz w:val="44"/>
        <w:lang w:val="en-AU"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4672428" o:spid="_x0000_s2131" type="#_x0000_t75" style="position:absolute;left:0;text-align:left;margin-left:0;margin-top:0;width:416.3pt;height:662.55pt;z-index:-251626496;mso-position-horizontal:center;mso-position-horizontal-relative:margin;mso-position-vertical:center;mso-position-vertical-relative:margin" o:allowincell="f">
          <v:imagedata r:id="rId1" o:title="ICRC_reports_cover"/>
          <w10:wrap anchorx="margin" anchory="margin"/>
        </v:shape>
      </w:pict>
    </w:r>
    <w:r w:rsidR="001B0AB1" w:rsidRPr="00EC19F8">
      <w:rPr>
        <w:sz w:val="44"/>
      </w:rPr>
      <w:t>Commission-in-Confidence</w:t>
    </w:r>
  </w:p>
  <w:p w:rsidR="001B0AB1" w:rsidRDefault="001B0AB1"/>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AB1" w:rsidRDefault="001B0AB1" w:rsidP="00D67976">
    <w:pPr>
      <w:spacing w:after="0"/>
      <w:jc w:val="right"/>
    </w:pPr>
  </w:p>
  <w:p w:rsidR="001B0AB1" w:rsidRDefault="001B0AB1" w:rsidP="00D67976">
    <w:pPr>
      <w:spacing w:after="0"/>
      <w:jc w:val="right"/>
    </w:pPr>
  </w:p>
  <w:p w:rsidR="001B0AB1" w:rsidRPr="00790F62" w:rsidRDefault="001B0AB1" w:rsidP="00E809D3">
    <w:pPr>
      <w:pStyle w:val="Headerodd"/>
    </w:pPr>
    <w:r>
      <w:fldChar w:fldCharType="begin"/>
    </w:r>
    <w:r>
      <w:instrText xml:space="preserve"> REF _Ref364695177 \r \h </w:instrText>
    </w:r>
    <w:r>
      <w:fldChar w:fldCharType="separate"/>
    </w:r>
    <w:r w:rsidR="00A657EB">
      <w:t>1</w:t>
    </w:r>
    <w:r>
      <w:fldChar w:fldCharType="end"/>
    </w:r>
    <w:r>
      <w:t xml:space="preserve"> – </w:t>
    </w:r>
    <w:r>
      <w:fldChar w:fldCharType="begin"/>
    </w:r>
    <w:r>
      <w:instrText xml:space="preserve"> REF _Ref364695177 \h </w:instrText>
    </w:r>
    <w:r>
      <w:fldChar w:fldCharType="separate"/>
    </w:r>
    <w:r w:rsidR="00A657EB">
      <w:t>Introduction</w:t>
    </w:r>
    <w: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AB1" w:rsidRDefault="001B0AB1" w:rsidP="00ED2CCF">
    <w:pPr>
      <w:spacing w:after="0"/>
    </w:pPr>
  </w:p>
  <w:p w:rsidR="001B0AB1" w:rsidRDefault="001B0AB1" w:rsidP="00ED2CCF">
    <w:pPr>
      <w:spacing w:after="0"/>
    </w:pPr>
  </w:p>
  <w:p w:rsidR="001B0AB1" w:rsidRDefault="001B0AB1" w:rsidP="00A859E0">
    <w:pPr>
      <w:pStyle w:val="Headereven"/>
    </w:pPr>
    <w:r>
      <w:fldChar w:fldCharType="begin"/>
    </w:r>
    <w:r>
      <w:instrText xml:space="preserve"> REF _Ref338172668 \r \h  \* MERGEFORMAT </w:instrText>
    </w:r>
    <w:r>
      <w:fldChar w:fldCharType="separate"/>
    </w:r>
    <w:r w:rsidR="00A657EB">
      <w:rPr>
        <w:b/>
        <w:bCs/>
        <w:lang w:val="en-US"/>
      </w:rPr>
      <w:t>Error! Reference source not found.</w:t>
    </w:r>
    <w:r>
      <w:fldChar w:fldCharType="end"/>
    </w:r>
    <w:r>
      <w:t xml:space="preserve"> – </w:t>
    </w:r>
    <w:r>
      <w:fldChar w:fldCharType="begin"/>
    </w:r>
    <w:r>
      <w:instrText xml:space="preserve"> REF _Ref338172668 \h  \* MERGEFORMAT </w:instrText>
    </w:r>
    <w:r>
      <w:fldChar w:fldCharType="separate"/>
    </w:r>
    <w:r w:rsidR="00A657EB">
      <w:rPr>
        <w:b/>
        <w:bCs/>
        <w:lang w:val="en-US"/>
      </w:rPr>
      <w:t>Error! Reference source not found.</w:t>
    </w:r>
    <w:r>
      <w:fldChar w:fldCharType="end"/>
    </w:r>
  </w:p>
  <w:p w:rsidR="001B0AB1" w:rsidRPr="00EF3464" w:rsidRDefault="001B0AB1" w:rsidP="00A859E0">
    <w:pPr>
      <w:pStyle w:val="Headereven"/>
    </w:pPr>
    <w:r>
      <w:fldChar w:fldCharType="begin"/>
    </w:r>
    <w:r>
      <w:instrText xml:space="preserve"> REF _Ref348703089 \r \h </w:instrText>
    </w:r>
    <w:r>
      <w:fldChar w:fldCharType="separate"/>
    </w:r>
    <w:r w:rsidR="00A657EB">
      <w:rPr>
        <w:b/>
        <w:bCs/>
        <w:lang w:val="en-US"/>
      </w:rPr>
      <w:t>Error! Reference source not found.</w:t>
    </w:r>
    <w:r>
      <w:fldChar w:fldCharType="end"/>
    </w:r>
    <w:r>
      <w:t xml:space="preserve"> – </w:t>
    </w:r>
    <w:r>
      <w:fldChar w:fldCharType="begin"/>
    </w:r>
    <w:r>
      <w:instrText xml:space="preserve"> REF _Ref348703052 \h </w:instrText>
    </w:r>
    <w:r>
      <w:fldChar w:fldCharType="separate"/>
    </w:r>
    <w:r w:rsidR="00A657EB">
      <w:rPr>
        <w:b/>
        <w:bCs/>
        <w:lang w:val="en-US"/>
      </w:rPr>
      <w:t>Error! Reference source not found.</w:t>
    </w:r>
    <w: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AB1" w:rsidRDefault="001B0AB1" w:rsidP="00ED2CCF">
    <w:pPr>
      <w:spacing w:after="0"/>
      <w:jc w:val="right"/>
    </w:pPr>
  </w:p>
  <w:p w:rsidR="001B0AB1" w:rsidRDefault="001B0AB1" w:rsidP="00ED2CCF">
    <w:pPr>
      <w:spacing w:after="0"/>
      <w:jc w:val="right"/>
    </w:pPr>
  </w:p>
  <w:p w:rsidR="001B0AB1" w:rsidRDefault="001B0AB1" w:rsidP="00A859E0">
    <w:pPr>
      <w:pStyle w:val="Headerodd"/>
    </w:pPr>
  </w:p>
  <w:p w:rsidR="001B0AB1" w:rsidRPr="00EF3464" w:rsidRDefault="001B0AB1" w:rsidP="00A859E0">
    <w:pPr>
      <w:pStyle w:val="Headerodd"/>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AB1" w:rsidRDefault="001B0AB1" w:rsidP="002F3A80">
    <w:pPr>
      <w:pStyle w:val="Headereven"/>
    </w:pPr>
  </w:p>
  <w:p w:rsidR="001B0AB1" w:rsidRDefault="001B0AB1" w:rsidP="002F3A80">
    <w:pPr>
      <w:pStyle w:val="Headereven"/>
    </w:pPr>
  </w:p>
  <w:p w:rsidR="001B0AB1" w:rsidRDefault="001B0AB1" w:rsidP="002F3A80">
    <w:pPr>
      <w:pStyle w:val="Headereven"/>
    </w:pPr>
    <w:r>
      <w:fldChar w:fldCharType="begin"/>
    </w:r>
    <w:r>
      <w:instrText xml:space="preserve"> REF _Ref448923205 \r \h </w:instrText>
    </w:r>
    <w:r>
      <w:fldChar w:fldCharType="separate"/>
    </w:r>
    <w:r w:rsidR="00A657EB">
      <w:t>2</w:t>
    </w:r>
    <w:r>
      <w:fldChar w:fldCharType="end"/>
    </w:r>
    <w:r>
      <w:t xml:space="preserve"> – </w:t>
    </w:r>
    <w:r>
      <w:fldChar w:fldCharType="begin"/>
    </w:r>
    <w:r>
      <w:instrText xml:space="preserve"> REF _Ref448923205 \h </w:instrText>
    </w:r>
    <w:r>
      <w:fldChar w:fldCharType="separate"/>
    </w:r>
    <w:r w:rsidR="00A657EB">
      <w:t>The assessment framework</w:t>
    </w:r>
    <w: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AB1" w:rsidRDefault="001B0AB1" w:rsidP="00D67976">
    <w:pPr>
      <w:spacing w:after="0"/>
      <w:jc w:val="right"/>
    </w:pPr>
  </w:p>
  <w:p w:rsidR="001B0AB1" w:rsidRDefault="001B0AB1" w:rsidP="002F3A80">
    <w:pPr>
      <w:pStyle w:val="Headerodd"/>
    </w:pPr>
  </w:p>
  <w:p w:rsidR="001B0AB1" w:rsidRDefault="001B0AB1" w:rsidP="002F3A80">
    <w:pPr>
      <w:pStyle w:val="Headerodd"/>
    </w:pPr>
    <w:r>
      <w:fldChar w:fldCharType="begin"/>
    </w:r>
    <w:r>
      <w:instrText xml:space="preserve"> REF _Ref448923205 \r \h </w:instrText>
    </w:r>
    <w:r>
      <w:fldChar w:fldCharType="separate"/>
    </w:r>
    <w:r w:rsidR="00A657EB">
      <w:t>2</w:t>
    </w:r>
    <w:r>
      <w:fldChar w:fldCharType="end"/>
    </w:r>
    <w:r>
      <w:t xml:space="preserve"> – </w:t>
    </w:r>
    <w:r>
      <w:fldChar w:fldCharType="begin"/>
    </w:r>
    <w:r>
      <w:instrText xml:space="preserve"> REF _Ref448923205 \h </w:instrText>
    </w:r>
    <w:r>
      <w:fldChar w:fldCharType="separate"/>
    </w:r>
    <w:r w:rsidR="00A657EB">
      <w:t>The assessment framework</w:t>
    </w:r>
    <w:r>
      <w:fldChar w:fldCharType="end"/>
    </w:r>
  </w:p>
  <w:p w:rsidR="001B0AB1" w:rsidRPr="0048615F" w:rsidRDefault="001B0AB1" w:rsidP="00522FB8">
    <w:pPr>
      <w:pStyle w:val="Headerodd"/>
      <w:rPr>
        <w:color w:val="auto"/>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AB1" w:rsidRDefault="001B0AB1" w:rsidP="00ED2CCF">
    <w:pPr>
      <w:spacing w:after="0"/>
    </w:pPr>
  </w:p>
  <w:p w:rsidR="001B0AB1" w:rsidRDefault="001B0AB1" w:rsidP="00ED2CCF">
    <w:pPr>
      <w:spacing w:after="0"/>
    </w:pPr>
  </w:p>
  <w:p w:rsidR="001B0AB1" w:rsidRDefault="001B0AB1" w:rsidP="00A859E0">
    <w:pPr>
      <w:pStyle w:val="Headereven"/>
    </w:pPr>
    <w:r>
      <w:fldChar w:fldCharType="begin"/>
    </w:r>
    <w:r>
      <w:instrText xml:space="preserve"> REF _Ref338172668 \r \h  \* MERGEFORMAT </w:instrText>
    </w:r>
    <w:r>
      <w:fldChar w:fldCharType="separate"/>
    </w:r>
    <w:r w:rsidR="00A657EB">
      <w:rPr>
        <w:b/>
        <w:bCs/>
        <w:lang w:val="en-US"/>
      </w:rPr>
      <w:t>Error! Reference source not found.</w:t>
    </w:r>
    <w:r>
      <w:fldChar w:fldCharType="end"/>
    </w:r>
    <w:r>
      <w:t xml:space="preserve"> – </w:t>
    </w:r>
    <w:r>
      <w:fldChar w:fldCharType="begin"/>
    </w:r>
    <w:r>
      <w:instrText xml:space="preserve"> REF _Ref338172668 \h  \* MERGEFORMAT </w:instrText>
    </w:r>
    <w:r>
      <w:fldChar w:fldCharType="separate"/>
    </w:r>
    <w:r w:rsidR="00A657EB">
      <w:rPr>
        <w:b/>
        <w:bCs/>
        <w:lang w:val="en-US"/>
      </w:rPr>
      <w:t>Error! Reference source not found.</w:t>
    </w:r>
    <w:r>
      <w:fldChar w:fldCharType="end"/>
    </w:r>
  </w:p>
  <w:p w:rsidR="001B0AB1" w:rsidRPr="00EF3464" w:rsidRDefault="001B0AB1" w:rsidP="00A859E0">
    <w:pPr>
      <w:pStyle w:val="Headereven"/>
    </w:pPr>
    <w:r>
      <w:fldChar w:fldCharType="begin"/>
    </w:r>
    <w:r>
      <w:instrText xml:space="preserve"> REF _Ref348703089 \r \h </w:instrText>
    </w:r>
    <w:r>
      <w:fldChar w:fldCharType="separate"/>
    </w:r>
    <w:r w:rsidR="00A657EB">
      <w:rPr>
        <w:b/>
        <w:bCs/>
        <w:lang w:val="en-US"/>
      </w:rPr>
      <w:t>Error! Reference source not found.</w:t>
    </w:r>
    <w:r>
      <w:fldChar w:fldCharType="end"/>
    </w:r>
    <w:r>
      <w:t xml:space="preserve"> – </w:t>
    </w:r>
    <w:r>
      <w:fldChar w:fldCharType="begin"/>
    </w:r>
    <w:r>
      <w:instrText xml:space="preserve"> REF _Ref348703052 \h </w:instrText>
    </w:r>
    <w:r>
      <w:fldChar w:fldCharType="separate"/>
    </w:r>
    <w:r w:rsidR="00A657EB">
      <w:rPr>
        <w:b/>
        <w:bCs/>
        <w:lang w:val="en-US"/>
      </w:rPr>
      <w:t>Error! Reference source not found.</w:t>
    </w:r>
    <w:r>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AB1" w:rsidRDefault="001B0AB1" w:rsidP="00ED2CCF">
    <w:pPr>
      <w:spacing w:after="0"/>
      <w:jc w:val="right"/>
    </w:pPr>
  </w:p>
  <w:p w:rsidR="001B0AB1" w:rsidRDefault="001B0AB1" w:rsidP="00ED2CCF">
    <w:pPr>
      <w:spacing w:after="0"/>
      <w:jc w:val="right"/>
    </w:pPr>
  </w:p>
  <w:p w:rsidR="001B0AB1" w:rsidRDefault="001B0AB1" w:rsidP="00A859E0">
    <w:pPr>
      <w:pStyle w:val="Headerodd"/>
    </w:pPr>
  </w:p>
  <w:p w:rsidR="001B0AB1" w:rsidRPr="00EF3464" w:rsidRDefault="001B0AB1" w:rsidP="00A859E0">
    <w:pPr>
      <w:pStyle w:val="Headerodd"/>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AB1" w:rsidRDefault="001B0AB1" w:rsidP="00D67976">
    <w:pPr>
      <w:spacing w:after="0"/>
    </w:pPr>
  </w:p>
  <w:p w:rsidR="001B0AB1" w:rsidRDefault="001B0AB1" w:rsidP="00D67976">
    <w:pPr>
      <w:spacing w:after="0"/>
    </w:pPr>
  </w:p>
  <w:p w:rsidR="001B0AB1" w:rsidRDefault="001B0AB1" w:rsidP="00502D80">
    <w:pPr>
      <w:pStyle w:val="Headereven"/>
    </w:pPr>
    <w:r>
      <w:fldChar w:fldCharType="begin"/>
    </w:r>
    <w:r>
      <w:instrText xml:space="preserve"> REF _Ref433615233 \r \h </w:instrText>
    </w:r>
    <w:r>
      <w:fldChar w:fldCharType="separate"/>
    </w:r>
    <w:r w:rsidR="00A657EB">
      <w:t>3</w:t>
    </w:r>
    <w:r>
      <w:fldChar w:fldCharType="end"/>
    </w:r>
    <w:r>
      <w:t xml:space="preserve"> – </w:t>
    </w:r>
    <w:r>
      <w:fldChar w:fldCharType="begin"/>
    </w:r>
    <w:r>
      <w:instrText xml:space="preserve"> REF _Ref448321586 \h </w:instrText>
    </w:r>
    <w:r>
      <w:fldChar w:fldCharType="separate"/>
    </w:r>
    <w:r w:rsidR="00A657EB">
      <w:t>Water tariffs: Options and analysis</w:t>
    </w:r>
    <w:r>
      <w:fldChar w:fldCharType="end"/>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AB1" w:rsidRDefault="001B0AB1" w:rsidP="00D67976">
    <w:pPr>
      <w:spacing w:after="0"/>
      <w:jc w:val="right"/>
    </w:pPr>
  </w:p>
  <w:p w:rsidR="001B0AB1" w:rsidRDefault="001B0AB1" w:rsidP="00D67976">
    <w:pPr>
      <w:spacing w:after="0"/>
      <w:jc w:val="right"/>
    </w:pPr>
  </w:p>
  <w:p w:rsidR="001B0AB1" w:rsidRPr="00790F62" w:rsidRDefault="001B0AB1" w:rsidP="00E809D3">
    <w:pPr>
      <w:pStyle w:val="Headerodd"/>
    </w:pPr>
    <w:r>
      <w:fldChar w:fldCharType="begin"/>
    </w:r>
    <w:r>
      <w:instrText xml:space="preserve"> REF _Ref433615233 \r \h </w:instrText>
    </w:r>
    <w:r>
      <w:fldChar w:fldCharType="separate"/>
    </w:r>
    <w:r w:rsidR="00A657EB">
      <w:t>3</w:t>
    </w:r>
    <w:r>
      <w:fldChar w:fldCharType="end"/>
    </w:r>
    <w:r>
      <w:t xml:space="preserve"> – </w:t>
    </w:r>
    <w:r>
      <w:fldChar w:fldCharType="begin"/>
    </w:r>
    <w:r>
      <w:instrText xml:space="preserve"> REF _Ref448321586 \h </w:instrText>
    </w:r>
    <w:r>
      <w:fldChar w:fldCharType="separate"/>
    </w:r>
    <w:r w:rsidR="00A657EB">
      <w:t>Water tariffs: Options and analysis</w:t>
    </w:r>
    <w:r>
      <w:fldChar w:fldCharType="end"/>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AB1" w:rsidRDefault="001B0AB1" w:rsidP="00ED2CCF">
    <w:pPr>
      <w:spacing w:after="0"/>
    </w:pPr>
  </w:p>
  <w:p w:rsidR="001B0AB1" w:rsidRDefault="001B0AB1" w:rsidP="00ED2CCF">
    <w:pPr>
      <w:spacing w:after="0"/>
    </w:pPr>
  </w:p>
  <w:p w:rsidR="001B0AB1" w:rsidRDefault="001B0AB1" w:rsidP="00A859E0">
    <w:pPr>
      <w:pStyle w:val="Headereven"/>
    </w:pPr>
    <w:r>
      <w:fldChar w:fldCharType="begin"/>
    </w:r>
    <w:r>
      <w:instrText xml:space="preserve"> REF _Ref338172668 \r \h  \* MERGEFORMAT </w:instrText>
    </w:r>
    <w:r>
      <w:fldChar w:fldCharType="separate"/>
    </w:r>
    <w:r w:rsidR="00A657EB">
      <w:rPr>
        <w:b/>
        <w:bCs/>
        <w:lang w:val="en-US"/>
      </w:rPr>
      <w:t>Error! Reference source not found.</w:t>
    </w:r>
    <w:r>
      <w:fldChar w:fldCharType="end"/>
    </w:r>
    <w:r>
      <w:t xml:space="preserve"> – </w:t>
    </w:r>
    <w:r>
      <w:fldChar w:fldCharType="begin"/>
    </w:r>
    <w:r>
      <w:instrText xml:space="preserve"> REF _Ref338172668 \h  \* MERGEFORMAT </w:instrText>
    </w:r>
    <w:r>
      <w:fldChar w:fldCharType="separate"/>
    </w:r>
    <w:r w:rsidR="00A657EB">
      <w:rPr>
        <w:b/>
        <w:bCs/>
        <w:lang w:val="en-US"/>
      </w:rPr>
      <w:t>Error! Reference source not found.</w:t>
    </w:r>
    <w:r>
      <w:fldChar w:fldCharType="end"/>
    </w:r>
  </w:p>
  <w:p w:rsidR="001B0AB1" w:rsidRPr="00EF3464" w:rsidRDefault="001B0AB1" w:rsidP="00A859E0">
    <w:pPr>
      <w:pStyle w:val="Headereven"/>
    </w:pPr>
    <w:r>
      <w:fldChar w:fldCharType="begin"/>
    </w:r>
    <w:r>
      <w:instrText xml:space="preserve"> REF _Ref348703089 \r \h </w:instrText>
    </w:r>
    <w:r>
      <w:fldChar w:fldCharType="separate"/>
    </w:r>
    <w:r w:rsidR="00A657EB">
      <w:rPr>
        <w:b/>
        <w:bCs/>
        <w:lang w:val="en-US"/>
      </w:rPr>
      <w:t>Error! Reference source not found.</w:t>
    </w:r>
    <w:r>
      <w:fldChar w:fldCharType="end"/>
    </w:r>
    <w:r>
      <w:t xml:space="preserve"> – </w:t>
    </w:r>
    <w:r>
      <w:fldChar w:fldCharType="begin"/>
    </w:r>
    <w:r>
      <w:instrText xml:space="preserve"> REF _Ref348703052 \h </w:instrText>
    </w:r>
    <w:r>
      <w:fldChar w:fldCharType="separate"/>
    </w:r>
    <w:r w:rsidR="00A657EB">
      <w:rPr>
        <w:b/>
        <w:bCs/>
        <w:lang w:val="en-US"/>
      </w:rPr>
      <w:t>Error! Reference source not found.</w:t>
    </w:r>
    <w: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AB1" w:rsidRDefault="007B3D81">
    <w:r>
      <w:rPr>
        <w:noProof/>
        <w:lang w:val="en-AU"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4672426" o:spid="_x0000_s2129" type="#_x0000_t75" style="position:absolute;margin-left:0;margin-top:0;width:457.8pt;height:728.6pt;z-index:-251628544;mso-position-horizontal:center;mso-position-horizontal-relative:margin;mso-position-vertical:center;mso-position-vertical-relative:margin" o:allowincell="f">
          <v:imagedata r:id="rId1" o:title="ICRC_reports_cover"/>
          <w10:wrap anchorx="margin" anchory="margin"/>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AB1" w:rsidRDefault="001B0AB1" w:rsidP="00ED2CCF">
    <w:pPr>
      <w:spacing w:after="0"/>
      <w:jc w:val="right"/>
    </w:pPr>
  </w:p>
  <w:p w:rsidR="001B0AB1" w:rsidRDefault="001B0AB1" w:rsidP="00ED2CCF">
    <w:pPr>
      <w:spacing w:after="0"/>
      <w:jc w:val="right"/>
    </w:pPr>
  </w:p>
  <w:p w:rsidR="001B0AB1" w:rsidRDefault="001B0AB1" w:rsidP="00A859E0">
    <w:pPr>
      <w:pStyle w:val="Headerodd"/>
    </w:pPr>
  </w:p>
  <w:p w:rsidR="001B0AB1" w:rsidRPr="00EF3464" w:rsidRDefault="001B0AB1" w:rsidP="00A859E0">
    <w:pPr>
      <w:pStyle w:val="Headerodd"/>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AB1" w:rsidRDefault="001B0AB1" w:rsidP="00D67976">
    <w:pPr>
      <w:spacing w:after="0"/>
    </w:pPr>
  </w:p>
  <w:p w:rsidR="001B0AB1" w:rsidRDefault="001B0AB1" w:rsidP="00D67976">
    <w:pPr>
      <w:spacing w:after="0"/>
    </w:pPr>
  </w:p>
  <w:p w:rsidR="001B0AB1" w:rsidRDefault="001B0AB1" w:rsidP="00502D80">
    <w:pPr>
      <w:pStyle w:val="Headereven"/>
    </w:pPr>
    <w:r>
      <w:fldChar w:fldCharType="begin"/>
    </w:r>
    <w:r>
      <w:instrText xml:space="preserve"> REF _Ref448321607 \r \h </w:instrText>
    </w:r>
    <w:r>
      <w:fldChar w:fldCharType="separate"/>
    </w:r>
    <w:r w:rsidR="00A657EB">
      <w:t>4</w:t>
    </w:r>
    <w:r>
      <w:fldChar w:fldCharType="end"/>
    </w:r>
    <w:r>
      <w:t xml:space="preserve"> – </w:t>
    </w:r>
    <w:r>
      <w:fldChar w:fldCharType="begin"/>
    </w:r>
    <w:r>
      <w:instrText xml:space="preserve"> REF _Ref456791968 \h </w:instrText>
    </w:r>
    <w:r>
      <w:fldChar w:fldCharType="separate"/>
    </w:r>
    <w:r w:rsidR="00A657EB">
      <w:t>Sewerage services tariffs: Options and analysis</w:t>
    </w:r>
    <w:r>
      <w:fldChar w:fldCharType="end"/>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AB1" w:rsidRDefault="001B0AB1" w:rsidP="00D67976">
    <w:pPr>
      <w:spacing w:after="0"/>
      <w:jc w:val="right"/>
    </w:pPr>
  </w:p>
  <w:p w:rsidR="001B0AB1" w:rsidRDefault="001B0AB1" w:rsidP="00D67976">
    <w:pPr>
      <w:spacing w:after="0"/>
      <w:jc w:val="right"/>
    </w:pPr>
  </w:p>
  <w:p w:rsidR="001B0AB1" w:rsidRDefault="001B0AB1" w:rsidP="003875C5">
    <w:pPr>
      <w:pStyle w:val="Headerodd"/>
    </w:pPr>
    <w:r>
      <w:fldChar w:fldCharType="begin"/>
    </w:r>
    <w:r>
      <w:instrText xml:space="preserve"> REF _Ref456791968 \r \h </w:instrText>
    </w:r>
    <w:r>
      <w:fldChar w:fldCharType="separate"/>
    </w:r>
    <w:r w:rsidR="00A657EB">
      <w:t>4</w:t>
    </w:r>
    <w:r>
      <w:fldChar w:fldCharType="end"/>
    </w:r>
    <w:r>
      <w:t xml:space="preserve"> – </w:t>
    </w:r>
    <w:r>
      <w:fldChar w:fldCharType="begin"/>
    </w:r>
    <w:r>
      <w:instrText xml:space="preserve"> REF _Ref456791968 \h </w:instrText>
    </w:r>
    <w:r>
      <w:fldChar w:fldCharType="separate"/>
    </w:r>
    <w:r w:rsidR="00A657EB">
      <w:t>Sewerage services tariffs: Options and analysis</w:t>
    </w:r>
    <w:r>
      <w:fldChar w:fldCharType="end"/>
    </w:r>
  </w:p>
  <w:p w:rsidR="001B0AB1" w:rsidRPr="00790F62" w:rsidRDefault="001B0AB1" w:rsidP="00E809D3">
    <w:pPr>
      <w:pStyle w:val="Headerodd"/>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AB1" w:rsidRDefault="001B0AB1" w:rsidP="00ED2CCF">
    <w:pPr>
      <w:spacing w:after="0"/>
    </w:pPr>
  </w:p>
  <w:p w:rsidR="001B0AB1" w:rsidRDefault="001B0AB1" w:rsidP="00ED2CCF">
    <w:pPr>
      <w:spacing w:after="0"/>
    </w:pPr>
  </w:p>
  <w:p w:rsidR="001B0AB1" w:rsidRDefault="001B0AB1" w:rsidP="00A859E0">
    <w:pPr>
      <w:pStyle w:val="Headereven"/>
    </w:pPr>
    <w:r>
      <w:fldChar w:fldCharType="begin"/>
    </w:r>
    <w:r>
      <w:instrText xml:space="preserve"> REF _Ref338172668 \r \h  \* MERGEFORMAT </w:instrText>
    </w:r>
    <w:r>
      <w:fldChar w:fldCharType="separate"/>
    </w:r>
    <w:r w:rsidR="00A657EB">
      <w:rPr>
        <w:b/>
        <w:bCs/>
        <w:lang w:val="en-US"/>
      </w:rPr>
      <w:t>Error! Reference source not found.</w:t>
    </w:r>
    <w:r>
      <w:fldChar w:fldCharType="end"/>
    </w:r>
    <w:r>
      <w:t xml:space="preserve"> – </w:t>
    </w:r>
    <w:r>
      <w:fldChar w:fldCharType="begin"/>
    </w:r>
    <w:r>
      <w:instrText xml:space="preserve"> REF _Ref338172668 \h  \* MERGEFORMAT </w:instrText>
    </w:r>
    <w:r>
      <w:fldChar w:fldCharType="separate"/>
    </w:r>
    <w:r w:rsidR="00A657EB">
      <w:rPr>
        <w:b/>
        <w:bCs/>
        <w:lang w:val="en-US"/>
      </w:rPr>
      <w:t>Error! Reference source not found.</w:t>
    </w:r>
    <w:r>
      <w:fldChar w:fldCharType="end"/>
    </w:r>
  </w:p>
  <w:p w:rsidR="001B0AB1" w:rsidRPr="00EF3464" w:rsidRDefault="001B0AB1" w:rsidP="00A859E0">
    <w:pPr>
      <w:pStyle w:val="Headereven"/>
    </w:pPr>
    <w:r>
      <w:fldChar w:fldCharType="begin"/>
    </w:r>
    <w:r>
      <w:instrText xml:space="preserve"> REF _Ref348703089 \r \h </w:instrText>
    </w:r>
    <w:r>
      <w:fldChar w:fldCharType="separate"/>
    </w:r>
    <w:r w:rsidR="00A657EB">
      <w:rPr>
        <w:b/>
        <w:bCs/>
        <w:lang w:val="en-US"/>
      </w:rPr>
      <w:t>Error! Reference source not found.</w:t>
    </w:r>
    <w:r>
      <w:fldChar w:fldCharType="end"/>
    </w:r>
    <w:r>
      <w:t xml:space="preserve"> – </w:t>
    </w:r>
    <w:r>
      <w:fldChar w:fldCharType="begin"/>
    </w:r>
    <w:r>
      <w:instrText xml:space="preserve"> REF _Ref348703052 \h </w:instrText>
    </w:r>
    <w:r>
      <w:fldChar w:fldCharType="separate"/>
    </w:r>
    <w:r w:rsidR="00A657EB">
      <w:rPr>
        <w:b/>
        <w:bCs/>
        <w:lang w:val="en-US"/>
      </w:rPr>
      <w:t>Error! Reference source not found.</w:t>
    </w:r>
    <w:r>
      <w:fldChar w:fldCharType="end"/>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AB1" w:rsidRDefault="001B0AB1" w:rsidP="00ED2CCF">
    <w:pPr>
      <w:spacing w:after="0"/>
      <w:jc w:val="right"/>
    </w:pPr>
  </w:p>
  <w:p w:rsidR="001B0AB1" w:rsidRDefault="001B0AB1" w:rsidP="00ED2CCF">
    <w:pPr>
      <w:spacing w:after="0"/>
      <w:jc w:val="right"/>
    </w:pPr>
  </w:p>
  <w:p w:rsidR="001B0AB1" w:rsidRDefault="001B0AB1" w:rsidP="00A859E0">
    <w:pPr>
      <w:pStyle w:val="Headerodd"/>
    </w:pPr>
  </w:p>
  <w:p w:rsidR="001B0AB1" w:rsidRPr="00EF3464" w:rsidRDefault="001B0AB1" w:rsidP="00A859E0">
    <w:pPr>
      <w:pStyle w:val="Headerodd"/>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AB1" w:rsidRDefault="001B0AB1" w:rsidP="00ED2CCF">
    <w:pPr>
      <w:spacing w:after="0"/>
    </w:pPr>
  </w:p>
  <w:p w:rsidR="001B0AB1" w:rsidRDefault="001B0AB1" w:rsidP="00ED2CCF">
    <w:pPr>
      <w:spacing w:after="0"/>
    </w:pPr>
  </w:p>
  <w:p w:rsidR="001B0AB1" w:rsidRPr="00EF3464" w:rsidRDefault="001B0AB1" w:rsidP="00E21F29">
    <w:pPr>
      <w:pStyle w:val="Headereven"/>
    </w:pPr>
    <w:r>
      <w:fldChar w:fldCharType="begin"/>
    </w:r>
    <w:r>
      <w:instrText xml:space="preserve"> REF _Ref454888010 \r \h </w:instrText>
    </w:r>
    <w:r>
      <w:fldChar w:fldCharType="separate"/>
    </w:r>
    <w:r w:rsidR="00A657EB">
      <w:t>5</w:t>
    </w:r>
    <w:r>
      <w:fldChar w:fldCharType="end"/>
    </w:r>
    <w:r>
      <w:t xml:space="preserve"> –</w:t>
    </w:r>
    <w:r w:rsidR="005E113A">
      <w:t xml:space="preserve"> </w:t>
    </w:r>
    <w:r w:rsidR="005E113A">
      <w:fldChar w:fldCharType="begin"/>
    </w:r>
    <w:r w:rsidR="005E113A">
      <w:instrText xml:space="preserve"> REF _Ref460828934 \h </w:instrText>
    </w:r>
    <w:r w:rsidR="005E113A">
      <w:fldChar w:fldCharType="separate"/>
    </w:r>
    <w:r w:rsidR="005E113A">
      <w:t>Implementation and transition</w:t>
    </w:r>
    <w:r w:rsidR="005E113A">
      <w:fldChar w:fldCharType="end"/>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AB1" w:rsidRDefault="001B0AB1" w:rsidP="00ED2CCF">
    <w:pPr>
      <w:spacing w:after="0"/>
      <w:jc w:val="right"/>
    </w:pPr>
  </w:p>
  <w:p w:rsidR="001B0AB1" w:rsidRDefault="001B0AB1" w:rsidP="00ED2CCF">
    <w:pPr>
      <w:spacing w:after="0"/>
      <w:jc w:val="right"/>
    </w:pPr>
  </w:p>
  <w:p w:rsidR="001B0AB1" w:rsidRPr="00EF3464" w:rsidRDefault="001B0AB1" w:rsidP="00FF0E1E">
    <w:pPr>
      <w:pStyle w:val="Headerodd"/>
    </w:pPr>
    <w:r>
      <w:fldChar w:fldCharType="begin"/>
    </w:r>
    <w:r>
      <w:instrText xml:space="preserve"> REF _Ref454888039 \r \h </w:instrText>
    </w:r>
    <w:r>
      <w:fldChar w:fldCharType="separate"/>
    </w:r>
    <w:r w:rsidR="00A657EB">
      <w:t>5</w:t>
    </w:r>
    <w:r>
      <w:fldChar w:fldCharType="end"/>
    </w:r>
    <w:r>
      <w:t xml:space="preserve"> – </w:t>
    </w:r>
    <w:r w:rsidR="005E113A">
      <w:fldChar w:fldCharType="begin"/>
    </w:r>
    <w:r w:rsidR="005E113A">
      <w:instrText xml:space="preserve"> REF _Ref460828950 \h </w:instrText>
    </w:r>
    <w:r w:rsidR="005E113A">
      <w:fldChar w:fldCharType="separate"/>
    </w:r>
    <w:r w:rsidR="005E113A">
      <w:t>Implementation and transition</w:t>
    </w:r>
    <w:r w:rsidR="005E113A">
      <w:fldChar w:fldCharType="end"/>
    </w:r>
  </w:p>
  <w:p w:rsidR="001B0AB1" w:rsidRPr="00EF3464" w:rsidRDefault="001B0AB1" w:rsidP="00FF0E1E">
    <w:pPr>
      <w:pStyle w:val="Headerodd"/>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AB1" w:rsidRDefault="001B0AB1" w:rsidP="00D641A8">
    <w:pPr>
      <w:spacing w:after="0"/>
    </w:pPr>
  </w:p>
  <w:p w:rsidR="001B0AB1" w:rsidRDefault="001B0AB1" w:rsidP="00D641A8">
    <w:pPr>
      <w:spacing w:after="0"/>
    </w:pPr>
  </w:p>
  <w:p w:rsidR="001B0AB1" w:rsidRDefault="001B0AB1" w:rsidP="00D641A8">
    <w:pPr>
      <w:spacing w:after="0"/>
    </w:pPr>
  </w:p>
  <w:p w:rsidR="001B0AB1" w:rsidRPr="00E67D26" w:rsidRDefault="001B0AB1" w:rsidP="00034E5E">
    <w:pPr>
      <w:pStyle w:val="Headereven"/>
    </w:pPr>
    <w:r>
      <w:fldChar w:fldCharType="begin"/>
    </w:r>
    <w:r>
      <w:instrText xml:space="preserve"> REF _Ref338249950 \r \h </w:instrText>
    </w:r>
    <w:r>
      <w:fldChar w:fldCharType="separate"/>
    </w:r>
    <w:r w:rsidR="00A657EB">
      <w:rPr>
        <w:b/>
        <w:bCs/>
        <w:lang w:val="en-US"/>
      </w:rPr>
      <w:t>Error! Reference source not found.</w:t>
    </w:r>
    <w:r>
      <w:fldChar w:fldCharType="end"/>
    </w:r>
    <w:r>
      <w:t xml:space="preserve"> – </w:t>
    </w:r>
    <w:r>
      <w:fldChar w:fldCharType="begin"/>
    </w:r>
    <w:r>
      <w:instrText xml:space="preserve"> REF _Ref338249950 \h </w:instrText>
    </w:r>
    <w:r>
      <w:fldChar w:fldCharType="separate"/>
    </w:r>
    <w:r w:rsidR="00A657EB">
      <w:rPr>
        <w:b/>
        <w:bCs/>
        <w:lang w:val="en-US"/>
      </w:rPr>
      <w:t>Error! Reference source not found.</w:t>
    </w:r>
    <w:r>
      <w:fldChar w:fldCharType="end"/>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AB1" w:rsidRDefault="001B0AB1" w:rsidP="00D641A8">
    <w:pPr>
      <w:spacing w:after="0"/>
      <w:jc w:val="right"/>
    </w:pPr>
  </w:p>
  <w:p w:rsidR="001B0AB1" w:rsidRDefault="001B0AB1" w:rsidP="00D641A8">
    <w:pPr>
      <w:spacing w:after="0"/>
      <w:jc w:val="right"/>
    </w:pPr>
  </w:p>
  <w:p w:rsidR="001B0AB1" w:rsidRDefault="001B0AB1" w:rsidP="00D641A8">
    <w:pPr>
      <w:spacing w:after="0"/>
      <w:jc w:val="right"/>
    </w:pPr>
  </w:p>
  <w:p w:rsidR="001B0AB1" w:rsidRDefault="001B0AB1" w:rsidP="00E42FAB">
    <w:pPr>
      <w:pStyle w:val="Headerodd"/>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AB1" w:rsidRDefault="001B0AB1" w:rsidP="00ED2CCF">
    <w:pPr>
      <w:spacing w:after="0"/>
    </w:pPr>
  </w:p>
  <w:p w:rsidR="001B0AB1" w:rsidRDefault="001B0AB1" w:rsidP="00ED2CCF">
    <w:pPr>
      <w:spacing w:after="0"/>
    </w:pPr>
  </w:p>
  <w:p w:rsidR="001B0AB1" w:rsidRPr="00EF3464" w:rsidRDefault="001B0AB1" w:rsidP="00E21F29">
    <w:pPr>
      <w:pStyle w:val="Headereven"/>
    </w:pPr>
    <w:r>
      <w:fldChar w:fldCharType="begin"/>
    </w:r>
    <w:r>
      <w:instrText xml:space="preserve"> REF _Ref454880637 \r \h </w:instrText>
    </w:r>
    <w:r>
      <w:fldChar w:fldCharType="separate"/>
    </w:r>
    <w:r w:rsidR="00A657EB">
      <w:t>Appendix 1</w:t>
    </w:r>
    <w:r>
      <w:fldChar w:fldCharType="end"/>
    </w:r>
    <w:r>
      <w:t xml:space="preserve"> – </w:t>
    </w:r>
    <w:r>
      <w:fldChar w:fldCharType="begin"/>
    </w:r>
    <w:r>
      <w:instrText xml:space="preserve"> REF _Ref454880637 \h </w:instrText>
    </w:r>
    <w:r>
      <w:fldChar w:fldCharType="separate"/>
    </w:r>
    <w:r w:rsidR="00A657EB">
      <w:t>Summary of submissions</w:t>
    </w:r>
    <w: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AB1" w:rsidRDefault="001B0AB1"/>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AB1" w:rsidRDefault="001B0AB1" w:rsidP="00ED2CCF">
    <w:pPr>
      <w:spacing w:after="0"/>
      <w:jc w:val="right"/>
    </w:pPr>
  </w:p>
  <w:p w:rsidR="001B0AB1" w:rsidRDefault="001B0AB1" w:rsidP="00ED2CCF">
    <w:pPr>
      <w:spacing w:after="0"/>
      <w:jc w:val="right"/>
    </w:pPr>
  </w:p>
  <w:p w:rsidR="001B0AB1" w:rsidRPr="00EF3464" w:rsidRDefault="001B0AB1" w:rsidP="00FF0E1E">
    <w:pPr>
      <w:pStyle w:val="Headerodd"/>
    </w:pPr>
    <w:r>
      <w:fldChar w:fldCharType="begin"/>
    </w:r>
    <w:r>
      <w:instrText xml:space="preserve"> REF _Ref454880637 \r \h </w:instrText>
    </w:r>
    <w:r>
      <w:fldChar w:fldCharType="separate"/>
    </w:r>
    <w:r w:rsidR="00A657EB">
      <w:t>Appendix 1</w:t>
    </w:r>
    <w:r>
      <w:fldChar w:fldCharType="end"/>
    </w:r>
    <w:r>
      <w:t xml:space="preserve"> – </w:t>
    </w:r>
    <w:r>
      <w:fldChar w:fldCharType="begin"/>
    </w:r>
    <w:r>
      <w:instrText xml:space="preserve"> REF _Ref454880637 \h </w:instrText>
    </w:r>
    <w:r>
      <w:fldChar w:fldCharType="separate"/>
    </w:r>
    <w:r w:rsidR="00A657EB">
      <w:t>Summary of submissions</w:t>
    </w:r>
    <w:r>
      <w:fldChar w:fldCharType="end"/>
    </w:r>
  </w:p>
  <w:p w:rsidR="001B0AB1" w:rsidRPr="00EF3464" w:rsidRDefault="001B0AB1" w:rsidP="00FF0E1E">
    <w:pPr>
      <w:pStyle w:val="Headerodd"/>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AB1" w:rsidRDefault="001B0AB1" w:rsidP="00D641A8">
    <w:pPr>
      <w:spacing w:after="0"/>
    </w:pPr>
  </w:p>
  <w:p w:rsidR="001B0AB1" w:rsidRDefault="001B0AB1" w:rsidP="00D641A8">
    <w:pPr>
      <w:spacing w:after="0"/>
    </w:pPr>
  </w:p>
  <w:p w:rsidR="001B0AB1" w:rsidRDefault="001B0AB1" w:rsidP="00D641A8">
    <w:pPr>
      <w:spacing w:after="0"/>
    </w:pPr>
  </w:p>
  <w:p w:rsidR="001B0AB1" w:rsidRPr="00E67D26" w:rsidRDefault="001B0AB1" w:rsidP="00034E5E">
    <w:pPr>
      <w:pStyle w:val="Headereven"/>
    </w:pPr>
    <w:r>
      <w:fldChar w:fldCharType="begin"/>
    </w:r>
    <w:r>
      <w:instrText xml:space="preserve"> REF _Ref338249950 \r \h </w:instrText>
    </w:r>
    <w:r>
      <w:fldChar w:fldCharType="separate"/>
    </w:r>
    <w:r w:rsidR="00A657EB">
      <w:rPr>
        <w:b/>
        <w:bCs/>
        <w:lang w:val="en-US"/>
      </w:rPr>
      <w:t>Error! Reference source not found.</w:t>
    </w:r>
    <w:r>
      <w:fldChar w:fldCharType="end"/>
    </w:r>
    <w:r>
      <w:t xml:space="preserve"> – </w:t>
    </w:r>
    <w:r>
      <w:fldChar w:fldCharType="begin"/>
    </w:r>
    <w:r>
      <w:instrText xml:space="preserve"> REF _Ref338249950 \h </w:instrText>
    </w:r>
    <w:r>
      <w:fldChar w:fldCharType="separate"/>
    </w:r>
    <w:r w:rsidR="00A657EB">
      <w:rPr>
        <w:b/>
        <w:bCs/>
        <w:lang w:val="en-US"/>
      </w:rPr>
      <w:t>Error! Reference source not found.</w:t>
    </w:r>
    <w:r>
      <w:fldChar w:fldCharType="end"/>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AB1" w:rsidRDefault="001B0AB1" w:rsidP="00D641A8">
    <w:pPr>
      <w:spacing w:after="0"/>
      <w:jc w:val="right"/>
    </w:pPr>
  </w:p>
  <w:p w:rsidR="001B0AB1" w:rsidRDefault="001B0AB1" w:rsidP="00D641A8">
    <w:pPr>
      <w:spacing w:after="0"/>
      <w:jc w:val="right"/>
    </w:pPr>
  </w:p>
  <w:p w:rsidR="001B0AB1" w:rsidRDefault="001B0AB1" w:rsidP="00D641A8">
    <w:pPr>
      <w:spacing w:after="0"/>
      <w:jc w:val="right"/>
    </w:pPr>
  </w:p>
  <w:p w:rsidR="001B0AB1" w:rsidRDefault="001B0AB1" w:rsidP="00E42FAB">
    <w:pPr>
      <w:pStyle w:val="Headerodd"/>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AB1" w:rsidRDefault="001B0AB1" w:rsidP="00ED2CCF">
    <w:pPr>
      <w:spacing w:after="0"/>
    </w:pPr>
  </w:p>
  <w:p w:rsidR="001B0AB1" w:rsidRDefault="001B0AB1" w:rsidP="00ED2CCF">
    <w:pPr>
      <w:spacing w:after="0"/>
    </w:pPr>
  </w:p>
  <w:p w:rsidR="001B0AB1" w:rsidRPr="00EF3464" w:rsidRDefault="005779C3" w:rsidP="00E21F29">
    <w:pPr>
      <w:pStyle w:val="Headereven"/>
    </w:pPr>
    <w:r>
      <w:fldChar w:fldCharType="begin"/>
    </w:r>
    <w:r>
      <w:instrText xml:space="preserve"> REF _Ref456688407 \r \h </w:instrText>
    </w:r>
    <w:r>
      <w:fldChar w:fldCharType="separate"/>
    </w:r>
    <w:r>
      <w:t>Appendix 2</w:t>
    </w:r>
    <w:r>
      <w:fldChar w:fldCharType="end"/>
    </w:r>
    <w:r>
      <w:t xml:space="preserve"> </w:t>
    </w:r>
    <w:r w:rsidR="001B0AB1">
      <w:t>–</w:t>
    </w:r>
    <w:r>
      <w:t xml:space="preserve"> </w:t>
    </w:r>
    <w:r>
      <w:fldChar w:fldCharType="begin"/>
    </w:r>
    <w:r>
      <w:instrText xml:space="preserve"> REF _Ref456688407 \h </w:instrText>
    </w:r>
    <w:r>
      <w:fldChar w:fldCharType="separate"/>
    </w:r>
    <w:r>
      <w:t>Other legislative and national considerations</w:t>
    </w:r>
    <w:r>
      <w:fldChar w:fldCharType="end"/>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AB1" w:rsidRDefault="001B0AB1" w:rsidP="00ED2CCF">
    <w:pPr>
      <w:spacing w:after="0"/>
      <w:jc w:val="right"/>
    </w:pPr>
  </w:p>
  <w:p w:rsidR="001B0AB1" w:rsidRDefault="001B0AB1" w:rsidP="00ED2CCF">
    <w:pPr>
      <w:spacing w:after="0"/>
      <w:jc w:val="right"/>
    </w:pPr>
  </w:p>
  <w:p w:rsidR="001B0AB1" w:rsidRPr="00EF3464" w:rsidRDefault="001B0AB1" w:rsidP="00FF0E1E">
    <w:pPr>
      <w:pStyle w:val="Headerodd"/>
    </w:pPr>
    <w:r>
      <w:fldChar w:fldCharType="begin"/>
    </w:r>
    <w:r>
      <w:instrText xml:space="preserve"> REF _Ref454880637 \r \h </w:instrText>
    </w:r>
    <w:r>
      <w:fldChar w:fldCharType="separate"/>
    </w:r>
    <w:r w:rsidR="00A657EB">
      <w:t>Appendix 1</w:t>
    </w:r>
    <w:r>
      <w:fldChar w:fldCharType="end"/>
    </w:r>
    <w:r>
      <w:t xml:space="preserve"> – </w:t>
    </w:r>
    <w:r>
      <w:fldChar w:fldCharType="begin"/>
    </w:r>
    <w:r>
      <w:instrText xml:space="preserve"> REF _Ref454880637 \h </w:instrText>
    </w:r>
    <w:r>
      <w:fldChar w:fldCharType="separate"/>
    </w:r>
    <w:r w:rsidR="00A657EB">
      <w:t>Summary of submissions</w:t>
    </w:r>
    <w:r>
      <w:fldChar w:fldCharType="end"/>
    </w:r>
  </w:p>
  <w:p w:rsidR="001B0AB1" w:rsidRPr="00EF3464" w:rsidRDefault="001B0AB1" w:rsidP="00FF0E1E">
    <w:pPr>
      <w:pStyle w:val="Headerodd"/>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AB1" w:rsidRDefault="001B0AB1" w:rsidP="00D641A8">
    <w:pPr>
      <w:spacing w:after="0"/>
    </w:pPr>
  </w:p>
  <w:p w:rsidR="001B0AB1" w:rsidRDefault="001B0AB1" w:rsidP="00D641A8">
    <w:pPr>
      <w:spacing w:after="0"/>
    </w:pPr>
  </w:p>
  <w:p w:rsidR="001B0AB1" w:rsidRDefault="001B0AB1" w:rsidP="00D641A8">
    <w:pPr>
      <w:spacing w:after="0"/>
    </w:pPr>
  </w:p>
  <w:p w:rsidR="001B0AB1" w:rsidRPr="00E67D26" w:rsidRDefault="001B0AB1" w:rsidP="00034E5E">
    <w:pPr>
      <w:pStyle w:val="Headereven"/>
    </w:pPr>
    <w:r>
      <w:fldChar w:fldCharType="begin"/>
    </w:r>
    <w:r>
      <w:instrText xml:space="preserve"> REF _Ref338249950 \r \h </w:instrText>
    </w:r>
    <w:r>
      <w:fldChar w:fldCharType="separate"/>
    </w:r>
    <w:r w:rsidR="00A657EB">
      <w:rPr>
        <w:b/>
        <w:bCs/>
        <w:lang w:val="en-US"/>
      </w:rPr>
      <w:t>Error! Reference source not found.</w:t>
    </w:r>
    <w:r>
      <w:fldChar w:fldCharType="end"/>
    </w:r>
    <w:r>
      <w:t xml:space="preserve"> – </w:t>
    </w:r>
    <w:r>
      <w:fldChar w:fldCharType="begin"/>
    </w:r>
    <w:r>
      <w:instrText xml:space="preserve"> REF _Ref338249950 \h </w:instrText>
    </w:r>
    <w:r>
      <w:fldChar w:fldCharType="separate"/>
    </w:r>
    <w:r w:rsidR="00A657EB">
      <w:rPr>
        <w:b/>
        <w:bCs/>
        <w:lang w:val="en-US"/>
      </w:rPr>
      <w:t>Error! Reference source not found.</w:t>
    </w:r>
    <w:r>
      <w:fldChar w:fldCharType="end"/>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AB1" w:rsidRDefault="001B0AB1" w:rsidP="00D641A8">
    <w:pPr>
      <w:spacing w:after="0"/>
      <w:jc w:val="right"/>
    </w:pPr>
  </w:p>
  <w:p w:rsidR="001B0AB1" w:rsidRDefault="001B0AB1" w:rsidP="00D641A8">
    <w:pPr>
      <w:spacing w:after="0"/>
      <w:jc w:val="right"/>
    </w:pPr>
  </w:p>
  <w:p w:rsidR="001B0AB1" w:rsidRDefault="001B0AB1" w:rsidP="00D641A8">
    <w:pPr>
      <w:spacing w:after="0"/>
      <w:jc w:val="right"/>
    </w:pPr>
  </w:p>
  <w:p w:rsidR="001B0AB1" w:rsidRDefault="001B0AB1" w:rsidP="00E42FAB">
    <w:pPr>
      <w:pStyle w:val="Headerodd"/>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AB1" w:rsidRDefault="001B0AB1" w:rsidP="00D641A8">
    <w:pPr>
      <w:spacing w:after="0"/>
    </w:pPr>
  </w:p>
  <w:p w:rsidR="001B0AB1" w:rsidRDefault="001B0AB1" w:rsidP="00D641A8">
    <w:pPr>
      <w:spacing w:after="0"/>
    </w:pPr>
  </w:p>
  <w:p w:rsidR="001B0AB1" w:rsidRDefault="001B0AB1" w:rsidP="00496E92">
    <w:pPr>
      <w:pStyle w:val="Headereven"/>
    </w:pPr>
    <w:r>
      <w:fldChar w:fldCharType="begin"/>
    </w:r>
    <w:r>
      <w:instrText xml:space="preserve"> REF _Ref456688407 \r \h </w:instrText>
    </w:r>
    <w:r>
      <w:fldChar w:fldCharType="separate"/>
    </w:r>
    <w:r w:rsidR="00A657EB">
      <w:t>Appendix 2</w:t>
    </w:r>
    <w:r>
      <w:fldChar w:fldCharType="end"/>
    </w:r>
    <w:r>
      <w:t xml:space="preserve"> – </w:t>
    </w:r>
    <w:r>
      <w:fldChar w:fldCharType="begin"/>
    </w:r>
    <w:r>
      <w:instrText xml:space="preserve"> REF _Ref456688407 \h </w:instrText>
    </w:r>
    <w:r>
      <w:fldChar w:fldCharType="separate"/>
    </w:r>
    <w:r w:rsidR="00A657EB">
      <w:t>Other legislative and national considerations</w:t>
    </w:r>
    <w:r>
      <w:fldChar w:fldCharType="end"/>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AB1" w:rsidRDefault="001B0AB1" w:rsidP="00D641A8">
    <w:pPr>
      <w:spacing w:after="0"/>
      <w:jc w:val="right"/>
    </w:pPr>
    <w:r>
      <w:t>`</w:t>
    </w:r>
  </w:p>
  <w:p w:rsidR="001B0AB1" w:rsidRDefault="001B0AB1" w:rsidP="00D641A8">
    <w:pPr>
      <w:spacing w:after="0"/>
      <w:jc w:val="right"/>
    </w:pPr>
  </w:p>
  <w:p w:rsidR="001B0AB1" w:rsidRDefault="001B0AB1" w:rsidP="00D641A8">
    <w:pPr>
      <w:spacing w:after="0"/>
      <w:jc w:val="right"/>
    </w:pPr>
  </w:p>
  <w:p w:rsidR="001B0AB1" w:rsidRDefault="001B0AB1" w:rsidP="00E42FAB">
    <w:pPr>
      <w:pStyle w:val="Headerodd"/>
    </w:pPr>
    <w:r>
      <w:fldChar w:fldCharType="begin"/>
    </w:r>
    <w:r>
      <w:instrText xml:space="preserve"> REF _Ref448315619 \r \h </w:instrText>
    </w:r>
    <w:r>
      <w:fldChar w:fldCharType="separate"/>
    </w:r>
    <w:r w:rsidR="00A657EB">
      <w:rPr>
        <w:b/>
        <w:bCs/>
        <w:lang w:val="en-US"/>
      </w:rPr>
      <w:t>Error! Reference source not found.</w:t>
    </w:r>
    <w:r>
      <w:fldChar w:fldCharType="end"/>
    </w:r>
    <w:r>
      <w:t xml:space="preserve"> – </w:t>
    </w:r>
    <w:r>
      <w:fldChar w:fldCharType="begin"/>
    </w:r>
    <w:r>
      <w:instrText xml:space="preserve"> REF _Ref454880637 \h </w:instrText>
    </w:r>
    <w:r>
      <w:fldChar w:fldCharType="separate"/>
    </w:r>
    <w:r w:rsidR="00A657EB">
      <w:t>Summary of submissions</w:t>
    </w:r>
    <w:r>
      <w:fldChar w:fldCharType="end"/>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AB1" w:rsidRDefault="001B0AB1" w:rsidP="00D641A8">
    <w:pPr>
      <w:spacing w:after="0"/>
    </w:pPr>
  </w:p>
  <w:p w:rsidR="001B0AB1" w:rsidRDefault="001B0AB1" w:rsidP="00D641A8">
    <w:pPr>
      <w:spacing w:after="0"/>
    </w:pPr>
  </w:p>
  <w:p w:rsidR="001B0AB1" w:rsidRDefault="001B0AB1" w:rsidP="00D641A8">
    <w:pPr>
      <w:spacing w:after="0"/>
    </w:pPr>
  </w:p>
  <w:p w:rsidR="001B0AB1" w:rsidRPr="00E67D26" w:rsidRDefault="001B0AB1" w:rsidP="00034E5E">
    <w:pPr>
      <w:pStyle w:val="Headereven"/>
    </w:pPr>
    <w:r>
      <w:fldChar w:fldCharType="begin"/>
    </w:r>
    <w:r>
      <w:instrText xml:space="preserve"> REF Abbreviations_and_acronyms \h </w:instrText>
    </w:r>
    <w:r>
      <w:fldChar w:fldCharType="separate"/>
    </w:r>
    <w:r w:rsidR="00A657EB" w:rsidRPr="002E2FD3">
      <w:t>Abbreviations and acronyms</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AB1" w:rsidRPr="00E42160" w:rsidRDefault="001B0AB1" w:rsidP="00E42160"/>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AB1" w:rsidRDefault="001B0AB1" w:rsidP="00D641A8">
    <w:pPr>
      <w:spacing w:after="0"/>
      <w:jc w:val="right"/>
    </w:pPr>
  </w:p>
  <w:p w:rsidR="001B0AB1" w:rsidRDefault="001B0AB1" w:rsidP="00D641A8">
    <w:pPr>
      <w:spacing w:after="0"/>
      <w:jc w:val="right"/>
    </w:pPr>
  </w:p>
  <w:p w:rsidR="001B0AB1" w:rsidRDefault="001B0AB1" w:rsidP="00D641A8">
    <w:pPr>
      <w:spacing w:after="0"/>
      <w:jc w:val="right"/>
    </w:pPr>
  </w:p>
  <w:p w:rsidR="001B0AB1" w:rsidRDefault="001B0AB1" w:rsidP="00E42FAB">
    <w:pPr>
      <w:pStyle w:val="Headerodd"/>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AB1" w:rsidRDefault="001B0AB1" w:rsidP="00D641A8">
    <w:pPr>
      <w:spacing w:after="0"/>
    </w:pPr>
  </w:p>
  <w:p w:rsidR="001B0AB1" w:rsidRDefault="001B0AB1" w:rsidP="00D641A8">
    <w:pPr>
      <w:spacing w:after="0"/>
    </w:pPr>
  </w:p>
  <w:p w:rsidR="001B0AB1" w:rsidRPr="00E67D26" w:rsidRDefault="001B0AB1" w:rsidP="00034E5E">
    <w:pPr>
      <w:pStyle w:val="Headereven"/>
    </w:pPr>
    <w:r>
      <w:fldChar w:fldCharType="begin"/>
    </w:r>
    <w:r>
      <w:instrText xml:space="preserve"> REF Abbreviations_and_acronyms \h </w:instrText>
    </w:r>
    <w:r>
      <w:fldChar w:fldCharType="separate"/>
    </w:r>
    <w:r w:rsidR="00A657EB" w:rsidRPr="002E2FD3">
      <w:t>Abbreviations and acronyms</w:t>
    </w:r>
    <w:r>
      <w:fldChar w:fldCharType="end"/>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AB1" w:rsidRDefault="001B0AB1" w:rsidP="00D641A8">
    <w:pPr>
      <w:spacing w:after="0"/>
      <w:jc w:val="right"/>
    </w:pPr>
  </w:p>
  <w:p w:rsidR="001B0AB1" w:rsidRDefault="001B0AB1" w:rsidP="00D641A8">
    <w:pPr>
      <w:spacing w:after="0"/>
      <w:jc w:val="right"/>
    </w:pPr>
  </w:p>
  <w:p w:rsidR="001B0AB1" w:rsidRDefault="001B0AB1" w:rsidP="00D641A8">
    <w:pPr>
      <w:spacing w:after="0"/>
      <w:jc w:val="right"/>
    </w:pPr>
  </w:p>
  <w:p w:rsidR="001B0AB1" w:rsidRDefault="001B0AB1" w:rsidP="00E42FAB">
    <w:pPr>
      <w:pStyle w:val="Headerodd"/>
    </w:pPr>
    <w:r>
      <w:fldChar w:fldCharType="begin"/>
    </w:r>
    <w:r>
      <w:instrText xml:space="preserve"> REF Abbreviations_and_acronyms \h </w:instrText>
    </w:r>
    <w:r>
      <w:fldChar w:fldCharType="separate"/>
    </w:r>
    <w:r w:rsidR="00A657EB" w:rsidRPr="002E2FD3">
      <w:t>Abbreviations and acronyms</w:t>
    </w:r>
    <w:r>
      <w:fldChar w:fldCharType="end"/>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AB1" w:rsidRDefault="001B0AB1" w:rsidP="00D641A8">
    <w:pPr>
      <w:spacing w:after="0"/>
    </w:pPr>
  </w:p>
  <w:p w:rsidR="001B0AB1" w:rsidRDefault="001B0AB1" w:rsidP="00D641A8">
    <w:pPr>
      <w:spacing w:after="0"/>
    </w:pPr>
  </w:p>
  <w:p w:rsidR="001B0AB1" w:rsidRDefault="001B0AB1" w:rsidP="00D641A8">
    <w:pPr>
      <w:spacing w:after="0"/>
    </w:pPr>
  </w:p>
  <w:p w:rsidR="001B0AB1" w:rsidRPr="00E67D26" w:rsidRDefault="001B0AB1" w:rsidP="00034E5E">
    <w:pPr>
      <w:pStyle w:val="Headereven"/>
    </w:pPr>
    <w:r>
      <w:fldChar w:fldCharType="begin"/>
    </w:r>
    <w:r>
      <w:instrText xml:space="preserve"> REF References \h </w:instrText>
    </w:r>
    <w:r>
      <w:fldChar w:fldCharType="separate"/>
    </w:r>
    <w:r w:rsidR="00A657EB">
      <w:rPr>
        <w:b/>
        <w:bCs/>
        <w:lang w:val="en-US"/>
      </w:rPr>
      <w:t>Error! Reference source not found.</w:t>
    </w:r>
    <w:r>
      <w:fldChar w:fldCharType="end"/>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AB1" w:rsidRDefault="001B0AB1" w:rsidP="00D641A8">
    <w:pPr>
      <w:spacing w:after="0"/>
      <w:jc w:val="right"/>
    </w:pPr>
  </w:p>
  <w:p w:rsidR="001B0AB1" w:rsidRDefault="001B0AB1" w:rsidP="00D641A8">
    <w:pPr>
      <w:spacing w:after="0"/>
      <w:jc w:val="right"/>
    </w:pPr>
  </w:p>
  <w:p w:rsidR="001B0AB1" w:rsidRDefault="001B0AB1" w:rsidP="00D641A8">
    <w:pPr>
      <w:spacing w:after="0"/>
      <w:jc w:val="right"/>
    </w:pPr>
  </w:p>
  <w:p w:rsidR="001B0AB1" w:rsidRDefault="001B0AB1" w:rsidP="003C49C5">
    <w:pPr>
      <w:pStyle w:val="Headerodd"/>
    </w:pPr>
  </w:p>
  <w:p w:rsidR="001B0AB1" w:rsidRDefault="001B0AB1" w:rsidP="00E42FAB">
    <w:pPr>
      <w:pStyle w:val="Headerodd"/>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AB1" w:rsidRDefault="001B0AB1">
    <w:pPr>
      <w:pStyle w:val="Headereven"/>
    </w:pPr>
  </w:p>
  <w:p w:rsidR="001B0AB1" w:rsidRDefault="001B0AB1">
    <w:pPr>
      <w:pStyle w:val="Headereven"/>
    </w:pPr>
  </w:p>
  <w:p w:rsidR="001B0AB1" w:rsidRDefault="001B0AB1">
    <w:pPr>
      <w:pStyle w:val="Headereven"/>
    </w:pPr>
    <w:r>
      <w:t>References</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AB1" w:rsidRDefault="001B0AB1" w:rsidP="00F922F1">
    <w:pPr>
      <w:pStyle w:val="Headerodd"/>
    </w:pPr>
  </w:p>
  <w:p w:rsidR="001B0AB1" w:rsidRDefault="001B0AB1" w:rsidP="00F922F1">
    <w:pPr>
      <w:pStyle w:val="Headerodd"/>
    </w:pPr>
  </w:p>
  <w:p w:rsidR="001B0AB1" w:rsidRDefault="001B0AB1" w:rsidP="00F922F1">
    <w:pPr>
      <w:pStyle w:val="Headerodd"/>
    </w:pPr>
  </w:p>
  <w:p w:rsidR="001B0AB1" w:rsidRDefault="001B0AB1" w:rsidP="00F922F1">
    <w:pPr>
      <w:pStyle w:val="Headerodd"/>
    </w:pPr>
    <w:r>
      <w:t>References</w:t>
    </w:r>
  </w:p>
  <w:p w:rsidR="001B0AB1" w:rsidRDefault="001B0AB1" w:rsidP="00D641A8">
    <w:pPr>
      <w:spacing w:after="0"/>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AB1" w:rsidRDefault="001B0AB1">
    <w:r>
      <w:rPr>
        <w:noProof/>
        <w:lang w:val="en-AU" w:eastAsia="en-AU"/>
      </w:rPr>
      <w:drawing>
        <wp:anchor distT="0" distB="0" distL="114300" distR="114300" simplePos="0" relativeHeight="251656192" behindDoc="1" locked="0" layoutInCell="0" allowOverlap="1" wp14:anchorId="751ED443" wp14:editId="3AC1F584">
          <wp:simplePos x="0" y="0"/>
          <wp:positionH relativeFrom="margin">
            <wp:align>center</wp:align>
          </wp:positionH>
          <wp:positionV relativeFrom="margin">
            <wp:align>center</wp:align>
          </wp:positionV>
          <wp:extent cx="5287010" cy="8414385"/>
          <wp:effectExtent l="0" t="0" r="8890" b="5715"/>
          <wp:wrapNone/>
          <wp:docPr id="15" name="Picture 15" descr="ICRC_reports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ICRC_reports_cov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87010" cy="8414385"/>
                  </a:xfrm>
                  <a:prstGeom prst="rect">
                    <a:avLst/>
                  </a:prstGeom>
                  <a:noFill/>
                </pic:spPr>
              </pic:pic>
            </a:graphicData>
          </a:graphic>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AB1" w:rsidRDefault="001B0AB1" w:rsidP="00CD73EC">
    <w:pPr>
      <w:pStyle w:val="Headerodd"/>
    </w:pPr>
  </w:p>
  <w:p w:rsidR="001B0AB1" w:rsidRDefault="001B0AB1" w:rsidP="00CD73EC">
    <w:pPr>
      <w:pStyle w:val="Headerodd"/>
    </w:pPr>
  </w:p>
  <w:p w:rsidR="001B0AB1" w:rsidRDefault="001B0AB1" w:rsidP="004E4199">
    <w:pPr>
      <w:pStyle w:val="Headereven"/>
    </w:pPr>
  </w:p>
  <w:p w:rsidR="001B0AB1" w:rsidRDefault="001B0AB1"/>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AB1" w:rsidRPr="00E42160" w:rsidRDefault="001B0AB1" w:rsidP="00E42160"/>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AB1" w:rsidRDefault="007B3D81">
    <w:r>
      <w:rPr>
        <w:noProof/>
        <w:lang w:val="en-AU"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4672429" o:spid="_x0000_s2132" type="#_x0000_t75" style="position:absolute;margin-left:0;margin-top:0;width:416.3pt;height:662.55pt;z-index:-251625472;mso-position-horizontal:center;mso-position-horizontal-relative:margin;mso-position-vertical:center;mso-position-vertical-relative:margin" o:allowincell="f">
          <v:imagedata r:id="rId1" o:title="ICRC_reports_cover"/>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4CB1B64"/>
    <w:multiLevelType w:val="hybridMultilevel"/>
    <w:tmpl w:val="82FC36B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8"/>
    <w:multiLevelType w:val="singleLevel"/>
    <w:tmpl w:val="4C3AD61A"/>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AD0E7942"/>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1F9E56BC"/>
    <w:lvl w:ilvl="0">
      <w:numFmt w:val="decimal"/>
      <w:pStyle w:val="QuoteBullet"/>
      <w:lvlText w:val="*"/>
      <w:lvlJc w:val="left"/>
      <w:rPr>
        <w:rFonts w:cs="Times New Roman"/>
      </w:rPr>
    </w:lvl>
  </w:abstractNum>
  <w:abstractNum w:abstractNumId="4" w15:restartNumberingAfterBreak="0">
    <w:nsid w:val="0119CEB5"/>
    <w:multiLevelType w:val="hybridMultilevel"/>
    <w:tmpl w:val="5C2D540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3434E67"/>
    <w:multiLevelType w:val="multilevel"/>
    <w:tmpl w:val="CF62576C"/>
    <w:lvl w:ilvl="0">
      <w:start w:val="1"/>
      <w:numFmt w:val="upperRoman"/>
      <w:pStyle w:val="HeadingPart"/>
      <w:lvlText w:val="Part %1"/>
      <w:lvlJc w:val="left"/>
      <w:pPr>
        <w:ind w:left="1814" w:hanging="181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5D07AF8"/>
    <w:multiLevelType w:val="hybridMultilevel"/>
    <w:tmpl w:val="37BCB24C"/>
    <w:lvl w:ilvl="0" w:tplc="3F3C518E">
      <w:start w:val="2"/>
      <w:numFmt w:val="bullet"/>
      <w:lvlText w:val=""/>
      <w:lvlJc w:val="left"/>
      <w:pPr>
        <w:ind w:left="1961" w:hanging="360"/>
      </w:pPr>
      <w:rPr>
        <w:rFonts w:ascii="Symbol" w:eastAsia="Cambria" w:hAnsi="Symbol" w:cs="Times New Roman" w:hint="default"/>
      </w:rPr>
    </w:lvl>
    <w:lvl w:ilvl="1" w:tplc="0C090003" w:tentative="1">
      <w:start w:val="1"/>
      <w:numFmt w:val="bullet"/>
      <w:lvlText w:val="o"/>
      <w:lvlJc w:val="left"/>
      <w:pPr>
        <w:ind w:left="2681" w:hanging="360"/>
      </w:pPr>
      <w:rPr>
        <w:rFonts w:ascii="Courier New" w:hAnsi="Courier New" w:cs="Courier New" w:hint="default"/>
      </w:rPr>
    </w:lvl>
    <w:lvl w:ilvl="2" w:tplc="0C090005" w:tentative="1">
      <w:start w:val="1"/>
      <w:numFmt w:val="bullet"/>
      <w:lvlText w:val=""/>
      <w:lvlJc w:val="left"/>
      <w:pPr>
        <w:ind w:left="3401" w:hanging="360"/>
      </w:pPr>
      <w:rPr>
        <w:rFonts w:ascii="Wingdings" w:hAnsi="Wingdings" w:hint="default"/>
      </w:rPr>
    </w:lvl>
    <w:lvl w:ilvl="3" w:tplc="0C090001" w:tentative="1">
      <w:start w:val="1"/>
      <w:numFmt w:val="bullet"/>
      <w:lvlText w:val=""/>
      <w:lvlJc w:val="left"/>
      <w:pPr>
        <w:ind w:left="4121" w:hanging="360"/>
      </w:pPr>
      <w:rPr>
        <w:rFonts w:ascii="Symbol" w:hAnsi="Symbol" w:hint="default"/>
      </w:rPr>
    </w:lvl>
    <w:lvl w:ilvl="4" w:tplc="0C090003" w:tentative="1">
      <w:start w:val="1"/>
      <w:numFmt w:val="bullet"/>
      <w:lvlText w:val="o"/>
      <w:lvlJc w:val="left"/>
      <w:pPr>
        <w:ind w:left="4841" w:hanging="360"/>
      </w:pPr>
      <w:rPr>
        <w:rFonts w:ascii="Courier New" w:hAnsi="Courier New" w:cs="Courier New" w:hint="default"/>
      </w:rPr>
    </w:lvl>
    <w:lvl w:ilvl="5" w:tplc="0C090005" w:tentative="1">
      <w:start w:val="1"/>
      <w:numFmt w:val="bullet"/>
      <w:lvlText w:val=""/>
      <w:lvlJc w:val="left"/>
      <w:pPr>
        <w:ind w:left="5561" w:hanging="360"/>
      </w:pPr>
      <w:rPr>
        <w:rFonts w:ascii="Wingdings" w:hAnsi="Wingdings" w:hint="default"/>
      </w:rPr>
    </w:lvl>
    <w:lvl w:ilvl="6" w:tplc="0C090001" w:tentative="1">
      <w:start w:val="1"/>
      <w:numFmt w:val="bullet"/>
      <w:lvlText w:val=""/>
      <w:lvlJc w:val="left"/>
      <w:pPr>
        <w:ind w:left="6281" w:hanging="360"/>
      </w:pPr>
      <w:rPr>
        <w:rFonts w:ascii="Symbol" w:hAnsi="Symbol" w:hint="default"/>
      </w:rPr>
    </w:lvl>
    <w:lvl w:ilvl="7" w:tplc="0C090003" w:tentative="1">
      <w:start w:val="1"/>
      <w:numFmt w:val="bullet"/>
      <w:lvlText w:val="o"/>
      <w:lvlJc w:val="left"/>
      <w:pPr>
        <w:ind w:left="7001" w:hanging="360"/>
      </w:pPr>
      <w:rPr>
        <w:rFonts w:ascii="Courier New" w:hAnsi="Courier New" w:cs="Courier New" w:hint="default"/>
      </w:rPr>
    </w:lvl>
    <w:lvl w:ilvl="8" w:tplc="0C090005" w:tentative="1">
      <w:start w:val="1"/>
      <w:numFmt w:val="bullet"/>
      <w:lvlText w:val=""/>
      <w:lvlJc w:val="left"/>
      <w:pPr>
        <w:ind w:left="7721" w:hanging="360"/>
      </w:pPr>
      <w:rPr>
        <w:rFonts w:ascii="Wingdings" w:hAnsi="Wingdings" w:hint="default"/>
      </w:rPr>
    </w:lvl>
  </w:abstractNum>
  <w:abstractNum w:abstractNumId="7" w15:restartNumberingAfterBreak="0">
    <w:nsid w:val="18576930"/>
    <w:multiLevelType w:val="hybridMultilevel"/>
    <w:tmpl w:val="23CCC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D8251C"/>
    <w:multiLevelType w:val="hybridMultilevel"/>
    <w:tmpl w:val="DF4268C8"/>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Arial"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Arial"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Arial"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2B075CC9"/>
    <w:multiLevelType w:val="multilevel"/>
    <w:tmpl w:val="C37E6462"/>
    <w:lvl w:ilvl="0">
      <w:start w:val="1"/>
      <w:numFmt w:val="decimal"/>
      <w:lvlText w:val="(%1)"/>
      <w:lvlJc w:val="left"/>
      <w:pPr>
        <w:ind w:left="717" w:hanging="360"/>
      </w:pPr>
      <w:rPr>
        <w:rFonts w:ascii="Times New Roman" w:hAnsi="Times New Roman" w:hint="default"/>
        <w:b w:val="0"/>
        <w:i w:val="0"/>
        <w:sz w:val="20"/>
      </w:rPr>
    </w:lvl>
    <w:lvl w:ilvl="1">
      <w:start w:val="1"/>
      <w:numFmt w:val="lowerLetter"/>
      <w:lvlText w:val="(%2)"/>
      <w:lvlJc w:val="left"/>
      <w:pPr>
        <w:ind w:left="1077" w:hanging="36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lvlText w:val="(%3)"/>
      <w:lvlJc w:val="left"/>
      <w:pPr>
        <w:ind w:left="1437" w:hanging="360"/>
      </w:pPr>
      <w:rPr>
        <w:rFonts w:hint="default"/>
      </w:rPr>
    </w:lvl>
    <w:lvl w:ilvl="3">
      <w:start w:val="1"/>
      <w:numFmt w:val="decimal"/>
      <w:lvlText w:val="(%4)"/>
      <w:lvlJc w:val="left"/>
      <w:pPr>
        <w:ind w:left="1797" w:hanging="360"/>
      </w:pPr>
      <w:rPr>
        <w:rFonts w:hint="default"/>
      </w:rPr>
    </w:lvl>
    <w:lvl w:ilvl="4">
      <w:start w:val="1"/>
      <w:numFmt w:val="lowerLetter"/>
      <w:lvlText w:val="(%5)"/>
      <w:lvlJc w:val="left"/>
      <w:pPr>
        <w:ind w:left="2157" w:hanging="360"/>
      </w:pPr>
      <w:rPr>
        <w:rFonts w:hint="default"/>
      </w:rPr>
    </w:lvl>
    <w:lvl w:ilvl="5">
      <w:start w:val="1"/>
      <w:numFmt w:val="lowerRoman"/>
      <w:lvlText w:val="(%6)"/>
      <w:lvlJc w:val="left"/>
      <w:pPr>
        <w:ind w:left="2517" w:hanging="360"/>
      </w:pPr>
      <w:rPr>
        <w:rFonts w:hint="default"/>
      </w:rPr>
    </w:lvl>
    <w:lvl w:ilvl="6">
      <w:start w:val="1"/>
      <w:numFmt w:val="decimal"/>
      <w:lvlText w:val="%7."/>
      <w:lvlJc w:val="left"/>
      <w:pPr>
        <w:ind w:left="2877" w:hanging="360"/>
      </w:pPr>
      <w:rPr>
        <w:rFonts w:hint="default"/>
      </w:rPr>
    </w:lvl>
    <w:lvl w:ilvl="7">
      <w:start w:val="1"/>
      <w:numFmt w:val="lowerLetter"/>
      <w:lvlText w:val="%8."/>
      <w:lvlJc w:val="left"/>
      <w:pPr>
        <w:ind w:left="3237" w:hanging="360"/>
      </w:pPr>
      <w:rPr>
        <w:rFonts w:hint="default"/>
      </w:rPr>
    </w:lvl>
    <w:lvl w:ilvl="8">
      <w:start w:val="1"/>
      <w:numFmt w:val="lowerRoman"/>
      <w:lvlText w:val="%9."/>
      <w:lvlJc w:val="left"/>
      <w:pPr>
        <w:ind w:left="3597" w:hanging="360"/>
      </w:pPr>
      <w:rPr>
        <w:rFonts w:hint="default"/>
      </w:rPr>
    </w:lvl>
  </w:abstractNum>
  <w:abstractNum w:abstractNumId="10" w15:restartNumberingAfterBreak="0">
    <w:nsid w:val="2D525F94"/>
    <w:multiLevelType w:val="hybridMultilevel"/>
    <w:tmpl w:val="493287DA"/>
    <w:lvl w:ilvl="0" w:tplc="0C09000F">
      <w:start w:val="1"/>
      <w:numFmt w:val="decimal"/>
      <w:lvlText w:val="%1."/>
      <w:lvlJc w:val="left"/>
      <w:pPr>
        <w:tabs>
          <w:tab w:val="num" w:pos="720"/>
        </w:tabs>
        <w:ind w:left="720" w:hanging="360"/>
      </w:pPr>
      <w:rPr>
        <w:rFonts w:cs="Times New Roman" w:hint="default"/>
      </w:rPr>
    </w:lvl>
    <w:lvl w:ilvl="1" w:tplc="0C090019">
      <w:start w:val="1"/>
      <w:numFmt w:val="lowerLetter"/>
      <w:lvlText w:val="%2."/>
      <w:lvlJc w:val="left"/>
      <w:pPr>
        <w:tabs>
          <w:tab w:val="num" w:pos="1440"/>
        </w:tabs>
        <w:ind w:left="1440" w:hanging="360"/>
      </w:pPr>
      <w:rPr>
        <w:rFonts w:cs="Times New Roman"/>
      </w:rPr>
    </w:lvl>
    <w:lvl w:ilvl="2" w:tplc="0C09001B">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31D90C0E"/>
    <w:multiLevelType w:val="hybridMultilevel"/>
    <w:tmpl w:val="65CA815C"/>
    <w:lvl w:ilvl="0" w:tplc="0C090011">
      <w:start w:val="1"/>
      <w:numFmt w:val="decimal"/>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2" w15:restartNumberingAfterBreak="0">
    <w:nsid w:val="40774F1A"/>
    <w:multiLevelType w:val="multilevel"/>
    <w:tmpl w:val="DA104FA4"/>
    <w:lvl w:ilvl="0">
      <w:start w:val="1"/>
      <w:numFmt w:val="decimal"/>
      <w:lvlText w:val="%1"/>
      <w:lvlJc w:val="left"/>
      <w:pPr>
        <w:tabs>
          <w:tab w:val="num" w:pos="720"/>
        </w:tabs>
        <w:ind w:left="720" w:hanging="720"/>
      </w:pPr>
      <w:rPr>
        <w:rFonts w:cs="Times New Roman"/>
      </w:rPr>
    </w:lvl>
    <w:lvl w:ilvl="1">
      <w:start w:val="1"/>
      <w:numFmt w:val="decimal"/>
      <w:lvlText w:val="%1.%2"/>
      <w:lvlJc w:val="left"/>
      <w:pPr>
        <w:tabs>
          <w:tab w:val="num" w:pos="1080"/>
        </w:tabs>
        <w:ind w:left="720" w:hanging="720"/>
      </w:pPr>
      <w:rPr>
        <w:rFonts w:cs="Times New Roman"/>
      </w:rPr>
    </w:lvl>
    <w:lvl w:ilvl="2">
      <w:start w:val="1"/>
      <w:numFmt w:val="decimal"/>
      <w:lvlText w:val="%1.%2.%3"/>
      <w:lvlJc w:val="left"/>
      <w:pPr>
        <w:tabs>
          <w:tab w:val="num" w:pos="144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3" w15:restartNumberingAfterBreak="0">
    <w:nsid w:val="43C06547"/>
    <w:multiLevelType w:val="hybridMultilevel"/>
    <w:tmpl w:val="3158754E"/>
    <w:lvl w:ilvl="0" w:tplc="E5CC8A56">
      <w:start w:val="1"/>
      <w:numFmt w:val="bullet"/>
      <w:pStyle w:val="BulletLast"/>
      <w:lvlText w:val=""/>
      <w:lvlJc w:val="left"/>
      <w:pPr>
        <w:ind w:left="1083" w:hanging="360"/>
      </w:pPr>
      <w:rPr>
        <w:rFonts w:ascii="Symbol" w:hAnsi="Symbol" w:hint="default"/>
      </w:rPr>
    </w:lvl>
    <w:lvl w:ilvl="1" w:tplc="0C090003">
      <w:start w:val="1"/>
      <w:numFmt w:val="bullet"/>
      <w:lvlText w:val="o"/>
      <w:lvlJc w:val="left"/>
      <w:pPr>
        <w:ind w:left="1803" w:hanging="360"/>
      </w:pPr>
      <w:rPr>
        <w:rFonts w:ascii="Courier New" w:hAnsi="Courier New" w:cs="Courier New" w:hint="default"/>
      </w:rPr>
    </w:lvl>
    <w:lvl w:ilvl="2" w:tplc="0C090005">
      <w:start w:val="1"/>
      <w:numFmt w:val="bullet"/>
      <w:lvlText w:val=""/>
      <w:lvlJc w:val="left"/>
      <w:pPr>
        <w:ind w:left="2523" w:hanging="360"/>
      </w:pPr>
      <w:rPr>
        <w:rFonts w:ascii="Wingdings" w:hAnsi="Wingdings" w:hint="default"/>
      </w:rPr>
    </w:lvl>
    <w:lvl w:ilvl="3" w:tplc="0C090001" w:tentative="1">
      <w:start w:val="1"/>
      <w:numFmt w:val="bullet"/>
      <w:lvlText w:val=""/>
      <w:lvlJc w:val="left"/>
      <w:pPr>
        <w:ind w:left="3243" w:hanging="360"/>
      </w:pPr>
      <w:rPr>
        <w:rFonts w:ascii="Symbol" w:hAnsi="Symbol" w:hint="default"/>
      </w:rPr>
    </w:lvl>
    <w:lvl w:ilvl="4" w:tplc="0C090003" w:tentative="1">
      <w:start w:val="1"/>
      <w:numFmt w:val="bullet"/>
      <w:lvlText w:val="o"/>
      <w:lvlJc w:val="left"/>
      <w:pPr>
        <w:ind w:left="3963" w:hanging="360"/>
      </w:pPr>
      <w:rPr>
        <w:rFonts w:ascii="Courier New" w:hAnsi="Courier New" w:cs="Courier New" w:hint="default"/>
      </w:rPr>
    </w:lvl>
    <w:lvl w:ilvl="5" w:tplc="0C090005" w:tentative="1">
      <w:start w:val="1"/>
      <w:numFmt w:val="bullet"/>
      <w:lvlText w:val=""/>
      <w:lvlJc w:val="left"/>
      <w:pPr>
        <w:ind w:left="4683" w:hanging="360"/>
      </w:pPr>
      <w:rPr>
        <w:rFonts w:ascii="Wingdings" w:hAnsi="Wingdings" w:hint="default"/>
      </w:rPr>
    </w:lvl>
    <w:lvl w:ilvl="6" w:tplc="0C090001" w:tentative="1">
      <w:start w:val="1"/>
      <w:numFmt w:val="bullet"/>
      <w:lvlText w:val=""/>
      <w:lvlJc w:val="left"/>
      <w:pPr>
        <w:ind w:left="5403" w:hanging="360"/>
      </w:pPr>
      <w:rPr>
        <w:rFonts w:ascii="Symbol" w:hAnsi="Symbol" w:hint="default"/>
      </w:rPr>
    </w:lvl>
    <w:lvl w:ilvl="7" w:tplc="0C090003" w:tentative="1">
      <w:start w:val="1"/>
      <w:numFmt w:val="bullet"/>
      <w:lvlText w:val="o"/>
      <w:lvlJc w:val="left"/>
      <w:pPr>
        <w:ind w:left="6123" w:hanging="360"/>
      </w:pPr>
      <w:rPr>
        <w:rFonts w:ascii="Courier New" w:hAnsi="Courier New" w:cs="Courier New" w:hint="default"/>
      </w:rPr>
    </w:lvl>
    <w:lvl w:ilvl="8" w:tplc="0C090005" w:tentative="1">
      <w:start w:val="1"/>
      <w:numFmt w:val="bullet"/>
      <w:lvlText w:val=""/>
      <w:lvlJc w:val="left"/>
      <w:pPr>
        <w:ind w:left="6843" w:hanging="360"/>
      </w:pPr>
      <w:rPr>
        <w:rFonts w:ascii="Wingdings" w:hAnsi="Wingdings" w:hint="default"/>
      </w:rPr>
    </w:lvl>
  </w:abstractNum>
  <w:abstractNum w:abstractNumId="14" w15:restartNumberingAfterBreak="0">
    <w:nsid w:val="44367C8E"/>
    <w:multiLevelType w:val="hybridMultilevel"/>
    <w:tmpl w:val="6F2A32E0"/>
    <w:lvl w:ilvl="0" w:tplc="B310F7D6">
      <w:start w:val="1"/>
      <w:numFmt w:val="lowerLetter"/>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4D678DA"/>
    <w:multiLevelType w:val="hybridMultilevel"/>
    <w:tmpl w:val="16D089EC"/>
    <w:lvl w:ilvl="0" w:tplc="EFA8B3AC">
      <w:start w:val="1"/>
      <w:numFmt w:val="lowerLetter"/>
      <w:lvlText w:val="%1)"/>
      <w:lvlJc w:val="left"/>
      <w:pPr>
        <w:ind w:left="720" w:hanging="360"/>
      </w:pPr>
      <w:rPr>
        <w:rFonts w:cs="Times New Roman"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5691102"/>
    <w:multiLevelType w:val="hybridMultilevel"/>
    <w:tmpl w:val="494A1FF6"/>
    <w:lvl w:ilvl="0" w:tplc="0C090011">
      <w:start w:val="1"/>
      <w:numFmt w:val="decimal"/>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7" w15:restartNumberingAfterBreak="0">
    <w:nsid w:val="4ACF2B83"/>
    <w:multiLevelType w:val="multilevel"/>
    <w:tmpl w:val="FA9A94F2"/>
    <w:lvl w:ilvl="0">
      <w:start w:val="1"/>
      <w:numFmt w:val="decimal"/>
      <w:pStyle w:val="Heading1"/>
      <w:lvlText w:val="%1"/>
      <w:lvlJc w:val="left"/>
      <w:pPr>
        <w:tabs>
          <w:tab w:val="num" w:pos="720"/>
        </w:tabs>
        <w:ind w:left="720" w:hanging="720"/>
      </w:pPr>
      <w:rPr>
        <w:rFonts w:cs="Times New Roman"/>
      </w:rPr>
    </w:lvl>
    <w:lvl w:ilvl="1">
      <w:start w:val="1"/>
      <w:numFmt w:val="decimal"/>
      <w:pStyle w:val="Heading2"/>
      <w:lvlText w:val="%1.%2"/>
      <w:lvlJc w:val="left"/>
      <w:pPr>
        <w:tabs>
          <w:tab w:val="num" w:pos="1222"/>
        </w:tabs>
        <w:ind w:left="862" w:hanging="720"/>
      </w:pPr>
      <w:rPr>
        <w:rFonts w:cs="Times New Roman"/>
      </w:rPr>
    </w:lvl>
    <w:lvl w:ilvl="2">
      <w:start w:val="1"/>
      <w:numFmt w:val="decimal"/>
      <w:pStyle w:val="Heading3"/>
      <w:lvlText w:val="%1.%2.%3"/>
      <w:lvlJc w:val="left"/>
      <w:pPr>
        <w:tabs>
          <w:tab w:val="num" w:pos="4842"/>
        </w:tabs>
        <w:ind w:left="4122"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8" w15:restartNumberingAfterBreak="0">
    <w:nsid w:val="569C589C"/>
    <w:multiLevelType w:val="multilevel"/>
    <w:tmpl w:val="3BA80B6C"/>
    <w:lvl w:ilvl="0">
      <w:start w:val="1"/>
      <w:numFmt w:val="decimal"/>
      <w:pStyle w:val="HeadingAppendix1"/>
      <w:lvlText w:val="Appendix %1"/>
      <w:lvlJc w:val="left"/>
      <w:pPr>
        <w:ind w:left="2693" w:hanging="2693"/>
      </w:pPr>
      <w:rPr>
        <w:rFonts w:hint="default"/>
      </w:rPr>
    </w:lvl>
    <w:lvl w:ilvl="1">
      <w:start w:val="1"/>
      <w:numFmt w:val="decimal"/>
      <w:pStyle w:val="HeadingAppendix2"/>
      <w:lvlText w:val="A%1.%2"/>
      <w:lvlJc w:val="left"/>
      <w:pPr>
        <w:ind w:left="907" w:hanging="907"/>
      </w:pPr>
      <w:rPr>
        <w:rFonts w:cs="Times New Roman"/>
        <w:bCs w:val="0"/>
        <w:i w:val="0"/>
        <w:iCs w:val="0"/>
        <w:caps w:val="0"/>
        <w:smallCaps w:val="0"/>
        <w:strike w:val="0"/>
        <w:dstrike w:val="0"/>
        <w:noProof w:val="0"/>
        <w:vanish w:val="0"/>
        <w:color w:val="000000"/>
        <w:spacing w:val="0"/>
        <w:position w:val="0"/>
        <w:u w:val="none"/>
        <w:vertAlign w:val="baseline"/>
        <w:em w:val="none"/>
      </w:rPr>
    </w:lvl>
    <w:lvl w:ilvl="2">
      <w:start w:val="1"/>
      <w:numFmt w:val="decimal"/>
      <w:pStyle w:val="HeadingAppendix3"/>
      <w:lvlText w:val="A%1.%2.%3"/>
      <w:lvlJc w:val="left"/>
      <w:pPr>
        <w:ind w:left="907" w:hanging="907"/>
      </w:pPr>
      <w:rPr>
        <w:rFonts w:hint="default"/>
      </w:rPr>
    </w:lvl>
    <w:lvl w:ilvl="3">
      <w:start w:val="1"/>
      <w:numFmt w:val="decimal"/>
      <w:lvlText w:val="%4."/>
      <w:lvlJc w:val="left"/>
      <w:pPr>
        <w:ind w:left="2693" w:hanging="2693"/>
      </w:pPr>
      <w:rPr>
        <w:rFonts w:hint="default"/>
      </w:rPr>
    </w:lvl>
    <w:lvl w:ilvl="4">
      <w:start w:val="1"/>
      <w:numFmt w:val="lowerLetter"/>
      <w:lvlText w:val="%5."/>
      <w:lvlJc w:val="left"/>
      <w:pPr>
        <w:ind w:left="2693" w:hanging="2693"/>
      </w:pPr>
      <w:rPr>
        <w:rFonts w:hint="default"/>
      </w:rPr>
    </w:lvl>
    <w:lvl w:ilvl="5">
      <w:start w:val="1"/>
      <w:numFmt w:val="lowerRoman"/>
      <w:lvlText w:val="%6."/>
      <w:lvlJc w:val="right"/>
      <w:pPr>
        <w:ind w:left="2693" w:hanging="2693"/>
      </w:pPr>
      <w:rPr>
        <w:rFonts w:hint="default"/>
      </w:rPr>
    </w:lvl>
    <w:lvl w:ilvl="6">
      <w:start w:val="1"/>
      <w:numFmt w:val="decimal"/>
      <w:lvlText w:val="%7."/>
      <w:lvlJc w:val="left"/>
      <w:pPr>
        <w:ind w:left="2693" w:hanging="2693"/>
      </w:pPr>
      <w:rPr>
        <w:rFonts w:hint="default"/>
      </w:rPr>
    </w:lvl>
    <w:lvl w:ilvl="7">
      <w:start w:val="1"/>
      <w:numFmt w:val="lowerLetter"/>
      <w:lvlText w:val="%8."/>
      <w:lvlJc w:val="left"/>
      <w:pPr>
        <w:ind w:left="2693" w:hanging="2693"/>
      </w:pPr>
      <w:rPr>
        <w:rFonts w:hint="default"/>
      </w:rPr>
    </w:lvl>
    <w:lvl w:ilvl="8">
      <w:start w:val="1"/>
      <w:numFmt w:val="lowerRoman"/>
      <w:lvlText w:val="%9."/>
      <w:lvlJc w:val="right"/>
      <w:pPr>
        <w:ind w:left="2693" w:hanging="2693"/>
      </w:pPr>
      <w:rPr>
        <w:rFonts w:hint="default"/>
      </w:rPr>
    </w:lvl>
  </w:abstractNum>
  <w:abstractNum w:abstractNumId="19" w15:restartNumberingAfterBreak="0">
    <w:nsid w:val="5A565032"/>
    <w:multiLevelType w:val="multilevel"/>
    <w:tmpl w:val="9404D75E"/>
    <w:lvl w:ilvl="0">
      <w:start w:val="1"/>
      <w:numFmt w:val="lowerLetter"/>
      <w:pStyle w:val="LetteredList"/>
      <w:lvlText w:val="(%1)"/>
      <w:lvlJc w:val="left"/>
      <w:pPr>
        <w:ind w:left="680" w:hanging="396"/>
      </w:pPr>
      <w:rPr>
        <w:rFonts w:hint="default"/>
      </w:rPr>
    </w:lvl>
    <w:lvl w:ilvl="1">
      <w:start w:val="1"/>
      <w:numFmt w:val="lowerRoman"/>
      <w:lvlText w:val="(%2)"/>
      <w:lvlJc w:val="left"/>
      <w:pPr>
        <w:ind w:left="1701" w:hanging="624"/>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20" w15:restartNumberingAfterBreak="0">
    <w:nsid w:val="5BFC0F86"/>
    <w:multiLevelType w:val="hybridMultilevel"/>
    <w:tmpl w:val="967807A0"/>
    <w:lvl w:ilvl="0" w:tplc="080C19FA">
      <w:start w:val="1"/>
      <w:numFmt w:val="bullet"/>
      <w:pStyle w:val="TableBullet"/>
      <w:lvlText w:val=""/>
      <w:lvlJc w:val="left"/>
      <w:pPr>
        <w:tabs>
          <w:tab w:val="num" w:pos="360"/>
        </w:tabs>
        <w:ind w:left="216" w:hanging="216"/>
      </w:pPr>
      <w:rPr>
        <w:rFonts w:ascii="Symbol" w:hAnsi="Symbol" w:hint="default"/>
        <w:sz w:val="16"/>
      </w:rPr>
    </w:lvl>
    <w:lvl w:ilvl="1" w:tplc="F9E2E734" w:tentative="1">
      <w:start w:val="1"/>
      <w:numFmt w:val="bullet"/>
      <w:lvlText w:val="o"/>
      <w:lvlJc w:val="left"/>
      <w:pPr>
        <w:tabs>
          <w:tab w:val="num" w:pos="1440"/>
        </w:tabs>
        <w:ind w:left="1440" w:hanging="360"/>
      </w:pPr>
      <w:rPr>
        <w:rFonts w:ascii="Courier New" w:hAnsi="Courier New" w:hint="default"/>
      </w:rPr>
    </w:lvl>
    <w:lvl w:ilvl="2" w:tplc="6DEEAAA4" w:tentative="1">
      <w:start w:val="1"/>
      <w:numFmt w:val="bullet"/>
      <w:lvlText w:val=""/>
      <w:lvlJc w:val="left"/>
      <w:pPr>
        <w:tabs>
          <w:tab w:val="num" w:pos="2160"/>
        </w:tabs>
        <w:ind w:left="2160" w:hanging="360"/>
      </w:pPr>
      <w:rPr>
        <w:rFonts w:ascii="Wingdings" w:hAnsi="Wingdings" w:hint="default"/>
      </w:rPr>
    </w:lvl>
    <w:lvl w:ilvl="3" w:tplc="C598E346" w:tentative="1">
      <w:start w:val="1"/>
      <w:numFmt w:val="bullet"/>
      <w:lvlText w:val=""/>
      <w:lvlJc w:val="left"/>
      <w:pPr>
        <w:tabs>
          <w:tab w:val="num" w:pos="2880"/>
        </w:tabs>
        <w:ind w:left="2880" w:hanging="360"/>
      </w:pPr>
      <w:rPr>
        <w:rFonts w:ascii="Symbol" w:hAnsi="Symbol" w:hint="default"/>
      </w:rPr>
    </w:lvl>
    <w:lvl w:ilvl="4" w:tplc="790C274C" w:tentative="1">
      <w:start w:val="1"/>
      <w:numFmt w:val="bullet"/>
      <w:lvlText w:val="o"/>
      <w:lvlJc w:val="left"/>
      <w:pPr>
        <w:tabs>
          <w:tab w:val="num" w:pos="3600"/>
        </w:tabs>
        <w:ind w:left="3600" w:hanging="360"/>
      </w:pPr>
      <w:rPr>
        <w:rFonts w:ascii="Courier New" w:hAnsi="Courier New" w:hint="default"/>
      </w:rPr>
    </w:lvl>
    <w:lvl w:ilvl="5" w:tplc="D0E442FA" w:tentative="1">
      <w:start w:val="1"/>
      <w:numFmt w:val="bullet"/>
      <w:lvlText w:val=""/>
      <w:lvlJc w:val="left"/>
      <w:pPr>
        <w:tabs>
          <w:tab w:val="num" w:pos="4320"/>
        </w:tabs>
        <w:ind w:left="4320" w:hanging="360"/>
      </w:pPr>
      <w:rPr>
        <w:rFonts w:ascii="Wingdings" w:hAnsi="Wingdings" w:hint="default"/>
      </w:rPr>
    </w:lvl>
    <w:lvl w:ilvl="6" w:tplc="D24C2F38" w:tentative="1">
      <w:start w:val="1"/>
      <w:numFmt w:val="bullet"/>
      <w:lvlText w:val=""/>
      <w:lvlJc w:val="left"/>
      <w:pPr>
        <w:tabs>
          <w:tab w:val="num" w:pos="5040"/>
        </w:tabs>
        <w:ind w:left="5040" w:hanging="360"/>
      </w:pPr>
      <w:rPr>
        <w:rFonts w:ascii="Symbol" w:hAnsi="Symbol" w:hint="default"/>
      </w:rPr>
    </w:lvl>
    <w:lvl w:ilvl="7" w:tplc="D8A6F982" w:tentative="1">
      <w:start w:val="1"/>
      <w:numFmt w:val="bullet"/>
      <w:lvlText w:val="o"/>
      <w:lvlJc w:val="left"/>
      <w:pPr>
        <w:tabs>
          <w:tab w:val="num" w:pos="5760"/>
        </w:tabs>
        <w:ind w:left="5760" w:hanging="360"/>
      </w:pPr>
      <w:rPr>
        <w:rFonts w:ascii="Courier New" w:hAnsi="Courier New" w:hint="default"/>
      </w:rPr>
    </w:lvl>
    <w:lvl w:ilvl="8" w:tplc="9F1A4FD0"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2AB11EF"/>
    <w:multiLevelType w:val="hybridMultilevel"/>
    <w:tmpl w:val="D898C958"/>
    <w:lvl w:ilvl="0" w:tplc="BF20C17A">
      <w:start w:val="1"/>
      <w:numFmt w:val="bullet"/>
      <w:pStyle w:val="Bullet"/>
      <w:lvlText w:val=""/>
      <w:lvlJc w:val="left"/>
      <w:pPr>
        <w:ind w:left="644" w:hanging="360"/>
      </w:pPr>
      <w:rPr>
        <w:rFonts w:ascii="Symbol" w:hAnsi="Symbol" w:hint="default"/>
        <w:b w:val="0"/>
        <w:i w:val="0"/>
        <w:color w:val="auto"/>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ABC7145"/>
    <w:multiLevelType w:val="hybridMultilevel"/>
    <w:tmpl w:val="428C538A"/>
    <w:lvl w:ilvl="0" w:tplc="BA8C3370">
      <w:start w:val="1"/>
      <w:numFmt w:val="decimal"/>
      <w:pStyle w:val="ListNumber"/>
      <w:lvlText w:val="%1."/>
      <w:lvlJc w:val="left"/>
      <w:pPr>
        <w:tabs>
          <w:tab w:val="num" w:pos="360"/>
        </w:tabs>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0C0580F"/>
    <w:multiLevelType w:val="hybridMultilevel"/>
    <w:tmpl w:val="8E4C8FFC"/>
    <w:lvl w:ilvl="0" w:tplc="61AEB950">
      <w:start w:val="1"/>
      <w:numFmt w:val="bullet"/>
      <w:pStyle w:val="Dash"/>
      <w:lvlText w:val="–"/>
      <w:lvlJc w:val="left"/>
      <w:pPr>
        <w:tabs>
          <w:tab w:val="num" w:pos="2160"/>
        </w:tabs>
        <w:ind w:left="2160" w:hanging="720"/>
      </w:pPr>
      <w:rPr>
        <w:rFonts w:ascii="Verdana" w:hAnsi="Verdana" w:hint="default"/>
      </w:rPr>
    </w:lvl>
    <w:lvl w:ilvl="1" w:tplc="0C090019" w:tentative="1">
      <w:start w:val="1"/>
      <w:numFmt w:val="bullet"/>
      <w:lvlText w:val="o"/>
      <w:lvlJc w:val="left"/>
      <w:pPr>
        <w:tabs>
          <w:tab w:val="num" w:pos="1800"/>
        </w:tabs>
        <w:ind w:left="1800" w:hanging="360"/>
      </w:pPr>
      <w:rPr>
        <w:rFonts w:ascii="Courier New" w:hAnsi="Courier New" w:hint="default"/>
      </w:rPr>
    </w:lvl>
    <w:lvl w:ilvl="2" w:tplc="0C09001B" w:tentative="1">
      <w:start w:val="1"/>
      <w:numFmt w:val="bullet"/>
      <w:lvlText w:val=""/>
      <w:lvlJc w:val="left"/>
      <w:pPr>
        <w:tabs>
          <w:tab w:val="num" w:pos="2520"/>
        </w:tabs>
        <w:ind w:left="2520" w:hanging="360"/>
      </w:pPr>
      <w:rPr>
        <w:rFonts w:ascii="Wingdings" w:hAnsi="Wingdings" w:hint="default"/>
      </w:rPr>
    </w:lvl>
    <w:lvl w:ilvl="3" w:tplc="0C09000F" w:tentative="1">
      <w:start w:val="1"/>
      <w:numFmt w:val="bullet"/>
      <w:lvlText w:val=""/>
      <w:lvlJc w:val="left"/>
      <w:pPr>
        <w:tabs>
          <w:tab w:val="num" w:pos="3240"/>
        </w:tabs>
        <w:ind w:left="3240" w:hanging="360"/>
      </w:pPr>
      <w:rPr>
        <w:rFonts w:ascii="Symbol" w:hAnsi="Symbol" w:hint="default"/>
      </w:rPr>
    </w:lvl>
    <w:lvl w:ilvl="4" w:tplc="0C090019" w:tentative="1">
      <w:start w:val="1"/>
      <w:numFmt w:val="bullet"/>
      <w:lvlText w:val="o"/>
      <w:lvlJc w:val="left"/>
      <w:pPr>
        <w:tabs>
          <w:tab w:val="num" w:pos="3960"/>
        </w:tabs>
        <w:ind w:left="3960" w:hanging="360"/>
      </w:pPr>
      <w:rPr>
        <w:rFonts w:ascii="Courier New" w:hAnsi="Courier New" w:hint="default"/>
      </w:rPr>
    </w:lvl>
    <w:lvl w:ilvl="5" w:tplc="0C09001B" w:tentative="1">
      <w:start w:val="1"/>
      <w:numFmt w:val="bullet"/>
      <w:lvlText w:val=""/>
      <w:lvlJc w:val="left"/>
      <w:pPr>
        <w:tabs>
          <w:tab w:val="num" w:pos="4680"/>
        </w:tabs>
        <w:ind w:left="4680" w:hanging="360"/>
      </w:pPr>
      <w:rPr>
        <w:rFonts w:ascii="Wingdings" w:hAnsi="Wingdings" w:hint="default"/>
      </w:rPr>
    </w:lvl>
    <w:lvl w:ilvl="6" w:tplc="0C09000F" w:tentative="1">
      <w:start w:val="1"/>
      <w:numFmt w:val="bullet"/>
      <w:lvlText w:val=""/>
      <w:lvlJc w:val="left"/>
      <w:pPr>
        <w:tabs>
          <w:tab w:val="num" w:pos="5400"/>
        </w:tabs>
        <w:ind w:left="5400" w:hanging="360"/>
      </w:pPr>
      <w:rPr>
        <w:rFonts w:ascii="Symbol" w:hAnsi="Symbol" w:hint="default"/>
      </w:rPr>
    </w:lvl>
    <w:lvl w:ilvl="7" w:tplc="0C090019" w:tentative="1">
      <w:start w:val="1"/>
      <w:numFmt w:val="bullet"/>
      <w:lvlText w:val="o"/>
      <w:lvlJc w:val="left"/>
      <w:pPr>
        <w:tabs>
          <w:tab w:val="num" w:pos="6120"/>
        </w:tabs>
        <w:ind w:left="6120" w:hanging="360"/>
      </w:pPr>
      <w:rPr>
        <w:rFonts w:ascii="Courier New" w:hAnsi="Courier New" w:hint="default"/>
      </w:rPr>
    </w:lvl>
    <w:lvl w:ilvl="8" w:tplc="0C09001B"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730E407D"/>
    <w:multiLevelType w:val="hybridMultilevel"/>
    <w:tmpl w:val="9D288BB0"/>
    <w:lvl w:ilvl="0" w:tplc="0C090001">
      <w:start w:val="1"/>
      <w:numFmt w:val="bullet"/>
      <w:lvlText w:val=""/>
      <w:lvlJc w:val="left"/>
      <w:pPr>
        <w:ind w:left="1565" w:hanging="360"/>
      </w:pPr>
      <w:rPr>
        <w:rFonts w:ascii="Symbol" w:hAnsi="Symbol" w:hint="default"/>
      </w:rPr>
    </w:lvl>
    <w:lvl w:ilvl="1" w:tplc="0C090003" w:tentative="1">
      <w:start w:val="1"/>
      <w:numFmt w:val="bullet"/>
      <w:lvlText w:val="o"/>
      <w:lvlJc w:val="left"/>
      <w:pPr>
        <w:ind w:left="2285" w:hanging="360"/>
      </w:pPr>
      <w:rPr>
        <w:rFonts w:ascii="Courier New" w:hAnsi="Courier New" w:cs="Courier New" w:hint="default"/>
      </w:rPr>
    </w:lvl>
    <w:lvl w:ilvl="2" w:tplc="0C090005" w:tentative="1">
      <w:start w:val="1"/>
      <w:numFmt w:val="bullet"/>
      <w:lvlText w:val=""/>
      <w:lvlJc w:val="left"/>
      <w:pPr>
        <w:ind w:left="3005" w:hanging="360"/>
      </w:pPr>
      <w:rPr>
        <w:rFonts w:ascii="Wingdings" w:hAnsi="Wingdings" w:hint="default"/>
      </w:rPr>
    </w:lvl>
    <w:lvl w:ilvl="3" w:tplc="0C090001" w:tentative="1">
      <w:start w:val="1"/>
      <w:numFmt w:val="bullet"/>
      <w:lvlText w:val=""/>
      <w:lvlJc w:val="left"/>
      <w:pPr>
        <w:ind w:left="3725" w:hanging="360"/>
      </w:pPr>
      <w:rPr>
        <w:rFonts w:ascii="Symbol" w:hAnsi="Symbol" w:hint="default"/>
      </w:rPr>
    </w:lvl>
    <w:lvl w:ilvl="4" w:tplc="0C090003" w:tentative="1">
      <w:start w:val="1"/>
      <w:numFmt w:val="bullet"/>
      <w:lvlText w:val="o"/>
      <w:lvlJc w:val="left"/>
      <w:pPr>
        <w:ind w:left="4445" w:hanging="360"/>
      </w:pPr>
      <w:rPr>
        <w:rFonts w:ascii="Courier New" w:hAnsi="Courier New" w:cs="Courier New" w:hint="default"/>
      </w:rPr>
    </w:lvl>
    <w:lvl w:ilvl="5" w:tplc="0C090005" w:tentative="1">
      <w:start w:val="1"/>
      <w:numFmt w:val="bullet"/>
      <w:lvlText w:val=""/>
      <w:lvlJc w:val="left"/>
      <w:pPr>
        <w:ind w:left="5165" w:hanging="360"/>
      </w:pPr>
      <w:rPr>
        <w:rFonts w:ascii="Wingdings" w:hAnsi="Wingdings" w:hint="default"/>
      </w:rPr>
    </w:lvl>
    <w:lvl w:ilvl="6" w:tplc="0C090001" w:tentative="1">
      <w:start w:val="1"/>
      <w:numFmt w:val="bullet"/>
      <w:lvlText w:val=""/>
      <w:lvlJc w:val="left"/>
      <w:pPr>
        <w:ind w:left="5885" w:hanging="360"/>
      </w:pPr>
      <w:rPr>
        <w:rFonts w:ascii="Symbol" w:hAnsi="Symbol" w:hint="default"/>
      </w:rPr>
    </w:lvl>
    <w:lvl w:ilvl="7" w:tplc="0C090003" w:tentative="1">
      <w:start w:val="1"/>
      <w:numFmt w:val="bullet"/>
      <w:lvlText w:val="o"/>
      <w:lvlJc w:val="left"/>
      <w:pPr>
        <w:ind w:left="6605" w:hanging="360"/>
      </w:pPr>
      <w:rPr>
        <w:rFonts w:ascii="Courier New" w:hAnsi="Courier New" w:cs="Courier New" w:hint="default"/>
      </w:rPr>
    </w:lvl>
    <w:lvl w:ilvl="8" w:tplc="0C090005" w:tentative="1">
      <w:start w:val="1"/>
      <w:numFmt w:val="bullet"/>
      <w:lvlText w:val=""/>
      <w:lvlJc w:val="left"/>
      <w:pPr>
        <w:ind w:left="7325" w:hanging="360"/>
      </w:pPr>
      <w:rPr>
        <w:rFonts w:ascii="Wingdings" w:hAnsi="Wingdings" w:hint="default"/>
      </w:rPr>
    </w:lvl>
  </w:abstractNum>
  <w:abstractNum w:abstractNumId="25" w15:restartNumberingAfterBreak="0">
    <w:nsid w:val="73FF3C2A"/>
    <w:multiLevelType w:val="hybridMultilevel"/>
    <w:tmpl w:val="84CE7A78"/>
    <w:lvl w:ilvl="0" w:tplc="0C090011">
      <w:start w:val="1"/>
      <w:numFmt w:val="bullet"/>
      <w:lvlText w:val=""/>
      <w:lvlJc w:val="left"/>
      <w:pPr>
        <w:ind w:left="360" w:hanging="360"/>
      </w:pPr>
      <w:rPr>
        <w:rFonts w:ascii="Symbol" w:hAnsi="Symbol" w:hint="default"/>
      </w:rPr>
    </w:lvl>
    <w:lvl w:ilvl="1" w:tplc="54E43686">
      <w:start w:val="1"/>
      <w:numFmt w:val="bullet"/>
      <w:lvlText w:val="o"/>
      <w:lvlJc w:val="left"/>
      <w:pPr>
        <w:ind w:left="1080" w:hanging="360"/>
      </w:pPr>
      <w:rPr>
        <w:rFonts w:ascii="Courier New" w:hAnsi="Courier New" w:cs="Courier New" w:hint="default"/>
      </w:rPr>
    </w:lvl>
    <w:lvl w:ilvl="2" w:tplc="0C09001B">
      <w:start w:val="1"/>
      <w:numFmt w:val="bullet"/>
      <w:lvlText w:val=""/>
      <w:lvlJc w:val="left"/>
      <w:pPr>
        <w:ind w:left="1800" w:hanging="360"/>
      </w:pPr>
      <w:rPr>
        <w:rFonts w:ascii="Wingdings" w:hAnsi="Wingdings" w:hint="default"/>
      </w:rPr>
    </w:lvl>
    <w:lvl w:ilvl="3" w:tplc="0C09000F" w:tentative="1">
      <w:start w:val="1"/>
      <w:numFmt w:val="bullet"/>
      <w:lvlText w:val=""/>
      <w:lvlJc w:val="left"/>
      <w:pPr>
        <w:ind w:left="2520" w:hanging="360"/>
      </w:pPr>
      <w:rPr>
        <w:rFonts w:ascii="Symbol" w:hAnsi="Symbol" w:hint="default"/>
      </w:rPr>
    </w:lvl>
    <w:lvl w:ilvl="4" w:tplc="0C090019" w:tentative="1">
      <w:start w:val="1"/>
      <w:numFmt w:val="bullet"/>
      <w:lvlText w:val="o"/>
      <w:lvlJc w:val="left"/>
      <w:pPr>
        <w:ind w:left="3240" w:hanging="360"/>
      </w:pPr>
      <w:rPr>
        <w:rFonts w:ascii="Courier New" w:hAnsi="Courier New" w:cs="Courier New" w:hint="default"/>
      </w:rPr>
    </w:lvl>
    <w:lvl w:ilvl="5" w:tplc="0C09001B" w:tentative="1">
      <w:start w:val="1"/>
      <w:numFmt w:val="bullet"/>
      <w:lvlText w:val=""/>
      <w:lvlJc w:val="left"/>
      <w:pPr>
        <w:ind w:left="3960" w:hanging="360"/>
      </w:pPr>
      <w:rPr>
        <w:rFonts w:ascii="Wingdings" w:hAnsi="Wingdings" w:hint="default"/>
      </w:rPr>
    </w:lvl>
    <w:lvl w:ilvl="6" w:tplc="0C09000F" w:tentative="1">
      <w:start w:val="1"/>
      <w:numFmt w:val="bullet"/>
      <w:lvlText w:val=""/>
      <w:lvlJc w:val="left"/>
      <w:pPr>
        <w:ind w:left="4680" w:hanging="360"/>
      </w:pPr>
      <w:rPr>
        <w:rFonts w:ascii="Symbol" w:hAnsi="Symbol" w:hint="default"/>
      </w:rPr>
    </w:lvl>
    <w:lvl w:ilvl="7" w:tplc="0C090019" w:tentative="1">
      <w:start w:val="1"/>
      <w:numFmt w:val="bullet"/>
      <w:lvlText w:val="o"/>
      <w:lvlJc w:val="left"/>
      <w:pPr>
        <w:ind w:left="5400" w:hanging="360"/>
      </w:pPr>
      <w:rPr>
        <w:rFonts w:ascii="Courier New" w:hAnsi="Courier New" w:cs="Courier New" w:hint="default"/>
      </w:rPr>
    </w:lvl>
    <w:lvl w:ilvl="8" w:tplc="0C09001B" w:tentative="1">
      <w:start w:val="1"/>
      <w:numFmt w:val="bullet"/>
      <w:lvlText w:val=""/>
      <w:lvlJc w:val="left"/>
      <w:pPr>
        <w:ind w:left="6120" w:hanging="360"/>
      </w:pPr>
      <w:rPr>
        <w:rFonts w:ascii="Wingdings" w:hAnsi="Wingdings" w:hint="default"/>
      </w:rPr>
    </w:lvl>
  </w:abstractNum>
  <w:abstractNum w:abstractNumId="26" w15:restartNumberingAfterBreak="0">
    <w:nsid w:val="7AD74D2B"/>
    <w:multiLevelType w:val="hybridMultilevel"/>
    <w:tmpl w:val="FC20107E"/>
    <w:lvl w:ilvl="0" w:tplc="8CFC3DEC">
      <w:start w:val="2"/>
      <w:numFmt w:val="bullet"/>
      <w:lvlText w:val="-"/>
      <w:lvlJc w:val="left"/>
      <w:pPr>
        <w:ind w:left="1961" w:hanging="360"/>
      </w:pPr>
      <w:rPr>
        <w:rFonts w:ascii="Arial Narrow" w:eastAsia="Cambria" w:hAnsi="Arial Narrow" w:cs="Times New Roman" w:hint="default"/>
      </w:rPr>
    </w:lvl>
    <w:lvl w:ilvl="1" w:tplc="0C090003" w:tentative="1">
      <w:start w:val="1"/>
      <w:numFmt w:val="bullet"/>
      <w:lvlText w:val="o"/>
      <w:lvlJc w:val="left"/>
      <w:pPr>
        <w:ind w:left="2681" w:hanging="360"/>
      </w:pPr>
      <w:rPr>
        <w:rFonts w:ascii="Courier New" w:hAnsi="Courier New" w:cs="Courier New" w:hint="default"/>
      </w:rPr>
    </w:lvl>
    <w:lvl w:ilvl="2" w:tplc="0C090005" w:tentative="1">
      <w:start w:val="1"/>
      <w:numFmt w:val="bullet"/>
      <w:lvlText w:val=""/>
      <w:lvlJc w:val="left"/>
      <w:pPr>
        <w:ind w:left="3401" w:hanging="360"/>
      </w:pPr>
      <w:rPr>
        <w:rFonts w:ascii="Wingdings" w:hAnsi="Wingdings" w:hint="default"/>
      </w:rPr>
    </w:lvl>
    <w:lvl w:ilvl="3" w:tplc="0C090001" w:tentative="1">
      <w:start w:val="1"/>
      <w:numFmt w:val="bullet"/>
      <w:lvlText w:val=""/>
      <w:lvlJc w:val="left"/>
      <w:pPr>
        <w:ind w:left="4121" w:hanging="360"/>
      </w:pPr>
      <w:rPr>
        <w:rFonts w:ascii="Symbol" w:hAnsi="Symbol" w:hint="default"/>
      </w:rPr>
    </w:lvl>
    <w:lvl w:ilvl="4" w:tplc="0C090003" w:tentative="1">
      <w:start w:val="1"/>
      <w:numFmt w:val="bullet"/>
      <w:lvlText w:val="o"/>
      <w:lvlJc w:val="left"/>
      <w:pPr>
        <w:ind w:left="4841" w:hanging="360"/>
      </w:pPr>
      <w:rPr>
        <w:rFonts w:ascii="Courier New" w:hAnsi="Courier New" w:cs="Courier New" w:hint="default"/>
      </w:rPr>
    </w:lvl>
    <w:lvl w:ilvl="5" w:tplc="0C090005" w:tentative="1">
      <w:start w:val="1"/>
      <w:numFmt w:val="bullet"/>
      <w:lvlText w:val=""/>
      <w:lvlJc w:val="left"/>
      <w:pPr>
        <w:ind w:left="5561" w:hanging="360"/>
      </w:pPr>
      <w:rPr>
        <w:rFonts w:ascii="Wingdings" w:hAnsi="Wingdings" w:hint="default"/>
      </w:rPr>
    </w:lvl>
    <w:lvl w:ilvl="6" w:tplc="0C090001" w:tentative="1">
      <w:start w:val="1"/>
      <w:numFmt w:val="bullet"/>
      <w:lvlText w:val=""/>
      <w:lvlJc w:val="left"/>
      <w:pPr>
        <w:ind w:left="6281" w:hanging="360"/>
      </w:pPr>
      <w:rPr>
        <w:rFonts w:ascii="Symbol" w:hAnsi="Symbol" w:hint="default"/>
      </w:rPr>
    </w:lvl>
    <w:lvl w:ilvl="7" w:tplc="0C090003" w:tentative="1">
      <w:start w:val="1"/>
      <w:numFmt w:val="bullet"/>
      <w:lvlText w:val="o"/>
      <w:lvlJc w:val="left"/>
      <w:pPr>
        <w:ind w:left="7001" w:hanging="360"/>
      </w:pPr>
      <w:rPr>
        <w:rFonts w:ascii="Courier New" w:hAnsi="Courier New" w:cs="Courier New" w:hint="default"/>
      </w:rPr>
    </w:lvl>
    <w:lvl w:ilvl="8" w:tplc="0C090005" w:tentative="1">
      <w:start w:val="1"/>
      <w:numFmt w:val="bullet"/>
      <w:lvlText w:val=""/>
      <w:lvlJc w:val="left"/>
      <w:pPr>
        <w:ind w:left="7721" w:hanging="360"/>
      </w:pPr>
      <w:rPr>
        <w:rFonts w:ascii="Wingdings" w:hAnsi="Wingdings" w:hint="default"/>
      </w:rPr>
    </w:lvl>
  </w:abstractNum>
  <w:num w:numId="1">
    <w:abstractNumId w:val="21"/>
  </w:num>
  <w:num w:numId="2">
    <w:abstractNumId w:val="20"/>
  </w:num>
  <w:num w:numId="3">
    <w:abstractNumId w:val="3"/>
    <w:lvlOverride w:ilvl="0">
      <w:lvl w:ilvl="0">
        <w:start w:val="1"/>
        <w:numFmt w:val="bullet"/>
        <w:pStyle w:val="QuoteBullet"/>
        <w:lvlText w:val=""/>
        <w:legacy w:legacy="1" w:legacySpace="0" w:legacyIndent="360"/>
        <w:lvlJc w:val="left"/>
        <w:pPr>
          <w:ind w:left="360" w:hanging="360"/>
        </w:pPr>
        <w:rPr>
          <w:rFonts w:ascii="Symbol" w:hAnsi="Symbol" w:hint="default"/>
        </w:rPr>
      </w:lvl>
    </w:lvlOverride>
  </w:num>
  <w:num w:numId="4">
    <w:abstractNumId w:val="5"/>
  </w:num>
  <w:num w:numId="5">
    <w:abstractNumId w:val="13"/>
  </w:num>
  <w:num w:numId="6">
    <w:abstractNumId w:val="18"/>
  </w:num>
  <w:num w:numId="7">
    <w:abstractNumId w:val="17"/>
  </w:num>
  <w:num w:numId="8">
    <w:abstractNumId w:val="10"/>
  </w:num>
  <w:num w:numId="9">
    <w:abstractNumId w:val="1"/>
  </w:num>
  <w:num w:numId="10">
    <w:abstractNumId w:val="19"/>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12"/>
  </w:num>
  <w:num w:numId="14">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24"/>
  </w:num>
  <w:num w:numId="18">
    <w:abstractNumId w:val="0"/>
  </w:num>
  <w:num w:numId="19">
    <w:abstractNumId w:val="4"/>
  </w:num>
  <w:num w:numId="20">
    <w:abstractNumId w:val="15"/>
  </w:num>
  <w:num w:numId="21">
    <w:abstractNumId w:val="14"/>
  </w:num>
  <w:num w:numId="22">
    <w:abstractNumId w:val="16"/>
  </w:num>
  <w:num w:numId="23">
    <w:abstractNumId w:val="2"/>
  </w:num>
  <w:num w:numId="24">
    <w:abstractNumId w:val="8"/>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num>
  <w:num w:numId="27">
    <w:abstractNumId w:val="26"/>
  </w:num>
  <w:num w:numId="28">
    <w:abstractNumId w:val="6"/>
  </w:num>
  <w:num w:numId="29">
    <w:abstractNumId w:val="23"/>
  </w:num>
  <w:num w:numId="30">
    <w:abstractNumId w:val="25"/>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num>
  <w:num w:numId="33">
    <w:abstractNumId w:val="22"/>
    <w:lvlOverride w:ilvl="0">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en-GB" w:vendorID="64" w:dllVersion="131078" w:nlCheck="1" w:checkStyle="0"/>
  <w:activeWritingStyle w:appName="MSWord" w:lang="en-AU" w:vendorID="64" w:dllVersion="131078" w:nlCheck="1" w:checkStyle="0"/>
  <w:activeWritingStyle w:appName="MSWord" w:lang="en-US" w:vendorID="64" w:dllVersion="131078" w:nlCheck="1" w:checkStyle="0"/>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ocumentProtection w:formatting="1" w:enforcement="0"/>
  <w:styleLockTheme/>
  <w:defaultTabStop w:val="720"/>
  <w:evenAndOddHeaders/>
  <w:drawingGridHorizontalSpacing w:val="110"/>
  <w:displayHorizontalDrawingGridEvery w:val="2"/>
  <w:characterSpacingControl w:val="doNotCompress"/>
  <w:hdrShapeDefaults>
    <o:shapedefaults v:ext="edit" spidmax="2133" fillcolor="none [3200]" strokecolor="none [3212]">
      <v:fill color="none [3200]"/>
      <v:stroke color="none [3212]" weight="0"/>
      <v:shadow type="perspective" color="none [1601]" opacity=".5" offset="1pt" offset2="-1pt"/>
      <o:colormru v:ext="edit" colors="black"/>
    </o:shapedefaults>
    <o:shapelayout v:ext="edit">
      <o:idmap v:ext="edit" data="2"/>
    </o:shapelayout>
  </w:hdrShapeDefaults>
  <w:footnotePr>
    <w:footnote w:id="-1"/>
    <w:footnote w:id="0"/>
    <w:footnote w:id="1"/>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0&lt;/ScanUnformatted&gt;&lt;ScanChanges&gt;1&lt;/ScanChanges&gt;&lt;Suspended&gt;0&lt;/Suspended&gt;&lt;/ENInstantFormat&gt;"/>
    <w:docVar w:name="EN.Layout" w:val="&lt;ENLayout&gt;&lt;Style&gt;ICRC&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5xwt9zxa6r5fesevwr5xzp97r95ev9wx9zpw&quot;&gt;ICRC Endnote Library&lt;record-ids&gt;&lt;item&gt;84&lt;/item&gt;&lt;item&gt;195&lt;/item&gt;&lt;item&gt;196&lt;/item&gt;&lt;item&gt;201&lt;/item&gt;&lt;item&gt;210&lt;/item&gt;&lt;item&gt;448&lt;/item&gt;&lt;item&gt;456&lt;/item&gt;&lt;item&gt;457&lt;/item&gt;&lt;item&gt;519&lt;/item&gt;&lt;item&gt;528&lt;/item&gt;&lt;item&gt;565&lt;/item&gt;&lt;item&gt;566&lt;/item&gt;&lt;item&gt;584&lt;/item&gt;&lt;item&gt;594&lt;/item&gt;&lt;item&gt;608&lt;/item&gt;&lt;item&gt;610&lt;/item&gt;&lt;item&gt;615&lt;/item&gt;&lt;item&gt;630&lt;/item&gt;&lt;item&gt;643&lt;/item&gt;&lt;item&gt;663&lt;/item&gt;&lt;item&gt;681&lt;/item&gt;&lt;item&gt;697&lt;/item&gt;&lt;item&gt;727&lt;/item&gt;&lt;item&gt;728&lt;/item&gt;&lt;item&gt;730&lt;/item&gt;&lt;item&gt;731&lt;/item&gt;&lt;item&gt;733&lt;/item&gt;&lt;item&gt;736&lt;/item&gt;&lt;item&gt;737&lt;/item&gt;&lt;item&gt;738&lt;/item&gt;&lt;item&gt;739&lt;/item&gt;&lt;item&gt;740&lt;/item&gt;&lt;item&gt;741&lt;/item&gt;&lt;item&gt;742&lt;/item&gt;&lt;item&gt;744&lt;/item&gt;&lt;item&gt;745&lt;/item&gt;&lt;item&gt;746&lt;/item&gt;&lt;item&gt;748&lt;/item&gt;&lt;item&gt;749&lt;/item&gt;&lt;item&gt;751&lt;/item&gt;&lt;/record-ids&gt;&lt;/item&gt;&lt;/Libraries&gt;"/>
  </w:docVars>
  <w:rsids>
    <w:rsidRoot w:val="005123B8"/>
    <w:rsid w:val="0000003A"/>
    <w:rsid w:val="0000005F"/>
    <w:rsid w:val="00000086"/>
    <w:rsid w:val="0000019A"/>
    <w:rsid w:val="0000019F"/>
    <w:rsid w:val="00000594"/>
    <w:rsid w:val="00000646"/>
    <w:rsid w:val="00000798"/>
    <w:rsid w:val="000008FF"/>
    <w:rsid w:val="0000091B"/>
    <w:rsid w:val="0000092A"/>
    <w:rsid w:val="00000B8D"/>
    <w:rsid w:val="00000C99"/>
    <w:rsid w:val="00000CB8"/>
    <w:rsid w:val="00000CF1"/>
    <w:rsid w:val="00000D05"/>
    <w:rsid w:val="00000E58"/>
    <w:rsid w:val="00000EEE"/>
    <w:rsid w:val="000010D0"/>
    <w:rsid w:val="00001196"/>
    <w:rsid w:val="00001248"/>
    <w:rsid w:val="000014DB"/>
    <w:rsid w:val="00001571"/>
    <w:rsid w:val="0000165D"/>
    <w:rsid w:val="00001706"/>
    <w:rsid w:val="00001719"/>
    <w:rsid w:val="00001961"/>
    <w:rsid w:val="000019D0"/>
    <w:rsid w:val="00001A64"/>
    <w:rsid w:val="00001B4C"/>
    <w:rsid w:val="00001B56"/>
    <w:rsid w:val="00001C65"/>
    <w:rsid w:val="00001DC3"/>
    <w:rsid w:val="00001E01"/>
    <w:rsid w:val="00001FB0"/>
    <w:rsid w:val="0000210F"/>
    <w:rsid w:val="00002137"/>
    <w:rsid w:val="0000220C"/>
    <w:rsid w:val="00002215"/>
    <w:rsid w:val="000023D0"/>
    <w:rsid w:val="0000240B"/>
    <w:rsid w:val="000025E5"/>
    <w:rsid w:val="0000266D"/>
    <w:rsid w:val="00002767"/>
    <w:rsid w:val="000028E1"/>
    <w:rsid w:val="00002A16"/>
    <w:rsid w:val="00002C07"/>
    <w:rsid w:val="00002CE1"/>
    <w:rsid w:val="00002F3E"/>
    <w:rsid w:val="00002F3F"/>
    <w:rsid w:val="000032D2"/>
    <w:rsid w:val="00003375"/>
    <w:rsid w:val="00003449"/>
    <w:rsid w:val="0000385D"/>
    <w:rsid w:val="000039C7"/>
    <w:rsid w:val="00003A4B"/>
    <w:rsid w:val="00003AA7"/>
    <w:rsid w:val="00003AD0"/>
    <w:rsid w:val="00003C22"/>
    <w:rsid w:val="00003C3C"/>
    <w:rsid w:val="00003C6F"/>
    <w:rsid w:val="00003DDD"/>
    <w:rsid w:val="00003E12"/>
    <w:rsid w:val="000040B5"/>
    <w:rsid w:val="000040CD"/>
    <w:rsid w:val="00004112"/>
    <w:rsid w:val="000042B1"/>
    <w:rsid w:val="00004331"/>
    <w:rsid w:val="00004345"/>
    <w:rsid w:val="00004492"/>
    <w:rsid w:val="000044F9"/>
    <w:rsid w:val="0000455F"/>
    <w:rsid w:val="000045D1"/>
    <w:rsid w:val="0000462F"/>
    <w:rsid w:val="0000471C"/>
    <w:rsid w:val="00004B0B"/>
    <w:rsid w:val="00004B79"/>
    <w:rsid w:val="00004B81"/>
    <w:rsid w:val="00004E3A"/>
    <w:rsid w:val="00004F11"/>
    <w:rsid w:val="00004F1F"/>
    <w:rsid w:val="000050AA"/>
    <w:rsid w:val="00005116"/>
    <w:rsid w:val="00005127"/>
    <w:rsid w:val="000052D0"/>
    <w:rsid w:val="0000542D"/>
    <w:rsid w:val="00005554"/>
    <w:rsid w:val="0000567C"/>
    <w:rsid w:val="000056B2"/>
    <w:rsid w:val="000057D1"/>
    <w:rsid w:val="0000599C"/>
    <w:rsid w:val="00005AEE"/>
    <w:rsid w:val="00005B3E"/>
    <w:rsid w:val="00005B70"/>
    <w:rsid w:val="00005B7D"/>
    <w:rsid w:val="00005BA2"/>
    <w:rsid w:val="00005D62"/>
    <w:rsid w:val="00005E98"/>
    <w:rsid w:val="00006000"/>
    <w:rsid w:val="000061FA"/>
    <w:rsid w:val="00006420"/>
    <w:rsid w:val="000064A9"/>
    <w:rsid w:val="00006732"/>
    <w:rsid w:val="00006859"/>
    <w:rsid w:val="0000695B"/>
    <w:rsid w:val="00006A2C"/>
    <w:rsid w:val="00006A62"/>
    <w:rsid w:val="00006C61"/>
    <w:rsid w:val="00006D70"/>
    <w:rsid w:val="00006EA7"/>
    <w:rsid w:val="00007041"/>
    <w:rsid w:val="000070C2"/>
    <w:rsid w:val="0000726C"/>
    <w:rsid w:val="0000729B"/>
    <w:rsid w:val="0000732B"/>
    <w:rsid w:val="000074E3"/>
    <w:rsid w:val="00007844"/>
    <w:rsid w:val="00007880"/>
    <w:rsid w:val="00007BEA"/>
    <w:rsid w:val="00007FB5"/>
    <w:rsid w:val="00010075"/>
    <w:rsid w:val="00010436"/>
    <w:rsid w:val="00010458"/>
    <w:rsid w:val="000106D8"/>
    <w:rsid w:val="00010857"/>
    <w:rsid w:val="00010A8E"/>
    <w:rsid w:val="00010AD0"/>
    <w:rsid w:val="00010B28"/>
    <w:rsid w:val="00011266"/>
    <w:rsid w:val="000112FF"/>
    <w:rsid w:val="000113AB"/>
    <w:rsid w:val="00011457"/>
    <w:rsid w:val="00011515"/>
    <w:rsid w:val="00011611"/>
    <w:rsid w:val="00011667"/>
    <w:rsid w:val="000116EA"/>
    <w:rsid w:val="00011722"/>
    <w:rsid w:val="00011954"/>
    <w:rsid w:val="00011A94"/>
    <w:rsid w:val="00011B91"/>
    <w:rsid w:val="00011BB5"/>
    <w:rsid w:val="00011DFB"/>
    <w:rsid w:val="00011E35"/>
    <w:rsid w:val="00012182"/>
    <w:rsid w:val="000125D0"/>
    <w:rsid w:val="000125E5"/>
    <w:rsid w:val="00012870"/>
    <w:rsid w:val="00012AAB"/>
    <w:rsid w:val="00012AEE"/>
    <w:rsid w:val="00012CC1"/>
    <w:rsid w:val="00012D17"/>
    <w:rsid w:val="00012DF0"/>
    <w:rsid w:val="00012E87"/>
    <w:rsid w:val="00012EDE"/>
    <w:rsid w:val="00012F28"/>
    <w:rsid w:val="00012F43"/>
    <w:rsid w:val="00012F88"/>
    <w:rsid w:val="000130ED"/>
    <w:rsid w:val="0001321D"/>
    <w:rsid w:val="00013477"/>
    <w:rsid w:val="00013767"/>
    <w:rsid w:val="000138D4"/>
    <w:rsid w:val="0001391F"/>
    <w:rsid w:val="00013B51"/>
    <w:rsid w:val="00013BA5"/>
    <w:rsid w:val="00013CC4"/>
    <w:rsid w:val="00013DB4"/>
    <w:rsid w:val="00013E0E"/>
    <w:rsid w:val="00013EBE"/>
    <w:rsid w:val="00013F00"/>
    <w:rsid w:val="00014150"/>
    <w:rsid w:val="000141CA"/>
    <w:rsid w:val="0001440E"/>
    <w:rsid w:val="00014453"/>
    <w:rsid w:val="00014476"/>
    <w:rsid w:val="00014665"/>
    <w:rsid w:val="00014771"/>
    <w:rsid w:val="00014B1C"/>
    <w:rsid w:val="00014D13"/>
    <w:rsid w:val="000151F3"/>
    <w:rsid w:val="0001532C"/>
    <w:rsid w:val="00015481"/>
    <w:rsid w:val="0001551E"/>
    <w:rsid w:val="000155B6"/>
    <w:rsid w:val="000155EA"/>
    <w:rsid w:val="0001566A"/>
    <w:rsid w:val="000158FC"/>
    <w:rsid w:val="00015A5F"/>
    <w:rsid w:val="00015D63"/>
    <w:rsid w:val="00015EBD"/>
    <w:rsid w:val="0001603E"/>
    <w:rsid w:val="0001604F"/>
    <w:rsid w:val="00016146"/>
    <w:rsid w:val="00016295"/>
    <w:rsid w:val="0001644E"/>
    <w:rsid w:val="0001660A"/>
    <w:rsid w:val="00016818"/>
    <w:rsid w:val="00016A55"/>
    <w:rsid w:val="00016A76"/>
    <w:rsid w:val="00016AF3"/>
    <w:rsid w:val="00016F25"/>
    <w:rsid w:val="00016FB1"/>
    <w:rsid w:val="0001740E"/>
    <w:rsid w:val="00017419"/>
    <w:rsid w:val="0001742D"/>
    <w:rsid w:val="000174D7"/>
    <w:rsid w:val="0001776B"/>
    <w:rsid w:val="00017813"/>
    <w:rsid w:val="00017944"/>
    <w:rsid w:val="00017C31"/>
    <w:rsid w:val="00017CA8"/>
    <w:rsid w:val="00017EA3"/>
    <w:rsid w:val="00017F87"/>
    <w:rsid w:val="000201AB"/>
    <w:rsid w:val="0002044A"/>
    <w:rsid w:val="00020545"/>
    <w:rsid w:val="00020689"/>
    <w:rsid w:val="000206F9"/>
    <w:rsid w:val="00020D0B"/>
    <w:rsid w:val="00020E71"/>
    <w:rsid w:val="00020F0D"/>
    <w:rsid w:val="00020FF9"/>
    <w:rsid w:val="000210DB"/>
    <w:rsid w:val="000210E3"/>
    <w:rsid w:val="00021228"/>
    <w:rsid w:val="00021229"/>
    <w:rsid w:val="000212A6"/>
    <w:rsid w:val="0002137B"/>
    <w:rsid w:val="000214AA"/>
    <w:rsid w:val="00021596"/>
    <w:rsid w:val="00021984"/>
    <w:rsid w:val="00021CB1"/>
    <w:rsid w:val="00022038"/>
    <w:rsid w:val="000221DF"/>
    <w:rsid w:val="00022261"/>
    <w:rsid w:val="0002235D"/>
    <w:rsid w:val="00022533"/>
    <w:rsid w:val="00022567"/>
    <w:rsid w:val="00022594"/>
    <w:rsid w:val="0002265E"/>
    <w:rsid w:val="0002271B"/>
    <w:rsid w:val="0002280B"/>
    <w:rsid w:val="0002290B"/>
    <w:rsid w:val="00022960"/>
    <w:rsid w:val="000229DE"/>
    <w:rsid w:val="000229E6"/>
    <w:rsid w:val="00022CFE"/>
    <w:rsid w:val="00022D23"/>
    <w:rsid w:val="00022DBD"/>
    <w:rsid w:val="00023211"/>
    <w:rsid w:val="00023244"/>
    <w:rsid w:val="0002326B"/>
    <w:rsid w:val="000232DD"/>
    <w:rsid w:val="000232FB"/>
    <w:rsid w:val="00023361"/>
    <w:rsid w:val="0002347A"/>
    <w:rsid w:val="000234C6"/>
    <w:rsid w:val="0002351B"/>
    <w:rsid w:val="000235DB"/>
    <w:rsid w:val="000236CD"/>
    <w:rsid w:val="00023AC7"/>
    <w:rsid w:val="00023D8C"/>
    <w:rsid w:val="00023EDB"/>
    <w:rsid w:val="000240B7"/>
    <w:rsid w:val="000240C2"/>
    <w:rsid w:val="0002438D"/>
    <w:rsid w:val="00024454"/>
    <w:rsid w:val="00024566"/>
    <w:rsid w:val="0002459B"/>
    <w:rsid w:val="00024A76"/>
    <w:rsid w:val="00024B1B"/>
    <w:rsid w:val="00024B97"/>
    <w:rsid w:val="00024C2B"/>
    <w:rsid w:val="00024CED"/>
    <w:rsid w:val="00024F42"/>
    <w:rsid w:val="0002512A"/>
    <w:rsid w:val="000253E1"/>
    <w:rsid w:val="00025534"/>
    <w:rsid w:val="00025809"/>
    <w:rsid w:val="000258A3"/>
    <w:rsid w:val="00025B1F"/>
    <w:rsid w:val="00025B34"/>
    <w:rsid w:val="00025F2C"/>
    <w:rsid w:val="0002603C"/>
    <w:rsid w:val="00026318"/>
    <w:rsid w:val="00026426"/>
    <w:rsid w:val="0002648B"/>
    <w:rsid w:val="000264A8"/>
    <w:rsid w:val="000264FD"/>
    <w:rsid w:val="0002673A"/>
    <w:rsid w:val="000267A9"/>
    <w:rsid w:val="00026BC5"/>
    <w:rsid w:val="00026FE8"/>
    <w:rsid w:val="000270F3"/>
    <w:rsid w:val="000271A9"/>
    <w:rsid w:val="000271FD"/>
    <w:rsid w:val="000273BF"/>
    <w:rsid w:val="0002746A"/>
    <w:rsid w:val="000274CD"/>
    <w:rsid w:val="00027532"/>
    <w:rsid w:val="00027784"/>
    <w:rsid w:val="00027A14"/>
    <w:rsid w:val="00027C8D"/>
    <w:rsid w:val="00027DFB"/>
    <w:rsid w:val="00027F53"/>
    <w:rsid w:val="00030114"/>
    <w:rsid w:val="000302BE"/>
    <w:rsid w:val="00030428"/>
    <w:rsid w:val="00030474"/>
    <w:rsid w:val="0003052F"/>
    <w:rsid w:val="00030590"/>
    <w:rsid w:val="0003062E"/>
    <w:rsid w:val="000307A1"/>
    <w:rsid w:val="00030A9B"/>
    <w:rsid w:val="00030BAA"/>
    <w:rsid w:val="00030D9D"/>
    <w:rsid w:val="00030F2C"/>
    <w:rsid w:val="00030F4B"/>
    <w:rsid w:val="000312E4"/>
    <w:rsid w:val="000313D6"/>
    <w:rsid w:val="000314DD"/>
    <w:rsid w:val="00031730"/>
    <w:rsid w:val="000318F8"/>
    <w:rsid w:val="00031BCC"/>
    <w:rsid w:val="00031D64"/>
    <w:rsid w:val="00031E16"/>
    <w:rsid w:val="00031ECB"/>
    <w:rsid w:val="00032001"/>
    <w:rsid w:val="000320B2"/>
    <w:rsid w:val="000323F1"/>
    <w:rsid w:val="00032439"/>
    <w:rsid w:val="0003262B"/>
    <w:rsid w:val="0003276A"/>
    <w:rsid w:val="000328D8"/>
    <w:rsid w:val="00032AA1"/>
    <w:rsid w:val="00032CED"/>
    <w:rsid w:val="00032DDF"/>
    <w:rsid w:val="00032E4A"/>
    <w:rsid w:val="00032E68"/>
    <w:rsid w:val="00032FB5"/>
    <w:rsid w:val="00033398"/>
    <w:rsid w:val="00033592"/>
    <w:rsid w:val="0003377C"/>
    <w:rsid w:val="000337FD"/>
    <w:rsid w:val="0003386F"/>
    <w:rsid w:val="000339C1"/>
    <w:rsid w:val="000339CA"/>
    <w:rsid w:val="00033C37"/>
    <w:rsid w:val="00033E03"/>
    <w:rsid w:val="000341B1"/>
    <w:rsid w:val="0003426C"/>
    <w:rsid w:val="000343CB"/>
    <w:rsid w:val="000344C0"/>
    <w:rsid w:val="0003463D"/>
    <w:rsid w:val="00034649"/>
    <w:rsid w:val="000346B8"/>
    <w:rsid w:val="00034728"/>
    <w:rsid w:val="00034876"/>
    <w:rsid w:val="000348BC"/>
    <w:rsid w:val="00034CF7"/>
    <w:rsid w:val="00034E32"/>
    <w:rsid w:val="00034E5E"/>
    <w:rsid w:val="00034FC4"/>
    <w:rsid w:val="000350BB"/>
    <w:rsid w:val="00035499"/>
    <w:rsid w:val="0003560C"/>
    <w:rsid w:val="00035670"/>
    <w:rsid w:val="00035A44"/>
    <w:rsid w:val="00035A97"/>
    <w:rsid w:val="00035A9E"/>
    <w:rsid w:val="00035C19"/>
    <w:rsid w:val="00035C38"/>
    <w:rsid w:val="00035CE5"/>
    <w:rsid w:val="00035FB2"/>
    <w:rsid w:val="0003608F"/>
    <w:rsid w:val="000360DB"/>
    <w:rsid w:val="00036289"/>
    <w:rsid w:val="000368C5"/>
    <w:rsid w:val="00036920"/>
    <w:rsid w:val="00036988"/>
    <w:rsid w:val="000369E5"/>
    <w:rsid w:val="00036CB6"/>
    <w:rsid w:val="0003706E"/>
    <w:rsid w:val="000372BB"/>
    <w:rsid w:val="000372FE"/>
    <w:rsid w:val="000373B0"/>
    <w:rsid w:val="0003745D"/>
    <w:rsid w:val="000374B1"/>
    <w:rsid w:val="0003760E"/>
    <w:rsid w:val="00037624"/>
    <w:rsid w:val="00037640"/>
    <w:rsid w:val="000376F6"/>
    <w:rsid w:val="000377B5"/>
    <w:rsid w:val="000377BF"/>
    <w:rsid w:val="000377E3"/>
    <w:rsid w:val="00037820"/>
    <w:rsid w:val="000378E3"/>
    <w:rsid w:val="0003799E"/>
    <w:rsid w:val="00037D3C"/>
    <w:rsid w:val="00037D50"/>
    <w:rsid w:val="00037E18"/>
    <w:rsid w:val="00037E55"/>
    <w:rsid w:val="00037E8B"/>
    <w:rsid w:val="00037EB4"/>
    <w:rsid w:val="00037FB0"/>
    <w:rsid w:val="00040071"/>
    <w:rsid w:val="00040097"/>
    <w:rsid w:val="0004055B"/>
    <w:rsid w:val="00040609"/>
    <w:rsid w:val="00040852"/>
    <w:rsid w:val="000408DB"/>
    <w:rsid w:val="00040925"/>
    <w:rsid w:val="00040C1F"/>
    <w:rsid w:val="00040DC1"/>
    <w:rsid w:val="00040E42"/>
    <w:rsid w:val="0004104A"/>
    <w:rsid w:val="00041065"/>
    <w:rsid w:val="00041261"/>
    <w:rsid w:val="000412E8"/>
    <w:rsid w:val="00041660"/>
    <w:rsid w:val="000418F1"/>
    <w:rsid w:val="00041988"/>
    <w:rsid w:val="00041A2B"/>
    <w:rsid w:val="00041B48"/>
    <w:rsid w:val="00041E43"/>
    <w:rsid w:val="00041ED4"/>
    <w:rsid w:val="00042121"/>
    <w:rsid w:val="000421E6"/>
    <w:rsid w:val="000422FB"/>
    <w:rsid w:val="000423E2"/>
    <w:rsid w:val="00042495"/>
    <w:rsid w:val="0004260D"/>
    <w:rsid w:val="0004260E"/>
    <w:rsid w:val="00042859"/>
    <w:rsid w:val="00042896"/>
    <w:rsid w:val="000428A8"/>
    <w:rsid w:val="000428F0"/>
    <w:rsid w:val="00042ACE"/>
    <w:rsid w:val="00042D97"/>
    <w:rsid w:val="00042FA7"/>
    <w:rsid w:val="000430DF"/>
    <w:rsid w:val="00043249"/>
    <w:rsid w:val="00043276"/>
    <w:rsid w:val="00043481"/>
    <w:rsid w:val="000435B7"/>
    <w:rsid w:val="00043897"/>
    <w:rsid w:val="00043929"/>
    <w:rsid w:val="00043AC6"/>
    <w:rsid w:val="00043BA3"/>
    <w:rsid w:val="00043BCD"/>
    <w:rsid w:val="00043D38"/>
    <w:rsid w:val="00044333"/>
    <w:rsid w:val="0004440A"/>
    <w:rsid w:val="00044476"/>
    <w:rsid w:val="0004450B"/>
    <w:rsid w:val="000449A5"/>
    <w:rsid w:val="00044DD2"/>
    <w:rsid w:val="00044F7D"/>
    <w:rsid w:val="00045002"/>
    <w:rsid w:val="00045065"/>
    <w:rsid w:val="000450AE"/>
    <w:rsid w:val="000451B3"/>
    <w:rsid w:val="00045325"/>
    <w:rsid w:val="0004554D"/>
    <w:rsid w:val="00045718"/>
    <w:rsid w:val="000457F4"/>
    <w:rsid w:val="00045809"/>
    <w:rsid w:val="00045924"/>
    <w:rsid w:val="00045942"/>
    <w:rsid w:val="0004598C"/>
    <w:rsid w:val="00045D9E"/>
    <w:rsid w:val="00045E9B"/>
    <w:rsid w:val="00045F1E"/>
    <w:rsid w:val="00045F21"/>
    <w:rsid w:val="000464FC"/>
    <w:rsid w:val="000465BA"/>
    <w:rsid w:val="000465EC"/>
    <w:rsid w:val="000466E7"/>
    <w:rsid w:val="00046A2E"/>
    <w:rsid w:val="00046B0F"/>
    <w:rsid w:val="00046B64"/>
    <w:rsid w:val="00046C59"/>
    <w:rsid w:val="00046CFC"/>
    <w:rsid w:val="00046E5C"/>
    <w:rsid w:val="00046E6A"/>
    <w:rsid w:val="00046FFE"/>
    <w:rsid w:val="0004707A"/>
    <w:rsid w:val="000473E6"/>
    <w:rsid w:val="00047570"/>
    <w:rsid w:val="00047710"/>
    <w:rsid w:val="0004783F"/>
    <w:rsid w:val="000478B4"/>
    <w:rsid w:val="000479E8"/>
    <w:rsid w:val="00047A02"/>
    <w:rsid w:val="00047A76"/>
    <w:rsid w:val="00047D2C"/>
    <w:rsid w:val="00047F67"/>
    <w:rsid w:val="00050032"/>
    <w:rsid w:val="00050146"/>
    <w:rsid w:val="000501AB"/>
    <w:rsid w:val="000501B8"/>
    <w:rsid w:val="000501F2"/>
    <w:rsid w:val="000504D2"/>
    <w:rsid w:val="000506C5"/>
    <w:rsid w:val="000506E8"/>
    <w:rsid w:val="00050803"/>
    <w:rsid w:val="00050A26"/>
    <w:rsid w:val="00050AFF"/>
    <w:rsid w:val="00050CDE"/>
    <w:rsid w:val="00050F70"/>
    <w:rsid w:val="000510E1"/>
    <w:rsid w:val="0005118B"/>
    <w:rsid w:val="00051325"/>
    <w:rsid w:val="000514CF"/>
    <w:rsid w:val="0005174A"/>
    <w:rsid w:val="00051B01"/>
    <w:rsid w:val="0005211F"/>
    <w:rsid w:val="0005234F"/>
    <w:rsid w:val="00052350"/>
    <w:rsid w:val="00052383"/>
    <w:rsid w:val="00052523"/>
    <w:rsid w:val="00052646"/>
    <w:rsid w:val="000526C9"/>
    <w:rsid w:val="000527F9"/>
    <w:rsid w:val="00052910"/>
    <w:rsid w:val="00052B34"/>
    <w:rsid w:val="00052B9B"/>
    <w:rsid w:val="00052D6E"/>
    <w:rsid w:val="00052E19"/>
    <w:rsid w:val="000530F0"/>
    <w:rsid w:val="0005326C"/>
    <w:rsid w:val="0005329D"/>
    <w:rsid w:val="000532AA"/>
    <w:rsid w:val="00053458"/>
    <w:rsid w:val="0005353E"/>
    <w:rsid w:val="00053694"/>
    <w:rsid w:val="00053733"/>
    <w:rsid w:val="000537D0"/>
    <w:rsid w:val="0005383A"/>
    <w:rsid w:val="000538EC"/>
    <w:rsid w:val="00053A51"/>
    <w:rsid w:val="00053B4C"/>
    <w:rsid w:val="00053CC9"/>
    <w:rsid w:val="00053D5C"/>
    <w:rsid w:val="00053D9F"/>
    <w:rsid w:val="00053E26"/>
    <w:rsid w:val="00053F82"/>
    <w:rsid w:val="00054007"/>
    <w:rsid w:val="0005437B"/>
    <w:rsid w:val="000549A4"/>
    <w:rsid w:val="00054BE2"/>
    <w:rsid w:val="00054C1D"/>
    <w:rsid w:val="00054C38"/>
    <w:rsid w:val="00054D54"/>
    <w:rsid w:val="00054E41"/>
    <w:rsid w:val="00054E6C"/>
    <w:rsid w:val="00054EF0"/>
    <w:rsid w:val="00054F1A"/>
    <w:rsid w:val="00054F5F"/>
    <w:rsid w:val="00054FB4"/>
    <w:rsid w:val="0005510A"/>
    <w:rsid w:val="00055110"/>
    <w:rsid w:val="0005553E"/>
    <w:rsid w:val="00055DE3"/>
    <w:rsid w:val="00055E25"/>
    <w:rsid w:val="0005609F"/>
    <w:rsid w:val="00056526"/>
    <w:rsid w:val="0005672C"/>
    <w:rsid w:val="0005682F"/>
    <w:rsid w:val="00056A97"/>
    <w:rsid w:val="00056C65"/>
    <w:rsid w:val="00056D90"/>
    <w:rsid w:val="00056FF5"/>
    <w:rsid w:val="0005708E"/>
    <w:rsid w:val="0005714B"/>
    <w:rsid w:val="0005714C"/>
    <w:rsid w:val="000571A7"/>
    <w:rsid w:val="000575D4"/>
    <w:rsid w:val="00057644"/>
    <w:rsid w:val="000576DE"/>
    <w:rsid w:val="00057FCF"/>
    <w:rsid w:val="0006029A"/>
    <w:rsid w:val="00060305"/>
    <w:rsid w:val="0006051B"/>
    <w:rsid w:val="000605E7"/>
    <w:rsid w:val="000608A0"/>
    <w:rsid w:val="000608F8"/>
    <w:rsid w:val="00060A00"/>
    <w:rsid w:val="00060A67"/>
    <w:rsid w:val="00060AAB"/>
    <w:rsid w:val="00060B08"/>
    <w:rsid w:val="00060D25"/>
    <w:rsid w:val="00060F70"/>
    <w:rsid w:val="00061066"/>
    <w:rsid w:val="0006109E"/>
    <w:rsid w:val="0006118A"/>
    <w:rsid w:val="0006133B"/>
    <w:rsid w:val="000613A8"/>
    <w:rsid w:val="00061542"/>
    <w:rsid w:val="00061566"/>
    <w:rsid w:val="000615C7"/>
    <w:rsid w:val="00061817"/>
    <w:rsid w:val="000618E9"/>
    <w:rsid w:val="00061A43"/>
    <w:rsid w:val="00061B28"/>
    <w:rsid w:val="00061B34"/>
    <w:rsid w:val="00061B7F"/>
    <w:rsid w:val="00061B83"/>
    <w:rsid w:val="00061C62"/>
    <w:rsid w:val="00061C88"/>
    <w:rsid w:val="00061D30"/>
    <w:rsid w:val="00061E47"/>
    <w:rsid w:val="00062241"/>
    <w:rsid w:val="0006229D"/>
    <w:rsid w:val="000623CC"/>
    <w:rsid w:val="000623ED"/>
    <w:rsid w:val="0006273E"/>
    <w:rsid w:val="000627FD"/>
    <w:rsid w:val="00062A15"/>
    <w:rsid w:val="00062AC5"/>
    <w:rsid w:val="00062B04"/>
    <w:rsid w:val="00062C88"/>
    <w:rsid w:val="00062FAE"/>
    <w:rsid w:val="0006302B"/>
    <w:rsid w:val="0006309C"/>
    <w:rsid w:val="00063108"/>
    <w:rsid w:val="00063283"/>
    <w:rsid w:val="00063330"/>
    <w:rsid w:val="00063627"/>
    <w:rsid w:val="0006376F"/>
    <w:rsid w:val="000638D2"/>
    <w:rsid w:val="0006394A"/>
    <w:rsid w:val="00063A1F"/>
    <w:rsid w:val="00063A81"/>
    <w:rsid w:val="00063D9D"/>
    <w:rsid w:val="00063DD4"/>
    <w:rsid w:val="00063E32"/>
    <w:rsid w:val="00063EA4"/>
    <w:rsid w:val="00063EB5"/>
    <w:rsid w:val="0006421A"/>
    <w:rsid w:val="00064291"/>
    <w:rsid w:val="00064460"/>
    <w:rsid w:val="000644CB"/>
    <w:rsid w:val="0006452C"/>
    <w:rsid w:val="00064678"/>
    <w:rsid w:val="0006477D"/>
    <w:rsid w:val="000648FD"/>
    <w:rsid w:val="00064D43"/>
    <w:rsid w:val="00065183"/>
    <w:rsid w:val="0006522C"/>
    <w:rsid w:val="00065578"/>
    <w:rsid w:val="0006558A"/>
    <w:rsid w:val="00065609"/>
    <w:rsid w:val="00065628"/>
    <w:rsid w:val="00065A86"/>
    <w:rsid w:val="00065CA6"/>
    <w:rsid w:val="00065D08"/>
    <w:rsid w:val="00065D6E"/>
    <w:rsid w:val="00066052"/>
    <w:rsid w:val="0006609B"/>
    <w:rsid w:val="0006630E"/>
    <w:rsid w:val="0006662B"/>
    <w:rsid w:val="00066679"/>
    <w:rsid w:val="000666A2"/>
    <w:rsid w:val="000667D7"/>
    <w:rsid w:val="000668F0"/>
    <w:rsid w:val="0006698E"/>
    <w:rsid w:val="00066C6B"/>
    <w:rsid w:val="00066CEA"/>
    <w:rsid w:val="00066E53"/>
    <w:rsid w:val="00066F06"/>
    <w:rsid w:val="00066F0E"/>
    <w:rsid w:val="00066FB3"/>
    <w:rsid w:val="0006723A"/>
    <w:rsid w:val="00067A3A"/>
    <w:rsid w:val="00067AF0"/>
    <w:rsid w:val="00067C10"/>
    <w:rsid w:val="00067C5F"/>
    <w:rsid w:val="00067CF8"/>
    <w:rsid w:val="00067DD4"/>
    <w:rsid w:val="00067F52"/>
    <w:rsid w:val="0007003E"/>
    <w:rsid w:val="0007017B"/>
    <w:rsid w:val="00070199"/>
    <w:rsid w:val="0007046B"/>
    <w:rsid w:val="00070530"/>
    <w:rsid w:val="0007054E"/>
    <w:rsid w:val="0007055A"/>
    <w:rsid w:val="000705D8"/>
    <w:rsid w:val="00070664"/>
    <w:rsid w:val="00070729"/>
    <w:rsid w:val="0007080F"/>
    <w:rsid w:val="0007087A"/>
    <w:rsid w:val="00070A90"/>
    <w:rsid w:val="00070B08"/>
    <w:rsid w:val="00070E61"/>
    <w:rsid w:val="00071030"/>
    <w:rsid w:val="00071222"/>
    <w:rsid w:val="0007127B"/>
    <w:rsid w:val="0007138E"/>
    <w:rsid w:val="0007142E"/>
    <w:rsid w:val="00071656"/>
    <w:rsid w:val="000716E8"/>
    <w:rsid w:val="0007192C"/>
    <w:rsid w:val="0007194E"/>
    <w:rsid w:val="00071A1D"/>
    <w:rsid w:val="00071A9F"/>
    <w:rsid w:val="00071AC1"/>
    <w:rsid w:val="00071D3A"/>
    <w:rsid w:val="00071E33"/>
    <w:rsid w:val="00071EA3"/>
    <w:rsid w:val="00072029"/>
    <w:rsid w:val="0007209F"/>
    <w:rsid w:val="000721C4"/>
    <w:rsid w:val="00072257"/>
    <w:rsid w:val="00072281"/>
    <w:rsid w:val="000723C6"/>
    <w:rsid w:val="000726A0"/>
    <w:rsid w:val="00072736"/>
    <w:rsid w:val="000728BE"/>
    <w:rsid w:val="00072997"/>
    <w:rsid w:val="00072A8C"/>
    <w:rsid w:val="00072C3A"/>
    <w:rsid w:val="00073593"/>
    <w:rsid w:val="0007370F"/>
    <w:rsid w:val="00073991"/>
    <w:rsid w:val="000739AE"/>
    <w:rsid w:val="000739B0"/>
    <w:rsid w:val="00073A5B"/>
    <w:rsid w:val="00073A6F"/>
    <w:rsid w:val="00073CC2"/>
    <w:rsid w:val="00073D58"/>
    <w:rsid w:val="00073E37"/>
    <w:rsid w:val="00073E45"/>
    <w:rsid w:val="00073F73"/>
    <w:rsid w:val="0007406C"/>
    <w:rsid w:val="000740A5"/>
    <w:rsid w:val="0007426A"/>
    <w:rsid w:val="000743D8"/>
    <w:rsid w:val="00074439"/>
    <w:rsid w:val="00074647"/>
    <w:rsid w:val="00074738"/>
    <w:rsid w:val="00074AB4"/>
    <w:rsid w:val="00074AC4"/>
    <w:rsid w:val="00074B05"/>
    <w:rsid w:val="00074C26"/>
    <w:rsid w:val="00074CA0"/>
    <w:rsid w:val="00074CD8"/>
    <w:rsid w:val="00074E24"/>
    <w:rsid w:val="00074F10"/>
    <w:rsid w:val="0007522A"/>
    <w:rsid w:val="000752C0"/>
    <w:rsid w:val="000754BA"/>
    <w:rsid w:val="000754D9"/>
    <w:rsid w:val="000755E9"/>
    <w:rsid w:val="00075617"/>
    <w:rsid w:val="00075765"/>
    <w:rsid w:val="00075868"/>
    <w:rsid w:val="00075FA9"/>
    <w:rsid w:val="000760C6"/>
    <w:rsid w:val="000761DA"/>
    <w:rsid w:val="0007651A"/>
    <w:rsid w:val="00076556"/>
    <w:rsid w:val="00076638"/>
    <w:rsid w:val="0007686C"/>
    <w:rsid w:val="00076AB6"/>
    <w:rsid w:val="00076C6B"/>
    <w:rsid w:val="00076C7B"/>
    <w:rsid w:val="00076CBA"/>
    <w:rsid w:val="00076D22"/>
    <w:rsid w:val="00076DAA"/>
    <w:rsid w:val="00076F86"/>
    <w:rsid w:val="00076FAB"/>
    <w:rsid w:val="00076FDF"/>
    <w:rsid w:val="000771E8"/>
    <w:rsid w:val="000775F7"/>
    <w:rsid w:val="00077792"/>
    <w:rsid w:val="00077BA3"/>
    <w:rsid w:val="00077DFC"/>
    <w:rsid w:val="00077E77"/>
    <w:rsid w:val="00077F0A"/>
    <w:rsid w:val="00080161"/>
    <w:rsid w:val="00080197"/>
    <w:rsid w:val="00080284"/>
    <w:rsid w:val="000804C5"/>
    <w:rsid w:val="00080677"/>
    <w:rsid w:val="0008076B"/>
    <w:rsid w:val="00080822"/>
    <w:rsid w:val="0008098F"/>
    <w:rsid w:val="000809BA"/>
    <w:rsid w:val="00080C73"/>
    <w:rsid w:val="00080ECD"/>
    <w:rsid w:val="00080F18"/>
    <w:rsid w:val="00081014"/>
    <w:rsid w:val="00081155"/>
    <w:rsid w:val="00081712"/>
    <w:rsid w:val="00081716"/>
    <w:rsid w:val="0008183F"/>
    <w:rsid w:val="00081D0E"/>
    <w:rsid w:val="00081E66"/>
    <w:rsid w:val="00081EAB"/>
    <w:rsid w:val="00081F46"/>
    <w:rsid w:val="000820D5"/>
    <w:rsid w:val="0008210C"/>
    <w:rsid w:val="00082211"/>
    <w:rsid w:val="000823D4"/>
    <w:rsid w:val="000824F6"/>
    <w:rsid w:val="000825E1"/>
    <w:rsid w:val="00082606"/>
    <w:rsid w:val="000826F9"/>
    <w:rsid w:val="00082895"/>
    <w:rsid w:val="000828CD"/>
    <w:rsid w:val="00082974"/>
    <w:rsid w:val="00082B1A"/>
    <w:rsid w:val="00082D1C"/>
    <w:rsid w:val="00082DD2"/>
    <w:rsid w:val="00082DFE"/>
    <w:rsid w:val="00082F80"/>
    <w:rsid w:val="000830BB"/>
    <w:rsid w:val="0008315B"/>
    <w:rsid w:val="00083224"/>
    <w:rsid w:val="00083268"/>
    <w:rsid w:val="00083390"/>
    <w:rsid w:val="0008339A"/>
    <w:rsid w:val="000835B9"/>
    <w:rsid w:val="000835F4"/>
    <w:rsid w:val="00083659"/>
    <w:rsid w:val="00083ACC"/>
    <w:rsid w:val="00083B10"/>
    <w:rsid w:val="00083B8E"/>
    <w:rsid w:val="00083E72"/>
    <w:rsid w:val="00083F05"/>
    <w:rsid w:val="000840EB"/>
    <w:rsid w:val="00084204"/>
    <w:rsid w:val="00084586"/>
    <w:rsid w:val="00084632"/>
    <w:rsid w:val="000846AB"/>
    <w:rsid w:val="00084703"/>
    <w:rsid w:val="0008472C"/>
    <w:rsid w:val="00084C95"/>
    <w:rsid w:val="00084D5B"/>
    <w:rsid w:val="00084E09"/>
    <w:rsid w:val="00084E43"/>
    <w:rsid w:val="0008501B"/>
    <w:rsid w:val="00085490"/>
    <w:rsid w:val="0008579A"/>
    <w:rsid w:val="000857AF"/>
    <w:rsid w:val="00085860"/>
    <w:rsid w:val="000858D1"/>
    <w:rsid w:val="00085A41"/>
    <w:rsid w:val="00085AB6"/>
    <w:rsid w:val="00085ACC"/>
    <w:rsid w:val="00085E55"/>
    <w:rsid w:val="00085F57"/>
    <w:rsid w:val="00086185"/>
    <w:rsid w:val="000863AD"/>
    <w:rsid w:val="0008673F"/>
    <w:rsid w:val="0008683B"/>
    <w:rsid w:val="000868E4"/>
    <w:rsid w:val="00086934"/>
    <w:rsid w:val="000869DB"/>
    <w:rsid w:val="00087096"/>
    <w:rsid w:val="00087176"/>
    <w:rsid w:val="0008753B"/>
    <w:rsid w:val="000875AD"/>
    <w:rsid w:val="00087679"/>
    <w:rsid w:val="0008773A"/>
    <w:rsid w:val="000878D9"/>
    <w:rsid w:val="00087A6B"/>
    <w:rsid w:val="00087AA5"/>
    <w:rsid w:val="00087ABE"/>
    <w:rsid w:val="00087B9F"/>
    <w:rsid w:val="00087C54"/>
    <w:rsid w:val="00087D65"/>
    <w:rsid w:val="00087F95"/>
    <w:rsid w:val="00087FDB"/>
    <w:rsid w:val="0009007F"/>
    <w:rsid w:val="0009025C"/>
    <w:rsid w:val="0009032A"/>
    <w:rsid w:val="000906E3"/>
    <w:rsid w:val="00090BF3"/>
    <w:rsid w:val="00090D8C"/>
    <w:rsid w:val="00090DA1"/>
    <w:rsid w:val="00090F60"/>
    <w:rsid w:val="000910DB"/>
    <w:rsid w:val="0009116B"/>
    <w:rsid w:val="00091331"/>
    <w:rsid w:val="000914F3"/>
    <w:rsid w:val="00091621"/>
    <w:rsid w:val="000916B1"/>
    <w:rsid w:val="0009197B"/>
    <w:rsid w:val="000919AD"/>
    <w:rsid w:val="00091A04"/>
    <w:rsid w:val="00091A1D"/>
    <w:rsid w:val="00091A4A"/>
    <w:rsid w:val="00091D06"/>
    <w:rsid w:val="00091DF5"/>
    <w:rsid w:val="0009202C"/>
    <w:rsid w:val="00092349"/>
    <w:rsid w:val="000923F0"/>
    <w:rsid w:val="00092694"/>
    <w:rsid w:val="00092756"/>
    <w:rsid w:val="000927E1"/>
    <w:rsid w:val="00092930"/>
    <w:rsid w:val="00092B5C"/>
    <w:rsid w:val="00092C0D"/>
    <w:rsid w:val="00092CC5"/>
    <w:rsid w:val="00092D0D"/>
    <w:rsid w:val="00092D12"/>
    <w:rsid w:val="00092D73"/>
    <w:rsid w:val="00092E37"/>
    <w:rsid w:val="00092E49"/>
    <w:rsid w:val="00093078"/>
    <w:rsid w:val="0009307D"/>
    <w:rsid w:val="0009308C"/>
    <w:rsid w:val="000930DA"/>
    <w:rsid w:val="000931EB"/>
    <w:rsid w:val="00093382"/>
    <w:rsid w:val="000933C9"/>
    <w:rsid w:val="00093550"/>
    <w:rsid w:val="00093985"/>
    <w:rsid w:val="000939A7"/>
    <w:rsid w:val="00093C27"/>
    <w:rsid w:val="00093EDE"/>
    <w:rsid w:val="0009408D"/>
    <w:rsid w:val="000941B8"/>
    <w:rsid w:val="00094280"/>
    <w:rsid w:val="0009441A"/>
    <w:rsid w:val="00094450"/>
    <w:rsid w:val="000945C6"/>
    <w:rsid w:val="00094733"/>
    <w:rsid w:val="0009491A"/>
    <w:rsid w:val="00094AC3"/>
    <w:rsid w:val="00094D5F"/>
    <w:rsid w:val="00094D8E"/>
    <w:rsid w:val="00094EE2"/>
    <w:rsid w:val="00094F74"/>
    <w:rsid w:val="000950C9"/>
    <w:rsid w:val="00095611"/>
    <w:rsid w:val="000958D1"/>
    <w:rsid w:val="0009593B"/>
    <w:rsid w:val="00095A92"/>
    <w:rsid w:val="00095D94"/>
    <w:rsid w:val="00095EC1"/>
    <w:rsid w:val="00095FC6"/>
    <w:rsid w:val="00095FED"/>
    <w:rsid w:val="00096110"/>
    <w:rsid w:val="0009621D"/>
    <w:rsid w:val="000963B8"/>
    <w:rsid w:val="00096430"/>
    <w:rsid w:val="0009677E"/>
    <w:rsid w:val="00096977"/>
    <w:rsid w:val="000969B5"/>
    <w:rsid w:val="00096B95"/>
    <w:rsid w:val="00096BB5"/>
    <w:rsid w:val="00096C0A"/>
    <w:rsid w:val="00096C1B"/>
    <w:rsid w:val="00096CDC"/>
    <w:rsid w:val="00096EE9"/>
    <w:rsid w:val="00096F84"/>
    <w:rsid w:val="00096FC7"/>
    <w:rsid w:val="000970F3"/>
    <w:rsid w:val="000975D0"/>
    <w:rsid w:val="000976F3"/>
    <w:rsid w:val="000976FD"/>
    <w:rsid w:val="00097706"/>
    <w:rsid w:val="0009770D"/>
    <w:rsid w:val="0009777B"/>
    <w:rsid w:val="0009782A"/>
    <w:rsid w:val="000978A4"/>
    <w:rsid w:val="00097B40"/>
    <w:rsid w:val="00097D6D"/>
    <w:rsid w:val="00097FEB"/>
    <w:rsid w:val="000A0093"/>
    <w:rsid w:val="000A013B"/>
    <w:rsid w:val="000A01BD"/>
    <w:rsid w:val="000A01E9"/>
    <w:rsid w:val="000A04E8"/>
    <w:rsid w:val="000A073E"/>
    <w:rsid w:val="000A07CE"/>
    <w:rsid w:val="000A080B"/>
    <w:rsid w:val="000A080C"/>
    <w:rsid w:val="000A098B"/>
    <w:rsid w:val="000A0A38"/>
    <w:rsid w:val="000A0B9C"/>
    <w:rsid w:val="000A0CAD"/>
    <w:rsid w:val="000A0CBD"/>
    <w:rsid w:val="000A0D18"/>
    <w:rsid w:val="000A0EC5"/>
    <w:rsid w:val="000A0F17"/>
    <w:rsid w:val="000A148C"/>
    <w:rsid w:val="000A14EF"/>
    <w:rsid w:val="000A1523"/>
    <w:rsid w:val="000A1951"/>
    <w:rsid w:val="000A1E29"/>
    <w:rsid w:val="000A1F1A"/>
    <w:rsid w:val="000A207C"/>
    <w:rsid w:val="000A209F"/>
    <w:rsid w:val="000A20CA"/>
    <w:rsid w:val="000A20FC"/>
    <w:rsid w:val="000A22BD"/>
    <w:rsid w:val="000A231E"/>
    <w:rsid w:val="000A2525"/>
    <w:rsid w:val="000A25DD"/>
    <w:rsid w:val="000A260E"/>
    <w:rsid w:val="000A26BD"/>
    <w:rsid w:val="000A290D"/>
    <w:rsid w:val="000A29A8"/>
    <w:rsid w:val="000A2A37"/>
    <w:rsid w:val="000A2BC7"/>
    <w:rsid w:val="000A2CEA"/>
    <w:rsid w:val="000A336F"/>
    <w:rsid w:val="000A3738"/>
    <w:rsid w:val="000A39D5"/>
    <w:rsid w:val="000A3C5E"/>
    <w:rsid w:val="000A3D3E"/>
    <w:rsid w:val="000A3F9C"/>
    <w:rsid w:val="000A402F"/>
    <w:rsid w:val="000A4145"/>
    <w:rsid w:val="000A4392"/>
    <w:rsid w:val="000A444E"/>
    <w:rsid w:val="000A480A"/>
    <w:rsid w:val="000A48D1"/>
    <w:rsid w:val="000A495D"/>
    <w:rsid w:val="000A4AC8"/>
    <w:rsid w:val="000A4C61"/>
    <w:rsid w:val="000A4D58"/>
    <w:rsid w:val="000A4F54"/>
    <w:rsid w:val="000A4F89"/>
    <w:rsid w:val="000A514F"/>
    <w:rsid w:val="000A5153"/>
    <w:rsid w:val="000A5313"/>
    <w:rsid w:val="000A5332"/>
    <w:rsid w:val="000A555F"/>
    <w:rsid w:val="000A55C5"/>
    <w:rsid w:val="000A5802"/>
    <w:rsid w:val="000A580C"/>
    <w:rsid w:val="000A596A"/>
    <w:rsid w:val="000A5B8E"/>
    <w:rsid w:val="000A5CE0"/>
    <w:rsid w:val="000A6017"/>
    <w:rsid w:val="000A616F"/>
    <w:rsid w:val="000A64DD"/>
    <w:rsid w:val="000A64E3"/>
    <w:rsid w:val="000A661C"/>
    <w:rsid w:val="000A674B"/>
    <w:rsid w:val="000A679F"/>
    <w:rsid w:val="000A694F"/>
    <w:rsid w:val="000A6990"/>
    <w:rsid w:val="000A6C73"/>
    <w:rsid w:val="000A6E61"/>
    <w:rsid w:val="000A6E89"/>
    <w:rsid w:val="000A7099"/>
    <w:rsid w:val="000A709B"/>
    <w:rsid w:val="000A71A5"/>
    <w:rsid w:val="000A71DF"/>
    <w:rsid w:val="000A7502"/>
    <w:rsid w:val="000A750C"/>
    <w:rsid w:val="000A76D0"/>
    <w:rsid w:val="000A778F"/>
    <w:rsid w:val="000A7837"/>
    <w:rsid w:val="000A787C"/>
    <w:rsid w:val="000A799F"/>
    <w:rsid w:val="000A7AB4"/>
    <w:rsid w:val="000A7ADF"/>
    <w:rsid w:val="000A7B37"/>
    <w:rsid w:val="000A7FEA"/>
    <w:rsid w:val="000B0027"/>
    <w:rsid w:val="000B0064"/>
    <w:rsid w:val="000B02A7"/>
    <w:rsid w:val="000B04F3"/>
    <w:rsid w:val="000B05DB"/>
    <w:rsid w:val="000B07D1"/>
    <w:rsid w:val="000B088A"/>
    <w:rsid w:val="000B08E5"/>
    <w:rsid w:val="000B08F5"/>
    <w:rsid w:val="000B09E4"/>
    <w:rsid w:val="000B0A57"/>
    <w:rsid w:val="000B0B93"/>
    <w:rsid w:val="000B0CF4"/>
    <w:rsid w:val="000B11AA"/>
    <w:rsid w:val="000B1253"/>
    <w:rsid w:val="000B127F"/>
    <w:rsid w:val="000B144B"/>
    <w:rsid w:val="000B158F"/>
    <w:rsid w:val="000B1616"/>
    <w:rsid w:val="000B161D"/>
    <w:rsid w:val="000B179B"/>
    <w:rsid w:val="000B1B5A"/>
    <w:rsid w:val="000B1E1B"/>
    <w:rsid w:val="000B1E48"/>
    <w:rsid w:val="000B2101"/>
    <w:rsid w:val="000B2173"/>
    <w:rsid w:val="000B237D"/>
    <w:rsid w:val="000B23BA"/>
    <w:rsid w:val="000B2402"/>
    <w:rsid w:val="000B261E"/>
    <w:rsid w:val="000B27AE"/>
    <w:rsid w:val="000B27CA"/>
    <w:rsid w:val="000B2913"/>
    <w:rsid w:val="000B2ADF"/>
    <w:rsid w:val="000B2BF1"/>
    <w:rsid w:val="000B2EB9"/>
    <w:rsid w:val="000B2ED4"/>
    <w:rsid w:val="000B31A2"/>
    <w:rsid w:val="000B328C"/>
    <w:rsid w:val="000B36B8"/>
    <w:rsid w:val="000B36C4"/>
    <w:rsid w:val="000B3A75"/>
    <w:rsid w:val="000B3DB8"/>
    <w:rsid w:val="000B3EB4"/>
    <w:rsid w:val="000B4015"/>
    <w:rsid w:val="000B4206"/>
    <w:rsid w:val="000B42A2"/>
    <w:rsid w:val="000B4394"/>
    <w:rsid w:val="000B4613"/>
    <w:rsid w:val="000B46DF"/>
    <w:rsid w:val="000B4AB0"/>
    <w:rsid w:val="000B4B4F"/>
    <w:rsid w:val="000B4B69"/>
    <w:rsid w:val="000B4DB1"/>
    <w:rsid w:val="000B4DF6"/>
    <w:rsid w:val="000B4FA8"/>
    <w:rsid w:val="000B4FC4"/>
    <w:rsid w:val="000B50AE"/>
    <w:rsid w:val="000B515A"/>
    <w:rsid w:val="000B5302"/>
    <w:rsid w:val="000B5332"/>
    <w:rsid w:val="000B57C6"/>
    <w:rsid w:val="000B5995"/>
    <w:rsid w:val="000B5C90"/>
    <w:rsid w:val="000B5E06"/>
    <w:rsid w:val="000B5E61"/>
    <w:rsid w:val="000B5E6B"/>
    <w:rsid w:val="000B5ED4"/>
    <w:rsid w:val="000B6339"/>
    <w:rsid w:val="000B680A"/>
    <w:rsid w:val="000B6826"/>
    <w:rsid w:val="000B68F4"/>
    <w:rsid w:val="000B69A3"/>
    <w:rsid w:val="000B6A70"/>
    <w:rsid w:val="000B6A84"/>
    <w:rsid w:val="000B6AD2"/>
    <w:rsid w:val="000B6B37"/>
    <w:rsid w:val="000B6D30"/>
    <w:rsid w:val="000B7103"/>
    <w:rsid w:val="000B7187"/>
    <w:rsid w:val="000B719B"/>
    <w:rsid w:val="000B73CA"/>
    <w:rsid w:val="000B7429"/>
    <w:rsid w:val="000B74A3"/>
    <w:rsid w:val="000B74FC"/>
    <w:rsid w:val="000B77E2"/>
    <w:rsid w:val="000B791F"/>
    <w:rsid w:val="000B7CA4"/>
    <w:rsid w:val="000B7DA0"/>
    <w:rsid w:val="000B7DB9"/>
    <w:rsid w:val="000B7ED5"/>
    <w:rsid w:val="000B7EE9"/>
    <w:rsid w:val="000C019D"/>
    <w:rsid w:val="000C01B8"/>
    <w:rsid w:val="000C01FB"/>
    <w:rsid w:val="000C0356"/>
    <w:rsid w:val="000C042D"/>
    <w:rsid w:val="000C04B3"/>
    <w:rsid w:val="000C05B0"/>
    <w:rsid w:val="000C0609"/>
    <w:rsid w:val="000C060F"/>
    <w:rsid w:val="000C065C"/>
    <w:rsid w:val="000C068F"/>
    <w:rsid w:val="000C08B4"/>
    <w:rsid w:val="000C08C0"/>
    <w:rsid w:val="000C0902"/>
    <w:rsid w:val="000C0C16"/>
    <w:rsid w:val="000C0C6A"/>
    <w:rsid w:val="000C0DD5"/>
    <w:rsid w:val="000C0EC0"/>
    <w:rsid w:val="000C0FAD"/>
    <w:rsid w:val="000C10FA"/>
    <w:rsid w:val="000C112D"/>
    <w:rsid w:val="000C1148"/>
    <w:rsid w:val="000C11EC"/>
    <w:rsid w:val="000C13A4"/>
    <w:rsid w:val="000C1622"/>
    <w:rsid w:val="000C18AB"/>
    <w:rsid w:val="000C1A0D"/>
    <w:rsid w:val="000C1A77"/>
    <w:rsid w:val="000C1AEF"/>
    <w:rsid w:val="000C1AF8"/>
    <w:rsid w:val="000C1B86"/>
    <w:rsid w:val="000C1D30"/>
    <w:rsid w:val="000C1ED6"/>
    <w:rsid w:val="000C201B"/>
    <w:rsid w:val="000C204B"/>
    <w:rsid w:val="000C2056"/>
    <w:rsid w:val="000C20ED"/>
    <w:rsid w:val="000C2162"/>
    <w:rsid w:val="000C21D1"/>
    <w:rsid w:val="000C2260"/>
    <w:rsid w:val="000C2383"/>
    <w:rsid w:val="000C2504"/>
    <w:rsid w:val="000C2A16"/>
    <w:rsid w:val="000C2AA4"/>
    <w:rsid w:val="000C2B2C"/>
    <w:rsid w:val="000C2CD9"/>
    <w:rsid w:val="000C30A8"/>
    <w:rsid w:val="000C3119"/>
    <w:rsid w:val="000C33DA"/>
    <w:rsid w:val="000C34B8"/>
    <w:rsid w:val="000C3567"/>
    <w:rsid w:val="000C369B"/>
    <w:rsid w:val="000C3848"/>
    <w:rsid w:val="000C3866"/>
    <w:rsid w:val="000C3881"/>
    <w:rsid w:val="000C39C3"/>
    <w:rsid w:val="000C3A1E"/>
    <w:rsid w:val="000C3C51"/>
    <w:rsid w:val="000C3DB1"/>
    <w:rsid w:val="000C4344"/>
    <w:rsid w:val="000C43F2"/>
    <w:rsid w:val="000C4410"/>
    <w:rsid w:val="000C445B"/>
    <w:rsid w:val="000C4516"/>
    <w:rsid w:val="000C477C"/>
    <w:rsid w:val="000C4956"/>
    <w:rsid w:val="000C49DA"/>
    <w:rsid w:val="000C4A8B"/>
    <w:rsid w:val="000C4B3A"/>
    <w:rsid w:val="000C4C86"/>
    <w:rsid w:val="000C560D"/>
    <w:rsid w:val="000C5639"/>
    <w:rsid w:val="000C57DE"/>
    <w:rsid w:val="000C5A3D"/>
    <w:rsid w:val="000C5B56"/>
    <w:rsid w:val="000C5C51"/>
    <w:rsid w:val="000C5C5B"/>
    <w:rsid w:val="000C5CB6"/>
    <w:rsid w:val="000C5D93"/>
    <w:rsid w:val="000C5DB0"/>
    <w:rsid w:val="000C5E97"/>
    <w:rsid w:val="000C606B"/>
    <w:rsid w:val="000C60EB"/>
    <w:rsid w:val="000C60FF"/>
    <w:rsid w:val="000C61AD"/>
    <w:rsid w:val="000C61D8"/>
    <w:rsid w:val="000C63EF"/>
    <w:rsid w:val="000C6436"/>
    <w:rsid w:val="000C65B4"/>
    <w:rsid w:val="000C66FB"/>
    <w:rsid w:val="000C672B"/>
    <w:rsid w:val="000C677C"/>
    <w:rsid w:val="000C6AAB"/>
    <w:rsid w:val="000C6FAB"/>
    <w:rsid w:val="000C724F"/>
    <w:rsid w:val="000C72C0"/>
    <w:rsid w:val="000C73BC"/>
    <w:rsid w:val="000C73C0"/>
    <w:rsid w:val="000C76FD"/>
    <w:rsid w:val="000C7805"/>
    <w:rsid w:val="000C78F8"/>
    <w:rsid w:val="000C7AB0"/>
    <w:rsid w:val="000C7CE2"/>
    <w:rsid w:val="000C7DE3"/>
    <w:rsid w:val="000C7E62"/>
    <w:rsid w:val="000C7EBB"/>
    <w:rsid w:val="000C7EC8"/>
    <w:rsid w:val="000D00F9"/>
    <w:rsid w:val="000D0290"/>
    <w:rsid w:val="000D040E"/>
    <w:rsid w:val="000D044E"/>
    <w:rsid w:val="000D0532"/>
    <w:rsid w:val="000D0604"/>
    <w:rsid w:val="000D061D"/>
    <w:rsid w:val="000D063C"/>
    <w:rsid w:val="000D071D"/>
    <w:rsid w:val="000D0BBA"/>
    <w:rsid w:val="000D0BC4"/>
    <w:rsid w:val="000D0DC6"/>
    <w:rsid w:val="000D0DC9"/>
    <w:rsid w:val="000D0EAC"/>
    <w:rsid w:val="000D0EF2"/>
    <w:rsid w:val="000D0EF7"/>
    <w:rsid w:val="000D10F1"/>
    <w:rsid w:val="000D11C3"/>
    <w:rsid w:val="000D138F"/>
    <w:rsid w:val="000D13F7"/>
    <w:rsid w:val="000D15B6"/>
    <w:rsid w:val="000D1693"/>
    <w:rsid w:val="000D178C"/>
    <w:rsid w:val="000D1843"/>
    <w:rsid w:val="000D1883"/>
    <w:rsid w:val="000D1982"/>
    <w:rsid w:val="000D1A63"/>
    <w:rsid w:val="000D1D2C"/>
    <w:rsid w:val="000D1F51"/>
    <w:rsid w:val="000D2000"/>
    <w:rsid w:val="000D20C2"/>
    <w:rsid w:val="000D2183"/>
    <w:rsid w:val="000D220A"/>
    <w:rsid w:val="000D2261"/>
    <w:rsid w:val="000D286F"/>
    <w:rsid w:val="000D2972"/>
    <w:rsid w:val="000D2B1E"/>
    <w:rsid w:val="000D2B3B"/>
    <w:rsid w:val="000D2C19"/>
    <w:rsid w:val="000D2CFF"/>
    <w:rsid w:val="000D2DA7"/>
    <w:rsid w:val="000D303F"/>
    <w:rsid w:val="000D3084"/>
    <w:rsid w:val="000D3290"/>
    <w:rsid w:val="000D32DE"/>
    <w:rsid w:val="000D32EB"/>
    <w:rsid w:val="000D3430"/>
    <w:rsid w:val="000D3461"/>
    <w:rsid w:val="000D3501"/>
    <w:rsid w:val="000D3593"/>
    <w:rsid w:val="000D365A"/>
    <w:rsid w:val="000D383B"/>
    <w:rsid w:val="000D39B4"/>
    <w:rsid w:val="000D3B00"/>
    <w:rsid w:val="000D3B0A"/>
    <w:rsid w:val="000D3E13"/>
    <w:rsid w:val="000D3EA1"/>
    <w:rsid w:val="000D3F62"/>
    <w:rsid w:val="000D4250"/>
    <w:rsid w:val="000D42EA"/>
    <w:rsid w:val="000D4435"/>
    <w:rsid w:val="000D451E"/>
    <w:rsid w:val="000D46DB"/>
    <w:rsid w:val="000D4892"/>
    <w:rsid w:val="000D48E9"/>
    <w:rsid w:val="000D4958"/>
    <w:rsid w:val="000D4C9D"/>
    <w:rsid w:val="000D4D4C"/>
    <w:rsid w:val="000D4DB9"/>
    <w:rsid w:val="000D4EE5"/>
    <w:rsid w:val="000D4F8A"/>
    <w:rsid w:val="000D51E1"/>
    <w:rsid w:val="000D527F"/>
    <w:rsid w:val="000D532B"/>
    <w:rsid w:val="000D537B"/>
    <w:rsid w:val="000D54E9"/>
    <w:rsid w:val="000D55FE"/>
    <w:rsid w:val="000D56D0"/>
    <w:rsid w:val="000D583B"/>
    <w:rsid w:val="000D598B"/>
    <w:rsid w:val="000D5BAE"/>
    <w:rsid w:val="000D5FEC"/>
    <w:rsid w:val="000D6030"/>
    <w:rsid w:val="000D6082"/>
    <w:rsid w:val="000D60EB"/>
    <w:rsid w:val="000D6161"/>
    <w:rsid w:val="000D61A4"/>
    <w:rsid w:val="000D637A"/>
    <w:rsid w:val="000D63A4"/>
    <w:rsid w:val="000D63CD"/>
    <w:rsid w:val="000D64B6"/>
    <w:rsid w:val="000D6645"/>
    <w:rsid w:val="000D6685"/>
    <w:rsid w:val="000D6782"/>
    <w:rsid w:val="000D68A5"/>
    <w:rsid w:val="000D69EE"/>
    <w:rsid w:val="000D6AF3"/>
    <w:rsid w:val="000D6C5E"/>
    <w:rsid w:val="000D6D2B"/>
    <w:rsid w:val="000D7251"/>
    <w:rsid w:val="000D7374"/>
    <w:rsid w:val="000D739E"/>
    <w:rsid w:val="000D7611"/>
    <w:rsid w:val="000D7901"/>
    <w:rsid w:val="000D7B01"/>
    <w:rsid w:val="000D7B3B"/>
    <w:rsid w:val="000D7DED"/>
    <w:rsid w:val="000D7FBE"/>
    <w:rsid w:val="000E0304"/>
    <w:rsid w:val="000E034E"/>
    <w:rsid w:val="000E03DF"/>
    <w:rsid w:val="000E06AE"/>
    <w:rsid w:val="000E06BB"/>
    <w:rsid w:val="000E0802"/>
    <w:rsid w:val="000E0899"/>
    <w:rsid w:val="000E09A2"/>
    <w:rsid w:val="000E0B8E"/>
    <w:rsid w:val="000E0D09"/>
    <w:rsid w:val="000E0D98"/>
    <w:rsid w:val="000E0DC5"/>
    <w:rsid w:val="000E0F04"/>
    <w:rsid w:val="000E1078"/>
    <w:rsid w:val="000E11E9"/>
    <w:rsid w:val="000E130A"/>
    <w:rsid w:val="000E1471"/>
    <w:rsid w:val="000E14AF"/>
    <w:rsid w:val="000E16F7"/>
    <w:rsid w:val="000E177C"/>
    <w:rsid w:val="000E18C8"/>
    <w:rsid w:val="000E1A8E"/>
    <w:rsid w:val="000E1C02"/>
    <w:rsid w:val="000E1C59"/>
    <w:rsid w:val="000E1CB7"/>
    <w:rsid w:val="000E200A"/>
    <w:rsid w:val="000E203A"/>
    <w:rsid w:val="000E2111"/>
    <w:rsid w:val="000E2134"/>
    <w:rsid w:val="000E2151"/>
    <w:rsid w:val="000E21D4"/>
    <w:rsid w:val="000E22CA"/>
    <w:rsid w:val="000E22D5"/>
    <w:rsid w:val="000E23D7"/>
    <w:rsid w:val="000E267B"/>
    <w:rsid w:val="000E26B9"/>
    <w:rsid w:val="000E2893"/>
    <w:rsid w:val="000E2A5D"/>
    <w:rsid w:val="000E2E75"/>
    <w:rsid w:val="000E2FF3"/>
    <w:rsid w:val="000E30DF"/>
    <w:rsid w:val="000E32C9"/>
    <w:rsid w:val="000E337E"/>
    <w:rsid w:val="000E3412"/>
    <w:rsid w:val="000E355D"/>
    <w:rsid w:val="000E3612"/>
    <w:rsid w:val="000E387B"/>
    <w:rsid w:val="000E38FB"/>
    <w:rsid w:val="000E3A23"/>
    <w:rsid w:val="000E3CAF"/>
    <w:rsid w:val="000E3CF9"/>
    <w:rsid w:val="000E3D27"/>
    <w:rsid w:val="000E3F75"/>
    <w:rsid w:val="000E3FC3"/>
    <w:rsid w:val="000E40BE"/>
    <w:rsid w:val="000E416F"/>
    <w:rsid w:val="000E42A5"/>
    <w:rsid w:val="000E4351"/>
    <w:rsid w:val="000E443C"/>
    <w:rsid w:val="000E453E"/>
    <w:rsid w:val="000E4550"/>
    <w:rsid w:val="000E4554"/>
    <w:rsid w:val="000E45F0"/>
    <w:rsid w:val="000E4697"/>
    <w:rsid w:val="000E4AB8"/>
    <w:rsid w:val="000E4C2D"/>
    <w:rsid w:val="000E4FCB"/>
    <w:rsid w:val="000E501B"/>
    <w:rsid w:val="000E5311"/>
    <w:rsid w:val="000E55C8"/>
    <w:rsid w:val="000E5647"/>
    <w:rsid w:val="000E56AD"/>
    <w:rsid w:val="000E573D"/>
    <w:rsid w:val="000E5819"/>
    <w:rsid w:val="000E5A54"/>
    <w:rsid w:val="000E5B9A"/>
    <w:rsid w:val="000E5C56"/>
    <w:rsid w:val="000E5ED6"/>
    <w:rsid w:val="000E6017"/>
    <w:rsid w:val="000E6530"/>
    <w:rsid w:val="000E661B"/>
    <w:rsid w:val="000E66E6"/>
    <w:rsid w:val="000E67D8"/>
    <w:rsid w:val="000E6852"/>
    <w:rsid w:val="000E6B59"/>
    <w:rsid w:val="000E6E97"/>
    <w:rsid w:val="000E70BD"/>
    <w:rsid w:val="000E70D0"/>
    <w:rsid w:val="000E72C0"/>
    <w:rsid w:val="000E75A0"/>
    <w:rsid w:val="000E76CB"/>
    <w:rsid w:val="000E76D9"/>
    <w:rsid w:val="000E781D"/>
    <w:rsid w:val="000E7BC1"/>
    <w:rsid w:val="000E7C32"/>
    <w:rsid w:val="000E7E43"/>
    <w:rsid w:val="000E7F21"/>
    <w:rsid w:val="000E7F42"/>
    <w:rsid w:val="000E7F71"/>
    <w:rsid w:val="000F0590"/>
    <w:rsid w:val="000F0B02"/>
    <w:rsid w:val="000F0C68"/>
    <w:rsid w:val="000F0CB7"/>
    <w:rsid w:val="000F0D08"/>
    <w:rsid w:val="000F0FA9"/>
    <w:rsid w:val="000F10AC"/>
    <w:rsid w:val="000F1160"/>
    <w:rsid w:val="000F11EC"/>
    <w:rsid w:val="000F13F8"/>
    <w:rsid w:val="000F17AD"/>
    <w:rsid w:val="000F19DF"/>
    <w:rsid w:val="000F1A69"/>
    <w:rsid w:val="000F1BAB"/>
    <w:rsid w:val="000F1CB7"/>
    <w:rsid w:val="000F1D1D"/>
    <w:rsid w:val="000F1DC6"/>
    <w:rsid w:val="000F1F57"/>
    <w:rsid w:val="000F1FA6"/>
    <w:rsid w:val="000F1FF7"/>
    <w:rsid w:val="000F2107"/>
    <w:rsid w:val="000F2271"/>
    <w:rsid w:val="000F2329"/>
    <w:rsid w:val="000F27F2"/>
    <w:rsid w:val="000F297C"/>
    <w:rsid w:val="000F2ABB"/>
    <w:rsid w:val="000F2BBD"/>
    <w:rsid w:val="000F2CCD"/>
    <w:rsid w:val="000F2D4F"/>
    <w:rsid w:val="000F2DBF"/>
    <w:rsid w:val="000F2E31"/>
    <w:rsid w:val="000F2EE3"/>
    <w:rsid w:val="000F2FE7"/>
    <w:rsid w:val="000F316A"/>
    <w:rsid w:val="000F3270"/>
    <w:rsid w:val="000F32B7"/>
    <w:rsid w:val="000F3424"/>
    <w:rsid w:val="000F35B1"/>
    <w:rsid w:val="000F3653"/>
    <w:rsid w:val="000F397E"/>
    <w:rsid w:val="000F3B93"/>
    <w:rsid w:val="000F3BE3"/>
    <w:rsid w:val="000F3D46"/>
    <w:rsid w:val="000F3DE3"/>
    <w:rsid w:val="000F3E2B"/>
    <w:rsid w:val="000F3ED5"/>
    <w:rsid w:val="000F4085"/>
    <w:rsid w:val="000F417D"/>
    <w:rsid w:val="000F4181"/>
    <w:rsid w:val="000F4193"/>
    <w:rsid w:val="000F4213"/>
    <w:rsid w:val="000F42FE"/>
    <w:rsid w:val="000F434E"/>
    <w:rsid w:val="000F43AE"/>
    <w:rsid w:val="000F4515"/>
    <w:rsid w:val="000F4530"/>
    <w:rsid w:val="000F4845"/>
    <w:rsid w:val="000F49B9"/>
    <w:rsid w:val="000F4A80"/>
    <w:rsid w:val="000F4ABB"/>
    <w:rsid w:val="000F4C0A"/>
    <w:rsid w:val="000F4C81"/>
    <w:rsid w:val="000F4CD0"/>
    <w:rsid w:val="000F4DAA"/>
    <w:rsid w:val="000F507F"/>
    <w:rsid w:val="000F51C4"/>
    <w:rsid w:val="000F5232"/>
    <w:rsid w:val="000F53E8"/>
    <w:rsid w:val="000F544D"/>
    <w:rsid w:val="000F5764"/>
    <w:rsid w:val="000F57CB"/>
    <w:rsid w:val="000F5858"/>
    <w:rsid w:val="000F5B3F"/>
    <w:rsid w:val="000F5B95"/>
    <w:rsid w:val="000F5C4C"/>
    <w:rsid w:val="000F5D46"/>
    <w:rsid w:val="000F5DDA"/>
    <w:rsid w:val="000F60A0"/>
    <w:rsid w:val="000F6138"/>
    <w:rsid w:val="000F6161"/>
    <w:rsid w:val="000F61C1"/>
    <w:rsid w:val="000F625F"/>
    <w:rsid w:val="000F6349"/>
    <w:rsid w:val="000F6539"/>
    <w:rsid w:val="000F671D"/>
    <w:rsid w:val="000F6B5F"/>
    <w:rsid w:val="000F6BB3"/>
    <w:rsid w:val="000F6BC3"/>
    <w:rsid w:val="000F6C11"/>
    <w:rsid w:val="000F6D2F"/>
    <w:rsid w:val="000F6F0B"/>
    <w:rsid w:val="000F7212"/>
    <w:rsid w:val="000F74A9"/>
    <w:rsid w:val="000F76CF"/>
    <w:rsid w:val="000F76DA"/>
    <w:rsid w:val="000F79D6"/>
    <w:rsid w:val="000F7D2F"/>
    <w:rsid w:val="000F7F7E"/>
    <w:rsid w:val="0010007A"/>
    <w:rsid w:val="001001F2"/>
    <w:rsid w:val="0010024A"/>
    <w:rsid w:val="001002A3"/>
    <w:rsid w:val="001002DA"/>
    <w:rsid w:val="001003CB"/>
    <w:rsid w:val="0010061F"/>
    <w:rsid w:val="0010062A"/>
    <w:rsid w:val="001006A7"/>
    <w:rsid w:val="001006FD"/>
    <w:rsid w:val="001008C3"/>
    <w:rsid w:val="001008D2"/>
    <w:rsid w:val="00100A79"/>
    <w:rsid w:val="00100B9A"/>
    <w:rsid w:val="00100D42"/>
    <w:rsid w:val="00100DDE"/>
    <w:rsid w:val="00100FD5"/>
    <w:rsid w:val="0010109A"/>
    <w:rsid w:val="0010111A"/>
    <w:rsid w:val="001012E7"/>
    <w:rsid w:val="0010143F"/>
    <w:rsid w:val="00101524"/>
    <w:rsid w:val="001016FB"/>
    <w:rsid w:val="00101792"/>
    <w:rsid w:val="001017F3"/>
    <w:rsid w:val="0010192A"/>
    <w:rsid w:val="00101A96"/>
    <w:rsid w:val="00101AB8"/>
    <w:rsid w:val="00101B44"/>
    <w:rsid w:val="00101BCC"/>
    <w:rsid w:val="00101C00"/>
    <w:rsid w:val="00101C75"/>
    <w:rsid w:val="00101D4B"/>
    <w:rsid w:val="00101F59"/>
    <w:rsid w:val="00102214"/>
    <w:rsid w:val="001024AE"/>
    <w:rsid w:val="00102589"/>
    <w:rsid w:val="00102685"/>
    <w:rsid w:val="00102698"/>
    <w:rsid w:val="00102733"/>
    <w:rsid w:val="00102806"/>
    <w:rsid w:val="001028E2"/>
    <w:rsid w:val="00102B33"/>
    <w:rsid w:val="00102E55"/>
    <w:rsid w:val="00103090"/>
    <w:rsid w:val="00103188"/>
    <w:rsid w:val="0010327D"/>
    <w:rsid w:val="0010341D"/>
    <w:rsid w:val="0010357E"/>
    <w:rsid w:val="00103677"/>
    <w:rsid w:val="00103877"/>
    <w:rsid w:val="001038D2"/>
    <w:rsid w:val="00103B7F"/>
    <w:rsid w:val="00103B8A"/>
    <w:rsid w:val="00103D01"/>
    <w:rsid w:val="00103E5C"/>
    <w:rsid w:val="00103E5D"/>
    <w:rsid w:val="00103E99"/>
    <w:rsid w:val="00103F47"/>
    <w:rsid w:val="00103F5A"/>
    <w:rsid w:val="00103F8F"/>
    <w:rsid w:val="001040BF"/>
    <w:rsid w:val="00104147"/>
    <w:rsid w:val="0010423D"/>
    <w:rsid w:val="001044F5"/>
    <w:rsid w:val="00104528"/>
    <w:rsid w:val="0010453B"/>
    <w:rsid w:val="001046DD"/>
    <w:rsid w:val="0010472E"/>
    <w:rsid w:val="00104738"/>
    <w:rsid w:val="00104A2F"/>
    <w:rsid w:val="00104ACC"/>
    <w:rsid w:val="00104CA5"/>
    <w:rsid w:val="00104E77"/>
    <w:rsid w:val="00104F77"/>
    <w:rsid w:val="0010510E"/>
    <w:rsid w:val="00105273"/>
    <w:rsid w:val="00105380"/>
    <w:rsid w:val="001053C6"/>
    <w:rsid w:val="00105855"/>
    <w:rsid w:val="0010591F"/>
    <w:rsid w:val="00105D45"/>
    <w:rsid w:val="00105D96"/>
    <w:rsid w:val="00106052"/>
    <w:rsid w:val="00106136"/>
    <w:rsid w:val="0010627D"/>
    <w:rsid w:val="001062AF"/>
    <w:rsid w:val="00106A08"/>
    <w:rsid w:val="00106A5A"/>
    <w:rsid w:val="00106BC9"/>
    <w:rsid w:val="00106E21"/>
    <w:rsid w:val="00107073"/>
    <w:rsid w:val="00107264"/>
    <w:rsid w:val="0010740E"/>
    <w:rsid w:val="00107424"/>
    <w:rsid w:val="0010747B"/>
    <w:rsid w:val="001074A0"/>
    <w:rsid w:val="00107A5A"/>
    <w:rsid w:val="00107B43"/>
    <w:rsid w:val="00107F26"/>
    <w:rsid w:val="00107F4E"/>
    <w:rsid w:val="00110529"/>
    <w:rsid w:val="001109CC"/>
    <w:rsid w:val="001109D6"/>
    <w:rsid w:val="00110A13"/>
    <w:rsid w:val="00110AEF"/>
    <w:rsid w:val="00110BEC"/>
    <w:rsid w:val="00110BFE"/>
    <w:rsid w:val="00110C9A"/>
    <w:rsid w:val="00110CFA"/>
    <w:rsid w:val="00110D1C"/>
    <w:rsid w:val="00110D21"/>
    <w:rsid w:val="00111069"/>
    <w:rsid w:val="00111081"/>
    <w:rsid w:val="00111099"/>
    <w:rsid w:val="00111120"/>
    <w:rsid w:val="00111421"/>
    <w:rsid w:val="001115B4"/>
    <w:rsid w:val="001117BA"/>
    <w:rsid w:val="00111803"/>
    <w:rsid w:val="0011181C"/>
    <w:rsid w:val="00111A0A"/>
    <w:rsid w:val="00111A7E"/>
    <w:rsid w:val="00111AD9"/>
    <w:rsid w:val="00111B37"/>
    <w:rsid w:val="00111CAD"/>
    <w:rsid w:val="00111DAC"/>
    <w:rsid w:val="00111E00"/>
    <w:rsid w:val="00111E94"/>
    <w:rsid w:val="00111FD5"/>
    <w:rsid w:val="0011206E"/>
    <w:rsid w:val="00112195"/>
    <w:rsid w:val="00112254"/>
    <w:rsid w:val="0011237D"/>
    <w:rsid w:val="001123B1"/>
    <w:rsid w:val="00112666"/>
    <w:rsid w:val="00112BA6"/>
    <w:rsid w:val="00112BE4"/>
    <w:rsid w:val="00112E94"/>
    <w:rsid w:val="0011313E"/>
    <w:rsid w:val="0011333A"/>
    <w:rsid w:val="001133C6"/>
    <w:rsid w:val="001133D1"/>
    <w:rsid w:val="00113408"/>
    <w:rsid w:val="00113791"/>
    <w:rsid w:val="001138A7"/>
    <w:rsid w:val="00113AE5"/>
    <w:rsid w:val="00113AE8"/>
    <w:rsid w:val="00113E28"/>
    <w:rsid w:val="00114000"/>
    <w:rsid w:val="001140DE"/>
    <w:rsid w:val="0011431F"/>
    <w:rsid w:val="00114470"/>
    <w:rsid w:val="0011474E"/>
    <w:rsid w:val="0011475E"/>
    <w:rsid w:val="0011481F"/>
    <w:rsid w:val="00114A63"/>
    <w:rsid w:val="00114C30"/>
    <w:rsid w:val="0011530A"/>
    <w:rsid w:val="00115323"/>
    <w:rsid w:val="00115425"/>
    <w:rsid w:val="0011557A"/>
    <w:rsid w:val="00115922"/>
    <w:rsid w:val="00115B6D"/>
    <w:rsid w:val="00115C0B"/>
    <w:rsid w:val="00115DBC"/>
    <w:rsid w:val="00115DDF"/>
    <w:rsid w:val="00115EAB"/>
    <w:rsid w:val="00116155"/>
    <w:rsid w:val="00116408"/>
    <w:rsid w:val="0011640A"/>
    <w:rsid w:val="001169BF"/>
    <w:rsid w:val="00116E97"/>
    <w:rsid w:val="00117061"/>
    <w:rsid w:val="00117078"/>
    <w:rsid w:val="00117131"/>
    <w:rsid w:val="001173F1"/>
    <w:rsid w:val="0011745A"/>
    <w:rsid w:val="00117474"/>
    <w:rsid w:val="00117497"/>
    <w:rsid w:val="001174D1"/>
    <w:rsid w:val="001175D3"/>
    <w:rsid w:val="0011778F"/>
    <w:rsid w:val="00117971"/>
    <w:rsid w:val="00117B03"/>
    <w:rsid w:val="00117C40"/>
    <w:rsid w:val="00117F08"/>
    <w:rsid w:val="00117F38"/>
    <w:rsid w:val="00117F9A"/>
    <w:rsid w:val="00120491"/>
    <w:rsid w:val="00120672"/>
    <w:rsid w:val="001207BB"/>
    <w:rsid w:val="001207EA"/>
    <w:rsid w:val="0012085C"/>
    <w:rsid w:val="0012088E"/>
    <w:rsid w:val="00120A8E"/>
    <w:rsid w:val="00120BB3"/>
    <w:rsid w:val="00120D19"/>
    <w:rsid w:val="00120D7A"/>
    <w:rsid w:val="00120DEC"/>
    <w:rsid w:val="00120E55"/>
    <w:rsid w:val="00120F77"/>
    <w:rsid w:val="00121060"/>
    <w:rsid w:val="0012112F"/>
    <w:rsid w:val="00121233"/>
    <w:rsid w:val="00121458"/>
    <w:rsid w:val="00121552"/>
    <w:rsid w:val="001217A2"/>
    <w:rsid w:val="00121A83"/>
    <w:rsid w:val="00121EE2"/>
    <w:rsid w:val="001220DB"/>
    <w:rsid w:val="001222FD"/>
    <w:rsid w:val="0012237C"/>
    <w:rsid w:val="00122442"/>
    <w:rsid w:val="001225BD"/>
    <w:rsid w:val="00122816"/>
    <w:rsid w:val="001228B8"/>
    <w:rsid w:val="00122AA5"/>
    <w:rsid w:val="00122B17"/>
    <w:rsid w:val="00122B33"/>
    <w:rsid w:val="00122B7E"/>
    <w:rsid w:val="00122C8C"/>
    <w:rsid w:val="00122C8F"/>
    <w:rsid w:val="00122EB2"/>
    <w:rsid w:val="00122EF2"/>
    <w:rsid w:val="00122F14"/>
    <w:rsid w:val="00122F2D"/>
    <w:rsid w:val="00122FA2"/>
    <w:rsid w:val="00123094"/>
    <w:rsid w:val="00123361"/>
    <w:rsid w:val="001233A7"/>
    <w:rsid w:val="001233BA"/>
    <w:rsid w:val="0012350D"/>
    <w:rsid w:val="00123604"/>
    <w:rsid w:val="001236BF"/>
    <w:rsid w:val="0012381F"/>
    <w:rsid w:val="00123832"/>
    <w:rsid w:val="00123962"/>
    <w:rsid w:val="00123AB0"/>
    <w:rsid w:val="00123AC4"/>
    <w:rsid w:val="00123D02"/>
    <w:rsid w:val="00123D4D"/>
    <w:rsid w:val="00123EE7"/>
    <w:rsid w:val="00123F58"/>
    <w:rsid w:val="001241DC"/>
    <w:rsid w:val="00124349"/>
    <w:rsid w:val="001243B7"/>
    <w:rsid w:val="001244AA"/>
    <w:rsid w:val="0012460E"/>
    <w:rsid w:val="001247E3"/>
    <w:rsid w:val="0012485E"/>
    <w:rsid w:val="001249EF"/>
    <w:rsid w:val="00124C54"/>
    <w:rsid w:val="00124DB6"/>
    <w:rsid w:val="00124E51"/>
    <w:rsid w:val="00124ED1"/>
    <w:rsid w:val="001251F1"/>
    <w:rsid w:val="001252B0"/>
    <w:rsid w:val="00125383"/>
    <w:rsid w:val="0012570D"/>
    <w:rsid w:val="0012575D"/>
    <w:rsid w:val="00125783"/>
    <w:rsid w:val="0012587E"/>
    <w:rsid w:val="001259B6"/>
    <w:rsid w:val="00125A79"/>
    <w:rsid w:val="00125C2F"/>
    <w:rsid w:val="00125C39"/>
    <w:rsid w:val="00125DDC"/>
    <w:rsid w:val="00126091"/>
    <w:rsid w:val="00126202"/>
    <w:rsid w:val="0012620E"/>
    <w:rsid w:val="001262AE"/>
    <w:rsid w:val="0012632C"/>
    <w:rsid w:val="00126612"/>
    <w:rsid w:val="00126644"/>
    <w:rsid w:val="00126A1F"/>
    <w:rsid w:val="00126A97"/>
    <w:rsid w:val="001270C6"/>
    <w:rsid w:val="00127175"/>
    <w:rsid w:val="001277D2"/>
    <w:rsid w:val="0012787E"/>
    <w:rsid w:val="0012795E"/>
    <w:rsid w:val="00127B14"/>
    <w:rsid w:val="00127B54"/>
    <w:rsid w:val="00127D57"/>
    <w:rsid w:val="00127D67"/>
    <w:rsid w:val="00127EA2"/>
    <w:rsid w:val="00127EA7"/>
    <w:rsid w:val="00127F9F"/>
    <w:rsid w:val="00130025"/>
    <w:rsid w:val="0013003C"/>
    <w:rsid w:val="0013022F"/>
    <w:rsid w:val="0013030D"/>
    <w:rsid w:val="001303DC"/>
    <w:rsid w:val="00130422"/>
    <w:rsid w:val="001304C1"/>
    <w:rsid w:val="0013058E"/>
    <w:rsid w:val="001307EC"/>
    <w:rsid w:val="001308BA"/>
    <w:rsid w:val="001308E2"/>
    <w:rsid w:val="001308FC"/>
    <w:rsid w:val="00130B1F"/>
    <w:rsid w:val="0013119C"/>
    <w:rsid w:val="00131768"/>
    <w:rsid w:val="0013192E"/>
    <w:rsid w:val="001319F5"/>
    <w:rsid w:val="00131D22"/>
    <w:rsid w:val="001321A7"/>
    <w:rsid w:val="0013223F"/>
    <w:rsid w:val="0013234F"/>
    <w:rsid w:val="0013254D"/>
    <w:rsid w:val="00132913"/>
    <w:rsid w:val="00132A52"/>
    <w:rsid w:val="00132A5A"/>
    <w:rsid w:val="00132B17"/>
    <w:rsid w:val="00132BA4"/>
    <w:rsid w:val="00132C41"/>
    <w:rsid w:val="00132D37"/>
    <w:rsid w:val="00132DE4"/>
    <w:rsid w:val="00132DFB"/>
    <w:rsid w:val="00132EA2"/>
    <w:rsid w:val="00132F0C"/>
    <w:rsid w:val="00132FC7"/>
    <w:rsid w:val="00133026"/>
    <w:rsid w:val="00133089"/>
    <w:rsid w:val="00133157"/>
    <w:rsid w:val="001331B0"/>
    <w:rsid w:val="001332D9"/>
    <w:rsid w:val="0013344F"/>
    <w:rsid w:val="00133665"/>
    <w:rsid w:val="0013377C"/>
    <w:rsid w:val="00133C63"/>
    <w:rsid w:val="00133C7B"/>
    <w:rsid w:val="00133D16"/>
    <w:rsid w:val="00133D41"/>
    <w:rsid w:val="00133E1A"/>
    <w:rsid w:val="00133E43"/>
    <w:rsid w:val="00133F69"/>
    <w:rsid w:val="00133F8F"/>
    <w:rsid w:val="0013413B"/>
    <w:rsid w:val="00134395"/>
    <w:rsid w:val="00134440"/>
    <w:rsid w:val="001344CF"/>
    <w:rsid w:val="0013457C"/>
    <w:rsid w:val="001346C6"/>
    <w:rsid w:val="0013476F"/>
    <w:rsid w:val="001347A1"/>
    <w:rsid w:val="001348A2"/>
    <w:rsid w:val="00134AC2"/>
    <w:rsid w:val="00134BDD"/>
    <w:rsid w:val="00134C2D"/>
    <w:rsid w:val="00134DDD"/>
    <w:rsid w:val="00134F95"/>
    <w:rsid w:val="0013505D"/>
    <w:rsid w:val="00135080"/>
    <w:rsid w:val="001351BF"/>
    <w:rsid w:val="00135247"/>
    <w:rsid w:val="00135343"/>
    <w:rsid w:val="001354F6"/>
    <w:rsid w:val="001356C9"/>
    <w:rsid w:val="001357B2"/>
    <w:rsid w:val="00135A16"/>
    <w:rsid w:val="00135CE7"/>
    <w:rsid w:val="00135EDD"/>
    <w:rsid w:val="00136048"/>
    <w:rsid w:val="00136276"/>
    <w:rsid w:val="001362F7"/>
    <w:rsid w:val="0013651C"/>
    <w:rsid w:val="00136646"/>
    <w:rsid w:val="0013686A"/>
    <w:rsid w:val="001368A6"/>
    <w:rsid w:val="00136900"/>
    <w:rsid w:val="001369C9"/>
    <w:rsid w:val="00136A9C"/>
    <w:rsid w:val="00136B89"/>
    <w:rsid w:val="00137082"/>
    <w:rsid w:val="00137159"/>
    <w:rsid w:val="001371F9"/>
    <w:rsid w:val="0013733B"/>
    <w:rsid w:val="0013756B"/>
    <w:rsid w:val="00137590"/>
    <w:rsid w:val="00137676"/>
    <w:rsid w:val="001378FE"/>
    <w:rsid w:val="00137969"/>
    <w:rsid w:val="00137AF4"/>
    <w:rsid w:val="00137C07"/>
    <w:rsid w:val="00137EE9"/>
    <w:rsid w:val="00140061"/>
    <w:rsid w:val="00140213"/>
    <w:rsid w:val="001402D1"/>
    <w:rsid w:val="001402DF"/>
    <w:rsid w:val="001403A2"/>
    <w:rsid w:val="0014047D"/>
    <w:rsid w:val="00140489"/>
    <w:rsid w:val="001407A0"/>
    <w:rsid w:val="001407ED"/>
    <w:rsid w:val="001409D6"/>
    <w:rsid w:val="00140ABF"/>
    <w:rsid w:val="00140D7B"/>
    <w:rsid w:val="00140EA0"/>
    <w:rsid w:val="00140FA2"/>
    <w:rsid w:val="001410AD"/>
    <w:rsid w:val="0014110B"/>
    <w:rsid w:val="001411B4"/>
    <w:rsid w:val="001411DB"/>
    <w:rsid w:val="0014136D"/>
    <w:rsid w:val="001415DB"/>
    <w:rsid w:val="00141643"/>
    <w:rsid w:val="0014168A"/>
    <w:rsid w:val="001416A0"/>
    <w:rsid w:val="00141728"/>
    <w:rsid w:val="00141855"/>
    <w:rsid w:val="00141985"/>
    <w:rsid w:val="001419E9"/>
    <w:rsid w:val="00141A32"/>
    <w:rsid w:val="00141AF6"/>
    <w:rsid w:val="00141DD0"/>
    <w:rsid w:val="00141E51"/>
    <w:rsid w:val="00141E92"/>
    <w:rsid w:val="00142021"/>
    <w:rsid w:val="00142246"/>
    <w:rsid w:val="0014233C"/>
    <w:rsid w:val="00142670"/>
    <w:rsid w:val="001427E3"/>
    <w:rsid w:val="00142B67"/>
    <w:rsid w:val="00142C09"/>
    <w:rsid w:val="00142DCF"/>
    <w:rsid w:val="00142E0A"/>
    <w:rsid w:val="0014303E"/>
    <w:rsid w:val="00143138"/>
    <w:rsid w:val="001432C1"/>
    <w:rsid w:val="001433A9"/>
    <w:rsid w:val="001433DD"/>
    <w:rsid w:val="001433F6"/>
    <w:rsid w:val="001434DB"/>
    <w:rsid w:val="0014355E"/>
    <w:rsid w:val="00143DF2"/>
    <w:rsid w:val="00143E02"/>
    <w:rsid w:val="00143E18"/>
    <w:rsid w:val="00143F61"/>
    <w:rsid w:val="00143FEF"/>
    <w:rsid w:val="00144238"/>
    <w:rsid w:val="0014439A"/>
    <w:rsid w:val="001443E5"/>
    <w:rsid w:val="00144711"/>
    <w:rsid w:val="00144964"/>
    <w:rsid w:val="00144B7B"/>
    <w:rsid w:val="00144BC3"/>
    <w:rsid w:val="00144C8A"/>
    <w:rsid w:val="00144D07"/>
    <w:rsid w:val="0014500B"/>
    <w:rsid w:val="00145027"/>
    <w:rsid w:val="001450F3"/>
    <w:rsid w:val="00145296"/>
    <w:rsid w:val="001452C0"/>
    <w:rsid w:val="001452C5"/>
    <w:rsid w:val="0014542D"/>
    <w:rsid w:val="0014552A"/>
    <w:rsid w:val="001457B3"/>
    <w:rsid w:val="001457C0"/>
    <w:rsid w:val="0014599D"/>
    <w:rsid w:val="001459C2"/>
    <w:rsid w:val="00145A41"/>
    <w:rsid w:val="00145D48"/>
    <w:rsid w:val="00146003"/>
    <w:rsid w:val="001460B9"/>
    <w:rsid w:val="001463D0"/>
    <w:rsid w:val="001463E2"/>
    <w:rsid w:val="00146478"/>
    <w:rsid w:val="0014674C"/>
    <w:rsid w:val="00146819"/>
    <w:rsid w:val="00146ABA"/>
    <w:rsid w:val="00146AC9"/>
    <w:rsid w:val="00146B34"/>
    <w:rsid w:val="00146B8C"/>
    <w:rsid w:val="00146CAC"/>
    <w:rsid w:val="00146EB8"/>
    <w:rsid w:val="0014719E"/>
    <w:rsid w:val="0014727A"/>
    <w:rsid w:val="00147499"/>
    <w:rsid w:val="001476C8"/>
    <w:rsid w:val="00147754"/>
    <w:rsid w:val="00147829"/>
    <w:rsid w:val="001479B2"/>
    <w:rsid w:val="00147B5B"/>
    <w:rsid w:val="00147B85"/>
    <w:rsid w:val="00147BB3"/>
    <w:rsid w:val="00147BE1"/>
    <w:rsid w:val="00147D83"/>
    <w:rsid w:val="00150004"/>
    <w:rsid w:val="0015008C"/>
    <w:rsid w:val="001500D0"/>
    <w:rsid w:val="0015012B"/>
    <w:rsid w:val="001505C5"/>
    <w:rsid w:val="00150747"/>
    <w:rsid w:val="001507E6"/>
    <w:rsid w:val="00150925"/>
    <w:rsid w:val="00150AE3"/>
    <w:rsid w:val="00150C5D"/>
    <w:rsid w:val="00150EAD"/>
    <w:rsid w:val="00150F46"/>
    <w:rsid w:val="00150F82"/>
    <w:rsid w:val="00151022"/>
    <w:rsid w:val="00151055"/>
    <w:rsid w:val="0015118E"/>
    <w:rsid w:val="0015127C"/>
    <w:rsid w:val="0015130A"/>
    <w:rsid w:val="0015133A"/>
    <w:rsid w:val="0015135E"/>
    <w:rsid w:val="00151399"/>
    <w:rsid w:val="0015142E"/>
    <w:rsid w:val="00151510"/>
    <w:rsid w:val="0015153F"/>
    <w:rsid w:val="001515C0"/>
    <w:rsid w:val="0015174A"/>
    <w:rsid w:val="001517FC"/>
    <w:rsid w:val="00151A0D"/>
    <w:rsid w:val="00151A14"/>
    <w:rsid w:val="00151A4C"/>
    <w:rsid w:val="00151AC6"/>
    <w:rsid w:val="00151BBE"/>
    <w:rsid w:val="00151D20"/>
    <w:rsid w:val="00151D21"/>
    <w:rsid w:val="00151DDF"/>
    <w:rsid w:val="00151FDE"/>
    <w:rsid w:val="00152032"/>
    <w:rsid w:val="001523D2"/>
    <w:rsid w:val="001523F3"/>
    <w:rsid w:val="00152AB0"/>
    <w:rsid w:val="00152C56"/>
    <w:rsid w:val="00152CCC"/>
    <w:rsid w:val="00152D05"/>
    <w:rsid w:val="00152D53"/>
    <w:rsid w:val="00152E3C"/>
    <w:rsid w:val="00152ED1"/>
    <w:rsid w:val="0015304A"/>
    <w:rsid w:val="00153061"/>
    <w:rsid w:val="001530A5"/>
    <w:rsid w:val="001533EC"/>
    <w:rsid w:val="00153431"/>
    <w:rsid w:val="001534C3"/>
    <w:rsid w:val="001534E5"/>
    <w:rsid w:val="00153703"/>
    <w:rsid w:val="00153877"/>
    <w:rsid w:val="00153C4A"/>
    <w:rsid w:val="00153CB8"/>
    <w:rsid w:val="001543A0"/>
    <w:rsid w:val="00154560"/>
    <w:rsid w:val="00154747"/>
    <w:rsid w:val="001547AF"/>
    <w:rsid w:val="001547B1"/>
    <w:rsid w:val="0015484B"/>
    <w:rsid w:val="00154966"/>
    <w:rsid w:val="0015498F"/>
    <w:rsid w:val="001549A8"/>
    <w:rsid w:val="00154C26"/>
    <w:rsid w:val="00154CA4"/>
    <w:rsid w:val="00154D12"/>
    <w:rsid w:val="00154DB5"/>
    <w:rsid w:val="00154F4E"/>
    <w:rsid w:val="00155032"/>
    <w:rsid w:val="001550EE"/>
    <w:rsid w:val="001551B7"/>
    <w:rsid w:val="001551F1"/>
    <w:rsid w:val="00155273"/>
    <w:rsid w:val="001552E9"/>
    <w:rsid w:val="00155311"/>
    <w:rsid w:val="001553C6"/>
    <w:rsid w:val="0015544F"/>
    <w:rsid w:val="0015573A"/>
    <w:rsid w:val="0015588C"/>
    <w:rsid w:val="00155AA3"/>
    <w:rsid w:val="00155C98"/>
    <w:rsid w:val="00155D0B"/>
    <w:rsid w:val="00155D3C"/>
    <w:rsid w:val="00155DAD"/>
    <w:rsid w:val="00155DCB"/>
    <w:rsid w:val="00155F67"/>
    <w:rsid w:val="00156142"/>
    <w:rsid w:val="00156354"/>
    <w:rsid w:val="001563AA"/>
    <w:rsid w:val="00156510"/>
    <w:rsid w:val="00156556"/>
    <w:rsid w:val="00156678"/>
    <w:rsid w:val="0015668E"/>
    <w:rsid w:val="00156B50"/>
    <w:rsid w:val="00156F18"/>
    <w:rsid w:val="00156FF7"/>
    <w:rsid w:val="00157510"/>
    <w:rsid w:val="001575CD"/>
    <w:rsid w:val="0015767D"/>
    <w:rsid w:val="00157B42"/>
    <w:rsid w:val="00157E59"/>
    <w:rsid w:val="001600A9"/>
    <w:rsid w:val="001601C7"/>
    <w:rsid w:val="001601CB"/>
    <w:rsid w:val="00160514"/>
    <w:rsid w:val="0016085E"/>
    <w:rsid w:val="00160930"/>
    <w:rsid w:val="001609AB"/>
    <w:rsid w:val="001609BA"/>
    <w:rsid w:val="001609C8"/>
    <w:rsid w:val="00160ADA"/>
    <w:rsid w:val="00160BC0"/>
    <w:rsid w:val="00160C00"/>
    <w:rsid w:val="00160C87"/>
    <w:rsid w:val="00160CFE"/>
    <w:rsid w:val="00161025"/>
    <w:rsid w:val="001615ED"/>
    <w:rsid w:val="00161683"/>
    <w:rsid w:val="001618A8"/>
    <w:rsid w:val="001619A8"/>
    <w:rsid w:val="00161B77"/>
    <w:rsid w:val="00161BD1"/>
    <w:rsid w:val="00161CB1"/>
    <w:rsid w:val="00161CD1"/>
    <w:rsid w:val="001620C1"/>
    <w:rsid w:val="0016218F"/>
    <w:rsid w:val="00162202"/>
    <w:rsid w:val="001624E2"/>
    <w:rsid w:val="001626BE"/>
    <w:rsid w:val="0016282D"/>
    <w:rsid w:val="001629E4"/>
    <w:rsid w:val="00162A6C"/>
    <w:rsid w:val="00162ADF"/>
    <w:rsid w:val="00162BDC"/>
    <w:rsid w:val="001634B7"/>
    <w:rsid w:val="001634E0"/>
    <w:rsid w:val="00163558"/>
    <w:rsid w:val="00163636"/>
    <w:rsid w:val="001636B7"/>
    <w:rsid w:val="00163BA2"/>
    <w:rsid w:val="00163CD7"/>
    <w:rsid w:val="00163D59"/>
    <w:rsid w:val="00163DE6"/>
    <w:rsid w:val="001640B1"/>
    <w:rsid w:val="00164261"/>
    <w:rsid w:val="00164391"/>
    <w:rsid w:val="001644FD"/>
    <w:rsid w:val="001645F1"/>
    <w:rsid w:val="00164655"/>
    <w:rsid w:val="00164738"/>
    <w:rsid w:val="0016479D"/>
    <w:rsid w:val="0016495B"/>
    <w:rsid w:val="00164F24"/>
    <w:rsid w:val="00165131"/>
    <w:rsid w:val="0016528A"/>
    <w:rsid w:val="001653AB"/>
    <w:rsid w:val="001653F7"/>
    <w:rsid w:val="00165659"/>
    <w:rsid w:val="00165699"/>
    <w:rsid w:val="001656C6"/>
    <w:rsid w:val="0016580F"/>
    <w:rsid w:val="001658D4"/>
    <w:rsid w:val="00165960"/>
    <w:rsid w:val="00165DCD"/>
    <w:rsid w:val="00165EAE"/>
    <w:rsid w:val="00166016"/>
    <w:rsid w:val="001660D9"/>
    <w:rsid w:val="001660E5"/>
    <w:rsid w:val="001661B7"/>
    <w:rsid w:val="0016635B"/>
    <w:rsid w:val="001663B1"/>
    <w:rsid w:val="00166419"/>
    <w:rsid w:val="001668ED"/>
    <w:rsid w:val="0016690D"/>
    <w:rsid w:val="0016694D"/>
    <w:rsid w:val="00166B18"/>
    <w:rsid w:val="00166C87"/>
    <w:rsid w:val="00166D1F"/>
    <w:rsid w:val="00166D96"/>
    <w:rsid w:val="00166EB8"/>
    <w:rsid w:val="00166EEE"/>
    <w:rsid w:val="00166FF9"/>
    <w:rsid w:val="0016742B"/>
    <w:rsid w:val="00167521"/>
    <w:rsid w:val="001675AB"/>
    <w:rsid w:val="0016768F"/>
    <w:rsid w:val="001676D1"/>
    <w:rsid w:val="001676D9"/>
    <w:rsid w:val="001677D0"/>
    <w:rsid w:val="00167AD9"/>
    <w:rsid w:val="00167B8B"/>
    <w:rsid w:val="00167BE8"/>
    <w:rsid w:val="00167E43"/>
    <w:rsid w:val="00167E53"/>
    <w:rsid w:val="00167E7E"/>
    <w:rsid w:val="0017022E"/>
    <w:rsid w:val="001702FD"/>
    <w:rsid w:val="001703F7"/>
    <w:rsid w:val="001705C7"/>
    <w:rsid w:val="00170614"/>
    <w:rsid w:val="00170748"/>
    <w:rsid w:val="00170B10"/>
    <w:rsid w:val="00170B63"/>
    <w:rsid w:val="00170B78"/>
    <w:rsid w:val="00170DD0"/>
    <w:rsid w:val="00170DDB"/>
    <w:rsid w:val="00170FE2"/>
    <w:rsid w:val="0017118F"/>
    <w:rsid w:val="001711A5"/>
    <w:rsid w:val="001711C9"/>
    <w:rsid w:val="001711E8"/>
    <w:rsid w:val="0017147C"/>
    <w:rsid w:val="001714C4"/>
    <w:rsid w:val="001717E2"/>
    <w:rsid w:val="00171A2F"/>
    <w:rsid w:val="00171A41"/>
    <w:rsid w:val="00172056"/>
    <w:rsid w:val="00172132"/>
    <w:rsid w:val="0017227B"/>
    <w:rsid w:val="0017236D"/>
    <w:rsid w:val="00172539"/>
    <w:rsid w:val="001725F1"/>
    <w:rsid w:val="001725FD"/>
    <w:rsid w:val="00172686"/>
    <w:rsid w:val="0017279D"/>
    <w:rsid w:val="001729C8"/>
    <w:rsid w:val="00172A20"/>
    <w:rsid w:val="00172A90"/>
    <w:rsid w:val="00172AE8"/>
    <w:rsid w:val="00172B06"/>
    <w:rsid w:val="00172B31"/>
    <w:rsid w:val="00172BCF"/>
    <w:rsid w:val="00172DFD"/>
    <w:rsid w:val="00172ED7"/>
    <w:rsid w:val="00173198"/>
    <w:rsid w:val="0017321D"/>
    <w:rsid w:val="001733F9"/>
    <w:rsid w:val="00173418"/>
    <w:rsid w:val="001735EB"/>
    <w:rsid w:val="00173676"/>
    <w:rsid w:val="001736E2"/>
    <w:rsid w:val="00173957"/>
    <w:rsid w:val="001739E7"/>
    <w:rsid w:val="00173A27"/>
    <w:rsid w:val="00173C4D"/>
    <w:rsid w:val="00173CDB"/>
    <w:rsid w:val="00173FAB"/>
    <w:rsid w:val="001741A2"/>
    <w:rsid w:val="001742AF"/>
    <w:rsid w:val="0017432D"/>
    <w:rsid w:val="00174390"/>
    <w:rsid w:val="0017442F"/>
    <w:rsid w:val="00174506"/>
    <w:rsid w:val="0017451B"/>
    <w:rsid w:val="00174668"/>
    <w:rsid w:val="001746CC"/>
    <w:rsid w:val="00174C9B"/>
    <w:rsid w:val="00174DD6"/>
    <w:rsid w:val="00175205"/>
    <w:rsid w:val="0017530F"/>
    <w:rsid w:val="0017537A"/>
    <w:rsid w:val="0017539A"/>
    <w:rsid w:val="001753DE"/>
    <w:rsid w:val="00175605"/>
    <w:rsid w:val="001757BA"/>
    <w:rsid w:val="001757D3"/>
    <w:rsid w:val="0017590F"/>
    <w:rsid w:val="00175AD4"/>
    <w:rsid w:val="00175D54"/>
    <w:rsid w:val="00175DAE"/>
    <w:rsid w:val="00175E0F"/>
    <w:rsid w:val="00175F35"/>
    <w:rsid w:val="001760A3"/>
    <w:rsid w:val="00176496"/>
    <w:rsid w:val="00176905"/>
    <w:rsid w:val="00176907"/>
    <w:rsid w:val="001769BC"/>
    <w:rsid w:val="00176AB3"/>
    <w:rsid w:val="00176C47"/>
    <w:rsid w:val="00176DE7"/>
    <w:rsid w:val="00176E0E"/>
    <w:rsid w:val="001770BC"/>
    <w:rsid w:val="001771E0"/>
    <w:rsid w:val="0017729B"/>
    <w:rsid w:val="0017765C"/>
    <w:rsid w:val="00177781"/>
    <w:rsid w:val="00177900"/>
    <w:rsid w:val="001779E1"/>
    <w:rsid w:val="001779F5"/>
    <w:rsid w:val="00177A3F"/>
    <w:rsid w:val="00177A51"/>
    <w:rsid w:val="00177B91"/>
    <w:rsid w:val="00177DB5"/>
    <w:rsid w:val="00177ED5"/>
    <w:rsid w:val="00177ED9"/>
    <w:rsid w:val="0018001A"/>
    <w:rsid w:val="0018029C"/>
    <w:rsid w:val="001802E5"/>
    <w:rsid w:val="001804AD"/>
    <w:rsid w:val="00180535"/>
    <w:rsid w:val="00180541"/>
    <w:rsid w:val="00180624"/>
    <w:rsid w:val="00180637"/>
    <w:rsid w:val="00180709"/>
    <w:rsid w:val="00180766"/>
    <w:rsid w:val="00180A18"/>
    <w:rsid w:val="00180B1C"/>
    <w:rsid w:val="00180C3C"/>
    <w:rsid w:val="00180D3D"/>
    <w:rsid w:val="00180DDD"/>
    <w:rsid w:val="00180E79"/>
    <w:rsid w:val="00180EB8"/>
    <w:rsid w:val="0018111C"/>
    <w:rsid w:val="00181322"/>
    <w:rsid w:val="0018132C"/>
    <w:rsid w:val="001814DF"/>
    <w:rsid w:val="0018159D"/>
    <w:rsid w:val="001816BF"/>
    <w:rsid w:val="00181717"/>
    <w:rsid w:val="0018176B"/>
    <w:rsid w:val="001817F4"/>
    <w:rsid w:val="00181816"/>
    <w:rsid w:val="001818AD"/>
    <w:rsid w:val="0018191E"/>
    <w:rsid w:val="001819BA"/>
    <w:rsid w:val="00181AF3"/>
    <w:rsid w:val="00181C2A"/>
    <w:rsid w:val="00181D8D"/>
    <w:rsid w:val="00181DE5"/>
    <w:rsid w:val="00182010"/>
    <w:rsid w:val="0018219D"/>
    <w:rsid w:val="001822B6"/>
    <w:rsid w:val="001822C4"/>
    <w:rsid w:val="00182863"/>
    <w:rsid w:val="00182A40"/>
    <w:rsid w:val="00182C88"/>
    <w:rsid w:val="00182CB4"/>
    <w:rsid w:val="00182D19"/>
    <w:rsid w:val="00182E39"/>
    <w:rsid w:val="0018300E"/>
    <w:rsid w:val="0018305F"/>
    <w:rsid w:val="00183318"/>
    <w:rsid w:val="00183327"/>
    <w:rsid w:val="00183384"/>
    <w:rsid w:val="001835BF"/>
    <w:rsid w:val="0018371E"/>
    <w:rsid w:val="001839CD"/>
    <w:rsid w:val="00183C1B"/>
    <w:rsid w:val="00183E58"/>
    <w:rsid w:val="00183F27"/>
    <w:rsid w:val="00183F7B"/>
    <w:rsid w:val="00183FCC"/>
    <w:rsid w:val="0018402E"/>
    <w:rsid w:val="001840E8"/>
    <w:rsid w:val="00184176"/>
    <w:rsid w:val="00184193"/>
    <w:rsid w:val="001841D3"/>
    <w:rsid w:val="00184353"/>
    <w:rsid w:val="0018467B"/>
    <w:rsid w:val="001846D2"/>
    <w:rsid w:val="0018497E"/>
    <w:rsid w:val="001849AD"/>
    <w:rsid w:val="00184C47"/>
    <w:rsid w:val="00184D28"/>
    <w:rsid w:val="00184E93"/>
    <w:rsid w:val="00185034"/>
    <w:rsid w:val="001852F1"/>
    <w:rsid w:val="00185327"/>
    <w:rsid w:val="00185372"/>
    <w:rsid w:val="0018574C"/>
    <w:rsid w:val="00185861"/>
    <w:rsid w:val="00185872"/>
    <w:rsid w:val="0018593A"/>
    <w:rsid w:val="00185A20"/>
    <w:rsid w:val="00185AC6"/>
    <w:rsid w:val="00185B19"/>
    <w:rsid w:val="00185F9D"/>
    <w:rsid w:val="00186228"/>
    <w:rsid w:val="00186255"/>
    <w:rsid w:val="00186573"/>
    <w:rsid w:val="001865F7"/>
    <w:rsid w:val="001867FD"/>
    <w:rsid w:val="00186B93"/>
    <w:rsid w:val="00186C4D"/>
    <w:rsid w:val="001870D4"/>
    <w:rsid w:val="001870D8"/>
    <w:rsid w:val="00187138"/>
    <w:rsid w:val="001871C6"/>
    <w:rsid w:val="00187235"/>
    <w:rsid w:val="00187599"/>
    <w:rsid w:val="00187731"/>
    <w:rsid w:val="00187784"/>
    <w:rsid w:val="001878D8"/>
    <w:rsid w:val="00187961"/>
    <w:rsid w:val="00187A8F"/>
    <w:rsid w:val="00187BB9"/>
    <w:rsid w:val="00187CF5"/>
    <w:rsid w:val="00187E13"/>
    <w:rsid w:val="00190015"/>
    <w:rsid w:val="0019004F"/>
    <w:rsid w:val="00190268"/>
    <w:rsid w:val="0019040B"/>
    <w:rsid w:val="0019046E"/>
    <w:rsid w:val="00190552"/>
    <w:rsid w:val="00190580"/>
    <w:rsid w:val="001905EC"/>
    <w:rsid w:val="001907B6"/>
    <w:rsid w:val="00190836"/>
    <w:rsid w:val="0019083F"/>
    <w:rsid w:val="001908D6"/>
    <w:rsid w:val="00190956"/>
    <w:rsid w:val="00190CC1"/>
    <w:rsid w:val="00190E6C"/>
    <w:rsid w:val="00190E84"/>
    <w:rsid w:val="0019103A"/>
    <w:rsid w:val="001910C1"/>
    <w:rsid w:val="001912CE"/>
    <w:rsid w:val="001913EA"/>
    <w:rsid w:val="0019173D"/>
    <w:rsid w:val="001917BC"/>
    <w:rsid w:val="001917CE"/>
    <w:rsid w:val="001918A3"/>
    <w:rsid w:val="00191D8F"/>
    <w:rsid w:val="00191E39"/>
    <w:rsid w:val="00191E6D"/>
    <w:rsid w:val="00191F95"/>
    <w:rsid w:val="00192061"/>
    <w:rsid w:val="00192096"/>
    <w:rsid w:val="00192119"/>
    <w:rsid w:val="00192452"/>
    <w:rsid w:val="00192453"/>
    <w:rsid w:val="0019273A"/>
    <w:rsid w:val="001927A6"/>
    <w:rsid w:val="00192A20"/>
    <w:rsid w:val="00192C08"/>
    <w:rsid w:val="00192C7C"/>
    <w:rsid w:val="00192DAE"/>
    <w:rsid w:val="00192DD2"/>
    <w:rsid w:val="00192E10"/>
    <w:rsid w:val="00192E7B"/>
    <w:rsid w:val="00192F6C"/>
    <w:rsid w:val="00192F9F"/>
    <w:rsid w:val="001930F5"/>
    <w:rsid w:val="001931E7"/>
    <w:rsid w:val="0019327B"/>
    <w:rsid w:val="001934BD"/>
    <w:rsid w:val="00193825"/>
    <w:rsid w:val="001938DC"/>
    <w:rsid w:val="00193ABA"/>
    <w:rsid w:val="00193BE5"/>
    <w:rsid w:val="00193C3D"/>
    <w:rsid w:val="00193C6D"/>
    <w:rsid w:val="00193CDA"/>
    <w:rsid w:val="00193CFA"/>
    <w:rsid w:val="00193D16"/>
    <w:rsid w:val="00193D1B"/>
    <w:rsid w:val="0019410C"/>
    <w:rsid w:val="001942B4"/>
    <w:rsid w:val="00194384"/>
    <w:rsid w:val="0019452E"/>
    <w:rsid w:val="00194769"/>
    <w:rsid w:val="00194BB6"/>
    <w:rsid w:val="00194E45"/>
    <w:rsid w:val="00194E96"/>
    <w:rsid w:val="00194F2D"/>
    <w:rsid w:val="00194FE6"/>
    <w:rsid w:val="001950AE"/>
    <w:rsid w:val="00195302"/>
    <w:rsid w:val="00195318"/>
    <w:rsid w:val="0019560D"/>
    <w:rsid w:val="00195639"/>
    <w:rsid w:val="00195680"/>
    <w:rsid w:val="0019568A"/>
    <w:rsid w:val="001956F8"/>
    <w:rsid w:val="00195981"/>
    <w:rsid w:val="00195BDA"/>
    <w:rsid w:val="00195CA0"/>
    <w:rsid w:val="00195D7C"/>
    <w:rsid w:val="00195EBE"/>
    <w:rsid w:val="00195F19"/>
    <w:rsid w:val="00195F46"/>
    <w:rsid w:val="00196101"/>
    <w:rsid w:val="001961A5"/>
    <w:rsid w:val="001962C7"/>
    <w:rsid w:val="0019639D"/>
    <w:rsid w:val="00196696"/>
    <w:rsid w:val="0019686E"/>
    <w:rsid w:val="00196967"/>
    <w:rsid w:val="001969B9"/>
    <w:rsid w:val="00196A28"/>
    <w:rsid w:val="00196B16"/>
    <w:rsid w:val="00196BF6"/>
    <w:rsid w:val="00196D0B"/>
    <w:rsid w:val="001972BE"/>
    <w:rsid w:val="0019768F"/>
    <w:rsid w:val="00197728"/>
    <w:rsid w:val="0019781A"/>
    <w:rsid w:val="00197C89"/>
    <w:rsid w:val="00197D46"/>
    <w:rsid w:val="001A001B"/>
    <w:rsid w:val="001A00B0"/>
    <w:rsid w:val="001A0127"/>
    <w:rsid w:val="001A0165"/>
    <w:rsid w:val="001A0346"/>
    <w:rsid w:val="001A043D"/>
    <w:rsid w:val="001A0506"/>
    <w:rsid w:val="001A05C6"/>
    <w:rsid w:val="001A06A1"/>
    <w:rsid w:val="001A06CD"/>
    <w:rsid w:val="001A07B2"/>
    <w:rsid w:val="001A0900"/>
    <w:rsid w:val="001A0A7F"/>
    <w:rsid w:val="001A0AD6"/>
    <w:rsid w:val="001A0BA3"/>
    <w:rsid w:val="001A0C30"/>
    <w:rsid w:val="001A0C3A"/>
    <w:rsid w:val="001A0DB5"/>
    <w:rsid w:val="001A0E4B"/>
    <w:rsid w:val="001A0EBC"/>
    <w:rsid w:val="001A13D8"/>
    <w:rsid w:val="001A13F1"/>
    <w:rsid w:val="001A14CD"/>
    <w:rsid w:val="001A14FB"/>
    <w:rsid w:val="001A1504"/>
    <w:rsid w:val="001A153D"/>
    <w:rsid w:val="001A15AE"/>
    <w:rsid w:val="001A1624"/>
    <w:rsid w:val="001A17B5"/>
    <w:rsid w:val="001A17DF"/>
    <w:rsid w:val="001A1B78"/>
    <w:rsid w:val="001A1E13"/>
    <w:rsid w:val="001A1FB7"/>
    <w:rsid w:val="001A20F4"/>
    <w:rsid w:val="001A22CA"/>
    <w:rsid w:val="001A24B9"/>
    <w:rsid w:val="001A255C"/>
    <w:rsid w:val="001A2731"/>
    <w:rsid w:val="001A278A"/>
    <w:rsid w:val="001A2A54"/>
    <w:rsid w:val="001A2DA7"/>
    <w:rsid w:val="001A2DDF"/>
    <w:rsid w:val="001A301B"/>
    <w:rsid w:val="001A31AF"/>
    <w:rsid w:val="001A3303"/>
    <w:rsid w:val="001A3563"/>
    <w:rsid w:val="001A39EF"/>
    <w:rsid w:val="001A3B0E"/>
    <w:rsid w:val="001A3C05"/>
    <w:rsid w:val="001A3C87"/>
    <w:rsid w:val="001A3DBB"/>
    <w:rsid w:val="001A3F35"/>
    <w:rsid w:val="001A3F7C"/>
    <w:rsid w:val="001A4068"/>
    <w:rsid w:val="001A4137"/>
    <w:rsid w:val="001A4164"/>
    <w:rsid w:val="001A4200"/>
    <w:rsid w:val="001A438A"/>
    <w:rsid w:val="001A43EA"/>
    <w:rsid w:val="001A46C1"/>
    <w:rsid w:val="001A4C30"/>
    <w:rsid w:val="001A4DE7"/>
    <w:rsid w:val="001A4EBD"/>
    <w:rsid w:val="001A504A"/>
    <w:rsid w:val="001A5127"/>
    <w:rsid w:val="001A535B"/>
    <w:rsid w:val="001A5377"/>
    <w:rsid w:val="001A5605"/>
    <w:rsid w:val="001A5777"/>
    <w:rsid w:val="001A5979"/>
    <w:rsid w:val="001A5A03"/>
    <w:rsid w:val="001A5B03"/>
    <w:rsid w:val="001A5B2A"/>
    <w:rsid w:val="001A5BAD"/>
    <w:rsid w:val="001A5C5A"/>
    <w:rsid w:val="001A6192"/>
    <w:rsid w:val="001A61BC"/>
    <w:rsid w:val="001A63D1"/>
    <w:rsid w:val="001A6426"/>
    <w:rsid w:val="001A64B1"/>
    <w:rsid w:val="001A6B26"/>
    <w:rsid w:val="001A6D2E"/>
    <w:rsid w:val="001A6E51"/>
    <w:rsid w:val="001A6E63"/>
    <w:rsid w:val="001A71BC"/>
    <w:rsid w:val="001A7705"/>
    <w:rsid w:val="001A773E"/>
    <w:rsid w:val="001A7C1E"/>
    <w:rsid w:val="001A7C26"/>
    <w:rsid w:val="001A7C60"/>
    <w:rsid w:val="001A7D05"/>
    <w:rsid w:val="001A7F72"/>
    <w:rsid w:val="001B0019"/>
    <w:rsid w:val="001B018F"/>
    <w:rsid w:val="001B01D5"/>
    <w:rsid w:val="001B0346"/>
    <w:rsid w:val="001B03CC"/>
    <w:rsid w:val="001B0454"/>
    <w:rsid w:val="001B04E4"/>
    <w:rsid w:val="001B0507"/>
    <w:rsid w:val="001B056D"/>
    <w:rsid w:val="001B08A1"/>
    <w:rsid w:val="001B08EC"/>
    <w:rsid w:val="001B0AB1"/>
    <w:rsid w:val="001B116C"/>
    <w:rsid w:val="001B1322"/>
    <w:rsid w:val="001B13A4"/>
    <w:rsid w:val="001B1646"/>
    <w:rsid w:val="001B1677"/>
    <w:rsid w:val="001B1D4B"/>
    <w:rsid w:val="001B1D63"/>
    <w:rsid w:val="001B1E70"/>
    <w:rsid w:val="001B22F0"/>
    <w:rsid w:val="001B244F"/>
    <w:rsid w:val="001B2674"/>
    <w:rsid w:val="001B26F5"/>
    <w:rsid w:val="001B2891"/>
    <w:rsid w:val="001B2988"/>
    <w:rsid w:val="001B2BD0"/>
    <w:rsid w:val="001B2DC2"/>
    <w:rsid w:val="001B2DE1"/>
    <w:rsid w:val="001B2F92"/>
    <w:rsid w:val="001B30C8"/>
    <w:rsid w:val="001B3190"/>
    <w:rsid w:val="001B3495"/>
    <w:rsid w:val="001B35A0"/>
    <w:rsid w:val="001B37A3"/>
    <w:rsid w:val="001B3A17"/>
    <w:rsid w:val="001B3ACB"/>
    <w:rsid w:val="001B3B90"/>
    <w:rsid w:val="001B3BF7"/>
    <w:rsid w:val="001B3CCD"/>
    <w:rsid w:val="001B3D7A"/>
    <w:rsid w:val="001B3DDF"/>
    <w:rsid w:val="001B3E64"/>
    <w:rsid w:val="001B3F4E"/>
    <w:rsid w:val="001B3FF5"/>
    <w:rsid w:val="001B4066"/>
    <w:rsid w:val="001B4077"/>
    <w:rsid w:val="001B41D6"/>
    <w:rsid w:val="001B42E4"/>
    <w:rsid w:val="001B4485"/>
    <w:rsid w:val="001B4647"/>
    <w:rsid w:val="001B4B36"/>
    <w:rsid w:val="001B4E70"/>
    <w:rsid w:val="001B4FEA"/>
    <w:rsid w:val="001B53C0"/>
    <w:rsid w:val="001B544F"/>
    <w:rsid w:val="001B55C5"/>
    <w:rsid w:val="001B5682"/>
    <w:rsid w:val="001B56EA"/>
    <w:rsid w:val="001B5798"/>
    <w:rsid w:val="001B58F8"/>
    <w:rsid w:val="001B5D0F"/>
    <w:rsid w:val="001B5D3D"/>
    <w:rsid w:val="001B5F85"/>
    <w:rsid w:val="001B61E3"/>
    <w:rsid w:val="001B6248"/>
    <w:rsid w:val="001B6430"/>
    <w:rsid w:val="001B6594"/>
    <w:rsid w:val="001B659D"/>
    <w:rsid w:val="001B6609"/>
    <w:rsid w:val="001B67CC"/>
    <w:rsid w:val="001B6AA1"/>
    <w:rsid w:val="001B6ACC"/>
    <w:rsid w:val="001B6AEC"/>
    <w:rsid w:val="001B6B0C"/>
    <w:rsid w:val="001B6CD3"/>
    <w:rsid w:val="001B6E32"/>
    <w:rsid w:val="001B70F0"/>
    <w:rsid w:val="001B7170"/>
    <w:rsid w:val="001B7233"/>
    <w:rsid w:val="001B726D"/>
    <w:rsid w:val="001B72B3"/>
    <w:rsid w:val="001B73BE"/>
    <w:rsid w:val="001B7589"/>
    <w:rsid w:val="001B769C"/>
    <w:rsid w:val="001B77FE"/>
    <w:rsid w:val="001B78E7"/>
    <w:rsid w:val="001B7C16"/>
    <w:rsid w:val="001B7CCE"/>
    <w:rsid w:val="001B7E38"/>
    <w:rsid w:val="001B7E3B"/>
    <w:rsid w:val="001B7F1F"/>
    <w:rsid w:val="001B7F45"/>
    <w:rsid w:val="001B7F4E"/>
    <w:rsid w:val="001C0082"/>
    <w:rsid w:val="001C00BE"/>
    <w:rsid w:val="001C02B1"/>
    <w:rsid w:val="001C035D"/>
    <w:rsid w:val="001C04CA"/>
    <w:rsid w:val="001C05F4"/>
    <w:rsid w:val="001C06E8"/>
    <w:rsid w:val="001C08E7"/>
    <w:rsid w:val="001C0A7C"/>
    <w:rsid w:val="001C0D39"/>
    <w:rsid w:val="001C0E53"/>
    <w:rsid w:val="001C116A"/>
    <w:rsid w:val="001C11EC"/>
    <w:rsid w:val="001C128E"/>
    <w:rsid w:val="001C12EB"/>
    <w:rsid w:val="001C132C"/>
    <w:rsid w:val="001C13BC"/>
    <w:rsid w:val="001C13BE"/>
    <w:rsid w:val="001C142D"/>
    <w:rsid w:val="001C1440"/>
    <w:rsid w:val="001C14D0"/>
    <w:rsid w:val="001C15BD"/>
    <w:rsid w:val="001C1636"/>
    <w:rsid w:val="001C1681"/>
    <w:rsid w:val="001C1773"/>
    <w:rsid w:val="001C1BF9"/>
    <w:rsid w:val="001C1E20"/>
    <w:rsid w:val="001C1EDD"/>
    <w:rsid w:val="001C1EF9"/>
    <w:rsid w:val="001C1F31"/>
    <w:rsid w:val="001C20C0"/>
    <w:rsid w:val="001C210D"/>
    <w:rsid w:val="001C26BB"/>
    <w:rsid w:val="001C2707"/>
    <w:rsid w:val="001C287A"/>
    <w:rsid w:val="001C2A7D"/>
    <w:rsid w:val="001C2BC5"/>
    <w:rsid w:val="001C2D7C"/>
    <w:rsid w:val="001C3580"/>
    <w:rsid w:val="001C38FB"/>
    <w:rsid w:val="001C39EC"/>
    <w:rsid w:val="001C3ABD"/>
    <w:rsid w:val="001C3E2A"/>
    <w:rsid w:val="001C3F4F"/>
    <w:rsid w:val="001C428C"/>
    <w:rsid w:val="001C4295"/>
    <w:rsid w:val="001C4320"/>
    <w:rsid w:val="001C4490"/>
    <w:rsid w:val="001C46D9"/>
    <w:rsid w:val="001C47F0"/>
    <w:rsid w:val="001C47F5"/>
    <w:rsid w:val="001C485E"/>
    <w:rsid w:val="001C486C"/>
    <w:rsid w:val="001C496E"/>
    <w:rsid w:val="001C4A8E"/>
    <w:rsid w:val="001C4D9A"/>
    <w:rsid w:val="001C4FA4"/>
    <w:rsid w:val="001C4FFB"/>
    <w:rsid w:val="001C52B2"/>
    <w:rsid w:val="001C5336"/>
    <w:rsid w:val="001C5517"/>
    <w:rsid w:val="001C5553"/>
    <w:rsid w:val="001C5629"/>
    <w:rsid w:val="001C5754"/>
    <w:rsid w:val="001C5AAF"/>
    <w:rsid w:val="001C5B08"/>
    <w:rsid w:val="001C5C6E"/>
    <w:rsid w:val="001C5D02"/>
    <w:rsid w:val="001C5E00"/>
    <w:rsid w:val="001C5E66"/>
    <w:rsid w:val="001C60BB"/>
    <w:rsid w:val="001C61CF"/>
    <w:rsid w:val="001C6404"/>
    <w:rsid w:val="001C645A"/>
    <w:rsid w:val="001C6644"/>
    <w:rsid w:val="001C6B55"/>
    <w:rsid w:val="001C6C4D"/>
    <w:rsid w:val="001C6D2D"/>
    <w:rsid w:val="001C6D46"/>
    <w:rsid w:val="001C6EDC"/>
    <w:rsid w:val="001C6FBD"/>
    <w:rsid w:val="001C7064"/>
    <w:rsid w:val="001C720D"/>
    <w:rsid w:val="001C726A"/>
    <w:rsid w:val="001C737A"/>
    <w:rsid w:val="001C7465"/>
    <w:rsid w:val="001C762E"/>
    <w:rsid w:val="001C7882"/>
    <w:rsid w:val="001C7946"/>
    <w:rsid w:val="001C7995"/>
    <w:rsid w:val="001C7F2A"/>
    <w:rsid w:val="001D00F7"/>
    <w:rsid w:val="001D0404"/>
    <w:rsid w:val="001D0AF9"/>
    <w:rsid w:val="001D0C24"/>
    <w:rsid w:val="001D0E5D"/>
    <w:rsid w:val="001D0F02"/>
    <w:rsid w:val="001D115F"/>
    <w:rsid w:val="001D120E"/>
    <w:rsid w:val="001D12A4"/>
    <w:rsid w:val="001D12BB"/>
    <w:rsid w:val="001D1317"/>
    <w:rsid w:val="001D140E"/>
    <w:rsid w:val="001D1520"/>
    <w:rsid w:val="001D18C8"/>
    <w:rsid w:val="001D1DC1"/>
    <w:rsid w:val="001D1E1C"/>
    <w:rsid w:val="001D2088"/>
    <w:rsid w:val="001D20D0"/>
    <w:rsid w:val="001D266E"/>
    <w:rsid w:val="001D2774"/>
    <w:rsid w:val="001D27C5"/>
    <w:rsid w:val="001D291A"/>
    <w:rsid w:val="001D2973"/>
    <w:rsid w:val="001D2CBB"/>
    <w:rsid w:val="001D2D9D"/>
    <w:rsid w:val="001D2FB6"/>
    <w:rsid w:val="001D300C"/>
    <w:rsid w:val="001D30CC"/>
    <w:rsid w:val="001D31A4"/>
    <w:rsid w:val="001D33FD"/>
    <w:rsid w:val="001D34A1"/>
    <w:rsid w:val="001D35E6"/>
    <w:rsid w:val="001D369C"/>
    <w:rsid w:val="001D36B8"/>
    <w:rsid w:val="001D36C6"/>
    <w:rsid w:val="001D3741"/>
    <w:rsid w:val="001D3795"/>
    <w:rsid w:val="001D3995"/>
    <w:rsid w:val="001D3A61"/>
    <w:rsid w:val="001D3A79"/>
    <w:rsid w:val="001D3C37"/>
    <w:rsid w:val="001D3DB0"/>
    <w:rsid w:val="001D3FFA"/>
    <w:rsid w:val="001D43C1"/>
    <w:rsid w:val="001D4459"/>
    <w:rsid w:val="001D4539"/>
    <w:rsid w:val="001D46FC"/>
    <w:rsid w:val="001D4719"/>
    <w:rsid w:val="001D47A8"/>
    <w:rsid w:val="001D4A81"/>
    <w:rsid w:val="001D4D43"/>
    <w:rsid w:val="001D4E1D"/>
    <w:rsid w:val="001D4F1D"/>
    <w:rsid w:val="001D4F87"/>
    <w:rsid w:val="001D512F"/>
    <w:rsid w:val="001D5238"/>
    <w:rsid w:val="001D525C"/>
    <w:rsid w:val="001D52F3"/>
    <w:rsid w:val="001D5470"/>
    <w:rsid w:val="001D5690"/>
    <w:rsid w:val="001D5752"/>
    <w:rsid w:val="001D57A3"/>
    <w:rsid w:val="001D57CD"/>
    <w:rsid w:val="001D5879"/>
    <w:rsid w:val="001D5D3D"/>
    <w:rsid w:val="001D5DB6"/>
    <w:rsid w:val="001D5E1C"/>
    <w:rsid w:val="001D5FB2"/>
    <w:rsid w:val="001D6206"/>
    <w:rsid w:val="001D620D"/>
    <w:rsid w:val="001D622E"/>
    <w:rsid w:val="001D64D5"/>
    <w:rsid w:val="001D67CC"/>
    <w:rsid w:val="001D67CF"/>
    <w:rsid w:val="001D688A"/>
    <w:rsid w:val="001D69BB"/>
    <w:rsid w:val="001D6D0A"/>
    <w:rsid w:val="001D6D6A"/>
    <w:rsid w:val="001D70C9"/>
    <w:rsid w:val="001D71B8"/>
    <w:rsid w:val="001D7B3C"/>
    <w:rsid w:val="001D7CD3"/>
    <w:rsid w:val="001D7DC5"/>
    <w:rsid w:val="001E0068"/>
    <w:rsid w:val="001E00B6"/>
    <w:rsid w:val="001E0166"/>
    <w:rsid w:val="001E02E8"/>
    <w:rsid w:val="001E0350"/>
    <w:rsid w:val="001E03C9"/>
    <w:rsid w:val="001E0507"/>
    <w:rsid w:val="001E081B"/>
    <w:rsid w:val="001E093E"/>
    <w:rsid w:val="001E0959"/>
    <w:rsid w:val="001E0979"/>
    <w:rsid w:val="001E0C0A"/>
    <w:rsid w:val="001E0E42"/>
    <w:rsid w:val="001E0F3A"/>
    <w:rsid w:val="001E124B"/>
    <w:rsid w:val="001E12A6"/>
    <w:rsid w:val="001E12B8"/>
    <w:rsid w:val="001E1305"/>
    <w:rsid w:val="001E15A5"/>
    <w:rsid w:val="001E178D"/>
    <w:rsid w:val="001E19CA"/>
    <w:rsid w:val="001E1A17"/>
    <w:rsid w:val="001E1CFE"/>
    <w:rsid w:val="001E1D74"/>
    <w:rsid w:val="001E1FBB"/>
    <w:rsid w:val="001E22F2"/>
    <w:rsid w:val="001E231B"/>
    <w:rsid w:val="001E2386"/>
    <w:rsid w:val="001E258F"/>
    <w:rsid w:val="001E2608"/>
    <w:rsid w:val="001E2B8B"/>
    <w:rsid w:val="001E2BF6"/>
    <w:rsid w:val="001E2C1C"/>
    <w:rsid w:val="001E2C70"/>
    <w:rsid w:val="001E2C7D"/>
    <w:rsid w:val="001E2CBE"/>
    <w:rsid w:val="001E2DA4"/>
    <w:rsid w:val="001E2DC9"/>
    <w:rsid w:val="001E2EEE"/>
    <w:rsid w:val="001E2EF1"/>
    <w:rsid w:val="001E2F34"/>
    <w:rsid w:val="001E2F5D"/>
    <w:rsid w:val="001E315F"/>
    <w:rsid w:val="001E3246"/>
    <w:rsid w:val="001E32CE"/>
    <w:rsid w:val="001E33EE"/>
    <w:rsid w:val="001E3700"/>
    <w:rsid w:val="001E3780"/>
    <w:rsid w:val="001E39AC"/>
    <w:rsid w:val="001E39B8"/>
    <w:rsid w:val="001E3B01"/>
    <w:rsid w:val="001E3C89"/>
    <w:rsid w:val="001E3E55"/>
    <w:rsid w:val="001E3EA5"/>
    <w:rsid w:val="001E3FE6"/>
    <w:rsid w:val="001E412E"/>
    <w:rsid w:val="001E436C"/>
    <w:rsid w:val="001E456E"/>
    <w:rsid w:val="001E45D0"/>
    <w:rsid w:val="001E4A72"/>
    <w:rsid w:val="001E4AAA"/>
    <w:rsid w:val="001E4AF3"/>
    <w:rsid w:val="001E4B1B"/>
    <w:rsid w:val="001E4BF3"/>
    <w:rsid w:val="001E4C29"/>
    <w:rsid w:val="001E4C81"/>
    <w:rsid w:val="001E4D73"/>
    <w:rsid w:val="001E4ED4"/>
    <w:rsid w:val="001E4F21"/>
    <w:rsid w:val="001E4FE9"/>
    <w:rsid w:val="001E53E2"/>
    <w:rsid w:val="001E54A8"/>
    <w:rsid w:val="001E55CE"/>
    <w:rsid w:val="001E56AD"/>
    <w:rsid w:val="001E56D3"/>
    <w:rsid w:val="001E5B49"/>
    <w:rsid w:val="001E613D"/>
    <w:rsid w:val="001E6818"/>
    <w:rsid w:val="001E6AE1"/>
    <w:rsid w:val="001E6B59"/>
    <w:rsid w:val="001E6E3F"/>
    <w:rsid w:val="001E6E48"/>
    <w:rsid w:val="001E6FA1"/>
    <w:rsid w:val="001E702F"/>
    <w:rsid w:val="001E7174"/>
    <w:rsid w:val="001E72C6"/>
    <w:rsid w:val="001E7355"/>
    <w:rsid w:val="001E75EF"/>
    <w:rsid w:val="001E7A2D"/>
    <w:rsid w:val="001E7E4C"/>
    <w:rsid w:val="001E7E94"/>
    <w:rsid w:val="001E7FAE"/>
    <w:rsid w:val="001E7FC6"/>
    <w:rsid w:val="001F014B"/>
    <w:rsid w:val="001F039F"/>
    <w:rsid w:val="001F03B4"/>
    <w:rsid w:val="001F049C"/>
    <w:rsid w:val="001F049F"/>
    <w:rsid w:val="001F0888"/>
    <w:rsid w:val="001F0980"/>
    <w:rsid w:val="001F0D0F"/>
    <w:rsid w:val="001F0DFC"/>
    <w:rsid w:val="001F0EE8"/>
    <w:rsid w:val="001F12C3"/>
    <w:rsid w:val="001F1367"/>
    <w:rsid w:val="001F1577"/>
    <w:rsid w:val="001F164B"/>
    <w:rsid w:val="001F1657"/>
    <w:rsid w:val="001F16E0"/>
    <w:rsid w:val="001F17B6"/>
    <w:rsid w:val="001F17BB"/>
    <w:rsid w:val="001F186A"/>
    <w:rsid w:val="001F18BB"/>
    <w:rsid w:val="001F19E0"/>
    <w:rsid w:val="001F19EB"/>
    <w:rsid w:val="001F1A95"/>
    <w:rsid w:val="001F1B7C"/>
    <w:rsid w:val="001F1EB3"/>
    <w:rsid w:val="001F1EEC"/>
    <w:rsid w:val="001F1EF3"/>
    <w:rsid w:val="001F1FDD"/>
    <w:rsid w:val="001F208D"/>
    <w:rsid w:val="001F230C"/>
    <w:rsid w:val="001F2391"/>
    <w:rsid w:val="001F2414"/>
    <w:rsid w:val="001F2539"/>
    <w:rsid w:val="001F2579"/>
    <w:rsid w:val="001F262F"/>
    <w:rsid w:val="001F26CD"/>
    <w:rsid w:val="001F279F"/>
    <w:rsid w:val="001F291B"/>
    <w:rsid w:val="001F2A33"/>
    <w:rsid w:val="001F2A34"/>
    <w:rsid w:val="001F2ACE"/>
    <w:rsid w:val="001F2B10"/>
    <w:rsid w:val="001F2D79"/>
    <w:rsid w:val="001F2DA6"/>
    <w:rsid w:val="001F2E7C"/>
    <w:rsid w:val="001F3321"/>
    <w:rsid w:val="001F336C"/>
    <w:rsid w:val="001F34AA"/>
    <w:rsid w:val="001F3578"/>
    <w:rsid w:val="001F360E"/>
    <w:rsid w:val="001F37E2"/>
    <w:rsid w:val="001F3824"/>
    <w:rsid w:val="001F3A54"/>
    <w:rsid w:val="001F3CC9"/>
    <w:rsid w:val="001F3D6A"/>
    <w:rsid w:val="001F3F4F"/>
    <w:rsid w:val="001F40E3"/>
    <w:rsid w:val="001F4654"/>
    <w:rsid w:val="001F4690"/>
    <w:rsid w:val="001F471E"/>
    <w:rsid w:val="001F47A0"/>
    <w:rsid w:val="001F4885"/>
    <w:rsid w:val="001F48E7"/>
    <w:rsid w:val="001F4B0B"/>
    <w:rsid w:val="001F4BFD"/>
    <w:rsid w:val="001F4D4D"/>
    <w:rsid w:val="001F5115"/>
    <w:rsid w:val="001F5143"/>
    <w:rsid w:val="001F518C"/>
    <w:rsid w:val="001F5212"/>
    <w:rsid w:val="001F52EB"/>
    <w:rsid w:val="001F54B3"/>
    <w:rsid w:val="001F5AAF"/>
    <w:rsid w:val="001F5AC1"/>
    <w:rsid w:val="001F5AEC"/>
    <w:rsid w:val="001F5D1C"/>
    <w:rsid w:val="001F5DDF"/>
    <w:rsid w:val="001F5DF4"/>
    <w:rsid w:val="001F5F78"/>
    <w:rsid w:val="001F606A"/>
    <w:rsid w:val="001F6092"/>
    <w:rsid w:val="001F61FC"/>
    <w:rsid w:val="001F62EF"/>
    <w:rsid w:val="001F63CA"/>
    <w:rsid w:val="001F6673"/>
    <w:rsid w:val="001F68EC"/>
    <w:rsid w:val="001F6988"/>
    <w:rsid w:val="001F6B2B"/>
    <w:rsid w:val="001F6CBF"/>
    <w:rsid w:val="001F6D9D"/>
    <w:rsid w:val="001F6DD1"/>
    <w:rsid w:val="001F6E3B"/>
    <w:rsid w:val="001F6E9D"/>
    <w:rsid w:val="001F7045"/>
    <w:rsid w:val="001F7528"/>
    <w:rsid w:val="001F75E3"/>
    <w:rsid w:val="001F782C"/>
    <w:rsid w:val="001F78CD"/>
    <w:rsid w:val="001F79D4"/>
    <w:rsid w:val="001F79D9"/>
    <w:rsid w:val="001F7A67"/>
    <w:rsid w:val="001F7B10"/>
    <w:rsid w:val="001F7D6B"/>
    <w:rsid w:val="0020022F"/>
    <w:rsid w:val="00200358"/>
    <w:rsid w:val="002003BF"/>
    <w:rsid w:val="002003C4"/>
    <w:rsid w:val="002008AD"/>
    <w:rsid w:val="0020094E"/>
    <w:rsid w:val="00200B9C"/>
    <w:rsid w:val="00200CD1"/>
    <w:rsid w:val="00200DDF"/>
    <w:rsid w:val="00201038"/>
    <w:rsid w:val="002010A5"/>
    <w:rsid w:val="002010F8"/>
    <w:rsid w:val="002010FB"/>
    <w:rsid w:val="00201419"/>
    <w:rsid w:val="0020196D"/>
    <w:rsid w:val="0020199F"/>
    <w:rsid w:val="00201C0B"/>
    <w:rsid w:val="00201C57"/>
    <w:rsid w:val="00201E53"/>
    <w:rsid w:val="00201E94"/>
    <w:rsid w:val="00201EC8"/>
    <w:rsid w:val="002021BD"/>
    <w:rsid w:val="00202293"/>
    <w:rsid w:val="00202446"/>
    <w:rsid w:val="002028E0"/>
    <w:rsid w:val="00202A97"/>
    <w:rsid w:val="00202AE3"/>
    <w:rsid w:val="00202B4A"/>
    <w:rsid w:val="00202BEA"/>
    <w:rsid w:val="00202C9D"/>
    <w:rsid w:val="00202D89"/>
    <w:rsid w:val="00202E56"/>
    <w:rsid w:val="00202EC1"/>
    <w:rsid w:val="00202F0C"/>
    <w:rsid w:val="00202F8B"/>
    <w:rsid w:val="0020303C"/>
    <w:rsid w:val="0020307A"/>
    <w:rsid w:val="00203164"/>
    <w:rsid w:val="0020322C"/>
    <w:rsid w:val="00203236"/>
    <w:rsid w:val="00203866"/>
    <w:rsid w:val="002038D6"/>
    <w:rsid w:val="002038FC"/>
    <w:rsid w:val="00203995"/>
    <w:rsid w:val="00203B9C"/>
    <w:rsid w:val="00203BE9"/>
    <w:rsid w:val="00203C2E"/>
    <w:rsid w:val="00203D8B"/>
    <w:rsid w:val="00203DD7"/>
    <w:rsid w:val="00203E7F"/>
    <w:rsid w:val="00204037"/>
    <w:rsid w:val="002040AB"/>
    <w:rsid w:val="00204102"/>
    <w:rsid w:val="002046B6"/>
    <w:rsid w:val="00204A3B"/>
    <w:rsid w:val="00205220"/>
    <w:rsid w:val="00205248"/>
    <w:rsid w:val="00205457"/>
    <w:rsid w:val="00205485"/>
    <w:rsid w:val="00205504"/>
    <w:rsid w:val="0020573F"/>
    <w:rsid w:val="00205BE5"/>
    <w:rsid w:val="00205C9F"/>
    <w:rsid w:val="00205CA0"/>
    <w:rsid w:val="00205CA8"/>
    <w:rsid w:val="00205DBA"/>
    <w:rsid w:val="00205E03"/>
    <w:rsid w:val="00205ED4"/>
    <w:rsid w:val="00205F4D"/>
    <w:rsid w:val="00206127"/>
    <w:rsid w:val="00206219"/>
    <w:rsid w:val="0020622B"/>
    <w:rsid w:val="00206261"/>
    <w:rsid w:val="002062DF"/>
    <w:rsid w:val="00206427"/>
    <w:rsid w:val="00206469"/>
    <w:rsid w:val="002065BA"/>
    <w:rsid w:val="002066EA"/>
    <w:rsid w:val="00206766"/>
    <w:rsid w:val="00206871"/>
    <w:rsid w:val="00206886"/>
    <w:rsid w:val="00206A6E"/>
    <w:rsid w:val="00206C3F"/>
    <w:rsid w:val="00206C60"/>
    <w:rsid w:val="00206F60"/>
    <w:rsid w:val="00206FB4"/>
    <w:rsid w:val="00207022"/>
    <w:rsid w:val="002072DB"/>
    <w:rsid w:val="0020730B"/>
    <w:rsid w:val="0020758D"/>
    <w:rsid w:val="0020763A"/>
    <w:rsid w:val="002076E2"/>
    <w:rsid w:val="00207830"/>
    <w:rsid w:val="00207BE0"/>
    <w:rsid w:val="00207C1A"/>
    <w:rsid w:val="00207F22"/>
    <w:rsid w:val="002101E2"/>
    <w:rsid w:val="00210202"/>
    <w:rsid w:val="0021058E"/>
    <w:rsid w:val="002107CA"/>
    <w:rsid w:val="002107FB"/>
    <w:rsid w:val="00210849"/>
    <w:rsid w:val="00210942"/>
    <w:rsid w:val="00210B1B"/>
    <w:rsid w:val="00210B71"/>
    <w:rsid w:val="00210DA5"/>
    <w:rsid w:val="00210E42"/>
    <w:rsid w:val="00210E5C"/>
    <w:rsid w:val="00210EA2"/>
    <w:rsid w:val="0021105B"/>
    <w:rsid w:val="0021120D"/>
    <w:rsid w:val="002113D9"/>
    <w:rsid w:val="002113F5"/>
    <w:rsid w:val="002115CF"/>
    <w:rsid w:val="0021168E"/>
    <w:rsid w:val="00211964"/>
    <w:rsid w:val="00211A23"/>
    <w:rsid w:val="00211D7F"/>
    <w:rsid w:val="00211EE6"/>
    <w:rsid w:val="00211FF5"/>
    <w:rsid w:val="0021209D"/>
    <w:rsid w:val="002127B0"/>
    <w:rsid w:val="002127BE"/>
    <w:rsid w:val="0021282C"/>
    <w:rsid w:val="00212879"/>
    <w:rsid w:val="002128BA"/>
    <w:rsid w:val="00212943"/>
    <w:rsid w:val="00212A90"/>
    <w:rsid w:val="00212B9B"/>
    <w:rsid w:val="00212BC7"/>
    <w:rsid w:val="00212CBD"/>
    <w:rsid w:val="00212D5A"/>
    <w:rsid w:val="00212DBA"/>
    <w:rsid w:val="00212DF7"/>
    <w:rsid w:val="00212E06"/>
    <w:rsid w:val="002131AC"/>
    <w:rsid w:val="0021353B"/>
    <w:rsid w:val="002135F4"/>
    <w:rsid w:val="002139CC"/>
    <w:rsid w:val="00213A19"/>
    <w:rsid w:val="00213BEC"/>
    <w:rsid w:val="00214096"/>
    <w:rsid w:val="002141CE"/>
    <w:rsid w:val="002142A4"/>
    <w:rsid w:val="002142FF"/>
    <w:rsid w:val="0021438F"/>
    <w:rsid w:val="0021453E"/>
    <w:rsid w:val="002145A8"/>
    <w:rsid w:val="00214D39"/>
    <w:rsid w:val="00214DD3"/>
    <w:rsid w:val="002150AD"/>
    <w:rsid w:val="00215160"/>
    <w:rsid w:val="00215239"/>
    <w:rsid w:val="00215298"/>
    <w:rsid w:val="00215522"/>
    <w:rsid w:val="0021560F"/>
    <w:rsid w:val="00215A9B"/>
    <w:rsid w:val="00215B0A"/>
    <w:rsid w:val="00215BD2"/>
    <w:rsid w:val="00215C61"/>
    <w:rsid w:val="00215D37"/>
    <w:rsid w:val="00215DB2"/>
    <w:rsid w:val="00215DF7"/>
    <w:rsid w:val="00215E7E"/>
    <w:rsid w:val="00215FF7"/>
    <w:rsid w:val="00216063"/>
    <w:rsid w:val="00216100"/>
    <w:rsid w:val="002161AF"/>
    <w:rsid w:val="002161CD"/>
    <w:rsid w:val="0021646E"/>
    <w:rsid w:val="0021647B"/>
    <w:rsid w:val="0021653A"/>
    <w:rsid w:val="002166F8"/>
    <w:rsid w:val="0021678B"/>
    <w:rsid w:val="00216807"/>
    <w:rsid w:val="00216A2E"/>
    <w:rsid w:val="0021723F"/>
    <w:rsid w:val="0021738E"/>
    <w:rsid w:val="002175B1"/>
    <w:rsid w:val="0021761F"/>
    <w:rsid w:val="002177E6"/>
    <w:rsid w:val="002178EE"/>
    <w:rsid w:val="00217904"/>
    <w:rsid w:val="0021791B"/>
    <w:rsid w:val="0021792D"/>
    <w:rsid w:val="00217968"/>
    <w:rsid w:val="00217A60"/>
    <w:rsid w:val="00217B33"/>
    <w:rsid w:val="00217B87"/>
    <w:rsid w:val="00217BC8"/>
    <w:rsid w:val="00220302"/>
    <w:rsid w:val="0022078D"/>
    <w:rsid w:val="002209AE"/>
    <w:rsid w:val="00220A04"/>
    <w:rsid w:val="00220BAD"/>
    <w:rsid w:val="00220C85"/>
    <w:rsid w:val="00220CBC"/>
    <w:rsid w:val="00220EE7"/>
    <w:rsid w:val="00221039"/>
    <w:rsid w:val="0022116A"/>
    <w:rsid w:val="002212C3"/>
    <w:rsid w:val="0022147A"/>
    <w:rsid w:val="00221493"/>
    <w:rsid w:val="0022149B"/>
    <w:rsid w:val="002215AF"/>
    <w:rsid w:val="00221640"/>
    <w:rsid w:val="0022187B"/>
    <w:rsid w:val="00221B7D"/>
    <w:rsid w:val="00221BAD"/>
    <w:rsid w:val="00221BBF"/>
    <w:rsid w:val="00221BFA"/>
    <w:rsid w:val="00221E9F"/>
    <w:rsid w:val="00222132"/>
    <w:rsid w:val="002221EB"/>
    <w:rsid w:val="0022241D"/>
    <w:rsid w:val="00222497"/>
    <w:rsid w:val="0022269B"/>
    <w:rsid w:val="002228E8"/>
    <w:rsid w:val="002228EC"/>
    <w:rsid w:val="002228F6"/>
    <w:rsid w:val="00222B97"/>
    <w:rsid w:val="00222BB2"/>
    <w:rsid w:val="00222C46"/>
    <w:rsid w:val="00222C82"/>
    <w:rsid w:val="00222D32"/>
    <w:rsid w:val="00222ED3"/>
    <w:rsid w:val="00223172"/>
    <w:rsid w:val="00223188"/>
    <w:rsid w:val="0022351F"/>
    <w:rsid w:val="0022356E"/>
    <w:rsid w:val="002235B6"/>
    <w:rsid w:val="002235D9"/>
    <w:rsid w:val="00223601"/>
    <w:rsid w:val="00223621"/>
    <w:rsid w:val="00223890"/>
    <w:rsid w:val="002239F2"/>
    <w:rsid w:val="00223A92"/>
    <w:rsid w:val="00223AC3"/>
    <w:rsid w:val="00223D2F"/>
    <w:rsid w:val="00223F11"/>
    <w:rsid w:val="0022401D"/>
    <w:rsid w:val="002243B7"/>
    <w:rsid w:val="00224480"/>
    <w:rsid w:val="002245B1"/>
    <w:rsid w:val="002245F4"/>
    <w:rsid w:val="00224754"/>
    <w:rsid w:val="0022493A"/>
    <w:rsid w:val="00224C97"/>
    <w:rsid w:val="00224CFC"/>
    <w:rsid w:val="00225333"/>
    <w:rsid w:val="0022535D"/>
    <w:rsid w:val="00225372"/>
    <w:rsid w:val="00225507"/>
    <w:rsid w:val="0022560D"/>
    <w:rsid w:val="00225793"/>
    <w:rsid w:val="0022580D"/>
    <w:rsid w:val="00225B20"/>
    <w:rsid w:val="00225B97"/>
    <w:rsid w:val="00225C2D"/>
    <w:rsid w:val="0022607D"/>
    <w:rsid w:val="0022623A"/>
    <w:rsid w:val="0022644F"/>
    <w:rsid w:val="002265AC"/>
    <w:rsid w:val="00226A9C"/>
    <w:rsid w:val="00226C30"/>
    <w:rsid w:val="00226E32"/>
    <w:rsid w:val="002270C3"/>
    <w:rsid w:val="0022710F"/>
    <w:rsid w:val="00227195"/>
    <w:rsid w:val="002271DE"/>
    <w:rsid w:val="00227210"/>
    <w:rsid w:val="00227221"/>
    <w:rsid w:val="00227244"/>
    <w:rsid w:val="0022733A"/>
    <w:rsid w:val="002278EF"/>
    <w:rsid w:val="002279BD"/>
    <w:rsid w:val="00227C37"/>
    <w:rsid w:val="00227D58"/>
    <w:rsid w:val="00227E18"/>
    <w:rsid w:val="00227E2D"/>
    <w:rsid w:val="00227ED0"/>
    <w:rsid w:val="00227F41"/>
    <w:rsid w:val="00227F51"/>
    <w:rsid w:val="00230038"/>
    <w:rsid w:val="002302FE"/>
    <w:rsid w:val="00230356"/>
    <w:rsid w:val="00230458"/>
    <w:rsid w:val="002305F5"/>
    <w:rsid w:val="0023092E"/>
    <w:rsid w:val="00230988"/>
    <w:rsid w:val="00230B78"/>
    <w:rsid w:val="00230B8C"/>
    <w:rsid w:val="00230D04"/>
    <w:rsid w:val="00230D51"/>
    <w:rsid w:val="00230EB7"/>
    <w:rsid w:val="00230EBD"/>
    <w:rsid w:val="00231100"/>
    <w:rsid w:val="002311DE"/>
    <w:rsid w:val="0023135B"/>
    <w:rsid w:val="0023146E"/>
    <w:rsid w:val="002315DA"/>
    <w:rsid w:val="00231686"/>
    <w:rsid w:val="002316F6"/>
    <w:rsid w:val="002317C7"/>
    <w:rsid w:val="00231851"/>
    <w:rsid w:val="0023189E"/>
    <w:rsid w:val="00231A27"/>
    <w:rsid w:val="00231A8B"/>
    <w:rsid w:val="00231BB8"/>
    <w:rsid w:val="00232002"/>
    <w:rsid w:val="0023200A"/>
    <w:rsid w:val="00232037"/>
    <w:rsid w:val="0023223E"/>
    <w:rsid w:val="00232375"/>
    <w:rsid w:val="00232466"/>
    <w:rsid w:val="00232626"/>
    <w:rsid w:val="0023271D"/>
    <w:rsid w:val="0023282B"/>
    <w:rsid w:val="002328E3"/>
    <w:rsid w:val="002329CB"/>
    <w:rsid w:val="00232AE4"/>
    <w:rsid w:val="00232CFD"/>
    <w:rsid w:val="00232F05"/>
    <w:rsid w:val="00233062"/>
    <w:rsid w:val="0023321E"/>
    <w:rsid w:val="002332AE"/>
    <w:rsid w:val="0023343A"/>
    <w:rsid w:val="0023360A"/>
    <w:rsid w:val="00233761"/>
    <w:rsid w:val="00233798"/>
    <w:rsid w:val="002337F2"/>
    <w:rsid w:val="002338AA"/>
    <w:rsid w:val="00233AB1"/>
    <w:rsid w:val="00233D8C"/>
    <w:rsid w:val="00233DCA"/>
    <w:rsid w:val="00233DED"/>
    <w:rsid w:val="00233E79"/>
    <w:rsid w:val="00234015"/>
    <w:rsid w:val="00234223"/>
    <w:rsid w:val="002343B6"/>
    <w:rsid w:val="00234618"/>
    <w:rsid w:val="00234645"/>
    <w:rsid w:val="00234701"/>
    <w:rsid w:val="00234821"/>
    <w:rsid w:val="00234860"/>
    <w:rsid w:val="00234874"/>
    <w:rsid w:val="00234C93"/>
    <w:rsid w:val="00234CE8"/>
    <w:rsid w:val="00234E09"/>
    <w:rsid w:val="002353F3"/>
    <w:rsid w:val="0023559C"/>
    <w:rsid w:val="00235862"/>
    <w:rsid w:val="00235954"/>
    <w:rsid w:val="00235968"/>
    <w:rsid w:val="00235A45"/>
    <w:rsid w:val="00235AF2"/>
    <w:rsid w:val="00235DFE"/>
    <w:rsid w:val="00235ECF"/>
    <w:rsid w:val="00235F0B"/>
    <w:rsid w:val="00235F5C"/>
    <w:rsid w:val="00235FCF"/>
    <w:rsid w:val="00235FEF"/>
    <w:rsid w:val="00235FFD"/>
    <w:rsid w:val="00236203"/>
    <w:rsid w:val="0023672B"/>
    <w:rsid w:val="00236777"/>
    <w:rsid w:val="00236981"/>
    <w:rsid w:val="002369DC"/>
    <w:rsid w:val="00236B54"/>
    <w:rsid w:val="00236C95"/>
    <w:rsid w:val="002370E6"/>
    <w:rsid w:val="002371D0"/>
    <w:rsid w:val="00237560"/>
    <w:rsid w:val="00237604"/>
    <w:rsid w:val="002378DC"/>
    <w:rsid w:val="0023792D"/>
    <w:rsid w:val="00237945"/>
    <w:rsid w:val="00237C2B"/>
    <w:rsid w:val="00240095"/>
    <w:rsid w:val="002401EA"/>
    <w:rsid w:val="002403AB"/>
    <w:rsid w:val="0024051F"/>
    <w:rsid w:val="00240538"/>
    <w:rsid w:val="00240660"/>
    <w:rsid w:val="00240729"/>
    <w:rsid w:val="00240AE4"/>
    <w:rsid w:val="00240B3D"/>
    <w:rsid w:val="00240B4D"/>
    <w:rsid w:val="00240BA9"/>
    <w:rsid w:val="00240BD3"/>
    <w:rsid w:val="002410BD"/>
    <w:rsid w:val="0024113F"/>
    <w:rsid w:val="002412BC"/>
    <w:rsid w:val="002412BD"/>
    <w:rsid w:val="00241446"/>
    <w:rsid w:val="0024179C"/>
    <w:rsid w:val="002418A0"/>
    <w:rsid w:val="00241ADB"/>
    <w:rsid w:val="00241D1C"/>
    <w:rsid w:val="00241F37"/>
    <w:rsid w:val="00242255"/>
    <w:rsid w:val="00242334"/>
    <w:rsid w:val="0024240C"/>
    <w:rsid w:val="0024254F"/>
    <w:rsid w:val="002425F1"/>
    <w:rsid w:val="00242741"/>
    <w:rsid w:val="0024289E"/>
    <w:rsid w:val="00242B55"/>
    <w:rsid w:val="00242EEA"/>
    <w:rsid w:val="00242F20"/>
    <w:rsid w:val="00242F99"/>
    <w:rsid w:val="00242FF8"/>
    <w:rsid w:val="0024303D"/>
    <w:rsid w:val="0024309E"/>
    <w:rsid w:val="0024315E"/>
    <w:rsid w:val="002431BD"/>
    <w:rsid w:val="002431C1"/>
    <w:rsid w:val="002431EB"/>
    <w:rsid w:val="00243289"/>
    <w:rsid w:val="002432E6"/>
    <w:rsid w:val="00243352"/>
    <w:rsid w:val="00243649"/>
    <w:rsid w:val="00243746"/>
    <w:rsid w:val="0024384D"/>
    <w:rsid w:val="0024388B"/>
    <w:rsid w:val="002439C7"/>
    <w:rsid w:val="00243A55"/>
    <w:rsid w:val="00243ABF"/>
    <w:rsid w:val="00243D4C"/>
    <w:rsid w:val="00243EFD"/>
    <w:rsid w:val="00244339"/>
    <w:rsid w:val="00244356"/>
    <w:rsid w:val="00244396"/>
    <w:rsid w:val="002443C6"/>
    <w:rsid w:val="0024457E"/>
    <w:rsid w:val="00244634"/>
    <w:rsid w:val="002446E5"/>
    <w:rsid w:val="00244811"/>
    <w:rsid w:val="002448F7"/>
    <w:rsid w:val="00244EE4"/>
    <w:rsid w:val="00244F43"/>
    <w:rsid w:val="00244FC1"/>
    <w:rsid w:val="002450A5"/>
    <w:rsid w:val="0024535A"/>
    <w:rsid w:val="00245425"/>
    <w:rsid w:val="002457BC"/>
    <w:rsid w:val="00245833"/>
    <w:rsid w:val="0024585B"/>
    <w:rsid w:val="00245C4C"/>
    <w:rsid w:val="00245C76"/>
    <w:rsid w:val="00245E25"/>
    <w:rsid w:val="00246035"/>
    <w:rsid w:val="002460CD"/>
    <w:rsid w:val="00246129"/>
    <w:rsid w:val="002461FE"/>
    <w:rsid w:val="002462E9"/>
    <w:rsid w:val="00246463"/>
    <w:rsid w:val="00246473"/>
    <w:rsid w:val="0024650C"/>
    <w:rsid w:val="002465C1"/>
    <w:rsid w:val="002466F6"/>
    <w:rsid w:val="00246740"/>
    <w:rsid w:val="00246775"/>
    <w:rsid w:val="00246AB2"/>
    <w:rsid w:val="00246DB3"/>
    <w:rsid w:val="00246DD2"/>
    <w:rsid w:val="002473AB"/>
    <w:rsid w:val="002476A7"/>
    <w:rsid w:val="0024777E"/>
    <w:rsid w:val="00247B04"/>
    <w:rsid w:val="00247B10"/>
    <w:rsid w:val="00247B55"/>
    <w:rsid w:val="00247BA8"/>
    <w:rsid w:val="00247CAF"/>
    <w:rsid w:val="00247D78"/>
    <w:rsid w:val="00247E55"/>
    <w:rsid w:val="002501CD"/>
    <w:rsid w:val="002503E4"/>
    <w:rsid w:val="0025043B"/>
    <w:rsid w:val="002504CA"/>
    <w:rsid w:val="00250667"/>
    <w:rsid w:val="002506D6"/>
    <w:rsid w:val="00250A7D"/>
    <w:rsid w:val="00250B94"/>
    <w:rsid w:val="00250BB6"/>
    <w:rsid w:val="00250C2E"/>
    <w:rsid w:val="00250D7E"/>
    <w:rsid w:val="00250F78"/>
    <w:rsid w:val="00250F95"/>
    <w:rsid w:val="0025119B"/>
    <w:rsid w:val="00251353"/>
    <w:rsid w:val="002515CE"/>
    <w:rsid w:val="002516E1"/>
    <w:rsid w:val="002517AC"/>
    <w:rsid w:val="00251890"/>
    <w:rsid w:val="002519AA"/>
    <w:rsid w:val="00251AE3"/>
    <w:rsid w:val="00251B29"/>
    <w:rsid w:val="00251BD3"/>
    <w:rsid w:val="00251BF1"/>
    <w:rsid w:val="00251C30"/>
    <w:rsid w:val="00251D3D"/>
    <w:rsid w:val="00251EED"/>
    <w:rsid w:val="00252079"/>
    <w:rsid w:val="002520C0"/>
    <w:rsid w:val="002520E2"/>
    <w:rsid w:val="0025211B"/>
    <w:rsid w:val="0025211D"/>
    <w:rsid w:val="002524FF"/>
    <w:rsid w:val="00252538"/>
    <w:rsid w:val="00252890"/>
    <w:rsid w:val="00252CF3"/>
    <w:rsid w:val="00252E00"/>
    <w:rsid w:val="00253028"/>
    <w:rsid w:val="002534A5"/>
    <w:rsid w:val="00253748"/>
    <w:rsid w:val="00253854"/>
    <w:rsid w:val="0025387A"/>
    <w:rsid w:val="00253A2F"/>
    <w:rsid w:val="00253B56"/>
    <w:rsid w:val="00253E4D"/>
    <w:rsid w:val="00253E67"/>
    <w:rsid w:val="00253F03"/>
    <w:rsid w:val="00253FD2"/>
    <w:rsid w:val="00254020"/>
    <w:rsid w:val="002540C3"/>
    <w:rsid w:val="00254167"/>
    <w:rsid w:val="00254337"/>
    <w:rsid w:val="0025434B"/>
    <w:rsid w:val="00254565"/>
    <w:rsid w:val="00254661"/>
    <w:rsid w:val="0025489F"/>
    <w:rsid w:val="002548BA"/>
    <w:rsid w:val="002549D9"/>
    <w:rsid w:val="002549FF"/>
    <w:rsid w:val="00254AB1"/>
    <w:rsid w:val="00254FD7"/>
    <w:rsid w:val="00255391"/>
    <w:rsid w:val="002553DF"/>
    <w:rsid w:val="0025549B"/>
    <w:rsid w:val="002555E0"/>
    <w:rsid w:val="002557AE"/>
    <w:rsid w:val="002557C2"/>
    <w:rsid w:val="00255844"/>
    <w:rsid w:val="00255A6C"/>
    <w:rsid w:val="00255A86"/>
    <w:rsid w:val="00255B81"/>
    <w:rsid w:val="00255C85"/>
    <w:rsid w:val="00255CDC"/>
    <w:rsid w:val="00255D0B"/>
    <w:rsid w:val="00255DD8"/>
    <w:rsid w:val="00255E60"/>
    <w:rsid w:val="00255F06"/>
    <w:rsid w:val="00256127"/>
    <w:rsid w:val="00256163"/>
    <w:rsid w:val="00256397"/>
    <w:rsid w:val="002564DB"/>
    <w:rsid w:val="002564F5"/>
    <w:rsid w:val="00256526"/>
    <w:rsid w:val="002565A3"/>
    <w:rsid w:val="00256899"/>
    <w:rsid w:val="00256E31"/>
    <w:rsid w:val="002571BD"/>
    <w:rsid w:val="0025721D"/>
    <w:rsid w:val="00257246"/>
    <w:rsid w:val="00257254"/>
    <w:rsid w:val="00257489"/>
    <w:rsid w:val="0025760B"/>
    <w:rsid w:val="00257615"/>
    <w:rsid w:val="00257749"/>
    <w:rsid w:val="002577ED"/>
    <w:rsid w:val="002579CA"/>
    <w:rsid w:val="00257B34"/>
    <w:rsid w:val="00257C27"/>
    <w:rsid w:val="00257D79"/>
    <w:rsid w:val="00257EE1"/>
    <w:rsid w:val="00260050"/>
    <w:rsid w:val="002602DA"/>
    <w:rsid w:val="00260456"/>
    <w:rsid w:val="002604AA"/>
    <w:rsid w:val="00260744"/>
    <w:rsid w:val="00260A3A"/>
    <w:rsid w:val="00260A8B"/>
    <w:rsid w:val="00260B2D"/>
    <w:rsid w:val="00260C93"/>
    <w:rsid w:val="00260FAB"/>
    <w:rsid w:val="0026108B"/>
    <w:rsid w:val="00261392"/>
    <w:rsid w:val="00261404"/>
    <w:rsid w:val="002615F2"/>
    <w:rsid w:val="002615FB"/>
    <w:rsid w:val="00261620"/>
    <w:rsid w:val="0026164C"/>
    <w:rsid w:val="0026168E"/>
    <w:rsid w:val="002616ED"/>
    <w:rsid w:val="0026183F"/>
    <w:rsid w:val="00261DA7"/>
    <w:rsid w:val="00261DF1"/>
    <w:rsid w:val="00261E72"/>
    <w:rsid w:val="00261ECC"/>
    <w:rsid w:val="00261EFB"/>
    <w:rsid w:val="00262069"/>
    <w:rsid w:val="002622CE"/>
    <w:rsid w:val="002623AB"/>
    <w:rsid w:val="00262527"/>
    <w:rsid w:val="002626E2"/>
    <w:rsid w:val="0026270B"/>
    <w:rsid w:val="00262899"/>
    <w:rsid w:val="002629A6"/>
    <w:rsid w:val="00262A6D"/>
    <w:rsid w:val="00262A6F"/>
    <w:rsid w:val="00262AA7"/>
    <w:rsid w:val="00262DB6"/>
    <w:rsid w:val="00262EC9"/>
    <w:rsid w:val="00262FB2"/>
    <w:rsid w:val="002630A5"/>
    <w:rsid w:val="002633ED"/>
    <w:rsid w:val="002635C9"/>
    <w:rsid w:val="00263651"/>
    <w:rsid w:val="002636D7"/>
    <w:rsid w:val="0026370B"/>
    <w:rsid w:val="00263720"/>
    <w:rsid w:val="002637F9"/>
    <w:rsid w:val="002638E9"/>
    <w:rsid w:val="0026391A"/>
    <w:rsid w:val="00263C15"/>
    <w:rsid w:val="00263D3B"/>
    <w:rsid w:val="00263EE8"/>
    <w:rsid w:val="00263FCB"/>
    <w:rsid w:val="002645CC"/>
    <w:rsid w:val="00264604"/>
    <w:rsid w:val="002648D4"/>
    <w:rsid w:val="00264A5C"/>
    <w:rsid w:val="00264B33"/>
    <w:rsid w:val="00264B66"/>
    <w:rsid w:val="00264B85"/>
    <w:rsid w:val="00264C2F"/>
    <w:rsid w:val="00264C3E"/>
    <w:rsid w:val="00264E1E"/>
    <w:rsid w:val="00265070"/>
    <w:rsid w:val="00265121"/>
    <w:rsid w:val="00265184"/>
    <w:rsid w:val="00265220"/>
    <w:rsid w:val="00265369"/>
    <w:rsid w:val="002656C7"/>
    <w:rsid w:val="00265945"/>
    <w:rsid w:val="0026597A"/>
    <w:rsid w:val="00265998"/>
    <w:rsid w:val="002659A3"/>
    <w:rsid w:val="002659C4"/>
    <w:rsid w:val="00265B2D"/>
    <w:rsid w:val="00265BC7"/>
    <w:rsid w:val="00265C78"/>
    <w:rsid w:val="00265CD6"/>
    <w:rsid w:val="00265CE4"/>
    <w:rsid w:val="00265D45"/>
    <w:rsid w:val="00265DFC"/>
    <w:rsid w:val="00265E76"/>
    <w:rsid w:val="00265E7D"/>
    <w:rsid w:val="00265EBA"/>
    <w:rsid w:val="00265F49"/>
    <w:rsid w:val="002661C6"/>
    <w:rsid w:val="0026624B"/>
    <w:rsid w:val="00266698"/>
    <w:rsid w:val="002667EB"/>
    <w:rsid w:val="00266888"/>
    <w:rsid w:val="00266978"/>
    <w:rsid w:val="00266C2B"/>
    <w:rsid w:val="00266D1F"/>
    <w:rsid w:val="00266D2C"/>
    <w:rsid w:val="00266E54"/>
    <w:rsid w:val="00266F5A"/>
    <w:rsid w:val="00267168"/>
    <w:rsid w:val="00267209"/>
    <w:rsid w:val="00267482"/>
    <w:rsid w:val="002675AA"/>
    <w:rsid w:val="002675D7"/>
    <w:rsid w:val="00267888"/>
    <w:rsid w:val="002678B3"/>
    <w:rsid w:val="00267982"/>
    <w:rsid w:val="002679E9"/>
    <w:rsid w:val="00267E22"/>
    <w:rsid w:val="0027005C"/>
    <w:rsid w:val="0027005E"/>
    <w:rsid w:val="002705CC"/>
    <w:rsid w:val="00270601"/>
    <w:rsid w:val="0027064E"/>
    <w:rsid w:val="002706F8"/>
    <w:rsid w:val="002707B2"/>
    <w:rsid w:val="0027083D"/>
    <w:rsid w:val="00270A30"/>
    <w:rsid w:val="00270A38"/>
    <w:rsid w:val="00270C58"/>
    <w:rsid w:val="00270CC8"/>
    <w:rsid w:val="00270D46"/>
    <w:rsid w:val="00270DD5"/>
    <w:rsid w:val="00270E97"/>
    <w:rsid w:val="00271169"/>
    <w:rsid w:val="002711B7"/>
    <w:rsid w:val="002711D2"/>
    <w:rsid w:val="00271271"/>
    <w:rsid w:val="002714B3"/>
    <w:rsid w:val="00271690"/>
    <w:rsid w:val="002716AA"/>
    <w:rsid w:val="002716DF"/>
    <w:rsid w:val="002718DF"/>
    <w:rsid w:val="00271946"/>
    <w:rsid w:val="00271A77"/>
    <w:rsid w:val="00271CE7"/>
    <w:rsid w:val="00271D4B"/>
    <w:rsid w:val="00271DAF"/>
    <w:rsid w:val="00271DD9"/>
    <w:rsid w:val="00271DFF"/>
    <w:rsid w:val="00271FDA"/>
    <w:rsid w:val="0027203C"/>
    <w:rsid w:val="00272155"/>
    <w:rsid w:val="0027227F"/>
    <w:rsid w:val="00272326"/>
    <w:rsid w:val="0027237B"/>
    <w:rsid w:val="002723AB"/>
    <w:rsid w:val="002723F9"/>
    <w:rsid w:val="00272519"/>
    <w:rsid w:val="00272660"/>
    <w:rsid w:val="002726B9"/>
    <w:rsid w:val="00272744"/>
    <w:rsid w:val="0027276A"/>
    <w:rsid w:val="00272891"/>
    <w:rsid w:val="0027289E"/>
    <w:rsid w:val="00272A9C"/>
    <w:rsid w:val="00272B45"/>
    <w:rsid w:val="00272B9E"/>
    <w:rsid w:val="00272C5D"/>
    <w:rsid w:val="00272D13"/>
    <w:rsid w:val="00272EBE"/>
    <w:rsid w:val="00273397"/>
    <w:rsid w:val="00273411"/>
    <w:rsid w:val="00273475"/>
    <w:rsid w:val="0027353A"/>
    <w:rsid w:val="00273571"/>
    <w:rsid w:val="00273680"/>
    <w:rsid w:val="002739A4"/>
    <w:rsid w:val="00273B4B"/>
    <w:rsid w:val="00273BAB"/>
    <w:rsid w:val="00273C6C"/>
    <w:rsid w:val="00273C81"/>
    <w:rsid w:val="00273E60"/>
    <w:rsid w:val="002741AE"/>
    <w:rsid w:val="0027420E"/>
    <w:rsid w:val="00274240"/>
    <w:rsid w:val="002743D0"/>
    <w:rsid w:val="00274690"/>
    <w:rsid w:val="00274887"/>
    <w:rsid w:val="002749C2"/>
    <w:rsid w:val="00274ADD"/>
    <w:rsid w:val="00274C39"/>
    <w:rsid w:val="00274C53"/>
    <w:rsid w:val="00274DE5"/>
    <w:rsid w:val="00274E38"/>
    <w:rsid w:val="00274E54"/>
    <w:rsid w:val="0027521D"/>
    <w:rsid w:val="0027529A"/>
    <w:rsid w:val="00275338"/>
    <w:rsid w:val="0027542B"/>
    <w:rsid w:val="00275571"/>
    <w:rsid w:val="00275A62"/>
    <w:rsid w:val="00275C05"/>
    <w:rsid w:val="00275C3B"/>
    <w:rsid w:val="00275C7E"/>
    <w:rsid w:val="00275CC1"/>
    <w:rsid w:val="00275D93"/>
    <w:rsid w:val="0027615C"/>
    <w:rsid w:val="00276191"/>
    <w:rsid w:val="002762AA"/>
    <w:rsid w:val="002762D1"/>
    <w:rsid w:val="002763D9"/>
    <w:rsid w:val="00276458"/>
    <w:rsid w:val="00276525"/>
    <w:rsid w:val="002767C6"/>
    <w:rsid w:val="0027688F"/>
    <w:rsid w:val="00276A76"/>
    <w:rsid w:val="00276AFF"/>
    <w:rsid w:val="00276D3E"/>
    <w:rsid w:val="00276ED8"/>
    <w:rsid w:val="002771A7"/>
    <w:rsid w:val="002773C1"/>
    <w:rsid w:val="0027766D"/>
    <w:rsid w:val="002777BF"/>
    <w:rsid w:val="002778A8"/>
    <w:rsid w:val="002778F1"/>
    <w:rsid w:val="00277A0E"/>
    <w:rsid w:val="00277B0F"/>
    <w:rsid w:val="00277B4E"/>
    <w:rsid w:val="00277E61"/>
    <w:rsid w:val="00277E91"/>
    <w:rsid w:val="00277ED3"/>
    <w:rsid w:val="0028001C"/>
    <w:rsid w:val="0028033F"/>
    <w:rsid w:val="00280368"/>
    <w:rsid w:val="002804B7"/>
    <w:rsid w:val="002804D3"/>
    <w:rsid w:val="00280518"/>
    <w:rsid w:val="002805D5"/>
    <w:rsid w:val="002806E6"/>
    <w:rsid w:val="00280832"/>
    <w:rsid w:val="002808A9"/>
    <w:rsid w:val="00280AFD"/>
    <w:rsid w:val="00280B1A"/>
    <w:rsid w:val="00280C4A"/>
    <w:rsid w:val="00280DA6"/>
    <w:rsid w:val="00280E0F"/>
    <w:rsid w:val="00280EB4"/>
    <w:rsid w:val="00280FA5"/>
    <w:rsid w:val="00280FEB"/>
    <w:rsid w:val="002810D2"/>
    <w:rsid w:val="00281135"/>
    <w:rsid w:val="00281155"/>
    <w:rsid w:val="002811A0"/>
    <w:rsid w:val="0028151E"/>
    <w:rsid w:val="002817D6"/>
    <w:rsid w:val="0028189F"/>
    <w:rsid w:val="002818A3"/>
    <w:rsid w:val="002818BF"/>
    <w:rsid w:val="002819A5"/>
    <w:rsid w:val="00281BBD"/>
    <w:rsid w:val="00281CA5"/>
    <w:rsid w:val="00281CCC"/>
    <w:rsid w:val="00281DE7"/>
    <w:rsid w:val="00281E60"/>
    <w:rsid w:val="0028238A"/>
    <w:rsid w:val="00282982"/>
    <w:rsid w:val="00282C04"/>
    <w:rsid w:val="00282EC7"/>
    <w:rsid w:val="00282F79"/>
    <w:rsid w:val="00282FDC"/>
    <w:rsid w:val="00283056"/>
    <w:rsid w:val="0028329F"/>
    <w:rsid w:val="002833B7"/>
    <w:rsid w:val="00283652"/>
    <w:rsid w:val="0028381B"/>
    <w:rsid w:val="00283885"/>
    <w:rsid w:val="0028396C"/>
    <w:rsid w:val="00283C79"/>
    <w:rsid w:val="00283D68"/>
    <w:rsid w:val="00284404"/>
    <w:rsid w:val="002848C0"/>
    <w:rsid w:val="002849BD"/>
    <w:rsid w:val="00284AEB"/>
    <w:rsid w:val="00284BF8"/>
    <w:rsid w:val="00285085"/>
    <w:rsid w:val="0028513C"/>
    <w:rsid w:val="002852E9"/>
    <w:rsid w:val="002853D3"/>
    <w:rsid w:val="002854FD"/>
    <w:rsid w:val="00285751"/>
    <w:rsid w:val="00285799"/>
    <w:rsid w:val="002857F7"/>
    <w:rsid w:val="00285C57"/>
    <w:rsid w:val="00285CD6"/>
    <w:rsid w:val="002860A4"/>
    <w:rsid w:val="002860EA"/>
    <w:rsid w:val="002866E3"/>
    <w:rsid w:val="002867A6"/>
    <w:rsid w:val="002867BE"/>
    <w:rsid w:val="002867DC"/>
    <w:rsid w:val="00286817"/>
    <w:rsid w:val="002869BE"/>
    <w:rsid w:val="002869E5"/>
    <w:rsid w:val="00286B3C"/>
    <w:rsid w:val="00286D81"/>
    <w:rsid w:val="00286E77"/>
    <w:rsid w:val="00286E9E"/>
    <w:rsid w:val="00286F17"/>
    <w:rsid w:val="00286FA6"/>
    <w:rsid w:val="00286FC2"/>
    <w:rsid w:val="00286FD6"/>
    <w:rsid w:val="00287094"/>
    <w:rsid w:val="002871A7"/>
    <w:rsid w:val="0028725F"/>
    <w:rsid w:val="002874B4"/>
    <w:rsid w:val="0028751F"/>
    <w:rsid w:val="00287569"/>
    <w:rsid w:val="00287744"/>
    <w:rsid w:val="00287869"/>
    <w:rsid w:val="002878E6"/>
    <w:rsid w:val="00287980"/>
    <w:rsid w:val="00287A40"/>
    <w:rsid w:val="00287BB3"/>
    <w:rsid w:val="00287E3A"/>
    <w:rsid w:val="00290072"/>
    <w:rsid w:val="002900A3"/>
    <w:rsid w:val="00290240"/>
    <w:rsid w:val="0029042F"/>
    <w:rsid w:val="0029069C"/>
    <w:rsid w:val="002906DF"/>
    <w:rsid w:val="002906EB"/>
    <w:rsid w:val="00290845"/>
    <w:rsid w:val="00290A2D"/>
    <w:rsid w:val="00290A5B"/>
    <w:rsid w:val="00290AB2"/>
    <w:rsid w:val="00290B90"/>
    <w:rsid w:val="00290C8E"/>
    <w:rsid w:val="00290F79"/>
    <w:rsid w:val="00290FE5"/>
    <w:rsid w:val="00290FE9"/>
    <w:rsid w:val="00291193"/>
    <w:rsid w:val="00291417"/>
    <w:rsid w:val="0029141B"/>
    <w:rsid w:val="0029145B"/>
    <w:rsid w:val="002915CE"/>
    <w:rsid w:val="00291724"/>
    <w:rsid w:val="00291975"/>
    <w:rsid w:val="00291991"/>
    <w:rsid w:val="00291BA8"/>
    <w:rsid w:val="00291BE7"/>
    <w:rsid w:val="00291CB4"/>
    <w:rsid w:val="00291E35"/>
    <w:rsid w:val="00291F3E"/>
    <w:rsid w:val="00292029"/>
    <w:rsid w:val="00292106"/>
    <w:rsid w:val="0029251A"/>
    <w:rsid w:val="0029261D"/>
    <w:rsid w:val="002926D8"/>
    <w:rsid w:val="00292930"/>
    <w:rsid w:val="00292A67"/>
    <w:rsid w:val="00292B97"/>
    <w:rsid w:val="00292C7C"/>
    <w:rsid w:val="00292F03"/>
    <w:rsid w:val="00292F36"/>
    <w:rsid w:val="00292F98"/>
    <w:rsid w:val="00292F9F"/>
    <w:rsid w:val="0029309D"/>
    <w:rsid w:val="002930AC"/>
    <w:rsid w:val="0029317E"/>
    <w:rsid w:val="00293268"/>
    <w:rsid w:val="00293677"/>
    <w:rsid w:val="0029384C"/>
    <w:rsid w:val="00293854"/>
    <w:rsid w:val="00293A5D"/>
    <w:rsid w:val="00293AEA"/>
    <w:rsid w:val="00293B00"/>
    <w:rsid w:val="00293F70"/>
    <w:rsid w:val="00294079"/>
    <w:rsid w:val="002941BF"/>
    <w:rsid w:val="00294365"/>
    <w:rsid w:val="002943DF"/>
    <w:rsid w:val="00294472"/>
    <w:rsid w:val="0029460B"/>
    <w:rsid w:val="002946A9"/>
    <w:rsid w:val="002947C1"/>
    <w:rsid w:val="002948B2"/>
    <w:rsid w:val="00294993"/>
    <w:rsid w:val="00294994"/>
    <w:rsid w:val="00294998"/>
    <w:rsid w:val="00294A95"/>
    <w:rsid w:val="00294B56"/>
    <w:rsid w:val="00294F3F"/>
    <w:rsid w:val="0029502D"/>
    <w:rsid w:val="002950CD"/>
    <w:rsid w:val="0029535A"/>
    <w:rsid w:val="0029537F"/>
    <w:rsid w:val="002953AA"/>
    <w:rsid w:val="002953BF"/>
    <w:rsid w:val="0029560C"/>
    <w:rsid w:val="0029561B"/>
    <w:rsid w:val="00295922"/>
    <w:rsid w:val="00295A6E"/>
    <w:rsid w:val="00295E5C"/>
    <w:rsid w:val="00295E7F"/>
    <w:rsid w:val="00296232"/>
    <w:rsid w:val="002962E1"/>
    <w:rsid w:val="002963FF"/>
    <w:rsid w:val="0029674A"/>
    <w:rsid w:val="0029676D"/>
    <w:rsid w:val="0029680B"/>
    <w:rsid w:val="00296A43"/>
    <w:rsid w:val="00296ACC"/>
    <w:rsid w:val="00296C63"/>
    <w:rsid w:val="00296C6F"/>
    <w:rsid w:val="00296D28"/>
    <w:rsid w:val="00296D52"/>
    <w:rsid w:val="002970D4"/>
    <w:rsid w:val="00297366"/>
    <w:rsid w:val="0029737C"/>
    <w:rsid w:val="0029751F"/>
    <w:rsid w:val="00297725"/>
    <w:rsid w:val="00297B37"/>
    <w:rsid w:val="00297FB0"/>
    <w:rsid w:val="002A007F"/>
    <w:rsid w:val="002A0080"/>
    <w:rsid w:val="002A00F9"/>
    <w:rsid w:val="002A0232"/>
    <w:rsid w:val="002A025F"/>
    <w:rsid w:val="002A0331"/>
    <w:rsid w:val="002A044D"/>
    <w:rsid w:val="002A05FB"/>
    <w:rsid w:val="002A06BC"/>
    <w:rsid w:val="002A073C"/>
    <w:rsid w:val="002A096A"/>
    <w:rsid w:val="002A09F5"/>
    <w:rsid w:val="002A0A55"/>
    <w:rsid w:val="002A0A58"/>
    <w:rsid w:val="002A0C04"/>
    <w:rsid w:val="002A0D4A"/>
    <w:rsid w:val="002A0E98"/>
    <w:rsid w:val="002A0EB7"/>
    <w:rsid w:val="002A11EE"/>
    <w:rsid w:val="002A1371"/>
    <w:rsid w:val="002A1573"/>
    <w:rsid w:val="002A158C"/>
    <w:rsid w:val="002A1619"/>
    <w:rsid w:val="002A16CC"/>
    <w:rsid w:val="002A16E7"/>
    <w:rsid w:val="002A17E3"/>
    <w:rsid w:val="002A17F4"/>
    <w:rsid w:val="002A1912"/>
    <w:rsid w:val="002A1C7C"/>
    <w:rsid w:val="002A1D03"/>
    <w:rsid w:val="002A1D20"/>
    <w:rsid w:val="002A1EF7"/>
    <w:rsid w:val="002A1F50"/>
    <w:rsid w:val="002A221F"/>
    <w:rsid w:val="002A2548"/>
    <w:rsid w:val="002A277C"/>
    <w:rsid w:val="002A29AA"/>
    <w:rsid w:val="002A2B0F"/>
    <w:rsid w:val="002A2CB2"/>
    <w:rsid w:val="002A2D5E"/>
    <w:rsid w:val="002A2D96"/>
    <w:rsid w:val="002A2F1E"/>
    <w:rsid w:val="002A2F90"/>
    <w:rsid w:val="002A30F4"/>
    <w:rsid w:val="002A323E"/>
    <w:rsid w:val="002A3270"/>
    <w:rsid w:val="002A33A8"/>
    <w:rsid w:val="002A33DC"/>
    <w:rsid w:val="002A39C7"/>
    <w:rsid w:val="002A3ABE"/>
    <w:rsid w:val="002A3C7F"/>
    <w:rsid w:val="002A3E58"/>
    <w:rsid w:val="002A3E5F"/>
    <w:rsid w:val="002A4072"/>
    <w:rsid w:val="002A43D4"/>
    <w:rsid w:val="002A4467"/>
    <w:rsid w:val="002A44B9"/>
    <w:rsid w:val="002A45C7"/>
    <w:rsid w:val="002A4743"/>
    <w:rsid w:val="002A49DF"/>
    <w:rsid w:val="002A4A1C"/>
    <w:rsid w:val="002A4C21"/>
    <w:rsid w:val="002A4C3E"/>
    <w:rsid w:val="002A4F74"/>
    <w:rsid w:val="002A50C3"/>
    <w:rsid w:val="002A50D0"/>
    <w:rsid w:val="002A52A4"/>
    <w:rsid w:val="002A52AD"/>
    <w:rsid w:val="002A54B0"/>
    <w:rsid w:val="002A5500"/>
    <w:rsid w:val="002A563B"/>
    <w:rsid w:val="002A572E"/>
    <w:rsid w:val="002A59B3"/>
    <w:rsid w:val="002A59E0"/>
    <w:rsid w:val="002A59E2"/>
    <w:rsid w:val="002A5B38"/>
    <w:rsid w:val="002A5D35"/>
    <w:rsid w:val="002A5F0E"/>
    <w:rsid w:val="002A5F39"/>
    <w:rsid w:val="002A5F47"/>
    <w:rsid w:val="002A60DD"/>
    <w:rsid w:val="002A638E"/>
    <w:rsid w:val="002A6570"/>
    <w:rsid w:val="002A66F4"/>
    <w:rsid w:val="002A6854"/>
    <w:rsid w:val="002A686B"/>
    <w:rsid w:val="002A68D3"/>
    <w:rsid w:val="002A6955"/>
    <w:rsid w:val="002A6B23"/>
    <w:rsid w:val="002A6DE0"/>
    <w:rsid w:val="002A6DE7"/>
    <w:rsid w:val="002A6E51"/>
    <w:rsid w:val="002A7124"/>
    <w:rsid w:val="002A71DD"/>
    <w:rsid w:val="002A73A6"/>
    <w:rsid w:val="002A7763"/>
    <w:rsid w:val="002A79B9"/>
    <w:rsid w:val="002A7A00"/>
    <w:rsid w:val="002A7A13"/>
    <w:rsid w:val="002A7AB3"/>
    <w:rsid w:val="002A7CD8"/>
    <w:rsid w:val="002A7DAB"/>
    <w:rsid w:val="002A7DB0"/>
    <w:rsid w:val="002A7F43"/>
    <w:rsid w:val="002A7F90"/>
    <w:rsid w:val="002A7F9E"/>
    <w:rsid w:val="002B00D1"/>
    <w:rsid w:val="002B041B"/>
    <w:rsid w:val="002B0422"/>
    <w:rsid w:val="002B042D"/>
    <w:rsid w:val="002B05C7"/>
    <w:rsid w:val="002B0651"/>
    <w:rsid w:val="002B0752"/>
    <w:rsid w:val="002B08FD"/>
    <w:rsid w:val="002B0A16"/>
    <w:rsid w:val="002B0AC1"/>
    <w:rsid w:val="002B0AD8"/>
    <w:rsid w:val="002B0D4A"/>
    <w:rsid w:val="002B0D5D"/>
    <w:rsid w:val="002B0FD9"/>
    <w:rsid w:val="002B106D"/>
    <w:rsid w:val="002B1521"/>
    <w:rsid w:val="002B15AE"/>
    <w:rsid w:val="002B1732"/>
    <w:rsid w:val="002B176D"/>
    <w:rsid w:val="002B189D"/>
    <w:rsid w:val="002B18C9"/>
    <w:rsid w:val="002B1D72"/>
    <w:rsid w:val="002B1E32"/>
    <w:rsid w:val="002B1E6B"/>
    <w:rsid w:val="002B2171"/>
    <w:rsid w:val="002B21DA"/>
    <w:rsid w:val="002B2224"/>
    <w:rsid w:val="002B2257"/>
    <w:rsid w:val="002B2294"/>
    <w:rsid w:val="002B2433"/>
    <w:rsid w:val="002B24F4"/>
    <w:rsid w:val="002B2533"/>
    <w:rsid w:val="002B25B7"/>
    <w:rsid w:val="002B2699"/>
    <w:rsid w:val="002B298F"/>
    <w:rsid w:val="002B29CE"/>
    <w:rsid w:val="002B2A31"/>
    <w:rsid w:val="002B2A74"/>
    <w:rsid w:val="002B2C9E"/>
    <w:rsid w:val="002B2D49"/>
    <w:rsid w:val="002B2D4D"/>
    <w:rsid w:val="002B2D69"/>
    <w:rsid w:val="002B2DA8"/>
    <w:rsid w:val="002B2E4D"/>
    <w:rsid w:val="002B2F2F"/>
    <w:rsid w:val="002B2FAD"/>
    <w:rsid w:val="002B3037"/>
    <w:rsid w:val="002B30A2"/>
    <w:rsid w:val="002B3134"/>
    <w:rsid w:val="002B314C"/>
    <w:rsid w:val="002B35CF"/>
    <w:rsid w:val="002B35F6"/>
    <w:rsid w:val="002B370A"/>
    <w:rsid w:val="002B386F"/>
    <w:rsid w:val="002B38A7"/>
    <w:rsid w:val="002B3CB6"/>
    <w:rsid w:val="002B3CE5"/>
    <w:rsid w:val="002B3D16"/>
    <w:rsid w:val="002B40DB"/>
    <w:rsid w:val="002B4348"/>
    <w:rsid w:val="002B43F0"/>
    <w:rsid w:val="002B440F"/>
    <w:rsid w:val="002B478E"/>
    <w:rsid w:val="002B47AA"/>
    <w:rsid w:val="002B48F1"/>
    <w:rsid w:val="002B4900"/>
    <w:rsid w:val="002B4E09"/>
    <w:rsid w:val="002B4F85"/>
    <w:rsid w:val="002B501D"/>
    <w:rsid w:val="002B50EC"/>
    <w:rsid w:val="002B5184"/>
    <w:rsid w:val="002B51BC"/>
    <w:rsid w:val="002B51EC"/>
    <w:rsid w:val="002B527A"/>
    <w:rsid w:val="002B535F"/>
    <w:rsid w:val="002B53CE"/>
    <w:rsid w:val="002B54AB"/>
    <w:rsid w:val="002B553A"/>
    <w:rsid w:val="002B56C1"/>
    <w:rsid w:val="002B5842"/>
    <w:rsid w:val="002B5A6A"/>
    <w:rsid w:val="002B5D07"/>
    <w:rsid w:val="002B5D10"/>
    <w:rsid w:val="002B5D87"/>
    <w:rsid w:val="002B5DA4"/>
    <w:rsid w:val="002B5E29"/>
    <w:rsid w:val="002B5E76"/>
    <w:rsid w:val="002B5FB6"/>
    <w:rsid w:val="002B6072"/>
    <w:rsid w:val="002B6136"/>
    <w:rsid w:val="002B6327"/>
    <w:rsid w:val="002B6478"/>
    <w:rsid w:val="002B6510"/>
    <w:rsid w:val="002B6543"/>
    <w:rsid w:val="002B6640"/>
    <w:rsid w:val="002B6655"/>
    <w:rsid w:val="002B6682"/>
    <w:rsid w:val="002B66A6"/>
    <w:rsid w:val="002B6726"/>
    <w:rsid w:val="002B6982"/>
    <w:rsid w:val="002B6B76"/>
    <w:rsid w:val="002B6D25"/>
    <w:rsid w:val="002B6DA8"/>
    <w:rsid w:val="002B6DD8"/>
    <w:rsid w:val="002B6E54"/>
    <w:rsid w:val="002B6EBB"/>
    <w:rsid w:val="002B7239"/>
    <w:rsid w:val="002B725D"/>
    <w:rsid w:val="002B7454"/>
    <w:rsid w:val="002B74FF"/>
    <w:rsid w:val="002B76CB"/>
    <w:rsid w:val="002B7770"/>
    <w:rsid w:val="002B783D"/>
    <w:rsid w:val="002B78E7"/>
    <w:rsid w:val="002B79D1"/>
    <w:rsid w:val="002B7CBD"/>
    <w:rsid w:val="002B7CFB"/>
    <w:rsid w:val="002B7DDE"/>
    <w:rsid w:val="002B7E7E"/>
    <w:rsid w:val="002C00F8"/>
    <w:rsid w:val="002C023B"/>
    <w:rsid w:val="002C0757"/>
    <w:rsid w:val="002C0907"/>
    <w:rsid w:val="002C0939"/>
    <w:rsid w:val="002C0985"/>
    <w:rsid w:val="002C0B27"/>
    <w:rsid w:val="002C0C52"/>
    <w:rsid w:val="002C0C7C"/>
    <w:rsid w:val="002C0E61"/>
    <w:rsid w:val="002C0EDC"/>
    <w:rsid w:val="002C0EEC"/>
    <w:rsid w:val="002C1096"/>
    <w:rsid w:val="002C10C7"/>
    <w:rsid w:val="002C110E"/>
    <w:rsid w:val="002C139E"/>
    <w:rsid w:val="002C13B6"/>
    <w:rsid w:val="002C17B6"/>
    <w:rsid w:val="002C1C47"/>
    <w:rsid w:val="002C1E0D"/>
    <w:rsid w:val="002C1FD4"/>
    <w:rsid w:val="002C228B"/>
    <w:rsid w:val="002C2367"/>
    <w:rsid w:val="002C2384"/>
    <w:rsid w:val="002C23B4"/>
    <w:rsid w:val="002C245C"/>
    <w:rsid w:val="002C26D2"/>
    <w:rsid w:val="002C2761"/>
    <w:rsid w:val="002C2879"/>
    <w:rsid w:val="002C2971"/>
    <w:rsid w:val="002C2A7F"/>
    <w:rsid w:val="002C2BD5"/>
    <w:rsid w:val="002C2BE2"/>
    <w:rsid w:val="002C355B"/>
    <w:rsid w:val="002C36C8"/>
    <w:rsid w:val="002C385C"/>
    <w:rsid w:val="002C38DD"/>
    <w:rsid w:val="002C38E5"/>
    <w:rsid w:val="002C3ADA"/>
    <w:rsid w:val="002C3CB8"/>
    <w:rsid w:val="002C3D6B"/>
    <w:rsid w:val="002C3FE9"/>
    <w:rsid w:val="002C43A2"/>
    <w:rsid w:val="002C471C"/>
    <w:rsid w:val="002C47D9"/>
    <w:rsid w:val="002C486A"/>
    <w:rsid w:val="002C48D9"/>
    <w:rsid w:val="002C4984"/>
    <w:rsid w:val="002C4A8D"/>
    <w:rsid w:val="002C4BA8"/>
    <w:rsid w:val="002C4C94"/>
    <w:rsid w:val="002C4CAB"/>
    <w:rsid w:val="002C523C"/>
    <w:rsid w:val="002C54BB"/>
    <w:rsid w:val="002C54C4"/>
    <w:rsid w:val="002C54CA"/>
    <w:rsid w:val="002C5684"/>
    <w:rsid w:val="002C56F2"/>
    <w:rsid w:val="002C5707"/>
    <w:rsid w:val="002C576B"/>
    <w:rsid w:val="002C5A28"/>
    <w:rsid w:val="002C5B3E"/>
    <w:rsid w:val="002C5DC4"/>
    <w:rsid w:val="002C5DD1"/>
    <w:rsid w:val="002C605A"/>
    <w:rsid w:val="002C635F"/>
    <w:rsid w:val="002C63D5"/>
    <w:rsid w:val="002C64A9"/>
    <w:rsid w:val="002C64D1"/>
    <w:rsid w:val="002C64D6"/>
    <w:rsid w:val="002C6834"/>
    <w:rsid w:val="002C6C0E"/>
    <w:rsid w:val="002C6D00"/>
    <w:rsid w:val="002C6D65"/>
    <w:rsid w:val="002C6F3D"/>
    <w:rsid w:val="002C7067"/>
    <w:rsid w:val="002C7542"/>
    <w:rsid w:val="002C7680"/>
    <w:rsid w:val="002C769B"/>
    <w:rsid w:val="002C7781"/>
    <w:rsid w:val="002C7793"/>
    <w:rsid w:val="002C7854"/>
    <w:rsid w:val="002C7B4B"/>
    <w:rsid w:val="002C7DFA"/>
    <w:rsid w:val="002C7E34"/>
    <w:rsid w:val="002C7EE2"/>
    <w:rsid w:val="002D01E7"/>
    <w:rsid w:val="002D0327"/>
    <w:rsid w:val="002D0395"/>
    <w:rsid w:val="002D07E4"/>
    <w:rsid w:val="002D08FB"/>
    <w:rsid w:val="002D0934"/>
    <w:rsid w:val="002D0938"/>
    <w:rsid w:val="002D095C"/>
    <w:rsid w:val="002D09A1"/>
    <w:rsid w:val="002D09E3"/>
    <w:rsid w:val="002D0A31"/>
    <w:rsid w:val="002D0AE5"/>
    <w:rsid w:val="002D0B84"/>
    <w:rsid w:val="002D0BD8"/>
    <w:rsid w:val="002D0C64"/>
    <w:rsid w:val="002D0CCE"/>
    <w:rsid w:val="002D0DC6"/>
    <w:rsid w:val="002D0EBF"/>
    <w:rsid w:val="002D112A"/>
    <w:rsid w:val="002D1308"/>
    <w:rsid w:val="002D14B9"/>
    <w:rsid w:val="002D15E1"/>
    <w:rsid w:val="002D1703"/>
    <w:rsid w:val="002D1746"/>
    <w:rsid w:val="002D1941"/>
    <w:rsid w:val="002D1956"/>
    <w:rsid w:val="002D1AF5"/>
    <w:rsid w:val="002D1BBB"/>
    <w:rsid w:val="002D1BEB"/>
    <w:rsid w:val="002D1E69"/>
    <w:rsid w:val="002D1FDB"/>
    <w:rsid w:val="002D2021"/>
    <w:rsid w:val="002D20FD"/>
    <w:rsid w:val="002D234A"/>
    <w:rsid w:val="002D23D9"/>
    <w:rsid w:val="002D257A"/>
    <w:rsid w:val="002D25F0"/>
    <w:rsid w:val="002D264C"/>
    <w:rsid w:val="002D26F5"/>
    <w:rsid w:val="002D29A8"/>
    <w:rsid w:val="002D2A46"/>
    <w:rsid w:val="002D2A6F"/>
    <w:rsid w:val="002D2D52"/>
    <w:rsid w:val="002D2D7B"/>
    <w:rsid w:val="002D2D7E"/>
    <w:rsid w:val="002D2E04"/>
    <w:rsid w:val="002D2E4C"/>
    <w:rsid w:val="002D301C"/>
    <w:rsid w:val="002D3255"/>
    <w:rsid w:val="002D35D9"/>
    <w:rsid w:val="002D3672"/>
    <w:rsid w:val="002D36CD"/>
    <w:rsid w:val="002D3916"/>
    <w:rsid w:val="002D3BF2"/>
    <w:rsid w:val="002D3D91"/>
    <w:rsid w:val="002D3DC4"/>
    <w:rsid w:val="002D3E99"/>
    <w:rsid w:val="002D3F0C"/>
    <w:rsid w:val="002D3F3F"/>
    <w:rsid w:val="002D3FA4"/>
    <w:rsid w:val="002D4002"/>
    <w:rsid w:val="002D422F"/>
    <w:rsid w:val="002D438A"/>
    <w:rsid w:val="002D4447"/>
    <w:rsid w:val="002D4499"/>
    <w:rsid w:val="002D4697"/>
    <w:rsid w:val="002D4701"/>
    <w:rsid w:val="002D4824"/>
    <w:rsid w:val="002D499A"/>
    <w:rsid w:val="002D4A68"/>
    <w:rsid w:val="002D4A89"/>
    <w:rsid w:val="002D4B8D"/>
    <w:rsid w:val="002D4B8F"/>
    <w:rsid w:val="002D4C70"/>
    <w:rsid w:val="002D4E07"/>
    <w:rsid w:val="002D4E15"/>
    <w:rsid w:val="002D4EB5"/>
    <w:rsid w:val="002D5017"/>
    <w:rsid w:val="002D501F"/>
    <w:rsid w:val="002D51E4"/>
    <w:rsid w:val="002D5209"/>
    <w:rsid w:val="002D5269"/>
    <w:rsid w:val="002D5297"/>
    <w:rsid w:val="002D52C1"/>
    <w:rsid w:val="002D5464"/>
    <w:rsid w:val="002D55CE"/>
    <w:rsid w:val="002D5646"/>
    <w:rsid w:val="002D568A"/>
    <w:rsid w:val="002D5AB7"/>
    <w:rsid w:val="002D5B5E"/>
    <w:rsid w:val="002D5C01"/>
    <w:rsid w:val="002D5DAA"/>
    <w:rsid w:val="002D5DE5"/>
    <w:rsid w:val="002D5FC2"/>
    <w:rsid w:val="002D6037"/>
    <w:rsid w:val="002D60D0"/>
    <w:rsid w:val="002D6297"/>
    <w:rsid w:val="002D633F"/>
    <w:rsid w:val="002D6392"/>
    <w:rsid w:val="002D64D2"/>
    <w:rsid w:val="002D66B8"/>
    <w:rsid w:val="002D66C7"/>
    <w:rsid w:val="002D6D19"/>
    <w:rsid w:val="002D6E01"/>
    <w:rsid w:val="002D7239"/>
    <w:rsid w:val="002D7340"/>
    <w:rsid w:val="002D73DE"/>
    <w:rsid w:val="002D76EA"/>
    <w:rsid w:val="002D7766"/>
    <w:rsid w:val="002D79EC"/>
    <w:rsid w:val="002D7A9A"/>
    <w:rsid w:val="002D7DED"/>
    <w:rsid w:val="002D7E3D"/>
    <w:rsid w:val="002E0024"/>
    <w:rsid w:val="002E022B"/>
    <w:rsid w:val="002E02AB"/>
    <w:rsid w:val="002E04EA"/>
    <w:rsid w:val="002E052A"/>
    <w:rsid w:val="002E0584"/>
    <w:rsid w:val="002E06A9"/>
    <w:rsid w:val="002E071D"/>
    <w:rsid w:val="002E07E5"/>
    <w:rsid w:val="002E08C3"/>
    <w:rsid w:val="002E08F6"/>
    <w:rsid w:val="002E0A0E"/>
    <w:rsid w:val="002E0B15"/>
    <w:rsid w:val="002E0BE7"/>
    <w:rsid w:val="002E0EDA"/>
    <w:rsid w:val="002E0F2F"/>
    <w:rsid w:val="002E1090"/>
    <w:rsid w:val="002E10A9"/>
    <w:rsid w:val="002E1269"/>
    <w:rsid w:val="002E138A"/>
    <w:rsid w:val="002E13F1"/>
    <w:rsid w:val="002E140B"/>
    <w:rsid w:val="002E14DA"/>
    <w:rsid w:val="002E1783"/>
    <w:rsid w:val="002E1966"/>
    <w:rsid w:val="002E1AC6"/>
    <w:rsid w:val="002E1C91"/>
    <w:rsid w:val="002E1CF4"/>
    <w:rsid w:val="002E25FB"/>
    <w:rsid w:val="002E276D"/>
    <w:rsid w:val="002E2882"/>
    <w:rsid w:val="002E2BA5"/>
    <w:rsid w:val="002E2BE7"/>
    <w:rsid w:val="002E2BF0"/>
    <w:rsid w:val="002E2D10"/>
    <w:rsid w:val="002E2FD3"/>
    <w:rsid w:val="002E30F4"/>
    <w:rsid w:val="002E3578"/>
    <w:rsid w:val="002E35B8"/>
    <w:rsid w:val="002E3721"/>
    <w:rsid w:val="002E37A8"/>
    <w:rsid w:val="002E383B"/>
    <w:rsid w:val="002E3997"/>
    <w:rsid w:val="002E3A8A"/>
    <w:rsid w:val="002E3B58"/>
    <w:rsid w:val="002E3D01"/>
    <w:rsid w:val="002E3D36"/>
    <w:rsid w:val="002E401D"/>
    <w:rsid w:val="002E4083"/>
    <w:rsid w:val="002E417F"/>
    <w:rsid w:val="002E432A"/>
    <w:rsid w:val="002E44EC"/>
    <w:rsid w:val="002E4678"/>
    <w:rsid w:val="002E47FA"/>
    <w:rsid w:val="002E4A3E"/>
    <w:rsid w:val="002E4A61"/>
    <w:rsid w:val="002E4B2E"/>
    <w:rsid w:val="002E4B6A"/>
    <w:rsid w:val="002E4B82"/>
    <w:rsid w:val="002E4C7C"/>
    <w:rsid w:val="002E4E10"/>
    <w:rsid w:val="002E5189"/>
    <w:rsid w:val="002E52CD"/>
    <w:rsid w:val="002E52D2"/>
    <w:rsid w:val="002E5349"/>
    <w:rsid w:val="002E56B1"/>
    <w:rsid w:val="002E57A6"/>
    <w:rsid w:val="002E5C0C"/>
    <w:rsid w:val="002E5C89"/>
    <w:rsid w:val="002E5EE4"/>
    <w:rsid w:val="002E5F11"/>
    <w:rsid w:val="002E5FCD"/>
    <w:rsid w:val="002E6083"/>
    <w:rsid w:val="002E6337"/>
    <w:rsid w:val="002E6343"/>
    <w:rsid w:val="002E6441"/>
    <w:rsid w:val="002E64DA"/>
    <w:rsid w:val="002E6668"/>
    <w:rsid w:val="002E691E"/>
    <w:rsid w:val="002E6942"/>
    <w:rsid w:val="002E695B"/>
    <w:rsid w:val="002E6ACE"/>
    <w:rsid w:val="002E6D83"/>
    <w:rsid w:val="002E6E01"/>
    <w:rsid w:val="002E6FEA"/>
    <w:rsid w:val="002E72CE"/>
    <w:rsid w:val="002E73B9"/>
    <w:rsid w:val="002E73F4"/>
    <w:rsid w:val="002E746C"/>
    <w:rsid w:val="002E74AE"/>
    <w:rsid w:val="002E7588"/>
    <w:rsid w:val="002E7606"/>
    <w:rsid w:val="002E7696"/>
    <w:rsid w:val="002E7840"/>
    <w:rsid w:val="002E7857"/>
    <w:rsid w:val="002E78E5"/>
    <w:rsid w:val="002E793D"/>
    <w:rsid w:val="002E7C85"/>
    <w:rsid w:val="002E7CB8"/>
    <w:rsid w:val="002E7DBB"/>
    <w:rsid w:val="002E7DBF"/>
    <w:rsid w:val="002E7E16"/>
    <w:rsid w:val="002E7EE2"/>
    <w:rsid w:val="002E7F46"/>
    <w:rsid w:val="002F008A"/>
    <w:rsid w:val="002F06BC"/>
    <w:rsid w:val="002F07E6"/>
    <w:rsid w:val="002F0840"/>
    <w:rsid w:val="002F08B7"/>
    <w:rsid w:val="002F08D4"/>
    <w:rsid w:val="002F091E"/>
    <w:rsid w:val="002F0949"/>
    <w:rsid w:val="002F0AD3"/>
    <w:rsid w:val="002F0B58"/>
    <w:rsid w:val="002F0D1B"/>
    <w:rsid w:val="002F0D81"/>
    <w:rsid w:val="002F0E61"/>
    <w:rsid w:val="002F0F19"/>
    <w:rsid w:val="002F1040"/>
    <w:rsid w:val="002F12AA"/>
    <w:rsid w:val="002F142E"/>
    <w:rsid w:val="002F152E"/>
    <w:rsid w:val="002F1749"/>
    <w:rsid w:val="002F18DF"/>
    <w:rsid w:val="002F1C9A"/>
    <w:rsid w:val="002F1EB3"/>
    <w:rsid w:val="002F1EBF"/>
    <w:rsid w:val="002F1F65"/>
    <w:rsid w:val="002F2181"/>
    <w:rsid w:val="002F221E"/>
    <w:rsid w:val="002F22B0"/>
    <w:rsid w:val="002F270C"/>
    <w:rsid w:val="002F27B2"/>
    <w:rsid w:val="002F2A28"/>
    <w:rsid w:val="002F2C89"/>
    <w:rsid w:val="002F31A6"/>
    <w:rsid w:val="002F3203"/>
    <w:rsid w:val="002F33FE"/>
    <w:rsid w:val="002F3469"/>
    <w:rsid w:val="002F3577"/>
    <w:rsid w:val="002F358F"/>
    <w:rsid w:val="002F3748"/>
    <w:rsid w:val="002F3968"/>
    <w:rsid w:val="002F3A80"/>
    <w:rsid w:val="002F3AF4"/>
    <w:rsid w:val="002F3C0D"/>
    <w:rsid w:val="002F3C8A"/>
    <w:rsid w:val="002F3D03"/>
    <w:rsid w:val="002F3F41"/>
    <w:rsid w:val="002F4252"/>
    <w:rsid w:val="002F44DA"/>
    <w:rsid w:val="002F4518"/>
    <w:rsid w:val="002F4553"/>
    <w:rsid w:val="002F45C1"/>
    <w:rsid w:val="002F45FD"/>
    <w:rsid w:val="002F46E7"/>
    <w:rsid w:val="002F48C4"/>
    <w:rsid w:val="002F4B26"/>
    <w:rsid w:val="002F4EF6"/>
    <w:rsid w:val="002F4F2B"/>
    <w:rsid w:val="002F4FE2"/>
    <w:rsid w:val="002F5198"/>
    <w:rsid w:val="002F5228"/>
    <w:rsid w:val="002F528A"/>
    <w:rsid w:val="002F5322"/>
    <w:rsid w:val="002F53E1"/>
    <w:rsid w:val="002F54EF"/>
    <w:rsid w:val="002F55FE"/>
    <w:rsid w:val="002F5A3F"/>
    <w:rsid w:val="002F5C5B"/>
    <w:rsid w:val="002F5CFD"/>
    <w:rsid w:val="002F5D64"/>
    <w:rsid w:val="002F5D6F"/>
    <w:rsid w:val="002F6168"/>
    <w:rsid w:val="002F620E"/>
    <w:rsid w:val="002F62B7"/>
    <w:rsid w:val="002F63EE"/>
    <w:rsid w:val="002F640B"/>
    <w:rsid w:val="002F6697"/>
    <w:rsid w:val="002F670F"/>
    <w:rsid w:val="002F6889"/>
    <w:rsid w:val="002F690A"/>
    <w:rsid w:val="002F69E4"/>
    <w:rsid w:val="002F6A9B"/>
    <w:rsid w:val="002F6D66"/>
    <w:rsid w:val="002F6D96"/>
    <w:rsid w:val="002F6E22"/>
    <w:rsid w:val="002F6E7D"/>
    <w:rsid w:val="002F6F49"/>
    <w:rsid w:val="002F721E"/>
    <w:rsid w:val="002F726C"/>
    <w:rsid w:val="002F7299"/>
    <w:rsid w:val="002F73D1"/>
    <w:rsid w:val="002F764B"/>
    <w:rsid w:val="002F7671"/>
    <w:rsid w:val="002F76A9"/>
    <w:rsid w:val="002F77AB"/>
    <w:rsid w:val="002F7810"/>
    <w:rsid w:val="002F7B93"/>
    <w:rsid w:val="002F7D2B"/>
    <w:rsid w:val="002F7F07"/>
    <w:rsid w:val="002F7F30"/>
    <w:rsid w:val="002F7F32"/>
    <w:rsid w:val="00300156"/>
    <w:rsid w:val="00300318"/>
    <w:rsid w:val="003006F3"/>
    <w:rsid w:val="00300733"/>
    <w:rsid w:val="00300ACE"/>
    <w:rsid w:val="00300C26"/>
    <w:rsid w:val="00300CC0"/>
    <w:rsid w:val="00300E0B"/>
    <w:rsid w:val="003016D7"/>
    <w:rsid w:val="0030171B"/>
    <w:rsid w:val="00301875"/>
    <w:rsid w:val="00301A7C"/>
    <w:rsid w:val="00301B9A"/>
    <w:rsid w:val="00301E4F"/>
    <w:rsid w:val="00302002"/>
    <w:rsid w:val="00302065"/>
    <w:rsid w:val="00302131"/>
    <w:rsid w:val="0030236E"/>
    <w:rsid w:val="00302383"/>
    <w:rsid w:val="00302518"/>
    <w:rsid w:val="00302647"/>
    <w:rsid w:val="00302967"/>
    <w:rsid w:val="00302A33"/>
    <w:rsid w:val="00302A8D"/>
    <w:rsid w:val="00302A95"/>
    <w:rsid w:val="00302AE8"/>
    <w:rsid w:val="00302D13"/>
    <w:rsid w:val="00302FA4"/>
    <w:rsid w:val="00302FA7"/>
    <w:rsid w:val="00303073"/>
    <w:rsid w:val="00303096"/>
    <w:rsid w:val="003036D5"/>
    <w:rsid w:val="0030370F"/>
    <w:rsid w:val="00303AA2"/>
    <w:rsid w:val="00303AB7"/>
    <w:rsid w:val="00303AC8"/>
    <w:rsid w:val="00303DC4"/>
    <w:rsid w:val="00303F05"/>
    <w:rsid w:val="00304120"/>
    <w:rsid w:val="003042C2"/>
    <w:rsid w:val="003043AB"/>
    <w:rsid w:val="003046B9"/>
    <w:rsid w:val="003046E5"/>
    <w:rsid w:val="003047E6"/>
    <w:rsid w:val="00304CD3"/>
    <w:rsid w:val="00304DC2"/>
    <w:rsid w:val="00304DDD"/>
    <w:rsid w:val="0030504B"/>
    <w:rsid w:val="003050B0"/>
    <w:rsid w:val="00305294"/>
    <w:rsid w:val="00305348"/>
    <w:rsid w:val="00305375"/>
    <w:rsid w:val="00305478"/>
    <w:rsid w:val="0030551B"/>
    <w:rsid w:val="00305649"/>
    <w:rsid w:val="00305672"/>
    <w:rsid w:val="003056DA"/>
    <w:rsid w:val="00305853"/>
    <w:rsid w:val="003058F4"/>
    <w:rsid w:val="00305906"/>
    <w:rsid w:val="00305938"/>
    <w:rsid w:val="00305A91"/>
    <w:rsid w:val="00305B2A"/>
    <w:rsid w:val="00305C6F"/>
    <w:rsid w:val="00305D67"/>
    <w:rsid w:val="00305F0B"/>
    <w:rsid w:val="00305F3E"/>
    <w:rsid w:val="00305F6D"/>
    <w:rsid w:val="00306610"/>
    <w:rsid w:val="0030670D"/>
    <w:rsid w:val="0030681A"/>
    <w:rsid w:val="00306A12"/>
    <w:rsid w:val="00306CE9"/>
    <w:rsid w:val="00307131"/>
    <w:rsid w:val="003071C6"/>
    <w:rsid w:val="0030754E"/>
    <w:rsid w:val="003075D0"/>
    <w:rsid w:val="00307821"/>
    <w:rsid w:val="00307B3D"/>
    <w:rsid w:val="00307C75"/>
    <w:rsid w:val="00307E0B"/>
    <w:rsid w:val="00307ECB"/>
    <w:rsid w:val="003101C5"/>
    <w:rsid w:val="0031048E"/>
    <w:rsid w:val="00310652"/>
    <w:rsid w:val="0031068D"/>
    <w:rsid w:val="00310698"/>
    <w:rsid w:val="003107ED"/>
    <w:rsid w:val="00310821"/>
    <w:rsid w:val="00310834"/>
    <w:rsid w:val="00310ADC"/>
    <w:rsid w:val="00310B0D"/>
    <w:rsid w:val="00310C19"/>
    <w:rsid w:val="00310D5A"/>
    <w:rsid w:val="00310F43"/>
    <w:rsid w:val="003110ED"/>
    <w:rsid w:val="0031124D"/>
    <w:rsid w:val="00311455"/>
    <w:rsid w:val="003114F0"/>
    <w:rsid w:val="00311654"/>
    <w:rsid w:val="00311705"/>
    <w:rsid w:val="00311769"/>
    <w:rsid w:val="003117C9"/>
    <w:rsid w:val="00311C1E"/>
    <w:rsid w:val="00311CC0"/>
    <w:rsid w:val="00311D5F"/>
    <w:rsid w:val="003125AE"/>
    <w:rsid w:val="003125BD"/>
    <w:rsid w:val="00312714"/>
    <w:rsid w:val="003127C1"/>
    <w:rsid w:val="003128C5"/>
    <w:rsid w:val="00312ADC"/>
    <w:rsid w:val="00312B51"/>
    <w:rsid w:val="00312BC6"/>
    <w:rsid w:val="00312C68"/>
    <w:rsid w:val="00312CB0"/>
    <w:rsid w:val="00312CFB"/>
    <w:rsid w:val="00312F03"/>
    <w:rsid w:val="00313482"/>
    <w:rsid w:val="003135A9"/>
    <w:rsid w:val="0031381F"/>
    <w:rsid w:val="00313A98"/>
    <w:rsid w:val="00313C59"/>
    <w:rsid w:val="00313C73"/>
    <w:rsid w:val="0031409F"/>
    <w:rsid w:val="0031426B"/>
    <w:rsid w:val="0031462D"/>
    <w:rsid w:val="0031476F"/>
    <w:rsid w:val="00314A3B"/>
    <w:rsid w:val="00314CA7"/>
    <w:rsid w:val="00314DB0"/>
    <w:rsid w:val="00314DFB"/>
    <w:rsid w:val="0031506B"/>
    <w:rsid w:val="003150D0"/>
    <w:rsid w:val="003150EE"/>
    <w:rsid w:val="00315307"/>
    <w:rsid w:val="00315443"/>
    <w:rsid w:val="00315452"/>
    <w:rsid w:val="003157A7"/>
    <w:rsid w:val="00315B44"/>
    <w:rsid w:val="00315DBC"/>
    <w:rsid w:val="00315DF4"/>
    <w:rsid w:val="00315F81"/>
    <w:rsid w:val="00316084"/>
    <w:rsid w:val="003162A0"/>
    <w:rsid w:val="00316549"/>
    <w:rsid w:val="003165CC"/>
    <w:rsid w:val="003167AC"/>
    <w:rsid w:val="00316811"/>
    <w:rsid w:val="00316AA5"/>
    <w:rsid w:val="00316C7C"/>
    <w:rsid w:val="00316EB5"/>
    <w:rsid w:val="0031720E"/>
    <w:rsid w:val="00317210"/>
    <w:rsid w:val="003172D1"/>
    <w:rsid w:val="00317402"/>
    <w:rsid w:val="0031750B"/>
    <w:rsid w:val="00317586"/>
    <w:rsid w:val="003176B5"/>
    <w:rsid w:val="003178D0"/>
    <w:rsid w:val="00317B65"/>
    <w:rsid w:val="00317B8F"/>
    <w:rsid w:val="00317D53"/>
    <w:rsid w:val="00317D85"/>
    <w:rsid w:val="00317FF9"/>
    <w:rsid w:val="003202D0"/>
    <w:rsid w:val="00320401"/>
    <w:rsid w:val="00320550"/>
    <w:rsid w:val="00320731"/>
    <w:rsid w:val="00320C98"/>
    <w:rsid w:val="00320D1B"/>
    <w:rsid w:val="00320D56"/>
    <w:rsid w:val="00320F0B"/>
    <w:rsid w:val="00321031"/>
    <w:rsid w:val="0032127C"/>
    <w:rsid w:val="003214DA"/>
    <w:rsid w:val="003215EB"/>
    <w:rsid w:val="003216B4"/>
    <w:rsid w:val="003216C5"/>
    <w:rsid w:val="003217ED"/>
    <w:rsid w:val="00321823"/>
    <w:rsid w:val="003218A9"/>
    <w:rsid w:val="00321DFB"/>
    <w:rsid w:val="00321E3F"/>
    <w:rsid w:val="00321E6D"/>
    <w:rsid w:val="00321FF0"/>
    <w:rsid w:val="0032217D"/>
    <w:rsid w:val="003221A5"/>
    <w:rsid w:val="00322262"/>
    <w:rsid w:val="003222B1"/>
    <w:rsid w:val="003222E8"/>
    <w:rsid w:val="0032236C"/>
    <w:rsid w:val="003224D2"/>
    <w:rsid w:val="0032259D"/>
    <w:rsid w:val="003225C4"/>
    <w:rsid w:val="00322656"/>
    <w:rsid w:val="00322709"/>
    <w:rsid w:val="00322A8F"/>
    <w:rsid w:val="00322A98"/>
    <w:rsid w:val="00322C8E"/>
    <w:rsid w:val="00322CB1"/>
    <w:rsid w:val="00322D3E"/>
    <w:rsid w:val="003230D3"/>
    <w:rsid w:val="003230E6"/>
    <w:rsid w:val="003231E5"/>
    <w:rsid w:val="003232E2"/>
    <w:rsid w:val="003233D5"/>
    <w:rsid w:val="003234DE"/>
    <w:rsid w:val="00323745"/>
    <w:rsid w:val="0032392A"/>
    <w:rsid w:val="00323946"/>
    <w:rsid w:val="003239A6"/>
    <w:rsid w:val="003239DD"/>
    <w:rsid w:val="00323A40"/>
    <w:rsid w:val="00323AF0"/>
    <w:rsid w:val="00323BBD"/>
    <w:rsid w:val="00323BD7"/>
    <w:rsid w:val="00323CE0"/>
    <w:rsid w:val="00323DC5"/>
    <w:rsid w:val="00323EAC"/>
    <w:rsid w:val="00323F1A"/>
    <w:rsid w:val="00323F2B"/>
    <w:rsid w:val="00323F8E"/>
    <w:rsid w:val="00323FEF"/>
    <w:rsid w:val="0032440B"/>
    <w:rsid w:val="00324761"/>
    <w:rsid w:val="00324923"/>
    <w:rsid w:val="00324C75"/>
    <w:rsid w:val="00324CE2"/>
    <w:rsid w:val="00324D1E"/>
    <w:rsid w:val="00324ECA"/>
    <w:rsid w:val="00324FA4"/>
    <w:rsid w:val="00325291"/>
    <w:rsid w:val="0032587B"/>
    <w:rsid w:val="00325C60"/>
    <w:rsid w:val="003260DB"/>
    <w:rsid w:val="00326137"/>
    <w:rsid w:val="00326153"/>
    <w:rsid w:val="00326303"/>
    <w:rsid w:val="00326382"/>
    <w:rsid w:val="003263BD"/>
    <w:rsid w:val="003263F5"/>
    <w:rsid w:val="003264B4"/>
    <w:rsid w:val="003265A2"/>
    <w:rsid w:val="00326608"/>
    <w:rsid w:val="0032664E"/>
    <w:rsid w:val="0032664F"/>
    <w:rsid w:val="00326747"/>
    <w:rsid w:val="00326A54"/>
    <w:rsid w:val="00326A91"/>
    <w:rsid w:val="00326B41"/>
    <w:rsid w:val="00326BA5"/>
    <w:rsid w:val="00326CEA"/>
    <w:rsid w:val="00326F85"/>
    <w:rsid w:val="00326FE2"/>
    <w:rsid w:val="003271F5"/>
    <w:rsid w:val="003274AC"/>
    <w:rsid w:val="00327682"/>
    <w:rsid w:val="003276A2"/>
    <w:rsid w:val="003277E1"/>
    <w:rsid w:val="00327A78"/>
    <w:rsid w:val="00327ABE"/>
    <w:rsid w:val="00327D65"/>
    <w:rsid w:val="00327E6F"/>
    <w:rsid w:val="00330086"/>
    <w:rsid w:val="003300D3"/>
    <w:rsid w:val="003301A9"/>
    <w:rsid w:val="00330269"/>
    <w:rsid w:val="003302A2"/>
    <w:rsid w:val="003303B4"/>
    <w:rsid w:val="003303F7"/>
    <w:rsid w:val="00330748"/>
    <w:rsid w:val="0033081E"/>
    <w:rsid w:val="00330981"/>
    <w:rsid w:val="00330A05"/>
    <w:rsid w:val="00330AA0"/>
    <w:rsid w:val="00330B78"/>
    <w:rsid w:val="00330BED"/>
    <w:rsid w:val="00330CCD"/>
    <w:rsid w:val="00330F28"/>
    <w:rsid w:val="00330F68"/>
    <w:rsid w:val="0033104C"/>
    <w:rsid w:val="00331070"/>
    <w:rsid w:val="0033108E"/>
    <w:rsid w:val="00331264"/>
    <w:rsid w:val="003312BE"/>
    <w:rsid w:val="003314C5"/>
    <w:rsid w:val="003315E4"/>
    <w:rsid w:val="003315EE"/>
    <w:rsid w:val="00331625"/>
    <w:rsid w:val="0033179F"/>
    <w:rsid w:val="003319F8"/>
    <w:rsid w:val="00331AB9"/>
    <w:rsid w:val="00331F0D"/>
    <w:rsid w:val="00332008"/>
    <w:rsid w:val="0033211F"/>
    <w:rsid w:val="003323F1"/>
    <w:rsid w:val="00332445"/>
    <w:rsid w:val="0033254C"/>
    <w:rsid w:val="0033262D"/>
    <w:rsid w:val="00332778"/>
    <w:rsid w:val="00332795"/>
    <w:rsid w:val="003327AB"/>
    <w:rsid w:val="003329D9"/>
    <w:rsid w:val="00332A50"/>
    <w:rsid w:val="00332A5F"/>
    <w:rsid w:val="00332B16"/>
    <w:rsid w:val="00332D22"/>
    <w:rsid w:val="003330F8"/>
    <w:rsid w:val="00333168"/>
    <w:rsid w:val="003331F2"/>
    <w:rsid w:val="0033356D"/>
    <w:rsid w:val="003335FF"/>
    <w:rsid w:val="0033374C"/>
    <w:rsid w:val="0033388A"/>
    <w:rsid w:val="003338F6"/>
    <w:rsid w:val="00333BE2"/>
    <w:rsid w:val="00333C7F"/>
    <w:rsid w:val="00333DA2"/>
    <w:rsid w:val="00334032"/>
    <w:rsid w:val="003340F0"/>
    <w:rsid w:val="0033423C"/>
    <w:rsid w:val="00334255"/>
    <w:rsid w:val="00334276"/>
    <w:rsid w:val="003344C6"/>
    <w:rsid w:val="003345F1"/>
    <w:rsid w:val="003347B6"/>
    <w:rsid w:val="00334863"/>
    <w:rsid w:val="00334DD0"/>
    <w:rsid w:val="00334DF5"/>
    <w:rsid w:val="00334DF8"/>
    <w:rsid w:val="0033509A"/>
    <w:rsid w:val="00335104"/>
    <w:rsid w:val="00335258"/>
    <w:rsid w:val="003352E4"/>
    <w:rsid w:val="0033530F"/>
    <w:rsid w:val="003353C5"/>
    <w:rsid w:val="003354EA"/>
    <w:rsid w:val="003354EE"/>
    <w:rsid w:val="00335887"/>
    <w:rsid w:val="00335B24"/>
    <w:rsid w:val="00335BBD"/>
    <w:rsid w:val="00336207"/>
    <w:rsid w:val="00336237"/>
    <w:rsid w:val="003362A2"/>
    <w:rsid w:val="00336481"/>
    <w:rsid w:val="003364EE"/>
    <w:rsid w:val="003364F9"/>
    <w:rsid w:val="003367F0"/>
    <w:rsid w:val="003367FF"/>
    <w:rsid w:val="00336BF0"/>
    <w:rsid w:val="00336D23"/>
    <w:rsid w:val="00336D32"/>
    <w:rsid w:val="00336D5C"/>
    <w:rsid w:val="00336D87"/>
    <w:rsid w:val="00336DEC"/>
    <w:rsid w:val="003370EE"/>
    <w:rsid w:val="003373E1"/>
    <w:rsid w:val="00337791"/>
    <w:rsid w:val="003379DF"/>
    <w:rsid w:val="00337A16"/>
    <w:rsid w:val="00337DAE"/>
    <w:rsid w:val="00337DB0"/>
    <w:rsid w:val="00337E1A"/>
    <w:rsid w:val="00337E3A"/>
    <w:rsid w:val="00337F26"/>
    <w:rsid w:val="00337FFB"/>
    <w:rsid w:val="00340083"/>
    <w:rsid w:val="00340111"/>
    <w:rsid w:val="00340183"/>
    <w:rsid w:val="003402BD"/>
    <w:rsid w:val="0034039D"/>
    <w:rsid w:val="00340413"/>
    <w:rsid w:val="00340462"/>
    <w:rsid w:val="00340922"/>
    <w:rsid w:val="00340D22"/>
    <w:rsid w:val="00340F55"/>
    <w:rsid w:val="00341008"/>
    <w:rsid w:val="0034109D"/>
    <w:rsid w:val="003411AC"/>
    <w:rsid w:val="00341230"/>
    <w:rsid w:val="00341242"/>
    <w:rsid w:val="003412B8"/>
    <w:rsid w:val="00341367"/>
    <w:rsid w:val="0034138A"/>
    <w:rsid w:val="0034147E"/>
    <w:rsid w:val="003415AF"/>
    <w:rsid w:val="00341899"/>
    <w:rsid w:val="00341B2C"/>
    <w:rsid w:val="00341BA6"/>
    <w:rsid w:val="00341D59"/>
    <w:rsid w:val="00341DD9"/>
    <w:rsid w:val="00341FB1"/>
    <w:rsid w:val="00342344"/>
    <w:rsid w:val="003423F2"/>
    <w:rsid w:val="00342450"/>
    <w:rsid w:val="003426B7"/>
    <w:rsid w:val="003427D4"/>
    <w:rsid w:val="003429FB"/>
    <w:rsid w:val="00342E06"/>
    <w:rsid w:val="00342E5B"/>
    <w:rsid w:val="0034303C"/>
    <w:rsid w:val="0034306A"/>
    <w:rsid w:val="0034311C"/>
    <w:rsid w:val="00343232"/>
    <w:rsid w:val="003434F2"/>
    <w:rsid w:val="00343719"/>
    <w:rsid w:val="0034391A"/>
    <w:rsid w:val="00343BB2"/>
    <w:rsid w:val="00343E41"/>
    <w:rsid w:val="00343E55"/>
    <w:rsid w:val="00343EA9"/>
    <w:rsid w:val="00344069"/>
    <w:rsid w:val="003443A2"/>
    <w:rsid w:val="003443A8"/>
    <w:rsid w:val="00344494"/>
    <w:rsid w:val="003444B3"/>
    <w:rsid w:val="003444F7"/>
    <w:rsid w:val="0034453A"/>
    <w:rsid w:val="003446DD"/>
    <w:rsid w:val="0034484A"/>
    <w:rsid w:val="003448AA"/>
    <w:rsid w:val="003448E9"/>
    <w:rsid w:val="00344BE2"/>
    <w:rsid w:val="00344ED5"/>
    <w:rsid w:val="00344ED6"/>
    <w:rsid w:val="00344FAC"/>
    <w:rsid w:val="003450C1"/>
    <w:rsid w:val="0034519D"/>
    <w:rsid w:val="003452BA"/>
    <w:rsid w:val="003453ED"/>
    <w:rsid w:val="003454F4"/>
    <w:rsid w:val="00345771"/>
    <w:rsid w:val="00345B13"/>
    <w:rsid w:val="00345B21"/>
    <w:rsid w:val="00345CA2"/>
    <w:rsid w:val="00345CC9"/>
    <w:rsid w:val="00345E27"/>
    <w:rsid w:val="00345E47"/>
    <w:rsid w:val="003460A3"/>
    <w:rsid w:val="0034618C"/>
    <w:rsid w:val="003461E9"/>
    <w:rsid w:val="00346411"/>
    <w:rsid w:val="003464A8"/>
    <w:rsid w:val="00346512"/>
    <w:rsid w:val="0034654F"/>
    <w:rsid w:val="00346789"/>
    <w:rsid w:val="003467FF"/>
    <w:rsid w:val="003468DE"/>
    <w:rsid w:val="00346A11"/>
    <w:rsid w:val="00346B41"/>
    <w:rsid w:val="00346B42"/>
    <w:rsid w:val="00346C0D"/>
    <w:rsid w:val="00346D27"/>
    <w:rsid w:val="00346D91"/>
    <w:rsid w:val="0034700A"/>
    <w:rsid w:val="00347314"/>
    <w:rsid w:val="003474D0"/>
    <w:rsid w:val="003475EC"/>
    <w:rsid w:val="0034760A"/>
    <w:rsid w:val="00347831"/>
    <w:rsid w:val="00347885"/>
    <w:rsid w:val="003478C5"/>
    <w:rsid w:val="0034792F"/>
    <w:rsid w:val="003479B9"/>
    <w:rsid w:val="00347B08"/>
    <w:rsid w:val="00347B43"/>
    <w:rsid w:val="00347CE3"/>
    <w:rsid w:val="00347EC1"/>
    <w:rsid w:val="003500B8"/>
    <w:rsid w:val="003500EE"/>
    <w:rsid w:val="0035019D"/>
    <w:rsid w:val="00350244"/>
    <w:rsid w:val="0035038D"/>
    <w:rsid w:val="00350401"/>
    <w:rsid w:val="003504A4"/>
    <w:rsid w:val="00350523"/>
    <w:rsid w:val="00350768"/>
    <w:rsid w:val="0035078A"/>
    <w:rsid w:val="00350A5D"/>
    <w:rsid w:val="00350B11"/>
    <w:rsid w:val="00350B53"/>
    <w:rsid w:val="00350B88"/>
    <w:rsid w:val="00350C16"/>
    <w:rsid w:val="00350C73"/>
    <w:rsid w:val="00350F79"/>
    <w:rsid w:val="00350FCE"/>
    <w:rsid w:val="00351190"/>
    <w:rsid w:val="00351225"/>
    <w:rsid w:val="003513BA"/>
    <w:rsid w:val="00351401"/>
    <w:rsid w:val="0035141D"/>
    <w:rsid w:val="00351580"/>
    <w:rsid w:val="00351751"/>
    <w:rsid w:val="00351B59"/>
    <w:rsid w:val="00351BB0"/>
    <w:rsid w:val="00351C5C"/>
    <w:rsid w:val="00351CD6"/>
    <w:rsid w:val="00351DA3"/>
    <w:rsid w:val="00351ECD"/>
    <w:rsid w:val="00351FD3"/>
    <w:rsid w:val="0035206A"/>
    <w:rsid w:val="00352121"/>
    <w:rsid w:val="0035232F"/>
    <w:rsid w:val="0035258D"/>
    <w:rsid w:val="00352648"/>
    <w:rsid w:val="0035279C"/>
    <w:rsid w:val="003528CD"/>
    <w:rsid w:val="0035290C"/>
    <w:rsid w:val="00352C16"/>
    <w:rsid w:val="00352DB4"/>
    <w:rsid w:val="00353001"/>
    <w:rsid w:val="00353175"/>
    <w:rsid w:val="0035328B"/>
    <w:rsid w:val="003533FC"/>
    <w:rsid w:val="0035350D"/>
    <w:rsid w:val="00353908"/>
    <w:rsid w:val="00353CF2"/>
    <w:rsid w:val="00353DA1"/>
    <w:rsid w:val="00353DCD"/>
    <w:rsid w:val="0035406C"/>
    <w:rsid w:val="00354131"/>
    <w:rsid w:val="00354136"/>
    <w:rsid w:val="00354191"/>
    <w:rsid w:val="00354192"/>
    <w:rsid w:val="00354231"/>
    <w:rsid w:val="00354369"/>
    <w:rsid w:val="00354428"/>
    <w:rsid w:val="00354575"/>
    <w:rsid w:val="00354783"/>
    <w:rsid w:val="00354BB5"/>
    <w:rsid w:val="00354DBD"/>
    <w:rsid w:val="003551A7"/>
    <w:rsid w:val="0035521A"/>
    <w:rsid w:val="0035523A"/>
    <w:rsid w:val="00355538"/>
    <w:rsid w:val="0035553A"/>
    <w:rsid w:val="00355554"/>
    <w:rsid w:val="0035555B"/>
    <w:rsid w:val="0035566D"/>
    <w:rsid w:val="00355935"/>
    <w:rsid w:val="00355AB2"/>
    <w:rsid w:val="00355CE5"/>
    <w:rsid w:val="00355D59"/>
    <w:rsid w:val="00355F61"/>
    <w:rsid w:val="00355F62"/>
    <w:rsid w:val="00356032"/>
    <w:rsid w:val="0035623B"/>
    <w:rsid w:val="003562AE"/>
    <w:rsid w:val="00356571"/>
    <w:rsid w:val="00356699"/>
    <w:rsid w:val="0035676F"/>
    <w:rsid w:val="00356C53"/>
    <w:rsid w:val="00356C81"/>
    <w:rsid w:val="00356CA5"/>
    <w:rsid w:val="00356CA9"/>
    <w:rsid w:val="00356CEE"/>
    <w:rsid w:val="00356D88"/>
    <w:rsid w:val="00356E9E"/>
    <w:rsid w:val="00356EC1"/>
    <w:rsid w:val="00356ECB"/>
    <w:rsid w:val="00356F29"/>
    <w:rsid w:val="00356FD2"/>
    <w:rsid w:val="003571AA"/>
    <w:rsid w:val="00357211"/>
    <w:rsid w:val="0035728F"/>
    <w:rsid w:val="003573F0"/>
    <w:rsid w:val="00357527"/>
    <w:rsid w:val="003575C5"/>
    <w:rsid w:val="003575C7"/>
    <w:rsid w:val="00357674"/>
    <w:rsid w:val="003578DD"/>
    <w:rsid w:val="003579C0"/>
    <w:rsid w:val="003579F5"/>
    <w:rsid w:val="00357B04"/>
    <w:rsid w:val="00357B37"/>
    <w:rsid w:val="00357C56"/>
    <w:rsid w:val="00357DEA"/>
    <w:rsid w:val="00360098"/>
    <w:rsid w:val="00360186"/>
    <w:rsid w:val="00360398"/>
    <w:rsid w:val="003603C5"/>
    <w:rsid w:val="00360AB8"/>
    <w:rsid w:val="00360ADD"/>
    <w:rsid w:val="00360C33"/>
    <w:rsid w:val="00361276"/>
    <w:rsid w:val="0036140C"/>
    <w:rsid w:val="00361493"/>
    <w:rsid w:val="003619B3"/>
    <w:rsid w:val="00361A95"/>
    <w:rsid w:val="00361ADA"/>
    <w:rsid w:val="00361B2D"/>
    <w:rsid w:val="00361D44"/>
    <w:rsid w:val="00361D7B"/>
    <w:rsid w:val="00361E31"/>
    <w:rsid w:val="00361FC0"/>
    <w:rsid w:val="003621A2"/>
    <w:rsid w:val="003621A5"/>
    <w:rsid w:val="00362386"/>
    <w:rsid w:val="0036248C"/>
    <w:rsid w:val="0036296D"/>
    <w:rsid w:val="0036298B"/>
    <w:rsid w:val="003629D4"/>
    <w:rsid w:val="00362A11"/>
    <w:rsid w:val="00362A2E"/>
    <w:rsid w:val="00362CDB"/>
    <w:rsid w:val="00362CE6"/>
    <w:rsid w:val="00362EA9"/>
    <w:rsid w:val="00362EDF"/>
    <w:rsid w:val="00362EEE"/>
    <w:rsid w:val="003637B7"/>
    <w:rsid w:val="003637C0"/>
    <w:rsid w:val="003637E0"/>
    <w:rsid w:val="003638F9"/>
    <w:rsid w:val="00363A45"/>
    <w:rsid w:val="00363A77"/>
    <w:rsid w:val="00363ACA"/>
    <w:rsid w:val="00363BD0"/>
    <w:rsid w:val="00363BEA"/>
    <w:rsid w:val="00363C34"/>
    <w:rsid w:val="003641C9"/>
    <w:rsid w:val="0036424F"/>
    <w:rsid w:val="00364304"/>
    <w:rsid w:val="003644BE"/>
    <w:rsid w:val="00364608"/>
    <w:rsid w:val="0036468B"/>
    <w:rsid w:val="00364849"/>
    <w:rsid w:val="00364886"/>
    <w:rsid w:val="003648AE"/>
    <w:rsid w:val="00364926"/>
    <w:rsid w:val="00364969"/>
    <w:rsid w:val="00364D3E"/>
    <w:rsid w:val="00364DFC"/>
    <w:rsid w:val="00365087"/>
    <w:rsid w:val="0036518A"/>
    <w:rsid w:val="00365212"/>
    <w:rsid w:val="003654F6"/>
    <w:rsid w:val="003655CC"/>
    <w:rsid w:val="00365817"/>
    <w:rsid w:val="00365975"/>
    <w:rsid w:val="00365A81"/>
    <w:rsid w:val="00365B09"/>
    <w:rsid w:val="00365C35"/>
    <w:rsid w:val="00365D70"/>
    <w:rsid w:val="00365DF1"/>
    <w:rsid w:val="00365E29"/>
    <w:rsid w:val="00365F34"/>
    <w:rsid w:val="00365F38"/>
    <w:rsid w:val="0036606B"/>
    <w:rsid w:val="00366222"/>
    <w:rsid w:val="0036622B"/>
    <w:rsid w:val="003663F3"/>
    <w:rsid w:val="003664C9"/>
    <w:rsid w:val="003665D7"/>
    <w:rsid w:val="003665FB"/>
    <w:rsid w:val="0036682F"/>
    <w:rsid w:val="00366A15"/>
    <w:rsid w:val="00366D65"/>
    <w:rsid w:val="00366E08"/>
    <w:rsid w:val="00366ED9"/>
    <w:rsid w:val="003670FD"/>
    <w:rsid w:val="003671CF"/>
    <w:rsid w:val="00367440"/>
    <w:rsid w:val="0036756A"/>
    <w:rsid w:val="003675D6"/>
    <w:rsid w:val="00367698"/>
    <w:rsid w:val="0036790F"/>
    <w:rsid w:val="00367A87"/>
    <w:rsid w:val="00367BDB"/>
    <w:rsid w:val="00367BDC"/>
    <w:rsid w:val="00370132"/>
    <w:rsid w:val="003702F8"/>
    <w:rsid w:val="00370304"/>
    <w:rsid w:val="0037036D"/>
    <w:rsid w:val="00370523"/>
    <w:rsid w:val="0037054D"/>
    <w:rsid w:val="003705D4"/>
    <w:rsid w:val="003706C9"/>
    <w:rsid w:val="00370734"/>
    <w:rsid w:val="003707E6"/>
    <w:rsid w:val="003707FA"/>
    <w:rsid w:val="00370C12"/>
    <w:rsid w:val="00370D1A"/>
    <w:rsid w:val="00370F3B"/>
    <w:rsid w:val="00371266"/>
    <w:rsid w:val="003715D6"/>
    <w:rsid w:val="0037166D"/>
    <w:rsid w:val="00371A70"/>
    <w:rsid w:val="00371B22"/>
    <w:rsid w:val="00371BB6"/>
    <w:rsid w:val="00371CBF"/>
    <w:rsid w:val="00371D41"/>
    <w:rsid w:val="00371DBB"/>
    <w:rsid w:val="003721B4"/>
    <w:rsid w:val="0037220F"/>
    <w:rsid w:val="003723D4"/>
    <w:rsid w:val="003724C5"/>
    <w:rsid w:val="0037258B"/>
    <w:rsid w:val="0037269A"/>
    <w:rsid w:val="0037279C"/>
    <w:rsid w:val="00372808"/>
    <w:rsid w:val="0037296B"/>
    <w:rsid w:val="003729B6"/>
    <w:rsid w:val="00372A06"/>
    <w:rsid w:val="00372FE8"/>
    <w:rsid w:val="0037301B"/>
    <w:rsid w:val="00373125"/>
    <w:rsid w:val="00373268"/>
    <w:rsid w:val="003733CC"/>
    <w:rsid w:val="003734F0"/>
    <w:rsid w:val="00373966"/>
    <w:rsid w:val="00373BFA"/>
    <w:rsid w:val="00373E59"/>
    <w:rsid w:val="00373F6F"/>
    <w:rsid w:val="00374200"/>
    <w:rsid w:val="00374532"/>
    <w:rsid w:val="0037467B"/>
    <w:rsid w:val="00374869"/>
    <w:rsid w:val="003748E2"/>
    <w:rsid w:val="00374941"/>
    <w:rsid w:val="003749B1"/>
    <w:rsid w:val="00374AC0"/>
    <w:rsid w:val="00374AC1"/>
    <w:rsid w:val="00374AC9"/>
    <w:rsid w:val="00374B27"/>
    <w:rsid w:val="00374CAF"/>
    <w:rsid w:val="00374DFE"/>
    <w:rsid w:val="00374FCA"/>
    <w:rsid w:val="00374FD3"/>
    <w:rsid w:val="003752A5"/>
    <w:rsid w:val="00375354"/>
    <w:rsid w:val="00375361"/>
    <w:rsid w:val="003753C0"/>
    <w:rsid w:val="0037548D"/>
    <w:rsid w:val="00375570"/>
    <w:rsid w:val="0037568B"/>
    <w:rsid w:val="00375824"/>
    <w:rsid w:val="00375871"/>
    <w:rsid w:val="003758A6"/>
    <w:rsid w:val="0037591E"/>
    <w:rsid w:val="00375A3E"/>
    <w:rsid w:val="00375B41"/>
    <w:rsid w:val="00375C23"/>
    <w:rsid w:val="00375C9B"/>
    <w:rsid w:val="00375D67"/>
    <w:rsid w:val="00375E06"/>
    <w:rsid w:val="00375E68"/>
    <w:rsid w:val="00375F2D"/>
    <w:rsid w:val="00375FCC"/>
    <w:rsid w:val="00376154"/>
    <w:rsid w:val="00376258"/>
    <w:rsid w:val="003762B1"/>
    <w:rsid w:val="00376390"/>
    <w:rsid w:val="00376391"/>
    <w:rsid w:val="00376596"/>
    <w:rsid w:val="00376709"/>
    <w:rsid w:val="00376D47"/>
    <w:rsid w:val="00376E8E"/>
    <w:rsid w:val="00376F2F"/>
    <w:rsid w:val="00377291"/>
    <w:rsid w:val="003773C9"/>
    <w:rsid w:val="00377838"/>
    <w:rsid w:val="00377D0D"/>
    <w:rsid w:val="00377EE8"/>
    <w:rsid w:val="00377F8E"/>
    <w:rsid w:val="00377FB2"/>
    <w:rsid w:val="00380067"/>
    <w:rsid w:val="003800AB"/>
    <w:rsid w:val="003803B4"/>
    <w:rsid w:val="0038045E"/>
    <w:rsid w:val="003805CE"/>
    <w:rsid w:val="003805FC"/>
    <w:rsid w:val="003807CD"/>
    <w:rsid w:val="00380ABE"/>
    <w:rsid w:val="00380C02"/>
    <w:rsid w:val="00380C7A"/>
    <w:rsid w:val="00380D5D"/>
    <w:rsid w:val="00380E71"/>
    <w:rsid w:val="003810F1"/>
    <w:rsid w:val="00381185"/>
    <w:rsid w:val="00381331"/>
    <w:rsid w:val="0038136E"/>
    <w:rsid w:val="003816FC"/>
    <w:rsid w:val="00381760"/>
    <w:rsid w:val="003819B5"/>
    <w:rsid w:val="00381D70"/>
    <w:rsid w:val="00381DBD"/>
    <w:rsid w:val="00381EEC"/>
    <w:rsid w:val="00381F79"/>
    <w:rsid w:val="0038219F"/>
    <w:rsid w:val="003823DB"/>
    <w:rsid w:val="00382613"/>
    <w:rsid w:val="0038261C"/>
    <w:rsid w:val="003827FA"/>
    <w:rsid w:val="00382871"/>
    <w:rsid w:val="003828AE"/>
    <w:rsid w:val="003829ED"/>
    <w:rsid w:val="00382A17"/>
    <w:rsid w:val="00382A5A"/>
    <w:rsid w:val="00382C3B"/>
    <w:rsid w:val="00382DE4"/>
    <w:rsid w:val="00382F8F"/>
    <w:rsid w:val="00382FD1"/>
    <w:rsid w:val="00382FE3"/>
    <w:rsid w:val="00382FE4"/>
    <w:rsid w:val="00383059"/>
    <w:rsid w:val="00383114"/>
    <w:rsid w:val="0038311C"/>
    <w:rsid w:val="003831E0"/>
    <w:rsid w:val="0038321C"/>
    <w:rsid w:val="003832AF"/>
    <w:rsid w:val="003833A1"/>
    <w:rsid w:val="003836D1"/>
    <w:rsid w:val="003837D5"/>
    <w:rsid w:val="00383AD0"/>
    <w:rsid w:val="00383AFF"/>
    <w:rsid w:val="00383CD9"/>
    <w:rsid w:val="00383D43"/>
    <w:rsid w:val="00383DA1"/>
    <w:rsid w:val="00383DD1"/>
    <w:rsid w:val="00383E33"/>
    <w:rsid w:val="00383EBF"/>
    <w:rsid w:val="0038402F"/>
    <w:rsid w:val="0038441B"/>
    <w:rsid w:val="00384537"/>
    <w:rsid w:val="00384568"/>
    <w:rsid w:val="003846F6"/>
    <w:rsid w:val="003848EE"/>
    <w:rsid w:val="003849B6"/>
    <w:rsid w:val="00384DCF"/>
    <w:rsid w:val="00385016"/>
    <w:rsid w:val="00385199"/>
    <w:rsid w:val="003855EC"/>
    <w:rsid w:val="003856E3"/>
    <w:rsid w:val="0038574E"/>
    <w:rsid w:val="00385861"/>
    <w:rsid w:val="00385B04"/>
    <w:rsid w:val="00385D0E"/>
    <w:rsid w:val="00385D6D"/>
    <w:rsid w:val="00386056"/>
    <w:rsid w:val="003860BE"/>
    <w:rsid w:val="00386247"/>
    <w:rsid w:val="00386426"/>
    <w:rsid w:val="003864EB"/>
    <w:rsid w:val="003864F5"/>
    <w:rsid w:val="003865A5"/>
    <w:rsid w:val="003865AA"/>
    <w:rsid w:val="00386600"/>
    <w:rsid w:val="0038670A"/>
    <w:rsid w:val="0038692A"/>
    <w:rsid w:val="00386956"/>
    <w:rsid w:val="00386A4D"/>
    <w:rsid w:val="00386DF9"/>
    <w:rsid w:val="00386EAF"/>
    <w:rsid w:val="00386F20"/>
    <w:rsid w:val="00386FDF"/>
    <w:rsid w:val="00386FE5"/>
    <w:rsid w:val="00387132"/>
    <w:rsid w:val="00387215"/>
    <w:rsid w:val="00387230"/>
    <w:rsid w:val="00387282"/>
    <w:rsid w:val="003875C5"/>
    <w:rsid w:val="00387671"/>
    <w:rsid w:val="00387739"/>
    <w:rsid w:val="00387765"/>
    <w:rsid w:val="0038790C"/>
    <w:rsid w:val="00387980"/>
    <w:rsid w:val="00387AAF"/>
    <w:rsid w:val="00387C44"/>
    <w:rsid w:val="00387C53"/>
    <w:rsid w:val="00387D04"/>
    <w:rsid w:val="00387D93"/>
    <w:rsid w:val="0039003D"/>
    <w:rsid w:val="00390332"/>
    <w:rsid w:val="0039042E"/>
    <w:rsid w:val="0039048E"/>
    <w:rsid w:val="003905F8"/>
    <w:rsid w:val="00390899"/>
    <w:rsid w:val="00390965"/>
    <w:rsid w:val="003909E9"/>
    <w:rsid w:val="00390ADD"/>
    <w:rsid w:val="00390C1A"/>
    <w:rsid w:val="00390CC8"/>
    <w:rsid w:val="00390DD7"/>
    <w:rsid w:val="00390F11"/>
    <w:rsid w:val="00391215"/>
    <w:rsid w:val="00391232"/>
    <w:rsid w:val="0039128C"/>
    <w:rsid w:val="00391311"/>
    <w:rsid w:val="0039136C"/>
    <w:rsid w:val="00391395"/>
    <w:rsid w:val="003913E5"/>
    <w:rsid w:val="0039188B"/>
    <w:rsid w:val="003918F3"/>
    <w:rsid w:val="0039191C"/>
    <w:rsid w:val="0039193F"/>
    <w:rsid w:val="00391AE0"/>
    <w:rsid w:val="00391E55"/>
    <w:rsid w:val="00392031"/>
    <w:rsid w:val="00392034"/>
    <w:rsid w:val="0039221E"/>
    <w:rsid w:val="0039227C"/>
    <w:rsid w:val="003922DA"/>
    <w:rsid w:val="0039238E"/>
    <w:rsid w:val="003927EE"/>
    <w:rsid w:val="00392A47"/>
    <w:rsid w:val="00392A9B"/>
    <w:rsid w:val="00392C83"/>
    <w:rsid w:val="00392C92"/>
    <w:rsid w:val="00392DF2"/>
    <w:rsid w:val="00392EAC"/>
    <w:rsid w:val="00392EE5"/>
    <w:rsid w:val="00392FAD"/>
    <w:rsid w:val="00392FE7"/>
    <w:rsid w:val="003930F9"/>
    <w:rsid w:val="00393109"/>
    <w:rsid w:val="00393131"/>
    <w:rsid w:val="0039315B"/>
    <w:rsid w:val="00393275"/>
    <w:rsid w:val="00393493"/>
    <w:rsid w:val="00393680"/>
    <w:rsid w:val="00393824"/>
    <w:rsid w:val="00393D58"/>
    <w:rsid w:val="00393E26"/>
    <w:rsid w:val="00393FD5"/>
    <w:rsid w:val="00393FEF"/>
    <w:rsid w:val="00394109"/>
    <w:rsid w:val="0039464D"/>
    <w:rsid w:val="00394732"/>
    <w:rsid w:val="0039473C"/>
    <w:rsid w:val="0039478A"/>
    <w:rsid w:val="003949E2"/>
    <w:rsid w:val="003949F4"/>
    <w:rsid w:val="00394B46"/>
    <w:rsid w:val="00394C45"/>
    <w:rsid w:val="00394F69"/>
    <w:rsid w:val="00395033"/>
    <w:rsid w:val="00395078"/>
    <w:rsid w:val="00395119"/>
    <w:rsid w:val="00395164"/>
    <w:rsid w:val="003951EF"/>
    <w:rsid w:val="00395208"/>
    <w:rsid w:val="00395282"/>
    <w:rsid w:val="00395328"/>
    <w:rsid w:val="003953C1"/>
    <w:rsid w:val="0039557E"/>
    <w:rsid w:val="003955F6"/>
    <w:rsid w:val="0039574F"/>
    <w:rsid w:val="003959DD"/>
    <w:rsid w:val="00395A46"/>
    <w:rsid w:val="00395C56"/>
    <w:rsid w:val="00395CD5"/>
    <w:rsid w:val="00395F5C"/>
    <w:rsid w:val="00395F91"/>
    <w:rsid w:val="00395FE8"/>
    <w:rsid w:val="00396726"/>
    <w:rsid w:val="00396905"/>
    <w:rsid w:val="003969BE"/>
    <w:rsid w:val="003969F9"/>
    <w:rsid w:val="00396CF4"/>
    <w:rsid w:val="00397072"/>
    <w:rsid w:val="00397168"/>
    <w:rsid w:val="00397336"/>
    <w:rsid w:val="00397497"/>
    <w:rsid w:val="003974F5"/>
    <w:rsid w:val="00397748"/>
    <w:rsid w:val="0039788E"/>
    <w:rsid w:val="003979D3"/>
    <w:rsid w:val="00397CC1"/>
    <w:rsid w:val="00397D20"/>
    <w:rsid w:val="00397E73"/>
    <w:rsid w:val="00397EAE"/>
    <w:rsid w:val="00397F1C"/>
    <w:rsid w:val="003A013F"/>
    <w:rsid w:val="003A042D"/>
    <w:rsid w:val="003A049B"/>
    <w:rsid w:val="003A065A"/>
    <w:rsid w:val="003A074D"/>
    <w:rsid w:val="003A0B93"/>
    <w:rsid w:val="003A0C6A"/>
    <w:rsid w:val="003A0D97"/>
    <w:rsid w:val="003A0DCA"/>
    <w:rsid w:val="003A0DCC"/>
    <w:rsid w:val="003A0F87"/>
    <w:rsid w:val="003A0FCD"/>
    <w:rsid w:val="003A10CB"/>
    <w:rsid w:val="003A10DE"/>
    <w:rsid w:val="003A1288"/>
    <w:rsid w:val="003A13F4"/>
    <w:rsid w:val="003A16A1"/>
    <w:rsid w:val="003A16CD"/>
    <w:rsid w:val="003A1C18"/>
    <w:rsid w:val="003A2290"/>
    <w:rsid w:val="003A27B9"/>
    <w:rsid w:val="003A2926"/>
    <w:rsid w:val="003A2A71"/>
    <w:rsid w:val="003A2B35"/>
    <w:rsid w:val="003A2BDB"/>
    <w:rsid w:val="003A2F5B"/>
    <w:rsid w:val="003A31E3"/>
    <w:rsid w:val="003A3535"/>
    <w:rsid w:val="003A37DA"/>
    <w:rsid w:val="003A38E5"/>
    <w:rsid w:val="003A3ACD"/>
    <w:rsid w:val="003A3AEE"/>
    <w:rsid w:val="003A3D91"/>
    <w:rsid w:val="003A3E8A"/>
    <w:rsid w:val="003A406E"/>
    <w:rsid w:val="003A4199"/>
    <w:rsid w:val="003A41C1"/>
    <w:rsid w:val="003A43ED"/>
    <w:rsid w:val="003A458F"/>
    <w:rsid w:val="003A459E"/>
    <w:rsid w:val="003A4836"/>
    <w:rsid w:val="003A48B6"/>
    <w:rsid w:val="003A4924"/>
    <w:rsid w:val="003A4A1A"/>
    <w:rsid w:val="003A4A41"/>
    <w:rsid w:val="003A4E49"/>
    <w:rsid w:val="003A5099"/>
    <w:rsid w:val="003A5199"/>
    <w:rsid w:val="003A52BD"/>
    <w:rsid w:val="003A54E8"/>
    <w:rsid w:val="003A56A7"/>
    <w:rsid w:val="003A56E4"/>
    <w:rsid w:val="003A587F"/>
    <w:rsid w:val="003A592A"/>
    <w:rsid w:val="003A5B09"/>
    <w:rsid w:val="003A5BEE"/>
    <w:rsid w:val="003A5E23"/>
    <w:rsid w:val="003A6070"/>
    <w:rsid w:val="003A6235"/>
    <w:rsid w:val="003A63AD"/>
    <w:rsid w:val="003A63CD"/>
    <w:rsid w:val="003A63F7"/>
    <w:rsid w:val="003A6486"/>
    <w:rsid w:val="003A65E5"/>
    <w:rsid w:val="003A66B1"/>
    <w:rsid w:val="003A6AFC"/>
    <w:rsid w:val="003A6E66"/>
    <w:rsid w:val="003A6EA7"/>
    <w:rsid w:val="003A6F8E"/>
    <w:rsid w:val="003A722C"/>
    <w:rsid w:val="003A72E3"/>
    <w:rsid w:val="003A740F"/>
    <w:rsid w:val="003A758E"/>
    <w:rsid w:val="003A76B1"/>
    <w:rsid w:val="003A7BC5"/>
    <w:rsid w:val="003A7BE2"/>
    <w:rsid w:val="003A7D92"/>
    <w:rsid w:val="003A7E52"/>
    <w:rsid w:val="003A7F9C"/>
    <w:rsid w:val="003B00A7"/>
    <w:rsid w:val="003B0149"/>
    <w:rsid w:val="003B0559"/>
    <w:rsid w:val="003B06E0"/>
    <w:rsid w:val="003B09BD"/>
    <w:rsid w:val="003B0D96"/>
    <w:rsid w:val="003B0DD8"/>
    <w:rsid w:val="003B0EC0"/>
    <w:rsid w:val="003B0EC5"/>
    <w:rsid w:val="003B1052"/>
    <w:rsid w:val="003B1397"/>
    <w:rsid w:val="003B141C"/>
    <w:rsid w:val="003B16D1"/>
    <w:rsid w:val="003B190C"/>
    <w:rsid w:val="003B1C7C"/>
    <w:rsid w:val="003B1D19"/>
    <w:rsid w:val="003B1EC0"/>
    <w:rsid w:val="003B2630"/>
    <w:rsid w:val="003B2701"/>
    <w:rsid w:val="003B2A06"/>
    <w:rsid w:val="003B2A91"/>
    <w:rsid w:val="003B2C22"/>
    <w:rsid w:val="003B2CA1"/>
    <w:rsid w:val="003B2D3E"/>
    <w:rsid w:val="003B2D6C"/>
    <w:rsid w:val="003B2E4E"/>
    <w:rsid w:val="003B2E8C"/>
    <w:rsid w:val="003B2EA2"/>
    <w:rsid w:val="003B2ED4"/>
    <w:rsid w:val="003B2FF8"/>
    <w:rsid w:val="003B314C"/>
    <w:rsid w:val="003B329F"/>
    <w:rsid w:val="003B33D2"/>
    <w:rsid w:val="003B3496"/>
    <w:rsid w:val="003B35AC"/>
    <w:rsid w:val="003B3606"/>
    <w:rsid w:val="003B3787"/>
    <w:rsid w:val="003B37CF"/>
    <w:rsid w:val="003B38D3"/>
    <w:rsid w:val="003B38FA"/>
    <w:rsid w:val="003B395F"/>
    <w:rsid w:val="003B3B14"/>
    <w:rsid w:val="003B3BC7"/>
    <w:rsid w:val="003B3C7E"/>
    <w:rsid w:val="003B3CE8"/>
    <w:rsid w:val="003B3EA2"/>
    <w:rsid w:val="003B4041"/>
    <w:rsid w:val="003B4277"/>
    <w:rsid w:val="003B45BA"/>
    <w:rsid w:val="003B45EC"/>
    <w:rsid w:val="003B4601"/>
    <w:rsid w:val="003B49C7"/>
    <w:rsid w:val="003B4A05"/>
    <w:rsid w:val="003B4A6C"/>
    <w:rsid w:val="003B5024"/>
    <w:rsid w:val="003B5185"/>
    <w:rsid w:val="003B51F9"/>
    <w:rsid w:val="003B5207"/>
    <w:rsid w:val="003B5255"/>
    <w:rsid w:val="003B5256"/>
    <w:rsid w:val="003B53F7"/>
    <w:rsid w:val="003B5606"/>
    <w:rsid w:val="003B5651"/>
    <w:rsid w:val="003B5688"/>
    <w:rsid w:val="003B56E0"/>
    <w:rsid w:val="003B59A5"/>
    <w:rsid w:val="003B5B6F"/>
    <w:rsid w:val="003B5B98"/>
    <w:rsid w:val="003B5C14"/>
    <w:rsid w:val="003B5DA4"/>
    <w:rsid w:val="003B607A"/>
    <w:rsid w:val="003B612A"/>
    <w:rsid w:val="003B61FA"/>
    <w:rsid w:val="003B6286"/>
    <w:rsid w:val="003B6385"/>
    <w:rsid w:val="003B66FF"/>
    <w:rsid w:val="003B6764"/>
    <w:rsid w:val="003B6A61"/>
    <w:rsid w:val="003B6A7F"/>
    <w:rsid w:val="003B6C33"/>
    <w:rsid w:val="003B6E26"/>
    <w:rsid w:val="003B6ED7"/>
    <w:rsid w:val="003B716A"/>
    <w:rsid w:val="003B734E"/>
    <w:rsid w:val="003B7360"/>
    <w:rsid w:val="003B73A8"/>
    <w:rsid w:val="003B742D"/>
    <w:rsid w:val="003B76A9"/>
    <w:rsid w:val="003B76C4"/>
    <w:rsid w:val="003B78AC"/>
    <w:rsid w:val="003B7947"/>
    <w:rsid w:val="003B7AC5"/>
    <w:rsid w:val="003B7B7C"/>
    <w:rsid w:val="003B7CA9"/>
    <w:rsid w:val="003B7CE0"/>
    <w:rsid w:val="003B7DFF"/>
    <w:rsid w:val="003B7F0E"/>
    <w:rsid w:val="003C00DF"/>
    <w:rsid w:val="003C0271"/>
    <w:rsid w:val="003C03B8"/>
    <w:rsid w:val="003C055B"/>
    <w:rsid w:val="003C05A2"/>
    <w:rsid w:val="003C05AF"/>
    <w:rsid w:val="003C0657"/>
    <w:rsid w:val="003C081B"/>
    <w:rsid w:val="003C08A2"/>
    <w:rsid w:val="003C08BA"/>
    <w:rsid w:val="003C0AF4"/>
    <w:rsid w:val="003C0B23"/>
    <w:rsid w:val="003C0C3D"/>
    <w:rsid w:val="003C0C74"/>
    <w:rsid w:val="003C0C82"/>
    <w:rsid w:val="003C0D76"/>
    <w:rsid w:val="003C1047"/>
    <w:rsid w:val="003C113C"/>
    <w:rsid w:val="003C11E4"/>
    <w:rsid w:val="003C1604"/>
    <w:rsid w:val="003C1620"/>
    <w:rsid w:val="003C174C"/>
    <w:rsid w:val="003C17AB"/>
    <w:rsid w:val="003C187D"/>
    <w:rsid w:val="003C1911"/>
    <w:rsid w:val="003C19B3"/>
    <w:rsid w:val="003C1B24"/>
    <w:rsid w:val="003C1B3D"/>
    <w:rsid w:val="003C1D23"/>
    <w:rsid w:val="003C1D68"/>
    <w:rsid w:val="003C1E2A"/>
    <w:rsid w:val="003C1F48"/>
    <w:rsid w:val="003C1F54"/>
    <w:rsid w:val="003C231E"/>
    <w:rsid w:val="003C23BE"/>
    <w:rsid w:val="003C2432"/>
    <w:rsid w:val="003C2451"/>
    <w:rsid w:val="003C2465"/>
    <w:rsid w:val="003C2537"/>
    <w:rsid w:val="003C26F0"/>
    <w:rsid w:val="003C297A"/>
    <w:rsid w:val="003C299A"/>
    <w:rsid w:val="003C29F8"/>
    <w:rsid w:val="003C2A86"/>
    <w:rsid w:val="003C2AE7"/>
    <w:rsid w:val="003C2CB7"/>
    <w:rsid w:val="003C2D18"/>
    <w:rsid w:val="003C2DB8"/>
    <w:rsid w:val="003C2E44"/>
    <w:rsid w:val="003C2F63"/>
    <w:rsid w:val="003C306C"/>
    <w:rsid w:val="003C307E"/>
    <w:rsid w:val="003C31BD"/>
    <w:rsid w:val="003C322D"/>
    <w:rsid w:val="003C33CE"/>
    <w:rsid w:val="003C34E8"/>
    <w:rsid w:val="003C3622"/>
    <w:rsid w:val="003C368B"/>
    <w:rsid w:val="003C375E"/>
    <w:rsid w:val="003C3B57"/>
    <w:rsid w:val="003C3BCB"/>
    <w:rsid w:val="003C3C58"/>
    <w:rsid w:val="003C3D33"/>
    <w:rsid w:val="003C3DB3"/>
    <w:rsid w:val="003C3E1C"/>
    <w:rsid w:val="003C3F7C"/>
    <w:rsid w:val="003C3F9A"/>
    <w:rsid w:val="003C443D"/>
    <w:rsid w:val="003C4553"/>
    <w:rsid w:val="003C4672"/>
    <w:rsid w:val="003C47A6"/>
    <w:rsid w:val="003C47DE"/>
    <w:rsid w:val="003C47FB"/>
    <w:rsid w:val="003C4862"/>
    <w:rsid w:val="003C4870"/>
    <w:rsid w:val="003C48FB"/>
    <w:rsid w:val="003C49C5"/>
    <w:rsid w:val="003C4A22"/>
    <w:rsid w:val="003C4A5E"/>
    <w:rsid w:val="003C4B61"/>
    <w:rsid w:val="003C4BAD"/>
    <w:rsid w:val="003C4C63"/>
    <w:rsid w:val="003C4D05"/>
    <w:rsid w:val="003C4D68"/>
    <w:rsid w:val="003C4F32"/>
    <w:rsid w:val="003C5150"/>
    <w:rsid w:val="003C51C9"/>
    <w:rsid w:val="003C52DA"/>
    <w:rsid w:val="003C53CD"/>
    <w:rsid w:val="003C5403"/>
    <w:rsid w:val="003C544E"/>
    <w:rsid w:val="003C5621"/>
    <w:rsid w:val="003C5849"/>
    <w:rsid w:val="003C58AE"/>
    <w:rsid w:val="003C58E0"/>
    <w:rsid w:val="003C595B"/>
    <w:rsid w:val="003C59EE"/>
    <w:rsid w:val="003C5A4F"/>
    <w:rsid w:val="003C5B45"/>
    <w:rsid w:val="003C5C62"/>
    <w:rsid w:val="003C5CB7"/>
    <w:rsid w:val="003C5D06"/>
    <w:rsid w:val="003C5DC9"/>
    <w:rsid w:val="003C6084"/>
    <w:rsid w:val="003C612A"/>
    <w:rsid w:val="003C6249"/>
    <w:rsid w:val="003C636E"/>
    <w:rsid w:val="003C63F6"/>
    <w:rsid w:val="003C662B"/>
    <w:rsid w:val="003C68CE"/>
    <w:rsid w:val="003C68F8"/>
    <w:rsid w:val="003C6A15"/>
    <w:rsid w:val="003C6D82"/>
    <w:rsid w:val="003C6EC9"/>
    <w:rsid w:val="003C6F6F"/>
    <w:rsid w:val="003C6F98"/>
    <w:rsid w:val="003C740B"/>
    <w:rsid w:val="003C743E"/>
    <w:rsid w:val="003C7632"/>
    <w:rsid w:val="003C76AD"/>
    <w:rsid w:val="003C77EA"/>
    <w:rsid w:val="003C7A3A"/>
    <w:rsid w:val="003C7B93"/>
    <w:rsid w:val="003C7C3B"/>
    <w:rsid w:val="003C7C79"/>
    <w:rsid w:val="003C7D1C"/>
    <w:rsid w:val="003C7D32"/>
    <w:rsid w:val="003C7D4D"/>
    <w:rsid w:val="003D00FF"/>
    <w:rsid w:val="003D0125"/>
    <w:rsid w:val="003D024D"/>
    <w:rsid w:val="003D07DA"/>
    <w:rsid w:val="003D07F1"/>
    <w:rsid w:val="003D08E2"/>
    <w:rsid w:val="003D0936"/>
    <w:rsid w:val="003D097E"/>
    <w:rsid w:val="003D0A57"/>
    <w:rsid w:val="003D0AFD"/>
    <w:rsid w:val="003D0C9B"/>
    <w:rsid w:val="003D0D33"/>
    <w:rsid w:val="003D0D99"/>
    <w:rsid w:val="003D0DF0"/>
    <w:rsid w:val="003D0E67"/>
    <w:rsid w:val="003D1024"/>
    <w:rsid w:val="003D1059"/>
    <w:rsid w:val="003D10BD"/>
    <w:rsid w:val="003D10CA"/>
    <w:rsid w:val="003D113F"/>
    <w:rsid w:val="003D142E"/>
    <w:rsid w:val="003D1754"/>
    <w:rsid w:val="003D193F"/>
    <w:rsid w:val="003D1B8B"/>
    <w:rsid w:val="003D1D7D"/>
    <w:rsid w:val="003D1DB5"/>
    <w:rsid w:val="003D1F63"/>
    <w:rsid w:val="003D22B6"/>
    <w:rsid w:val="003D23E3"/>
    <w:rsid w:val="003D24AD"/>
    <w:rsid w:val="003D25B1"/>
    <w:rsid w:val="003D271D"/>
    <w:rsid w:val="003D29CF"/>
    <w:rsid w:val="003D29FC"/>
    <w:rsid w:val="003D2A3C"/>
    <w:rsid w:val="003D2B3A"/>
    <w:rsid w:val="003D2B45"/>
    <w:rsid w:val="003D2BD9"/>
    <w:rsid w:val="003D2D06"/>
    <w:rsid w:val="003D2D93"/>
    <w:rsid w:val="003D2F9E"/>
    <w:rsid w:val="003D3136"/>
    <w:rsid w:val="003D3193"/>
    <w:rsid w:val="003D321F"/>
    <w:rsid w:val="003D3225"/>
    <w:rsid w:val="003D33D8"/>
    <w:rsid w:val="003D3459"/>
    <w:rsid w:val="003D347A"/>
    <w:rsid w:val="003D3718"/>
    <w:rsid w:val="003D3823"/>
    <w:rsid w:val="003D3877"/>
    <w:rsid w:val="003D388B"/>
    <w:rsid w:val="003D3A24"/>
    <w:rsid w:val="003D3B18"/>
    <w:rsid w:val="003D3B35"/>
    <w:rsid w:val="003D3B84"/>
    <w:rsid w:val="003D3BD2"/>
    <w:rsid w:val="003D3C68"/>
    <w:rsid w:val="003D3CD8"/>
    <w:rsid w:val="003D3E9F"/>
    <w:rsid w:val="003D3FE1"/>
    <w:rsid w:val="003D4075"/>
    <w:rsid w:val="003D4194"/>
    <w:rsid w:val="003D430F"/>
    <w:rsid w:val="003D43A6"/>
    <w:rsid w:val="003D43DE"/>
    <w:rsid w:val="003D4498"/>
    <w:rsid w:val="003D4499"/>
    <w:rsid w:val="003D47A7"/>
    <w:rsid w:val="003D482C"/>
    <w:rsid w:val="003D4886"/>
    <w:rsid w:val="003D4A2F"/>
    <w:rsid w:val="003D4A6B"/>
    <w:rsid w:val="003D4B9D"/>
    <w:rsid w:val="003D4CD1"/>
    <w:rsid w:val="003D4CE2"/>
    <w:rsid w:val="003D4D0D"/>
    <w:rsid w:val="003D4D59"/>
    <w:rsid w:val="003D5110"/>
    <w:rsid w:val="003D55A0"/>
    <w:rsid w:val="003D55C7"/>
    <w:rsid w:val="003D57AF"/>
    <w:rsid w:val="003D5880"/>
    <w:rsid w:val="003D5A82"/>
    <w:rsid w:val="003D5D5F"/>
    <w:rsid w:val="003D609B"/>
    <w:rsid w:val="003D6291"/>
    <w:rsid w:val="003D6341"/>
    <w:rsid w:val="003D63F0"/>
    <w:rsid w:val="003D6406"/>
    <w:rsid w:val="003D65FF"/>
    <w:rsid w:val="003D662C"/>
    <w:rsid w:val="003D697A"/>
    <w:rsid w:val="003D6A30"/>
    <w:rsid w:val="003D6DC5"/>
    <w:rsid w:val="003D6E75"/>
    <w:rsid w:val="003D704E"/>
    <w:rsid w:val="003D70C4"/>
    <w:rsid w:val="003D714C"/>
    <w:rsid w:val="003D7533"/>
    <w:rsid w:val="003D75D2"/>
    <w:rsid w:val="003D75DD"/>
    <w:rsid w:val="003D79E3"/>
    <w:rsid w:val="003D7A42"/>
    <w:rsid w:val="003D7A68"/>
    <w:rsid w:val="003D7B29"/>
    <w:rsid w:val="003D7D47"/>
    <w:rsid w:val="003D7D5D"/>
    <w:rsid w:val="003D7D8D"/>
    <w:rsid w:val="003D7F17"/>
    <w:rsid w:val="003E00AE"/>
    <w:rsid w:val="003E0204"/>
    <w:rsid w:val="003E024D"/>
    <w:rsid w:val="003E04FB"/>
    <w:rsid w:val="003E08EE"/>
    <w:rsid w:val="003E0918"/>
    <w:rsid w:val="003E0A1A"/>
    <w:rsid w:val="003E0A53"/>
    <w:rsid w:val="003E0B36"/>
    <w:rsid w:val="003E0BA4"/>
    <w:rsid w:val="003E0D0E"/>
    <w:rsid w:val="003E0D11"/>
    <w:rsid w:val="003E0E1A"/>
    <w:rsid w:val="003E0F1F"/>
    <w:rsid w:val="003E0F7D"/>
    <w:rsid w:val="003E1165"/>
    <w:rsid w:val="003E11F0"/>
    <w:rsid w:val="003E1362"/>
    <w:rsid w:val="003E14F2"/>
    <w:rsid w:val="003E152E"/>
    <w:rsid w:val="003E16A3"/>
    <w:rsid w:val="003E16D3"/>
    <w:rsid w:val="003E1786"/>
    <w:rsid w:val="003E1800"/>
    <w:rsid w:val="003E18C9"/>
    <w:rsid w:val="003E197C"/>
    <w:rsid w:val="003E1AE0"/>
    <w:rsid w:val="003E1B01"/>
    <w:rsid w:val="003E1B3D"/>
    <w:rsid w:val="003E1B4F"/>
    <w:rsid w:val="003E1C8B"/>
    <w:rsid w:val="003E1EBF"/>
    <w:rsid w:val="003E2026"/>
    <w:rsid w:val="003E20EB"/>
    <w:rsid w:val="003E2145"/>
    <w:rsid w:val="003E2601"/>
    <w:rsid w:val="003E263D"/>
    <w:rsid w:val="003E27C0"/>
    <w:rsid w:val="003E2ACC"/>
    <w:rsid w:val="003E2E82"/>
    <w:rsid w:val="003E2FAA"/>
    <w:rsid w:val="003E305B"/>
    <w:rsid w:val="003E3170"/>
    <w:rsid w:val="003E321B"/>
    <w:rsid w:val="003E35E5"/>
    <w:rsid w:val="003E37F3"/>
    <w:rsid w:val="003E3936"/>
    <w:rsid w:val="003E3AAC"/>
    <w:rsid w:val="003E3B1A"/>
    <w:rsid w:val="003E3B21"/>
    <w:rsid w:val="003E3B5E"/>
    <w:rsid w:val="003E3E25"/>
    <w:rsid w:val="003E3FA3"/>
    <w:rsid w:val="003E4014"/>
    <w:rsid w:val="003E40D6"/>
    <w:rsid w:val="003E44E1"/>
    <w:rsid w:val="003E4511"/>
    <w:rsid w:val="003E46CC"/>
    <w:rsid w:val="003E46ED"/>
    <w:rsid w:val="003E49DA"/>
    <w:rsid w:val="003E4B07"/>
    <w:rsid w:val="003E4E1D"/>
    <w:rsid w:val="003E4E77"/>
    <w:rsid w:val="003E4F52"/>
    <w:rsid w:val="003E4F68"/>
    <w:rsid w:val="003E52D0"/>
    <w:rsid w:val="003E52F0"/>
    <w:rsid w:val="003E5312"/>
    <w:rsid w:val="003E53FB"/>
    <w:rsid w:val="003E555C"/>
    <w:rsid w:val="003E5610"/>
    <w:rsid w:val="003E5831"/>
    <w:rsid w:val="003E5B5C"/>
    <w:rsid w:val="003E5BD0"/>
    <w:rsid w:val="003E5E12"/>
    <w:rsid w:val="003E5EE3"/>
    <w:rsid w:val="003E60CB"/>
    <w:rsid w:val="003E60F7"/>
    <w:rsid w:val="003E6110"/>
    <w:rsid w:val="003E61AC"/>
    <w:rsid w:val="003E63B9"/>
    <w:rsid w:val="003E63D1"/>
    <w:rsid w:val="003E63E5"/>
    <w:rsid w:val="003E6460"/>
    <w:rsid w:val="003E652A"/>
    <w:rsid w:val="003E65D8"/>
    <w:rsid w:val="003E660B"/>
    <w:rsid w:val="003E6667"/>
    <w:rsid w:val="003E6693"/>
    <w:rsid w:val="003E673A"/>
    <w:rsid w:val="003E6B19"/>
    <w:rsid w:val="003E713C"/>
    <w:rsid w:val="003E727B"/>
    <w:rsid w:val="003E74AE"/>
    <w:rsid w:val="003E761A"/>
    <w:rsid w:val="003E76FB"/>
    <w:rsid w:val="003E7749"/>
    <w:rsid w:val="003E7A05"/>
    <w:rsid w:val="003E7B7E"/>
    <w:rsid w:val="003E7C35"/>
    <w:rsid w:val="003E7C74"/>
    <w:rsid w:val="003E7E82"/>
    <w:rsid w:val="003E7EE5"/>
    <w:rsid w:val="003F009A"/>
    <w:rsid w:val="003F00B3"/>
    <w:rsid w:val="003F0277"/>
    <w:rsid w:val="003F02E9"/>
    <w:rsid w:val="003F0448"/>
    <w:rsid w:val="003F05C1"/>
    <w:rsid w:val="003F0718"/>
    <w:rsid w:val="003F0889"/>
    <w:rsid w:val="003F0A75"/>
    <w:rsid w:val="003F0BAF"/>
    <w:rsid w:val="003F0D21"/>
    <w:rsid w:val="003F0D99"/>
    <w:rsid w:val="003F0F32"/>
    <w:rsid w:val="003F11A2"/>
    <w:rsid w:val="003F11BD"/>
    <w:rsid w:val="003F1254"/>
    <w:rsid w:val="003F12DB"/>
    <w:rsid w:val="003F14ED"/>
    <w:rsid w:val="003F1770"/>
    <w:rsid w:val="003F1780"/>
    <w:rsid w:val="003F17A6"/>
    <w:rsid w:val="003F19FA"/>
    <w:rsid w:val="003F1AF1"/>
    <w:rsid w:val="003F1E25"/>
    <w:rsid w:val="003F1F10"/>
    <w:rsid w:val="003F1F42"/>
    <w:rsid w:val="003F1FF7"/>
    <w:rsid w:val="003F210A"/>
    <w:rsid w:val="003F21B1"/>
    <w:rsid w:val="003F21B8"/>
    <w:rsid w:val="003F22F5"/>
    <w:rsid w:val="003F2575"/>
    <w:rsid w:val="003F25ED"/>
    <w:rsid w:val="003F2605"/>
    <w:rsid w:val="003F27C4"/>
    <w:rsid w:val="003F2899"/>
    <w:rsid w:val="003F29D0"/>
    <w:rsid w:val="003F2E54"/>
    <w:rsid w:val="003F2EEE"/>
    <w:rsid w:val="003F30CE"/>
    <w:rsid w:val="003F30E9"/>
    <w:rsid w:val="003F33E6"/>
    <w:rsid w:val="003F3405"/>
    <w:rsid w:val="003F35A2"/>
    <w:rsid w:val="003F3687"/>
    <w:rsid w:val="003F36E7"/>
    <w:rsid w:val="003F3888"/>
    <w:rsid w:val="003F3E74"/>
    <w:rsid w:val="003F3E7A"/>
    <w:rsid w:val="003F3EE5"/>
    <w:rsid w:val="003F3F05"/>
    <w:rsid w:val="003F3F37"/>
    <w:rsid w:val="003F3F40"/>
    <w:rsid w:val="003F4057"/>
    <w:rsid w:val="003F4140"/>
    <w:rsid w:val="003F4192"/>
    <w:rsid w:val="003F4488"/>
    <w:rsid w:val="003F4490"/>
    <w:rsid w:val="003F44FF"/>
    <w:rsid w:val="003F45D4"/>
    <w:rsid w:val="003F4698"/>
    <w:rsid w:val="003F48E4"/>
    <w:rsid w:val="003F4C4A"/>
    <w:rsid w:val="003F4E03"/>
    <w:rsid w:val="003F4E0A"/>
    <w:rsid w:val="003F4FD7"/>
    <w:rsid w:val="003F51DE"/>
    <w:rsid w:val="003F5506"/>
    <w:rsid w:val="003F56D4"/>
    <w:rsid w:val="003F574F"/>
    <w:rsid w:val="003F5A2A"/>
    <w:rsid w:val="003F5C05"/>
    <w:rsid w:val="003F5E0F"/>
    <w:rsid w:val="003F5E3A"/>
    <w:rsid w:val="003F5F26"/>
    <w:rsid w:val="003F5F7C"/>
    <w:rsid w:val="003F61B7"/>
    <w:rsid w:val="003F651C"/>
    <w:rsid w:val="003F6598"/>
    <w:rsid w:val="003F674F"/>
    <w:rsid w:val="003F6886"/>
    <w:rsid w:val="003F68AB"/>
    <w:rsid w:val="003F68BC"/>
    <w:rsid w:val="003F68E7"/>
    <w:rsid w:val="003F6927"/>
    <w:rsid w:val="003F6C38"/>
    <w:rsid w:val="003F6C9A"/>
    <w:rsid w:val="003F6D63"/>
    <w:rsid w:val="003F7058"/>
    <w:rsid w:val="003F7086"/>
    <w:rsid w:val="003F7197"/>
    <w:rsid w:val="003F7472"/>
    <w:rsid w:val="003F75DF"/>
    <w:rsid w:val="003F7719"/>
    <w:rsid w:val="003F7733"/>
    <w:rsid w:val="003F7A15"/>
    <w:rsid w:val="003F7AFE"/>
    <w:rsid w:val="003F7B2B"/>
    <w:rsid w:val="003F7CBF"/>
    <w:rsid w:val="003F7F82"/>
    <w:rsid w:val="00400066"/>
    <w:rsid w:val="00400171"/>
    <w:rsid w:val="004001A9"/>
    <w:rsid w:val="004001AF"/>
    <w:rsid w:val="0040022F"/>
    <w:rsid w:val="00400378"/>
    <w:rsid w:val="0040064A"/>
    <w:rsid w:val="00400684"/>
    <w:rsid w:val="00400695"/>
    <w:rsid w:val="00400764"/>
    <w:rsid w:val="00400C95"/>
    <w:rsid w:val="00400CED"/>
    <w:rsid w:val="00400DE2"/>
    <w:rsid w:val="004010B4"/>
    <w:rsid w:val="00401147"/>
    <w:rsid w:val="00401164"/>
    <w:rsid w:val="0040150F"/>
    <w:rsid w:val="00401675"/>
    <w:rsid w:val="004017C4"/>
    <w:rsid w:val="0040185A"/>
    <w:rsid w:val="004018F6"/>
    <w:rsid w:val="00401AFD"/>
    <w:rsid w:val="00401B0E"/>
    <w:rsid w:val="00401E2A"/>
    <w:rsid w:val="00401E60"/>
    <w:rsid w:val="0040209E"/>
    <w:rsid w:val="0040252A"/>
    <w:rsid w:val="004026AB"/>
    <w:rsid w:val="00402717"/>
    <w:rsid w:val="00402939"/>
    <w:rsid w:val="00402AC9"/>
    <w:rsid w:val="00402B12"/>
    <w:rsid w:val="00402C71"/>
    <w:rsid w:val="00402D7A"/>
    <w:rsid w:val="00402DB6"/>
    <w:rsid w:val="00403347"/>
    <w:rsid w:val="0040356A"/>
    <w:rsid w:val="0040361B"/>
    <w:rsid w:val="00403760"/>
    <w:rsid w:val="004037EA"/>
    <w:rsid w:val="004037FA"/>
    <w:rsid w:val="00403884"/>
    <w:rsid w:val="00403895"/>
    <w:rsid w:val="00403B03"/>
    <w:rsid w:val="00403BE4"/>
    <w:rsid w:val="00403D22"/>
    <w:rsid w:val="00403D42"/>
    <w:rsid w:val="00403EE6"/>
    <w:rsid w:val="00403FD5"/>
    <w:rsid w:val="004041B8"/>
    <w:rsid w:val="004043DF"/>
    <w:rsid w:val="0040454F"/>
    <w:rsid w:val="004045D3"/>
    <w:rsid w:val="004046D1"/>
    <w:rsid w:val="004047DA"/>
    <w:rsid w:val="004047E5"/>
    <w:rsid w:val="0040480B"/>
    <w:rsid w:val="00404913"/>
    <w:rsid w:val="00404B81"/>
    <w:rsid w:val="00404CBA"/>
    <w:rsid w:val="00404FEF"/>
    <w:rsid w:val="00404FF0"/>
    <w:rsid w:val="004051B1"/>
    <w:rsid w:val="004053CA"/>
    <w:rsid w:val="00405CFB"/>
    <w:rsid w:val="0040618F"/>
    <w:rsid w:val="00406278"/>
    <w:rsid w:val="00406375"/>
    <w:rsid w:val="00406486"/>
    <w:rsid w:val="0040669E"/>
    <w:rsid w:val="00406724"/>
    <w:rsid w:val="00406A8E"/>
    <w:rsid w:val="00406F41"/>
    <w:rsid w:val="00407271"/>
    <w:rsid w:val="004075F7"/>
    <w:rsid w:val="00407710"/>
    <w:rsid w:val="0040778A"/>
    <w:rsid w:val="004077A2"/>
    <w:rsid w:val="00407E7D"/>
    <w:rsid w:val="00407E85"/>
    <w:rsid w:val="00407FE3"/>
    <w:rsid w:val="00410143"/>
    <w:rsid w:val="00410246"/>
    <w:rsid w:val="004102F0"/>
    <w:rsid w:val="0041032E"/>
    <w:rsid w:val="00410627"/>
    <w:rsid w:val="0041071B"/>
    <w:rsid w:val="004107BD"/>
    <w:rsid w:val="004107E2"/>
    <w:rsid w:val="00410815"/>
    <w:rsid w:val="004108A8"/>
    <w:rsid w:val="00410B02"/>
    <w:rsid w:val="00410CE9"/>
    <w:rsid w:val="00410D6F"/>
    <w:rsid w:val="00410EDE"/>
    <w:rsid w:val="00410F1A"/>
    <w:rsid w:val="00410FA8"/>
    <w:rsid w:val="004111A0"/>
    <w:rsid w:val="0041133A"/>
    <w:rsid w:val="004118C8"/>
    <w:rsid w:val="0041191B"/>
    <w:rsid w:val="00411D5D"/>
    <w:rsid w:val="00411F49"/>
    <w:rsid w:val="004120FE"/>
    <w:rsid w:val="004121A2"/>
    <w:rsid w:val="004121EE"/>
    <w:rsid w:val="0041229A"/>
    <w:rsid w:val="004122A2"/>
    <w:rsid w:val="0041260A"/>
    <w:rsid w:val="00412723"/>
    <w:rsid w:val="004127A0"/>
    <w:rsid w:val="004127B8"/>
    <w:rsid w:val="00412A78"/>
    <w:rsid w:val="00412A86"/>
    <w:rsid w:val="00413159"/>
    <w:rsid w:val="0041352E"/>
    <w:rsid w:val="00413667"/>
    <w:rsid w:val="00413790"/>
    <w:rsid w:val="004137CF"/>
    <w:rsid w:val="00413909"/>
    <w:rsid w:val="0041394E"/>
    <w:rsid w:val="0041398E"/>
    <w:rsid w:val="00413A4E"/>
    <w:rsid w:val="00413CCE"/>
    <w:rsid w:val="00413D1A"/>
    <w:rsid w:val="00413D9C"/>
    <w:rsid w:val="00413ECA"/>
    <w:rsid w:val="00413ED8"/>
    <w:rsid w:val="00413FE6"/>
    <w:rsid w:val="0041421B"/>
    <w:rsid w:val="004142EB"/>
    <w:rsid w:val="00414532"/>
    <w:rsid w:val="00414597"/>
    <w:rsid w:val="00414903"/>
    <w:rsid w:val="00414ACC"/>
    <w:rsid w:val="00414C15"/>
    <w:rsid w:val="00414CD2"/>
    <w:rsid w:val="00414D39"/>
    <w:rsid w:val="00414E16"/>
    <w:rsid w:val="00415071"/>
    <w:rsid w:val="00415278"/>
    <w:rsid w:val="0041551B"/>
    <w:rsid w:val="00415701"/>
    <w:rsid w:val="00415716"/>
    <w:rsid w:val="00415986"/>
    <w:rsid w:val="00415A81"/>
    <w:rsid w:val="00415D0F"/>
    <w:rsid w:val="004161FE"/>
    <w:rsid w:val="00416327"/>
    <w:rsid w:val="0041632B"/>
    <w:rsid w:val="0041635C"/>
    <w:rsid w:val="0041638C"/>
    <w:rsid w:val="004163FB"/>
    <w:rsid w:val="004165E9"/>
    <w:rsid w:val="00416717"/>
    <w:rsid w:val="004167DA"/>
    <w:rsid w:val="004169EE"/>
    <w:rsid w:val="00416A6A"/>
    <w:rsid w:val="00416AF6"/>
    <w:rsid w:val="00416B10"/>
    <w:rsid w:val="00416C79"/>
    <w:rsid w:val="00416D3A"/>
    <w:rsid w:val="004172AE"/>
    <w:rsid w:val="004176CF"/>
    <w:rsid w:val="004176E5"/>
    <w:rsid w:val="0041773D"/>
    <w:rsid w:val="004178EB"/>
    <w:rsid w:val="00417997"/>
    <w:rsid w:val="00417B2C"/>
    <w:rsid w:val="00417B5B"/>
    <w:rsid w:val="00417B81"/>
    <w:rsid w:val="00417C4F"/>
    <w:rsid w:val="00417DC8"/>
    <w:rsid w:val="00417E73"/>
    <w:rsid w:val="00417F22"/>
    <w:rsid w:val="0042004E"/>
    <w:rsid w:val="0042031A"/>
    <w:rsid w:val="00420649"/>
    <w:rsid w:val="00420739"/>
    <w:rsid w:val="004207EE"/>
    <w:rsid w:val="0042087A"/>
    <w:rsid w:val="00420934"/>
    <w:rsid w:val="004209B8"/>
    <w:rsid w:val="00420B13"/>
    <w:rsid w:val="00420E42"/>
    <w:rsid w:val="00420EC6"/>
    <w:rsid w:val="00420FBE"/>
    <w:rsid w:val="00421093"/>
    <w:rsid w:val="00421299"/>
    <w:rsid w:val="004212DF"/>
    <w:rsid w:val="0042131E"/>
    <w:rsid w:val="0042138E"/>
    <w:rsid w:val="004214ED"/>
    <w:rsid w:val="00421565"/>
    <w:rsid w:val="0042180B"/>
    <w:rsid w:val="00421811"/>
    <w:rsid w:val="0042189C"/>
    <w:rsid w:val="004219C2"/>
    <w:rsid w:val="00421AC7"/>
    <w:rsid w:val="00421D11"/>
    <w:rsid w:val="00421DA5"/>
    <w:rsid w:val="00421E9D"/>
    <w:rsid w:val="00421FF6"/>
    <w:rsid w:val="00422036"/>
    <w:rsid w:val="004220EB"/>
    <w:rsid w:val="004220F2"/>
    <w:rsid w:val="0042211B"/>
    <w:rsid w:val="00422292"/>
    <w:rsid w:val="004222ED"/>
    <w:rsid w:val="00422499"/>
    <w:rsid w:val="004226E9"/>
    <w:rsid w:val="00422738"/>
    <w:rsid w:val="00422906"/>
    <w:rsid w:val="004229DF"/>
    <w:rsid w:val="00422C76"/>
    <w:rsid w:val="00422CC6"/>
    <w:rsid w:val="00422CF8"/>
    <w:rsid w:val="00422E5A"/>
    <w:rsid w:val="00422E68"/>
    <w:rsid w:val="00422ED4"/>
    <w:rsid w:val="0042322D"/>
    <w:rsid w:val="004232B3"/>
    <w:rsid w:val="0042343E"/>
    <w:rsid w:val="004236AC"/>
    <w:rsid w:val="004237AA"/>
    <w:rsid w:val="00423A86"/>
    <w:rsid w:val="00423D9B"/>
    <w:rsid w:val="00423DD2"/>
    <w:rsid w:val="00423DFF"/>
    <w:rsid w:val="00423EEB"/>
    <w:rsid w:val="00424050"/>
    <w:rsid w:val="0042410D"/>
    <w:rsid w:val="00424133"/>
    <w:rsid w:val="00424176"/>
    <w:rsid w:val="00424209"/>
    <w:rsid w:val="004243A5"/>
    <w:rsid w:val="00424487"/>
    <w:rsid w:val="00424528"/>
    <w:rsid w:val="00424542"/>
    <w:rsid w:val="00424925"/>
    <w:rsid w:val="00424A85"/>
    <w:rsid w:val="00424AC4"/>
    <w:rsid w:val="00424B36"/>
    <w:rsid w:val="00424C12"/>
    <w:rsid w:val="00424C5A"/>
    <w:rsid w:val="00424ED3"/>
    <w:rsid w:val="00424F26"/>
    <w:rsid w:val="00425010"/>
    <w:rsid w:val="004250A7"/>
    <w:rsid w:val="00425156"/>
    <w:rsid w:val="0042523A"/>
    <w:rsid w:val="004254B2"/>
    <w:rsid w:val="00425692"/>
    <w:rsid w:val="00425782"/>
    <w:rsid w:val="004257C1"/>
    <w:rsid w:val="004257ED"/>
    <w:rsid w:val="00425A33"/>
    <w:rsid w:val="00425A41"/>
    <w:rsid w:val="00425AE7"/>
    <w:rsid w:val="00425B6D"/>
    <w:rsid w:val="00425CD1"/>
    <w:rsid w:val="00425D02"/>
    <w:rsid w:val="00425E5B"/>
    <w:rsid w:val="00425EBF"/>
    <w:rsid w:val="00425F97"/>
    <w:rsid w:val="00425FF6"/>
    <w:rsid w:val="00426135"/>
    <w:rsid w:val="0042613A"/>
    <w:rsid w:val="0042628A"/>
    <w:rsid w:val="00426335"/>
    <w:rsid w:val="00426B58"/>
    <w:rsid w:val="00426C35"/>
    <w:rsid w:val="00426D0F"/>
    <w:rsid w:val="00426ED3"/>
    <w:rsid w:val="00427141"/>
    <w:rsid w:val="00427393"/>
    <w:rsid w:val="004273EA"/>
    <w:rsid w:val="00427402"/>
    <w:rsid w:val="00427413"/>
    <w:rsid w:val="0042760D"/>
    <w:rsid w:val="00427753"/>
    <w:rsid w:val="004277DC"/>
    <w:rsid w:val="00427997"/>
    <w:rsid w:val="00427B9B"/>
    <w:rsid w:val="00427CA4"/>
    <w:rsid w:val="00427DA6"/>
    <w:rsid w:val="00427E02"/>
    <w:rsid w:val="00430171"/>
    <w:rsid w:val="004302AF"/>
    <w:rsid w:val="004302CD"/>
    <w:rsid w:val="004304D2"/>
    <w:rsid w:val="004305F7"/>
    <w:rsid w:val="00430870"/>
    <w:rsid w:val="00430A28"/>
    <w:rsid w:val="00430A7C"/>
    <w:rsid w:val="00430C0F"/>
    <w:rsid w:val="00430F32"/>
    <w:rsid w:val="004310D8"/>
    <w:rsid w:val="00431147"/>
    <w:rsid w:val="00431189"/>
    <w:rsid w:val="004311FC"/>
    <w:rsid w:val="00431254"/>
    <w:rsid w:val="004312D7"/>
    <w:rsid w:val="004313D4"/>
    <w:rsid w:val="0043159F"/>
    <w:rsid w:val="004315EB"/>
    <w:rsid w:val="004316AA"/>
    <w:rsid w:val="004316CD"/>
    <w:rsid w:val="00431783"/>
    <w:rsid w:val="00431792"/>
    <w:rsid w:val="00431BCB"/>
    <w:rsid w:val="00431C1F"/>
    <w:rsid w:val="00431D33"/>
    <w:rsid w:val="0043212D"/>
    <w:rsid w:val="0043245E"/>
    <w:rsid w:val="004324FF"/>
    <w:rsid w:val="004326BA"/>
    <w:rsid w:val="0043270F"/>
    <w:rsid w:val="004329B6"/>
    <w:rsid w:val="00432C22"/>
    <w:rsid w:val="00432D91"/>
    <w:rsid w:val="00432DB8"/>
    <w:rsid w:val="00432F74"/>
    <w:rsid w:val="00432FE1"/>
    <w:rsid w:val="00433078"/>
    <w:rsid w:val="004330A0"/>
    <w:rsid w:val="00433129"/>
    <w:rsid w:val="00433215"/>
    <w:rsid w:val="004333ED"/>
    <w:rsid w:val="00433699"/>
    <w:rsid w:val="0043385D"/>
    <w:rsid w:val="0043386D"/>
    <w:rsid w:val="00433963"/>
    <w:rsid w:val="00433A06"/>
    <w:rsid w:val="00433B53"/>
    <w:rsid w:val="00434189"/>
    <w:rsid w:val="00434667"/>
    <w:rsid w:val="00434700"/>
    <w:rsid w:val="0043472B"/>
    <w:rsid w:val="004348CB"/>
    <w:rsid w:val="00434993"/>
    <w:rsid w:val="00434B2C"/>
    <w:rsid w:val="00434CF1"/>
    <w:rsid w:val="00434D3F"/>
    <w:rsid w:val="00434E27"/>
    <w:rsid w:val="00434EC5"/>
    <w:rsid w:val="0043506D"/>
    <w:rsid w:val="0043510A"/>
    <w:rsid w:val="00435193"/>
    <w:rsid w:val="00435234"/>
    <w:rsid w:val="004352A6"/>
    <w:rsid w:val="00435371"/>
    <w:rsid w:val="0043551B"/>
    <w:rsid w:val="00435547"/>
    <w:rsid w:val="004357D8"/>
    <w:rsid w:val="004358EB"/>
    <w:rsid w:val="00435976"/>
    <w:rsid w:val="00435DA4"/>
    <w:rsid w:val="0043604B"/>
    <w:rsid w:val="00436144"/>
    <w:rsid w:val="004361AA"/>
    <w:rsid w:val="004362F3"/>
    <w:rsid w:val="0043630C"/>
    <w:rsid w:val="0043651B"/>
    <w:rsid w:val="00436574"/>
    <w:rsid w:val="0043673D"/>
    <w:rsid w:val="004367A0"/>
    <w:rsid w:val="0043688B"/>
    <w:rsid w:val="00436A41"/>
    <w:rsid w:val="00436B5B"/>
    <w:rsid w:val="00436D79"/>
    <w:rsid w:val="00436EE4"/>
    <w:rsid w:val="0043704B"/>
    <w:rsid w:val="004370F8"/>
    <w:rsid w:val="0043725F"/>
    <w:rsid w:val="00437276"/>
    <w:rsid w:val="00437370"/>
    <w:rsid w:val="00437630"/>
    <w:rsid w:val="004376FA"/>
    <w:rsid w:val="004377E8"/>
    <w:rsid w:val="00437823"/>
    <w:rsid w:val="004378ED"/>
    <w:rsid w:val="00437EE0"/>
    <w:rsid w:val="00437EF5"/>
    <w:rsid w:val="00440037"/>
    <w:rsid w:val="00440366"/>
    <w:rsid w:val="004403AE"/>
    <w:rsid w:val="004405F5"/>
    <w:rsid w:val="004406BE"/>
    <w:rsid w:val="004408C2"/>
    <w:rsid w:val="004408C7"/>
    <w:rsid w:val="0044091A"/>
    <w:rsid w:val="004409E2"/>
    <w:rsid w:val="00440A8D"/>
    <w:rsid w:val="00440AD6"/>
    <w:rsid w:val="00440CE7"/>
    <w:rsid w:val="00440DEF"/>
    <w:rsid w:val="00440F09"/>
    <w:rsid w:val="00440F18"/>
    <w:rsid w:val="004410E5"/>
    <w:rsid w:val="004410FD"/>
    <w:rsid w:val="0044115F"/>
    <w:rsid w:val="00441432"/>
    <w:rsid w:val="0044143E"/>
    <w:rsid w:val="004415AA"/>
    <w:rsid w:val="004417BC"/>
    <w:rsid w:val="0044188E"/>
    <w:rsid w:val="00441999"/>
    <w:rsid w:val="00441AAC"/>
    <w:rsid w:val="00441AB5"/>
    <w:rsid w:val="00441AEE"/>
    <w:rsid w:val="00441C68"/>
    <w:rsid w:val="00441DCE"/>
    <w:rsid w:val="00441F1E"/>
    <w:rsid w:val="0044200C"/>
    <w:rsid w:val="00442125"/>
    <w:rsid w:val="00442127"/>
    <w:rsid w:val="004422AE"/>
    <w:rsid w:val="0044236D"/>
    <w:rsid w:val="004423FC"/>
    <w:rsid w:val="004424B1"/>
    <w:rsid w:val="00442526"/>
    <w:rsid w:val="00442643"/>
    <w:rsid w:val="00442750"/>
    <w:rsid w:val="004428A2"/>
    <w:rsid w:val="00442A02"/>
    <w:rsid w:val="00442CE5"/>
    <w:rsid w:val="00442EB7"/>
    <w:rsid w:val="00442F9B"/>
    <w:rsid w:val="004431A4"/>
    <w:rsid w:val="00443227"/>
    <w:rsid w:val="004434F0"/>
    <w:rsid w:val="004436C5"/>
    <w:rsid w:val="0044376E"/>
    <w:rsid w:val="0044384D"/>
    <w:rsid w:val="00443937"/>
    <w:rsid w:val="00443B16"/>
    <w:rsid w:val="00443E4E"/>
    <w:rsid w:val="00444071"/>
    <w:rsid w:val="00444299"/>
    <w:rsid w:val="00444461"/>
    <w:rsid w:val="00444496"/>
    <w:rsid w:val="004444B1"/>
    <w:rsid w:val="004445AD"/>
    <w:rsid w:val="00444627"/>
    <w:rsid w:val="00444872"/>
    <w:rsid w:val="00444966"/>
    <w:rsid w:val="00444BBF"/>
    <w:rsid w:val="00444BD4"/>
    <w:rsid w:val="00444E4F"/>
    <w:rsid w:val="0044507E"/>
    <w:rsid w:val="004450EA"/>
    <w:rsid w:val="004452CC"/>
    <w:rsid w:val="00445347"/>
    <w:rsid w:val="0044536D"/>
    <w:rsid w:val="00445465"/>
    <w:rsid w:val="00445808"/>
    <w:rsid w:val="00445B52"/>
    <w:rsid w:val="00445D76"/>
    <w:rsid w:val="00445F3A"/>
    <w:rsid w:val="00446016"/>
    <w:rsid w:val="00446039"/>
    <w:rsid w:val="00446189"/>
    <w:rsid w:val="004462BE"/>
    <w:rsid w:val="004463B5"/>
    <w:rsid w:val="00446798"/>
    <w:rsid w:val="00446816"/>
    <w:rsid w:val="004469C9"/>
    <w:rsid w:val="00446D28"/>
    <w:rsid w:val="00446DB0"/>
    <w:rsid w:val="004470B4"/>
    <w:rsid w:val="004472AF"/>
    <w:rsid w:val="00447655"/>
    <w:rsid w:val="00447A66"/>
    <w:rsid w:val="00447CAA"/>
    <w:rsid w:val="00447D3A"/>
    <w:rsid w:val="00447D4B"/>
    <w:rsid w:val="00447EC7"/>
    <w:rsid w:val="00447ED0"/>
    <w:rsid w:val="00450064"/>
    <w:rsid w:val="004502AB"/>
    <w:rsid w:val="00450463"/>
    <w:rsid w:val="00450765"/>
    <w:rsid w:val="00450845"/>
    <w:rsid w:val="00450BF2"/>
    <w:rsid w:val="00450C44"/>
    <w:rsid w:val="00450D54"/>
    <w:rsid w:val="00450E0A"/>
    <w:rsid w:val="004511D2"/>
    <w:rsid w:val="0045120F"/>
    <w:rsid w:val="004512A4"/>
    <w:rsid w:val="0045157D"/>
    <w:rsid w:val="00451600"/>
    <w:rsid w:val="004517BA"/>
    <w:rsid w:val="004518DB"/>
    <w:rsid w:val="004519EC"/>
    <w:rsid w:val="00451B41"/>
    <w:rsid w:val="00451C07"/>
    <w:rsid w:val="00451CE6"/>
    <w:rsid w:val="00451EB7"/>
    <w:rsid w:val="00451F0A"/>
    <w:rsid w:val="00451F76"/>
    <w:rsid w:val="00451FB8"/>
    <w:rsid w:val="004521C4"/>
    <w:rsid w:val="0045223D"/>
    <w:rsid w:val="00452397"/>
    <w:rsid w:val="00452398"/>
    <w:rsid w:val="004525AD"/>
    <w:rsid w:val="004529C5"/>
    <w:rsid w:val="00452AAC"/>
    <w:rsid w:val="00452E62"/>
    <w:rsid w:val="00452EE4"/>
    <w:rsid w:val="00452F36"/>
    <w:rsid w:val="0045307B"/>
    <w:rsid w:val="0045325D"/>
    <w:rsid w:val="004537DB"/>
    <w:rsid w:val="004537F7"/>
    <w:rsid w:val="00453AD7"/>
    <w:rsid w:val="00453CB9"/>
    <w:rsid w:val="00453D50"/>
    <w:rsid w:val="00453E0A"/>
    <w:rsid w:val="004541EB"/>
    <w:rsid w:val="00454575"/>
    <w:rsid w:val="004545C5"/>
    <w:rsid w:val="004545D8"/>
    <w:rsid w:val="00454843"/>
    <w:rsid w:val="00454919"/>
    <w:rsid w:val="004549CA"/>
    <w:rsid w:val="004549FD"/>
    <w:rsid w:val="00454C5B"/>
    <w:rsid w:val="00454CFC"/>
    <w:rsid w:val="00454E01"/>
    <w:rsid w:val="00455318"/>
    <w:rsid w:val="0045532E"/>
    <w:rsid w:val="00455437"/>
    <w:rsid w:val="00455777"/>
    <w:rsid w:val="00455930"/>
    <w:rsid w:val="00455AC3"/>
    <w:rsid w:val="00455B27"/>
    <w:rsid w:val="00455B4C"/>
    <w:rsid w:val="00455E0B"/>
    <w:rsid w:val="00455E33"/>
    <w:rsid w:val="0045600C"/>
    <w:rsid w:val="0045601C"/>
    <w:rsid w:val="00456079"/>
    <w:rsid w:val="00456449"/>
    <w:rsid w:val="00456698"/>
    <w:rsid w:val="004566A3"/>
    <w:rsid w:val="004567AB"/>
    <w:rsid w:val="0045695E"/>
    <w:rsid w:val="00456A13"/>
    <w:rsid w:val="00456C7B"/>
    <w:rsid w:val="00456D5B"/>
    <w:rsid w:val="00456DFF"/>
    <w:rsid w:val="00456F65"/>
    <w:rsid w:val="00456FEB"/>
    <w:rsid w:val="0045700E"/>
    <w:rsid w:val="00457109"/>
    <w:rsid w:val="0045725D"/>
    <w:rsid w:val="00457318"/>
    <w:rsid w:val="00457584"/>
    <w:rsid w:val="004575F9"/>
    <w:rsid w:val="00457779"/>
    <w:rsid w:val="0045779B"/>
    <w:rsid w:val="00457910"/>
    <w:rsid w:val="0045798D"/>
    <w:rsid w:val="004579C1"/>
    <w:rsid w:val="00457A28"/>
    <w:rsid w:val="00457CB9"/>
    <w:rsid w:val="00457EC6"/>
    <w:rsid w:val="004601AA"/>
    <w:rsid w:val="004602DC"/>
    <w:rsid w:val="004602FD"/>
    <w:rsid w:val="0046043B"/>
    <w:rsid w:val="004604F7"/>
    <w:rsid w:val="00460621"/>
    <w:rsid w:val="00460647"/>
    <w:rsid w:val="00460901"/>
    <w:rsid w:val="0046095F"/>
    <w:rsid w:val="00460B7C"/>
    <w:rsid w:val="00460CFD"/>
    <w:rsid w:val="00460E69"/>
    <w:rsid w:val="00460E78"/>
    <w:rsid w:val="00460F9A"/>
    <w:rsid w:val="00461165"/>
    <w:rsid w:val="00461610"/>
    <w:rsid w:val="00461741"/>
    <w:rsid w:val="00461817"/>
    <w:rsid w:val="00461862"/>
    <w:rsid w:val="004618A0"/>
    <w:rsid w:val="004619C2"/>
    <w:rsid w:val="00461A73"/>
    <w:rsid w:val="00461B88"/>
    <w:rsid w:val="00461F09"/>
    <w:rsid w:val="00461FB6"/>
    <w:rsid w:val="0046201B"/>
    <w:rsid w:val="004621AE"/>
    <w:rsid w:val="00462290"/>
    <w:rsid w:val="00462C14"/>
    <w:rsid w:val="00462D11"/>
    <w:rsid w:val="00462E2C"/>
    <w:rsid w:val="00462FAE"/>
    <w:rsid w:val="004631E1"/>
    <w:rsid w:val="004633BA"/>
    <w:rsid w:val="004636B1"/>
    <w:rsid w:val="00463809"/>
    <w:rsid w:val="0046397B"/>
    <w:rsid w:val="00463B0D"/>
    <w:rsid w:val="00463BA6"/>
    <w:rsid w:val="00463C1F"/>
    <w:rsid w:val="00463D99"/>
    <w:rsid w:val="00463DAE"/>
    <w:rsid w:val="00463FA3"/>
    <w:rsid w:val="00463FFE"/>
    <w:rsid w:val="0046401F"/>
    <w:rsid w:val="00464209"/>
    <w:rsid w:val="0046425E"/>
    <w:rsid w:val="004642DE"/>
    <w:rsid w:val="00464961"/>
    <w:rsid w:val="00464ADB"/>
    <w:rsid w:val="00464B44"/>
    <w:rsid w:val="00464BC3"/>
    <w:rsid w:val="00464DD9"/>
    <w:rsid w:val="00464EF4"/>
    <w:rsid w:val="00465047"/>
    <w:rsid w:val="004654DC"/>
    <w:rsid w:val="0046564B"/>
    <w:rsid w:val="004657E9"/>
    <w:rsid w:val="00465979"/>
    <w:rsid w:val="00465AA1"/>
    <w:rsid w:val="00465B9F"/>
    <w:rsid w:val="00465BE6"/>
    <w:rsid w:val="00465C1B"/>
    <w:rsid w:val="00465FEB"/>
    <w:rsid w:val="00465FF4"/>
    <w:rsid w:val="0046623A"/>
    <w:rsid w:val="004662F4"/>
    <w:rsid w:val="004665CB"/>
    <w:rsid w:val="00466620"/>
    <w:rsid w:val="00466791"/>
    <w:rsid w:val="004667B1"/>
    <w:rsid w:val="004667E5"/>
    <w:rsid w:val="00466888"/>
    <w:rsid w:val="00466A0C"/>
    <w:rsid w:val="00466E18"/>
    <w:rsid w:val="0046702D"/>
    <w:rsid w:val="00467117"/>
    <w:rsid w:val="00467251"/>
    <w:rsid w:val="004672AF"/>
    <w:rsid w:val="0046732C"/>
    <w:rsid w:val="004674DE"/>
    <w:rsid w:val="00467604"/>
    <w:rsid w:val="004676DB"/>
    <w:rsid w:val="004676F6"/>
    <w:rsid w:val="00467704"/>
    <w:rsid w:val="00467786"/>
    <w:rsid w:val="004677F0"/>
    <w:rsid w:val="0046792B"/>
    <w:rsid w:val="00467B6B"/>
    <w:rsid w:val="00467B7B"/>
    <w:rsid w:val="00467BCD"/>
    <w:rsid w:val="00467E13"/>
    <w:rsid w:val="00467E4D"/>
    <w:rsid w:val="00467EEA"/>
    <w:rsid w:val="00467F1B"/>
    <w:rsid w:val="0047007F"/>
    <w:rsid w:val="0047038F"/>
    <w:rsid w:val="00470428"/>
    <w:rsid w:val="0047060B"/>
    <w:rsid w:val="00470669"/>
    <w:rsid w:val="004706B8"/>
    <w:rsid w:val="00470819"/>
    <w:rsid w:val="0047081D"/>
    <w:rsid w:val="004708C7"/>
    <w:rsid w:val="00470AF1"/>
    <w:rsid w:val="00470B8E"/>
    <w:rsid w:val="00470B9B"/>
    <w:rsid w:val="00470C3F"/>
    <w:rsid w:val="00470E17"/>
    <w:rsid w:val="00470E96"/>
    <w:rsid w:val="00470F15"/>
    <w:rsid w:val="00471075"/>
    <w:rsid w:val="00471110"/>
    <w:rsid w:val="00471174"/>
    <w:rsid w:val="004712CC"/>
    <w:rsid w:val="00471696"/>
    <w:rsid w:val="00471737"/>
    <w:rsid w:val="0047198D"/>
    <w:rsid w:val="00471995"/>
    <w:rsid w:val="00471B28"/>
    <w:rsid w:val="00471D48"/>
    <w:rsid w:val="00471D64"/>
    <w:rsid w:val="004722CD"/>
    <w:rsid w:val="00472371"/>
    <w:rsid w:val="004723D2"/>
    <w:rsid w:val="00472695"/>
    <w:rsid w:val="00472B23"/>
    <w:rsid w:val="00472BA0"/>
    <w:rsid w:val="00472BB6"/>
    <w:rsid w:val="00472BF9"/>
    <w:rsid w:val="00472E66"/>
    <w:rsid w:val="004732DB"/>
    <w:rsid w:val="00473369"/>
    <w:rsid w:val="004736C9"/>
    <w:rsid w:val="004736E2"/>
    <w:rsid w:val="00473721"/>
    <w:rsid w:val="0047375C"/>
    <w:rsid w:val="0047377A"/>
    <w:rsid w:val="0047395C"/>
    <w:rsid w:val="004739DA"/>
    <w:rsid w:val="00473AE6"/>
    <w:rsid w:val="00473AF3"/>
    <w:rsid w:val="00473C35"/>
    <w:rsid w:val="00473FE6"/>
    <w:rsid w:val="00474137"/>
    <w:rsid w:val="00474171"/>
    <w:rsid w:val="00474257"/>
    <w:rsid w:val="0047426B"/>
    <w:rsid w:val="004744AB"/>
    <w:rsid w:val="004745C5"/>
    <w:rsid w:val="0047476A"/>
    <w:rsid w:val="00474935"/>
    <w:rsid w:val="00474B7B"/>
    <w:rsid w:val="00474BDD"/>
    <w:rsid w:val="00474D21"/>
    <w:rsid w:val="00474ECC"/>
    <w:rsid w:val="004751EA"/>
    <w:rsid w:val="004752B6"/>
    <w:rsid w:val="00475318"/>
    <w:rsid w:val="004754A2"/>
    <w:rsid w:val="004755C2"/>
    <w:rsid w:val="004756A8"/>
    <w:rsid w:val="00475DE5"/>
    <w:rsid w:val="00476205"/>
    <w:rsid w:val="00476334"/>
    <w:rsid w:val="004764FC"/>
    <w:rsid w:val="0047657A"/>
    <w:rsid w:val="00476641"/>
    <w:rsid w:val="00476E71"/>
    <w:rsid w:val="004770AC"/>
    <w:rsid w:val="00477110"/>
    <w:rsid w:val="004771A3"/>
    <w:rsid w:val="004773FE"/>
    <w:rsid w:val="00477542"/>
    <w:rsid w:val="00477598"/>
    <w:rsid w:val="004775D0"/>
    <w:rsid w:val="0047771C"/>
    <w:rsid w:val="0047799D"/>
    <w:rsid w:val="00477E0D"/>
    <w:rsid w:val="00477F8B"/>
    <w:rsid w:val="00480012"/>
    <w:rsid w:val="0048018D"/>
    <w:rsid w:val="00480486"/>
    <w:rsid w:val="004804E3"/>
    <w:rsid w:val="00480692"/>
    <w:rsid w:val="00480932"/>
    <w:rsid w:val="00480AF8"/>
    <w:rsid w:val="00480B94"/>
    <w:rsid w:val="00480D18"/>
    <w:rsid w:val="00480F6F"/>
    <w:rsid w:val="0048110B"/>
    <w:rsid w:val="00481201"/>
    <w:rsid w:val="0048120B"/>
    <w:rsid w:val="0048131C"/>
    <w:rsid w:val="004813E9"/>
    <w:rsid w:val="00481422"/>
    <w:rsid w:val="00481525"/>
    <w:rsid w:val="0048160D"/>
    <w:rsid w:val="004816F8"/>
    <w:rsid w:val="00481711"/>
    <w:rsid w:val="0048176B"/>
    <w:rsid w:val="004817D1"/>
    <w:rsid w:val="004817E5"/>
    <w:rsid w:val="00481AE4"/>
    <w:rsid w:val="00481CD7"/>
    <w:rsid w:val="00481D16"/>
    <w:rsid w:val="00481D2F"/>
    <w:rsid w:val="00481DBA"/>
    <w:rsid w:val="00481EEF"/>
    <w:rsid w:val="00482009"/>
    <w:rsid w:val="0048224C"/>
    <w:rsid w:val="004823BD"/>
    <w:rsid w:val="0048258D"/>
    <w:rsid w:val="004825C9"/>
    <w:rsid w:val="004825D5"/>
    <w:rsid w:val="00482646"/>
    <w:rsid w:val="00482701"/>
    <w:rsid w:val="00482DCC"/>
    <w:rsid w:val="00482E3F"/>
    <w:rsid w:val="00482E7B"/>
    <w:rsid w:val="00483038"/>
    <w:rsid w:val="004834C5"/>
    <w:rsid w:val="00483542"/>
    <w:rsid w:val="00483581"/>
    <w:rsid w:val="0048363E"/>
    <w:rsid w:val="00483645"/>
    <w:rsid w:val="004836BF"/>
    <w:rsid w:val="004836ED"/>
    <w:rsid w:val="0048391B"/>
    <w:rsid w:val="004839E9"/>
    <w:rsid w:val="00483DE1"/>
    <w:rsid w:val="004840BC"/>
    <w:rsid w:val="00484211"/>
    <w:rsid w:val="00484298"/>
    <w:rsid w:val="004842AC"/>
    <w:rsid w:val="0048439A"/>
    <w:rsid w:val="004848AD"/>
    <w:rsid w:val="00484A5E"/>
    <w:rsid w:val="00484B17"/>
    <w:rsid w:val="00484D22"/>
    <w:rsid w:val="00484D91"/>
    <w:rsid w:val="00484EB9"/>
    <w:rsid w:val="00484EBE"/>
    <w:rsid w:val="00484F3B"/>
    <w:rsid w:val="00485142"/>
    <w:rsid w:val="004851E9"/>
    <w:rsid w:val="004857CE"/>
    <w:rsid w:val="0048584F"/>
    <w:rsid w:val="004858AA"/>
    <w:rsid w:val="00485907"/>
    <w:rsid w:val="00485BDE"/>
    <w:rsid w:val="00485C09"/>
    <w:rsid w:val="00485D8D"/>
    <w:rsid w:val="00485D9F"/>
    <w:rsid w:val="00485DAD"/>
    <w:rsid w:val="00485E54"/>
    <w:rsid w:val="00485EE4"/>
    <w:rsid w:val="00485FDA"/>
    <w:rsid w:val="00486050"/>
    <w:rsid w:val="0048615F"/>
    <w:rsid w:val="00486432"/>
    <w:rsid w:val="0048646F"/>
    <w:rsid w:val="00486547"/>
    <w:rsid w:val="004866D7"/>
    <w:rsid w:val="00486700"/>
    <w:rsid w:val="004867CB"/>
    <w:rsid w:val="00486AD7"/>
    <w:rsid w:val="00486CF6"/>
    <w:rsid w:val="00486E3E"/>
    <w:rsid w:val="0048727A"/>
    <w:rsid w:val="004872DE"/>
    <w:rsid w:val="004872DF"/>
    <w:rsid w:val="00487380"/>
    <w:rsid w:val="004873CC"/>
    <w:rsid w:val="00487443"/>
    <w:rsid w:val="004875CD"/>
    <w:rsid w:val="004875FF"/>
    <w:rsid w:val="004876AA"/>
    <w:rsid w:val="00487B8B"/>
    <w:rsid w:val="00487C90"/>
    <w:rsid w:val="00487FE9"/>
    <w:rsid w:val="00490014"/>
    <w:rsid w:val="0049015F"/>
    <w:rsid w:val="004901AA"/>
    <w:rsid w:val="0049024F"/>
    <w:rsid w:val="00490461"/>
    <w:rsid w:val="00490701"/>
    <w:rsid w:val="004907F3"/>
    <w:rsid w:val="00490948"/>
    <w:rsid w:val="00490B1A"/>
    <w:rsid w:val="00490B87"/>
    <w:rsid w:val="00490C8B"/>
    <w:rsid w:val="00490D0F"/>
    <w:rsid w:val="00490EBC"/>
    <w:rsid w:val="00491066"/>
    <w:rsid w:val="00491284"/>
    <w:rsid w:val="00491311"/>
    <w:rsid w:val="004913EB"/>
    <w:rsid w:val="00491658"/>
    <w:rsid w:val="0049168A"/>
    <w:rsid w:val="00491726"/>
    <w:rsid w:val="00491738"/>
    <w:rsid w:val="00491792"/>
    <w:rsid w:val="004917DE"/>
    <w:rsid w:val="004918D4"/>
    <w:rsid w:val="00491B32"/>
    <w:rsid w:val="00491C0A"/>
    <w:rsid w:val="00492403"/>
    <w:rsid w:val="0049242A"/>
    <w:rsid w:val="004925D7"/>
    <w:rsid w:val="004925DD"/>
    <w:rsid w:val="004928A1"/>
    <w:rsid w:val="00492989"/>
    <w:rsid w:val="00492AAA"/>
    <w:rsid w:val="00492AAC"/>
    <w:rsid w:val="00492B7A"/>
    <w:rsid w:val="00492B88"/>
    <w:rsid w:val="00492FEF"/>
    <w:rsid w:val="00493077"/>
    <w:rsid w:val="0049313F"/>
    <w:rsid w:val="00493639"/>
    <w:rsid w:val="0049378C"/>
    <w:rsid w:val="004937B5"/>
    <w:rsid w:val="0049383B"/>
    <w:rsid w:val="0049384F"/>
    <w:rsid w:val="00493941"/>
    <w:rsid w:val="004939C0"/>
    <w:rsid w:val="00493B2E"/>
    <w:rsid w:val="00493DC1"/>
    <w:rsid w:val="00494173"/>
    <w:rsid w:val="00494843"/>
    <w:rsid w:val="004949D3"/>
    <w:rsid w:val="00494B1D"/>
    <w:rsid w:val="00494DBD"/>
    <w:rsid w:val="00494DC3"/>
    <w:rsid w:val="00494DC5"/>
    <w:rsid w:val="00494E17"/>
    <w:rsid w:val="00494ECD"/>
    <w:rsid w:val="00494F1F"/>
    <w:rsid w:val="00495087"/>
    <w:rsid w:val="004950F3"/>
    <w:rsid w:val="00495177"/>
    <w:rsid w:val="0049523A"/>
    <w:rsid w:val="00495250"/>
    <w:rsid w:val="0049535A"/>
    <w:rsid w:val="004953FA"/>
    <w:rsid w:val="004954F7"/>
    <w:rsid w:val="00495696"/>
    <w:rsid w:val="004956F7"/>
    <w:rsid w:val="0049598E"/>
    <w:rsid w:val="004959D7"/>
    <w:rsid w:val="004959F5"/>
    <w:rsid w:val="00495A87"/>
    <w:rsid w:val="00495B37"/>
    <w:rsid w:val="00495C33"/>
    <w:rsid w:val="00495CEE"/>
    <w:rsid w:val="00495DF1"/>
    <w:rsid w:val="00495E01"/>
    <w:rsid w:val="00495E85"/>
    <w:rsid w:val="00495EEE"/>
    <w:rsid w:val="00495F05"/>
    <w:rsid w:val="00495FB1"/>
    <w:rsid w:val="00496142"/>
    <w:rsid w:val="004966DB"/>
    <w:rsid w:val="004966FD"/>
    <w:rsid w:val="00496743"/>
    <w:rsid w:val="00496875"/>
    <w:rsid w:val="00496A49"/>
    <w:rsid w:val="00496CB2"/>
    <w:rsid w:val="00496CD3"/>
    <w:rsid w:val="00496D0F"/>
    <w:rsid w:val="00496E92"/>
    <w:rsid w:val="004970EF"/>
    <w:rsid w:val="0049712F"/>
    <w:rsid w:val="004971B8"/>
    <w:rsid w:val="0049729B"/>
    <w:rsid w:val="00497ABF"/>
    <w:rsid w:val="00497B98"/>
    <w:rsid w:val="00497BC9"/>
    <w:rsid w:val="004A005A"/>
    <w:rsid w:val="004A00F0"/>
    <w:rsid w:val="004A01BB"/>
    <w:rsid w:val="004A03B7"/>
    <w:rsid w:val="004A0460"/>
    <w:rsid w:val="004A07C8"/>
    <w:rsid w:val="004A08A9"/>
    <w:rsid w:val="004A09A4"/>
    <w:rsid w:val="004A0AA3"/>
    <w:rsid w:val="004A0DB9"/>
    <w:rsid w:val="004A0EBE"/>
    <w:rsid w:val="004A0F09"/>
    <w:rsid w:val="004A1001"/>
    <w:rsid w:val="004A1030"/>
    <w:rsid w:val="004A11F0"/>
    <w:rsid w:val="004A123F"/>
    <w:rsid w:val="004A13B6"/>
    <w:rsid w:val="004A1626"/>
    <w:rsid w:val="004A164D"/>
    <w:rsid w:val="004A1881"/>
    <w:rsid w:val="004A1898"/>
    <w:rsid w:val="004A195C"/>
    <w:rsid w:val="004A1A39"/>
    <w:rsid w:val="004A1A62"/>
    <w:rsid w:val="004A1AD9"/>
    <w:rsid w:val="004A1ADB"/>
    <w:rsid w:val="004A1C61"/>
    <w:rsid w:val="004A1E23"/>
    <w:rsid w:val="004A1E6C"/>
    <w:rsid w:val="004A1E96"/>
    <w:rsid w:val="004A1EF9"/>
    <w:rsid w:val="004A1F8E"/>
    <w:rsid w:val="004A209F"/>
    <w:rsid w:val="004A223A"/>
    <w:rsid w:val="004A228C"/>
    <w:rsid w:val="004A22C5"/>
    <w:rsid w:val="004A2443"/>
    <w:rsid w:val="004A25B2"/>
    <w:rsid w:val="004A283B"/>
    <w:rsid w:val="004A2CD1"/>
    <w:rsid w:val="004A2CD5"/>
    <w:rsid w:val="004A2DA3"/>
    <w:rsid w:val="004A3170"/>
    <w:rsid w:val="004A31B6"/>
    <w:rsid w:val="004A3409"/>
    <w:rsid w:val="004A3459"/>
    <w:rsid w:val="004A34EA"/>
    <w:rsid w:val="004A3527"/>
    <w:rsid w:val="004A36FF"/>
    <w:rsid w:val="004A375C"/>
    <w:rsid w:val="004A39A2"/>
    <w:rsid w:val="004A39CE"/>
    <w:rsid w:val="004A3ABB"/>
    <w:rsid w:val="004A3B58"/>
    <w:rsid w:val="004A4198"/>
    <w:rsid w:val="004A431D"/>
    <w:rsid w:val="004A4359"/>
    <w:rsid w:val="004A43EE"/>
    <w:rsid w:val="004A448E"/>
    <w:rsid w:val="004A44C4"/>
    <w:rsid w:val="004A4705"/>
    <w:rsid w:val="004A474D"/>
    <w:rsid w:val="004A47FD"/>
    <w:rsid w:val="004A4B10"/>
    <w:rsid w:val="004A4BB4"/>
    <w:rsid w:val="004A4C33"/>
    <w:rsid w:val="004A4E12"/>
    <w:rsid w:val="004A4E3A"/>
    <w:rsid w:val="004A51F0"/>
    <w:rsid w:val="004A54CD"/>
    <w:rsid w:val="004A54D8"/>
    <w:rsid w:val="004A556F"/>
    <w:rsid w:val="004A55A5"/>
    <w:rsid w:val="004A5719"/>
    <w:rsid w:val="004A58F1"/>
    <w:rsid w:val="004A5970"/>
    <w:rsid w:val="004A5999"/>
    <w:rsid w:val="004A5C56"/>
    <w:rsid w:val="004A5CDE"/>
    <w:rsid w:val="004A5FE3"/>
    <w:rsid w:val="004A61D4"/>
    <w:rsid w:val="004A6271"/>
    <w:rsid w:val="004A655D"/>
    <w:rsid w:val="004A66E2"/>
    <w:rsid w:val="004A67BE"/>
    <w:rsid w:val="004A6877"/>
    <w:rsid w:val="004A6903"/>
    <w:rsid w:val="004A699F"/>
    <w:rsid w:val="004A69CA"/>
    <w:rsid w:val="004A6BDB"/>
    <w:rsid w:val="004A6E26"/>
    <w:rsid w:val="004A6E4F"/>
    <w:rsid w:val="004A6FFD"/>
    <w:rsid w:val="004A7044"/>
    <w:rsid w:val="004A709F"/>
    <w:rsid w:val="004A726C"/>
    <w:rsid w:val="004A76A9"/>
    <w:rsid w:val="004A76FD"/>
    <w:rsid w:val="004A7C57"/>
    <w:rsid w:val="004A7D6C"/>
    <w:rsid w:val="004A7E3A"/>
    <w:rsid w:val="004A7E43"/>
    <w:rsid w:val="004A7F99"/>
    <w:rsid w:val="004B014D"/>
    <w:rsid w:val="004B0235"/>
    <w:rsid w:val="004B035D"/>
    <w:rsid w:val="004B041C"/>
    <w:rsid w:val="004B08FD"/>
    <w:rsid w:val="004B0E7D"/>
    <w:rsid w:val="004B0E9D"/>
    <w:rsid w:val="004B0ECF"/>
    <w:rsid w:val="004B0F2F"/>
    <w:rsid w:val="004B0F43"/>
    <w:rsid w:val="004B1015"/>
    <w:rsid w:val="004B104B"/>
    <w:rsid w:val="004B10CD"/>
    <w:rsid w:val="004B11D5"/>
    <w:rsid w:val="004B12A4"/>
    <w:rsid w:val="004B1315"/>
    <w:rsid w:val="004B1408"/>
    <w:rsid w:val="004B1468"/>
    <w:rsid w:val="004B14F2"/>
    <w:rsid w:val="004B1592"/>
    <w:rsid w:val="004B15A5"/>
    <w:rsid w:val="004B15B3"/>
    <w:rsid w:val="004B17D4"/>
    <w:rsid w:val="004B1AF2"/>
    <w:rsid w:val="004B1BB1"/>
    <w:rsid w:val="004B1CA0"/>
    <w:rsid w:val="004B1DC5"/>
    <w:rsid w:val="004B1E2F"/>
    <w:rsid w:val="004B1F19"/>
    <w:rsid w:val="004B2110"/>
    <w:rsid w:val="004B243A"/>
    <w:rsid w:val="004B2451"/>
    <w:rsid w:val="004B2530"/>
    <w:rsid w:val="004B261F"/>
    <w:rsid w:val="004B29F9"/>
    <w:rsid w:val="004B2A99"/>
    <w:rsid w:val="004B2B54"/>
    <w:rsid w:val="004B2BA9"/>
    <w:rsid w:val="004B2D57"/>
    <w:rsid w:val="004B2DCD"/>
    <w:rsid w:val="004B34A1"/>
    <w:rsid w:val="004B384F"/>
    <w:rsid w:val="004B3989"/>
    <w:rsid w:val="004B3A09"/>
    <w:rsid w:val="004B3A5D"/>
    <w:rsid w:val="004B3A7C"/>
    <w:rsid w:val="004B3A86"/>
    <w:rsid w:val="004B3C58"/>
    <w:rsid w:val="004B3CDE"/>
    <w:rsid w:val="004B3E31"/>
    <w:rsid w:val="004B3F1E"/>
    <w:rsid w:val="004B4113"/>
    <w:rsid w:val="004B428E"/>
    <w:rsid w:val="004B4641"/>
    <w:rsid w:val="004B4734"/>
    <w:rsid w:val="004B4808"/>
    <w:rsid w:val="004B4B06"/>
    <w:rsid w:val="004B4DDD"/>
    <w:rsid w:val="004B4EFC"/>
    <w:rsid w:val="004B4F9A"/>
    <w:rsid w:val="004B50E4"/>
    <w:rsid w:val="004B5366"/>
    <w:rsid w:val="004B53A5"/>
    <w:rsid w:val="004B5489"/>
    <w:rsid w:val="004B5500"/>
    <w:rsid w:val="004B5635"/>
    <w:rsid w:val="004B57EA"/>
    <w:rsid w:val="004B5AC1"/>
    <w:rsid w:val="004B5ACA"/>
    <w:rsid w:val="004B5AED"/>
    <w:rsid w:val="004B5B2E"/>
    <w:rsid w:val="004B5B78"/>
    <w:rsid w:val="004B5C04"/>
    <w:rsid w:val="004B5C53"/>
    <w:rsid w:val="004B5D54"/>
    <w:rsid w:val="004B65C3"/>
    <w:rsid w:val="004B6752"/>
    <w:rsid w:val="004B6784"/>
    <w:rsid w:val="004B67FB"/>
    <w:rsid w:val="004B683A"/>
    <w:rsid w:val="004B6980"/>
    <w:rsid w:val="004B6B77"/>
    <w:rsid w:val="004B6BC3"/>
    <w:rsid w:val="004B6CC7"/>
    <w:rsid w:val="004B6E74"/>
    <w:rsid w:val="004B6FF3"/>
    <w:rsid w:val="004B7008"/>
    <w:rsid w:val="004B719F"/>
    <w:rsid w:val="004B7295"/>
    <w:rsid w:val="004B7518"/>
    <w:rsid w:val="004B75AA"/>
    <w:rsid w:val="004B75E9"/>
    <w:rsid w:val="004B75F5"/>
    <w:rsid w:val="004B7616"/>
    <w:rsid w:val="004B761A"/>
    <w:rsid w:val="004B7655"/>
    <w:rsid w:val="004B76A2"/>
    <w:rsid w:val="004B7763"/>
    <w:rsid w:val="004B7846"/>
    <w:rsid w:val="004B792F"/>
    <w:rsid w:val="004B796A"/>
    <w:rsid w:val="004B79E1"/>
    <w:rsid w:val="004B7AC7"/>
    <w:rsid w:val="004B7B13"/>
    <w:rsid w:val="004B7F6C"/>
    <w:rsid w:val="004C002D"/>
    <w:rsid w:val="004C014C"/>
    <w:rsid w:val="004C0204"/>
    <w:rsid w:val="004C0267"/>
    <w:rsid w:val="004C029B"/>
    <w:rsid w:val="004C038B"/>
    <w:rsid w:val="004C0498"/>
    <w:rsid w:val="004C054C"/>
    <w:rsid w:val="004C0566"/>
    <w:rsid w:val="004C05F2"/>
    <w:rsid w:val="004C06FF"/>
    <w:rsid w:val="004C0711"/>
    <w:rsid w:val="004C091E"/>
    <w:rsid w:val="004C0966"/>
    <w:rsid w:val="004C09E6"/>
    <w:rsid w:val="004C0A27"/>
    <w:rsid w:val="004C0C4D"/>
    <w:rsid w:val="004C0CCD"/>
    <w:rsid w:val="004C10AE"/>
    <w:rsid w:val="004C1363"/>
    <w:rsid w:val="004C1405"/>
    <w:rsid w:val="004C154F"/>
    <w:rsid w:val="004C16CF"/>
    <w:rsid w:val="004C1990"/>
    <w:rsid w:val="004C2013"/>
    <w:rsid w:val="004C21C5"/>
    <w:rsid w:val="004C22FB"/>
    <w:rsid w:val="004C2313"/>
    <w:rsid w:val="004C240D"/>
    <w:rsid w:val="004C272A"/>
    <w:rsid w:val="004C2C43"/>
    <w:rsid w:val="004C2C90"/>
    <w:rsid w:val="004C2D4E"/>
    <w:rsid w:val="004C2E45"/>
    <w:rsid w:val="004C2F3F"/>
    <w:rsid w:val="004C31EB"/>
    <w:rsid w:val="004C37BD"/>
    <w:rsid w:val="004C3936"/>
    <w:rsid w:val="004C3BA9"/>
    <w:rsid w:val="004C3C43"/>
    <w:rsid w:val="004C3CCE"/>
    <w:rsid w:val="004C3CDB"/>
    <w:rsid w:val="004C3D54"/>
    <w:rsid w:val="004C3DFE"/>
    <w:rsid w:val="004C3E9E"/>
    <w:rsid w:val="004C42A2"/>
    <w:rsid w:val="004C4445"/>
    <w:rsid w:val="004C4502"/>
    <w:rsid w:val="004C4565"/>
    <w:rsid w:val="004C463B"/>
    <w:rsid w:val="004C46AD"/>
    <w:rsid w:val="004C46B7"/>
    <w:rsid w:val="004C46F4"/>
    <w:rsid w:val="004C476D"/>
    <w:rsid w:val="004C486D"/>
    <w:rsid w:val="004C4885"/>
    <w:rsid w:val="004C4CC6"/>
    <w:rsid w:val="004C54DD"/>
    <w:rsid w:val="004C564C"/>
    <w:rsid w:val="004C56F0"/>
    <w:rsid w:val="004C590D"/>
    <w:rsid w:val="004C591F"/>
    <w:rsid w:val="004C5AF5"/>
    <w:rsid w:val="004C5B61"/>
    <w:rsid w:val="004C5C14"/>
    <w:rsid w:val="004C5CB4"/>
    <w:rsid w:val="004C5CB9"/>
    <w:rsid w:val="004C5CE2"/>
    <w:rsid w:val="004C5D2F"/>
    <w:rsid w:val="004C5D58"/>
    <w:rsid w:val="004C6031"/>
    <w:rsid w:val="004C6461"/>
    <w:rsid w:val="004C652A"/>
    <w:rsid w:val="004C66B5"/>
    <w:rsid w:val="004C684E"/>
    <w:rsid w:val="004C69D7"/>
    <w:rsid w:val="004C6B77"/>
    <w:rsid w:val="004C6DBD"/>
    <w:rsid w:val="004C6E7C"/>
    <w:rsid w:val="004C708D"/>
    <w:rsid w:val="004C71D8"/>
    <w:rsid w:val="004C71FC"/>
    <w:rsid w:val="004C7309"/>
    <w:rsid w:val="004C7599"/>
    <w:rsid w:val="004C7629"/>
    <w:rsid w:val="004C765A"/>
    <w:rsid w:val="004C775C"/>
    <w:rsid w:val="004C77D0"/>
    <w:rsid w:val="004C7962"/>
    <w:rsid w:val="004C797C"/>
    <w:rsid w:val="004C7A07"/>
    <w:rsid w:val="004C7BC5"/>
    <w:rsid w:val="004C7D8C"/>
    <w:rsid w:val="004C7F30"/>
    <w:rsid w:val="004D0152"/>
    <w:rsid w:val="004D019C"/>
    <w:rsid w:val="004D0384"/>
    <w:rsid w:val="004D078D"/>
    <w:rsid w:val="004D08A5"/>
    <w:rsid w:val="004D0C52"/>
    <w:rsid w:val="004D0DCC"/>
    <w:rsid w:val="004D0F02"/>
    <w:rsid w:val="004D106A"/>
    <w:rsid w:val="004D108A"/>
    <w:rsid w:val="004D117B"/>
    <w:rsid w:val="004D1235"/>
    <w:rsid w:val="004D12B2"/>
    <w:rsid w:val="004D1385"/>
    <w:rsid w:val="004D1486"/>
    <w:rsid w:val="004D14D4"/>
    <w:rsid w:val="004D14F3"/>
    <w:rsid w:val="004D166E"/>
    <w:rsid w:val="004D17AB"/>
    <w:rsid w:val="004D17FC"/>
    <w:rsid w:val="004D1862"/>
    <w:rsid w:val="004D1B7B"/>
    <w:rsid w:val="004D1CFD"/>
    <w:rsid w:val="004D1DDE"/>
    <w:rsid w:val="004D1F0A"/>
    <w:rsid w:val="004D1F5F"/>
    <w:rsid w:val="004D2184"/>
    <w:rsid w:val="004D21E7"/>
    <w:rsid w:val="004D21FA"/>
    <w:rsid w:val="004D265C"/>
    <w:rsid w:val="004D2902"/>
    <w:rsid w:val="004D3176"/>
    <w:rsid w:val="004D32A1"/>
    <w:rsid w:val="004D3419"/>
    <w:rsid w:val="004D3492"/>
    <w:rsid w:val="004D37BD"/>
    <w:rsid w:val="004D38BB"/>
    <w:rsid w:val="004D3952"/>
    <w:rsid w:val="004D3A6F"/>
    <w:rsid w:val="004D3A91"/>
    <w:rsid w:val="004D3AE4"/>
    <w:rsid w:val="004D3B20"/>
    <w:rsid w:val="004D3BB5"/>
    <w:rsid w:val="004D3DCA"/>
    <w:rsid w:val="004D4013"/>
    <w:rsid w:val="004D435F"/>
    <w:rsid w:val="004D45C7"/>
    <w:rsid w:val="004D463F"/>
    <w:rsid w:val="004D464F"/>
    <w:rsid w:val="004D4941"/>
    <w:rsid w:val="004D49DB"/>
    <w:rsid w:val="004D4ABC"/>
    <w:rsid w:val="004D4B73"/>
    <w:rsid w:val="004D51EF"/>
    <w:rsid w:val="004D522C"/>
    <w:rsid w:val="004D53E7"/>
    <w:rsid w:val="004D54A1"/>
    <w:rsid w:val="004D54EE"/>
    <w:rsid w:val="004D554D"/>
    <w:rsid w:val="004D5607"/>
    <w:rsid w:val="004D5721"/>
    <w:rsid w:val="004D5C17"/>
    <w:rsid w:val="004D5CA2"/>
    <w:rsid w:val="004D5CDA"/>
    <w:rsid w:val="004D5DA3"/>
    <w:rsid w:val="004D5E21"/>
    <w:rsid w:val="004D6068"/>
    <w:rsid w:val="004D6408"/>
    <w:rsid w:val="004D6817"/>
    <w:rsid w:val="004D694D"/>
    <w:rsid w:val="004D69DD"/>
    <w:rsid w:val="004D6A40"/>
    <w:rsid w:val="004D6AC9"/>
    <w:rsid w:val="004D6E47"/>
    <w:rsid w:val="004D6F63"/>
    <w:rsid w:val="004D7073"/>
    <w:rsid w:val="004D719B"/>
    <w:rsid w:val="004D7357"/>
    <w:rsid w:val="004D73ED"/>
    <w:rsid w:val="004D74CF"/>
    <w:rsid w:val="004D769C"/>
    <w:rsid w:val="004D76AA"/>
    <w:rsid w:val="004D7887"/>
    <w:rsid w:val="004D790A"/>
    <w:rsid w:val="004D7932"/>
    <w:rsid w:val="004D7B21"/>
    <w:rsid w:val="004D7BBC"/>
    <w:rsid w:val="004D7CB0"/>
    <w:rsid w:val="004D7E45"/>
    <w:rsid w:val="004E0010"/>
    <w:rsid w:val="004E014F"/>
    <w:rsid w:val="004E024F"/>
    <w:rsid w:val="004E0459"/>
    <w:rsid w:val="004E0692"/>
    <w:rsid w:val="004E0A03"/>
    <w:rsid w:val="004E0A24"/>
    <w:rsid w:val="004E0DF7"/>
    <w:rsid w:val="004E0E7C"/>
    <w:rsid w:val="004E1144"/>
    <w:rsid w:val="004E11FB"/>
    <w:rsid w:val="004E12D6"/>
    <w:rsid w:val="004E1426"/>
    <w:rsid w:val="004E1571"/>
    <w:rsid w:val="004E15AB"/>
    <w:rsid w:val="004E169B"/>
    <w:rsid w:val="004E16B6"/>
    <w:rsid w:val="004E189B"/>
    <w:rsid w:val="004E1907"/>
    <w:rsid w:val="004E19A1"/>
    <w:rsid w:val="004E19A8"/>
    <w:rsid w:val="004E1A3B"/>
    <w:rsid w:val="004E1A70"/>
    <w:rsid w:val="004E1B97"/>
    <w:rsid w:val="004E1E78"/>
    <w:rsid w:val="004E20A8"/>
    <w:rsid w:val="004E20ED"/>
    <w:rsid w:val="004E252E"/>
    <w:rsid w:val="004E2854"/>
    <w:rsid w:val="004E285E"/>
    <w:rsid w:val="004E2A8F"/>
    <w:rsid w:val="004E2AD9"/>
    <w:rsid w:val="004E2BBD"/>
    <w:rsid w:val="004E2C42"/>
    <w:rsid w:val="004E2D2B"/>
    <w:rsid w:val="004E2E6B"/>
    <w:rsid w:val="004E2F2C"/>
    <w:rsid w:val="004E2F42"/>
    <w:rsid w:val="004E3223"/>
    <w:rsid w:val="004E345D"/>
    <w:rsid w:val="004E34F4"/>
    <w:rsid w:val="004E3649"/>
    <w:rsid w:val="004E390B"/>
    <w:rsid w:val="004E3AA6"/>
    <w:rsid w:val="004E3BF6"/>
    <w:rsid w:val="004E3CB0"/>
    <w:rsid w:val="004E4194"/>
    <w:rsid w:val="004E4199"/>
    <w:rsid w:val="004E42A9"/>
    <w:rsid w:val="004E43B0"/>
    <w:rsid w:val="004E43E0"/>
    <w:rsid w:val="004E47D4"/>
    <w:rsid w:val="004E48F5"/>
    <w:rsid w:val="004E4C0C"/>
    <w:rsid w:val="004E4C24"/>
    <w:rsid w:val="004E4DFE"/>
    <w:rsid w:val="004E4F22"/>
    <w:rsid w:val="004E52AF"/>
    <w:rsid w:val="004E53A1"/>
    <w:rsid w:val="004E562E"/>
    <w:rsid w:val="004E5735"/>
    <w:rsid w:val="004E58FE"/>
    <w:rsid w:val="004E59A6"/>
    <w:rsid w:val="004E59CF"/>
    <w:rsid w:val="004E5A20"/>
    <w:rsid w:val="004E5AB7"/>
    <w:rsid w:val="004E5ACE"/>
    <w:rsid w:val="004E5B58"/>
    <w:rsid w:val="004E5C07"/>
    <w:rsid w:val="004E5DC3"/>
    <w:rsid w:val="004E5EDA"/>
    <w:rsid w:val="004E6106"/>
    <w:rsid w:val="004E62A9"/>
    <w:rsid w:val="004E62BA"/>
    <w:rsid w:val="004E6349"/>
    <w:rsid w:val="004E63CB"/>
    <w:rsid w:val="004E63D7"/>
    <w:rsid w:val="004E65BA"/>
    <w:rsid w:val="004E6616"/>
    <w:rsid w:val="004E6774"/>
    <w:rsid w:val="004E6899"/>
    <w:rsid w:val="004E6A8C"/>
    <w:rsid w:val="004E6ACB"/>
    <w:rsid w:val="004E6B07"/>
    <w:rsid w:val="004E6B49"/>
    <w:rsid w:val="004E6BF4"/>
    <w:rsid w:val="004E6C55"/>
    <w:rsid w:val="004E6F22"/>
    <w:rsid w:val="004E6FE1"/>
    <w:rsid w:val="004E7062"/>
    <w:rsid w:val="004E7183"/>
    <w:rsid w:val="004E73EF"/>
    <w:rsid w:val="004E755B"/>
    <w:rsid w:val="004E771B"/>
    <w:rsid w:val="004E77B3"/>
    <w:rsid w:val="004E7CD9"/>
    <w:rsid w:val="004E7D22"/>
    <w:rsid w:val="004E7DB9"/>
    <w:rsid w:val="004F00B6"/>
    <w:rsid w:val="004F016C"/>
    <w:rsid w:val="004F03AA"/>
    <w:rsid w:val="004F061F"/>
    <w:rsid w:val="004F0A1A"/>
    <w:rsid w:val="004F0B12"/>
    <w:rsid w:val="004F0D87"/>
    <w:rsid w:val="004F0E3F"/>
    <w:rsid w:val="004F0F18"/>
    <w:rsid w:val="004F12E3"/>
    <w:rsid w:val="004F13D4"/>
    <w:rsid w:val="004F1473"/>
    <w:rsid w:val="004F14A6"/>
    <w:rsid w:val="004F151D"/>
    <w:rsid w:val="004F15B5"/>
    <w:rsid w:val="004F178A"/>
    <w:rsid w:val="004F18B9"/>
    <w:rsid w:val="004F18FE"/>
    <w:rsid w:val="004F1996"/>
    <w:rsid w:val="004F1B25"/>
    <w:rsid w:val="004F1DF7"/>
    <w:rsid w:val="004F1E56"/>
    <w:rsid w:val="004F2160"/>
    <w:rsid w:val="004F2305"/>
    <w:rsid w:val="004F23F6"/>
    <w:rsid w:val="004F24F7"/>
    <w:rsid w:val="004F2625"/>
    <w:rsid w:val="004F2861"/>
    <w:rsid w:val="004F286D"/>
    <w:rsid w:val="004F28F4"/>
    <w:rsid w:val="004F299B"/>
    <w:rsid w:val="004F29BE"/>
    <w:rsid w:val="004F2B64"/>
    <w:rsid w:val="004F2DB1"/>
    <w:rsid w:val="004F2DC1"/>
    <w:rsid w:val="004F2E0C"/>
    <w:rsid w:val="004F2F39"/>
    <w:rsid w:val="004F2F4E"/>
    <w:rsid w:val="004F2F51"/>
    <w:rsid w:val="004F30FF"/>
    <w:rsid w:val="004F312F"/>
    <w:rsid w:val="004F313D"/>
    <w:rsid w:val="004F3144"/>
    <w:rsid w:val="004F32C7"/>
    <w:rsid w:val="004F32CE"/>
    <w:rsid w:val="004F3319"/>
    <w:rsid w:val="004F35C6"/>
    <w:rsid w:val="004F35EB"/>
    <w:rsid w:val="004F3884"/>
    <w:rsid w:val="004F38C2"/>
    <w:rsid w:val="004F38D8"/>
    <w:rsid w:val="004F3B51"/>
    <w:rsid w:val="004F3BCA"/>
    <w:rsid w:val="004F3BE4"/>
    <w:rsid w:val="004F3CC2"/>
    <w:rsid w:val="004F3E09"/>
    <w:rsid w:val="004F3E6F"/>
    <w:rsid w:val="004F3EE4"/>
    <w:rsid w:val="004F41F0"/>
    <w:rsid w:val="004F42E0"/>
    <w:rsid w:val="004F446D"/>
    <w:rsid w:val="004F447D"/>
    <w:rsid w:val="004F44EE"/>
    <w:rsid w:val="004F45A7"/>
    <w:rsid w:val="004F47EE"/>
    <w:rsid w:val="004F48B9"/>
    <w:rsid w:val="004F48D0"/>
    <w:rsid w:val="004F4AA2"/>
    <w:rsid w:val="004F4AAB"/>
    <w:rsid w:val="004F4AB1"/>
    <w:rsid w:val="004F4DE8"/>
    <w:rsid w:val="004F4E80"/>
    <w:rsid w:val="004F518A"/>
    <w:rsid w:val="004F51D3"/>
    <w:rsid w:val="004F54F4"/>
    <w:rsid w:val="004F589D"/>
    <w:rsid w:val="004F59FC"/>
    <w:rsid w:val="004F5B65"/>
    <w:rsid w:val="004F5D9C"/>
    <w:rsid w:val="004F5F8F"/>
    <w:rsid w:val="004F6005"/>
    <w:rsid w:val="004F6379"/>
    <w:rsid w:val="004F64C7"/>
    <w:rsid w:val="004F6542"/>
    <w:rsid w:val="004F658A"/>
    <w:rsid w:val="004F6639"/>
    <w:rsid w:val="004F69C3"/>
    <w:rsid w:val="004F6B2D"/>
    <w:rsid w:val="004F6B39"/>
    <w:rsid w:val="004F6B4F"/>
    <w:rsid w:val="004F6CCB"/>
    <w:rsid w:val="004F6E6E"/>
    <w:rsid w:val="004F6EA0"/>
    <w:rsid w:val="004F6FD3"/>
    <w:rsid w:val="004F7058"/>
    <w:rsid w:val="004F766E"/>
    <w:rsid w:val="004F77F2"/>
    <w:rsid w:val="004F781A"/>
    <w:rsid w:val="004F7837"/>
    <w:rsid w:val="004F789B"/>
    <w:rsid w:val="004F7973"/>
    <w:rsid w:val="004F7A47"/>
    <w:rsid w:val="004F7AB0"/>
    <w:rsid w:val="004F7AC3"/>
    <w:rsid w:val="004F7C3A"/>
    <w:rsid w:val="004F7CAE"/>
    <w:rsid w:val="004F7DD9"/>
    <w:rsid w:val="004F7F8A"/>
    <w:rsid w:val="005001D3"/>
    <w:rsid w:val="0050045C"/>
    <w:rsid w:val="00500760"/>
    <w:rsid w:val="00500E9A"/>
    <w:rsid w:val="00500F03"/>
    <w:rsid w:val="00501100"/>
    <w:rsid w:val="00501140"/>
    <w:rsid w:val="0050142D"/>
    <w:rsid w:val="00501489"/>
    <w:rsid w:val="005014FA"/>
    <w:rsid w:val="00501544"/>
    <w:rsid w:val="0050156B"/>
    <w:rsid w:val="0050160D"/>
    <w:rsid w:val="00501628"/>
    <w:rsid w:val="005016FC"/>
    <w:rsid w:val="0050177F"/>
    <w:rsid w:val="005017C8"/>
    <w:rsid w:val="005019E1"/>
    <w:rsid w:val="00501A5E"/>
    <w:rsid w:val="00501A78"/>
    <w:rsid w:val="00501B67"/>
    <w:rsid w:val="00501D5A"/>
    <w:rsid w:val="00501FF2"/>
    <w:rsid w:val="005020D9"/>
    <w:rsid w:val="00502456"/>
    <w:rsid w:val="005025A2"/>
    <w:rsid w:val="00502904"/>
    <w:rsid w:val="005029FC"/>
    <w:rsid w:val="00502B00"/>
    <w:rsid w:val="00502D80"/>
    <w:rsid w:val="00502F3C"/>
    <w:rsid w:val="00502F60"/>
    <w:rsid w:val="00502FFF"/>
    <w:rsid w:val="005030D3"/>
    <w:rsid w:val="00503210"/>
    <w:rsid w:val="00503239"/>
    <w:rsid w:val="005034A7"/>
    <w:rsid w:val="0050371C"/>
    <w:rsid w:val="00503863"/>
    <w:rsid w:val="0050399C"/>
    <w:rsid w:val="00503A05"/>
    <w:rsid w:val="00503B55"/>
    <w:rsid w:val="00503DEA"/>
    <w:rsid w:val="00503DEF"/>
    <w:rsid w:val="00503EA2"/>
    <w:rsid w:val="00503F88"/>
    <w:rsid w:val="00504469"/>
    <w:rsid w:val="005044B1"/>
    <w:rsid w:val="005044E3"/>
    <w:rsid w:val="0050450E"/>
    <w:rsid w:val="0050462E"/>
    <w:rsid w:val="00504648"/>
    <w:rsid w:val="00504687"/>
    <w:rsid w:val="0050472E"/>
    <w:rsid w:val="005047C7"/>
    <w:rsid w:val="005048EB"/>
    <w:rsid w:val="00504AA5"/>
    <w:rsid w:val="00504B29"/>
    <w:rsid w:val="00504C8C"/>
    <w:rsid w:val="00504DBD"/>
    <w:rsid w:val="00504E5E"/>
    <w:rsid w:val="00504FF4"/>
    <w:rsid w:val="00505201"/>
    <w:rsid w:val="00505518"/>
    <w:rsid w:val="00505553"/>
    <w:rsid w:val="00505608"/>
    <w:rsid w:val="0050564E"/>
    <w:rsid w:val="00505BB4"/>
    <w:rsid w:val="00505D7B"/>
    <w:rsid w:val="00505F5F"/>
    <w:rsid w:val="00506289"/>
    <w:rsid w:val="005064B8"/>
    <w:rsid w:val="005064C7"/>
    <w:rsid w:val="005066E8"/>
    <w:rsid w:val="005068FF"/>
    <w:rsid w:val="00506905"/>
    <w:rsid w:val="005069F3"/>
    <w:rsid w:val="00506A21"/>
    <w:rsid w:val="00506BA4"/>
    <w:rsid w:val="00506BAC"/>
    <w:rsid w:val="00506F72"/>
    <w:rsid w:val="00507346"/>
    <w:rsid w:val="0050744D"/>
    <w:rsid w:val="00507583"/>
    <w:rsid w:val="005078E7"/>
    <w:rsid w:val="005079AD"/>
    <w:rsid w:val="00507B88"/>
    <w:rsid w:val="00507CD5"/>
    <w:rsid w:val="00507D29"/>
    <w:rsid w:val="00507DBE"/>
    <w:rsid w:val="00507DE9"/>
    <w:rsid w:val="00507E5B"/>
    <w:rsid w:val="00507EC0"/>
    <w:rsid w:val="00507F35"/>
    <w:rsid w:val="00507FC6"/>
    <w:rsid w:val="0051020A"/>
    <w:rsid w:val="00510238"/>
    <w:rsid w:val="0051033D"/>
    <w:rsid w:val="00510371"/>
    <w:rsid w:val="0051037D"/>
    <w:rsid w:val="0051039F"/>
    <w:rsid w:val="005103CD"/>
    <w:rsid w:val="005104A4"/>
    <w:rsid w:val="005105D7"/>
    <w:rsid w:val="005109A1"/>
    <w:rsid w:val="00510B8E"/>
    <w:rsid w:val="00510BED"/>
    <w:rsid w:val="00510C4D"/>
    <w:rsid w:val="00510CC9"/>
    <w:rsid w:val="00510D15"/>
    <w:rsid w:val="00510D41"/>
    <w:rsid w:val="00510E28"/>
    <w:rsid w:val="00510E63"/>
    <w:rsid w:val="00510EB1"/>
    <w:rsid w:val="00511184"/>
    <w:rsid w:val="00511226"/>
    <w:rsid w:val="00511359"/>
    <w:rsid w:val="005113AC"/>
    <w:rsid w:val="00511622"/>
    <w:rsid w:val="0051163D"/>
    <w:rsid w:val="00511A1C"/>
    <w:rsid w:val="00511C6C"/>
    <w:rsid w:val="00511CB8"/>
    <w:rsid w:val="00511D1E"/>
    <w:rsid w:val="005120CE"/>
    <w:rsid w:val="00512154"/>
    <w:rsid w:val="005122F7"/>
    <w:rsid w:val="00512375"/>
    <w:rsid w:val="005123B8"/>
    <w:rsid w:val="005124AE"/>
    <w:rsid w:val="005125D4"/>
    <w:rsid w:val="0051283C"/>
    <w:rsid w:val="00512DF2"/>
    <w:rsid w:val="00512ECA"/>
    <w:rsid w:val="00512F8F"/>
    <w:rsid w:val="00513305"/>
    <w:rsid w:val="00513318"/>
    <w:rsid w:val="00513762"/>
    <w:rsid w:val="00513D78"/>
    <w:rsid w:val="00513DD4"/>
    <w:rsid w:val="00513F38"/>
    <w:rsid w:val="00514316"/>
    <w:rsid w:val="00514388"/>
    <w:rsid w:val="00514520"/>
    <w:rsid w:val="0051452C"/>
    <w:rsid w:val="005145EB"/>
    <w:rsid w:val="005147CE"/>
    <w:rsid w:val="005147EA"/>
    <w:rsid w:val="0051491D"/>
    <w:rsid w:val="00514B37"/>
    <w:rsid w:val="00514C5E"/>
    <w:rsid w:val="00514E8B"/>
    <w:rsid w:val="00514E9D"/>
    <w:rsid w:val="005153E1"/>
    <w:rsid w:val="00515491"/>
    <w:rsid w:val="005155A9"/>
    <w:rsid w:val="00515676"/>
    <w:rsid w:val="0051580C"/>
    <w:rsid w:val="00515A6E"/>
    <w:rsid w:val="00515B42"/>
    <w:rsid w:val="00515BA1"/>
    <w:rsid w:val="00515BFA"/>
    <w:rsid w:val="00515D83"/>
    <w:rsid w:val="00515EFF"/>
    <w:rsid w:val="0051604C"/>
    <w:rsid w:val="0051675F"/>
    <w:rsid w:val="00516780"/>
    <w:rsid w:val="00516951"/>
    <w:rsid w:val="00516A58"/>
    <w:rsid w:val="00516B24"/>
    <w:rsid w:val="00516B66"/>
    <w:rsid w:val="00516B8F"/>
    <w:rsid w:val="00516DEA"/>
    <w:rsid w:val="00516E82"/>
    <w:rsid w:val="00516F26"/>
    <w:rsid w:val="00516FD9"/>
    <w:rsid w:val="0051729D"/>
    <w:rsid w:val="005172A0"/>
    <w:rsid w:val="00517383"/>
    <w:rsid w:val="0051740A"/>
    <w:rsid w:val="005175BC"/>
    <w:rsid w:val="00517681"/>
    <w:rsid w:val="0051774A"/>
    <w:rsid w:val="0051792A"/>
    <w:rsid w:val="00517B37"/>
    <w:rsid w:val="00517C8C"/>
    <w:rsid w:val="00517CB3"/>
    <w:rsid w:val="00517D41"/>
    <w:rsid w:val="00517EDE"/>
    <w:rsid w:val="00517F24"/>
    <w:rsid w:val="00517F7F"/>
    <w:rsid w:val="005200C0"/>
    <w:rsid w:val="0052021E"/>
    <w:rsid w:val="0052032B"/>
    <w:rsid w:val="00520360"/>
    <w:rsid w:val="005203CD"/>
    <w:rsid w:val="005204F3"/>
    <w:rsid w:val="00520519"/>
    <w:rsid w:val="0052052C"/>
    <w:rsid w:val="005205D7"/>
    <w:rsid w:val="00520718"/>
    <w:rsid w:val="005207F6"/>
    <w:rsid w:val="00520861"/>
    <w:rsid w:val="005208A6"/>
    <w:rsid w:val="005208F6"/>
    <w:rsid w:val="00520EB5"/>
    <w:rsid w:val="00520ED0"/>
    <w:rsid w:val="0052101C"/>
    <w:rsid w:val="00521136"/>
    <w:rsid w:val="00521181"/>
    <w:rsid w:val="005211BB"/>
    <w:rsid w:val="005211BF"/>
    <w:rsid w:val="0052128A"/>
    <w:rsid w:val="00521375"/>
    <w:rsid w:val="00521664"/>
    <w:rsid w:val="0052172E"/>
    <w:rsid w:val="005218F5"/>
    <w:rsid w:val="00521C2C"/>
    <w:rsid w:val="00521C9C"/>
    <w:rsid w:val="00521D60"/>
    <w:rsid w:val="00521ED1"/>
    <w:rsid w:val="00522259"/>
    <w:rsid w:val="0052234B"/>
    <w:rsid w:val="00522375"/>
    <w:rsid w:val="005224B3"/>
    <w:rsid w:val="005226F2"/>
    <w:rsid w:val="005226F9"/>
    <w:rsid w:val="00522756"/>
    <w:rsid w:val="00522A31"/>
    <w:rsid w:val="00522B3B"/>
    <w:rsid w:val="00522BA9"/>
    <w:rsid w:val="00522BB3"/>
    <w:rsid w:val="00522E72"/>
    <w:rsid w:val="00522FB8"/>
    <w:rsid w:val="00522FDB"/>
    <w:rsid w:val="00523134"/>
    <w:rsid w:val="00523157"/>
    <w:rsid w:val="00523314"/>
    <w:rsid w:val="0052332B"/>
    <w:rsid w:val="005236C4"/>
    <w:rsid w:val="00523816"/>
    <w:rsid w:val="00523C95"/>
    <w:rsid w:val="00523CE0"/>
    <w:rsid w:val="00523D2B"/>
    <w:rsid w:val="00523E23"/>
    <w:rsid w:val="00523F44"/>
    <w:rsid w:val="005240A3"/>
    <w:rsid w:val="00524374"/>
    <w:rsid w:val="00524412"/>
    <w:rsid w:val="00524456"/>
    <w:rsid w:val="00524602"/>
    <w:rsid w:val="0052461B"/>
    <w:rsid w:val="005248CD"/>
    <w:rsid w:val="00524A89"/>
    <w:rsid w:val="00524AAB"/>
    <w:rsid w:val="00524D28"/>
    <w:rsid w:val="00524D6D"/>
    <w:rsid w:val="00524EC5"/>
    <w:rsid w:val="00524FAD"/>
    <w:rsid w:val="0052516B"/>
    <w:rsid w:val="00525265"/>
    <w:rsid w:val="00525422"/>
    <w:rsid w:val="0052543C"/>
    <w:rsid w:val="005258E3"/>
    <w:rsid w:val="00525A70"/>
    <w:rsid w:val="00525ABF"/>
    <w:rsid w:val="00525BDE"/>
    <w:rsid w:val="00525D94"/>
    <w:rsid w:val="00525E1D"/>
    <w:rsid w:val="00525EA2"/>
    <w:rsid w:val="00525EE9"/>
    <w:rsid w:val="00525F4D"/>
    <w:rsid w:val="0052600F"/>
    <w:rsid w:val="0052608A"/>
    <w:rsid w:val="005260DF"/>
    <w:rsid w:val="005261C3"/>
    <w:rsid w:val="00526528"/>
    <w:rsid w:val="005265CE"/>
    <w:rsid w:val="005266B0"/>
    <w:rsid w:val="0052670D"/>
    <w:rsid w:val="0052694C"/>
    <w:rsid w:val="00526C86"/>
    <w:rsid w:val="00526E74"/>
    <w:rsid w:val="00526FE6"/>
    <w:rsid w:val="00527003"/>
    <w:rsid w:val="00527051"/>
    <w:rsid w:val="0052705C"/>
    <w:rsid w:val="0052707D"/>
    <w:rsid w:val="005271BB"/>
    <w:rsid w:val="00527207"/>
    <w:rsid w:val="0052740A"/>
    <w:rsid w:val="005277EB"/>
    <w:rsid w:val="005279D7"/>
    <w:rsid w:val="005279F7"/>
    <w:rsid w:val="00527AE1"/>
    <w:rsid w:val="00527C9B"/>
    <w:rsid w:val="00527C9E"/>
    <w:rsid w:val="00527CED"/>
    <w:rsid w:val="00527D79"/>
    <w:rsid w:val="00527F6B"/>
    <w:rsid w:val="00530479"/>
    <w:rsid w:val="00530584"/>
    <w:rsid w:val="00530878"/>
    <w:rsid w:val="00530C8F"/>
    <w:rsid w:val="00530CD2"/>
    <w:rsid w:val="00530CFB"/>
    <w:rsid w:val="00530D50"/>
    <w:rsid w:val="005310B5"/>
    <w:rsid w:val="0053118C"/>
    <w:rsid w:val="005315C7"/>
    <w:rsid w:val="0053164C"/>
    <w:rsid w:val="0053185C"/>
    <w:rsid w:val="005318CD"/>
    <w:rsid w:val="00531934"/>
    <w:rsid w:val="00531A81"/>
    <w:rsid w:val="00531D55"/>
    <w:rsid w:val="00531EB6"/>
    <w:rsid w:val="0053220D"/>
    <w:rsid w:val="005326D5"/>
    <w:rsid w:val="005327EB"/>
    <w:rsid w:val="00532803"/>
    <w:rsid w:val="005328E2"/>
    <w:rsid w:val="00532918"/>
    <w:rsid w:val="00532928"/>
    <w:rsid w:val="00532946"/>
    <w:rsid w:val="00532A01"/>
    <w:rsid w:val="00532BD6"/>
    <w:rsid w:val="00532DA9"/>
    <w:rsid w:val="00532E76"/>
    <w:rsid w:val="00532F7A"/>
    <w:rsid w:val="005331AC"/>
    <w:rsid w:val="005332FD"/>
    <w:rsid w:val="00533304"/>
    <w:rsid w:val="005334E2"/>
    <w:rsid w:val="00533580"/>
    <w:rsid w:val="005335CD"/>
    <w:rsid w:val="00533647"/>
    <w:rsid w:val="0053380B"/>
    <w:rsid w:val="00533816"/>
    <w:rsid w:val="0053390F"/>
    <w:rsid w:val="00533C31"/>
    <w:rsid w:val="00533ECD"/>
    <w:rsid w:val="00534190"/>
    <w:rsid w:val="0053440D"/>
    <w:rsid w:val="0053443B"/>
    <w:rsid w:val="00534627"/>
    <w:rsid w:val="005347E9"/>
    <w:rsid w:val="00534B19"/>
    <w:rsid w:val="00534B40"/>
    <w:rsid w:val="00534BAC"/>
    <w:rsid w:val="00534E3B"/>
    <w:rsid w:val="00534E61"/>
    <w:rsid w:val="00534E87"/>
    <w:rsid w:val="00535086"/>
    <w:rsid w:val="005350E2"/>
    <w:rsid w:val="00535130"/>
    <w:rsid w:val="00535131"/>
    <w:rsid w:val="005352A4"/>
    <w:rsid w:val="00535363"/>
    <w:rsid w:val="005354EB"/>
    <w:rsid w:val="00535923"/>
    <w:rsid w:val="00535A0F"/>
    <w:rsid w:val="00535A36"/>
    <w:rsid w:val="00535A63"/>
    <w:rsid w:val="00535ADF"/>
    <w:rsid w:val="00535C53"/>
    <w:rsid w:val="00535C78"/>
    <w:rsid w:val="00535E01"/>
    <w:rsid w:val="00535E40"/>
    <w:rsid w:val="0053600B"/>
    <w:rsid w:val="00536325"/>
    <w:rsid w:val="0053643B"/>
    <w:rsid w:val="0053648F"/>
    <w:rsid w:val="00536529"/>
    <w:rsid w:val="005366B0"/>
    <w:rsid w:val="00536908"/>
    <w:rsid w:val="00536947"/>
    <w:rsid w:val="00536991"/>
    <w:rsid w:val="00536A66"/>
    <w:rsid w:val="00536BDC"/>
    <w:rsid w:val="00536C3C"/>
    <w:rsid w:val="00536C4A"/>
    <w:rsid w:val="00536C82"/>
    <w:rsid w:val="00536F73"/>
    <w:rsid w:val="00537150"/>
    <w:rsid w:val="00537260"/>
    <w:rsid w:val="005372F6"/>
    <w:rsid w:val="0053741E"/>
    <w:rsid w:val="00537497"/>
    <w:rsid w:val="00537587"/>
    <w:rsid w:val="00537665"/>
    <w:rsid w:val="00537787"/>
    <w:rsid w:val="005377A7"/>
    <w:rsid w:val="005379A7"/>
    <w:rsid w:val="00537AAD"/>
    <w:rsid w:val="00537D0C"/>
    <w:rsid w:val="00540592"/>
    <w:rsid w:val="00540844"/>
    <w:rsid w:val="0054098C"/>
    <w:rsid w:val="00540BAA"/>
    <w:rsid w:val="00540E9E"/>
    <w:rsid w:val="00540FC4"/>
    <w:rsid w:val="00541073"/>
    <w:rsid w:val="0054108C"/>
    <w:rsid w:val="0054129A"/>
    <w:rsid w:val="00541313"/>
    <w:rsid w:val="0054134B"/>
    <w:rsid w:val="005414F5"/>
    <w:rsid w:val="005416DB"/>
    <w:rsid w:val="00541770"/>
    <w:rsid w:val="00541820"/>
    <w:rsid w:val="005419B1"/>
    <w:rsid w:val="00541A5F"/>
    <w:rsid w:val="00541B38"/>
    <w:rsid w:val="00541C70"/>
    <w:rsid w:val="00542166"/>
    <w:rsid w:val="005421A0"/>
    <w:rsid w:val="0054220D"/>
    <w:rsid w:val="005422B5"/>
    <w:rsid w:val="0054233F"/>
    <w:rsid w:val="0054242F"/>
    <w:rsid w:val="005425A3"/>
    <w:rsid w:val="0054269A"/>
    <w:rsid w:val="005427AD"/>
    <w:rsid w:val="005427F5"/>
    <w:rsid w:val="00542849"/>
    <w:rsid w:val="00542C27"/>
    <w:rsid w:val="00542EF7"/>
    <w:rsid w:val="00542F72"/>
    <w:rsid w:val="00542F8E"/>
    <w:rsid w:val="00543249"/>
    <w:rsid w:val="0054327E"/>
    <w:rsid w:val="00543568"/>
    <w:rsid w:val="0054360A"/>
    <w:rsid w:val="00543AAA"/>
    <w:rsid w:val="00543CFF"/>
    <w:rsid w:val="00543D09"/>
    <w:rsid w:val="00543DC5"/>
    <w:rsid w:val="00543DDD"/>
    <w:rsid w:val="0054421D"/>
    <w:rsid w:val="005443AD"/>
    <w:rsid w:val="00544481"/>
    <w:rsid w:val="00544924"/>
    <w:rsid w:val="00544FF6"/>
    <w:rsid w:val="005450A8"/>
    <w:rsid w:val="00545473"/>
    <w:rsid w:val="00545574"/>
    <w:rsid w:val="00545666"/>
    <w:rsid w:val="00545698"/>
    <w:rsid w:val="00545940"/>
    <w:rsid w:val="00545B94"/>
    <w:rsid w:val="00545D14"/>
    <w:rsid w:val="00545D84"/>
    <w:rsid w:val="00545F02"/>
    <w:rsid w:val="00546087"/>
    <w:rsid w:val="005461BE"/>
    <w:rsid w:val="005462A9"/>
    <w:rsid w:val="00546455"/>
    <w:rsid w:val="0054650B"/>
    <w:rsid w:val="005467D8"/>
    <w:rsid w:val="00546A14"/>
    <w:rsid w:val="00546A49"/>
    <w:rsid w:val="00546B4F"/>
    <w:rsid w:val="00546B6C"/>
    <w:rsid w:val="00546CB2"/>
    <w:rsid w:val="00546FC2"/>
    <w:rsid w:val="00547259"/>
    <w:rsid w:val="00547370"/>
    <w:rsid w:val="005473BB"/>
    <w:rsid w:val="005475CF"/>
    <w:rsid w:val="005476DB"/>
    <w:rsid w:val="005477B7"/>
    <w:rsid w:val="0054782E"/>
    <w:rsid w:val="0054792C"/>
    <w:rsid w:val="00547B1F"/>
    <w:rsid w:val="00547C8E"/>
    <w:rsid w:val="00547D09"/>
    <w:rsid w:val="00547D57"/>
    <w:rsid w:val="00547EAB"/>
    <w:rsid w:val="00547F95"/>
    <w:rsid w:val="0055000C"/>
    <w:rsid w:val="0055022F"/>
    <w:rsid w:val="0055034D"/>
    <w:rsid w:val="005503FE"/>
    <w:rsid w:val="005504C2"/>
    <w:rsid w:val="0055056F"/>
    <w:rsid w:val="00550766"/>
    <w:rsid w:val="0055098B"/>
    <w:rsid w:val="00550B59"/>
    <w:rsid w:val="00550E2D"/>
    <w:rsid w:val="00550F59"/>
    <w:rsid w:val="00551006"/>
    <w:rsid w:val="005510C2"/>
    <w:rsid w:val="00551127"/>
    <w:rsid w:val="00551203"/>
    <w:rsid w:val="00551505"/>
    <w:rsid w:val="0055153D"/>
    <w:rsid w:val="005515BD"/>
    <w:rsid w:val="005517B9"/>
    <w:rsid w:val="00551B4D"/>
    <w:rsid w:val="00551D14"/>
    <w:rsid w:val="00551DD9"/>
    <w:rsid w:val="00551DF9"/>
    <w:rsid w:val="00551F75"/>
    <w:rsid w:val="00551FDE"/>
    <w:rsid w:val="00552014"/>
    <w:rsid w:val="005520D9"/>
    <w:rsid w:val="0055214B"/>
    <w:rsid w:val="00552A31"/>
    <w:rsid w:val="00552A78"/>
    <w:rsid w:val="00552E66"/>
    <w:rsid w:val="00552E86"/>
    <w:rsid w:val="00552F84"/>
    <w:rsid w:val="0055313E"/>
    <w:rsid w:val="00553165"/>
    <w:rsid w:val="005533AE"/>
    <w:rsid w:val="00553534"/>
    <w:rsid w:val="00553573"/>
    <w:rsid w:val="00553661"/>
    <w:rsid w:val="005536D2"/>
    <w:rsid w:val="005536FB"/>
    <w:rsid w:val="00553822"/>
    <w:rsid w:val="005538CC"/>
    <w:rsid w:val="00553921"/>
    <w:rsid w:val="0055393D"/>
    <w:rsid w:val="005539A5"/>
    <w:rsid w:val="00553A8F"/>
    <w:rsid w:val="00553A91"/>
    <w:rsid w:val="00553BF5"/>
    <w:rsid w:val="00553CDC"/>
    <w:rsid w:val="005543D0"/>
    <w:rsid w:val="005544A5"/>
    <w:rsid w:val="00554688"/>
    <w:rsid w:val="005546D8"/>
    <w:rsid w:val="00554854"/>
    <w:rsid w:val="00554AF8"/>
    <w:rsid w:val="00554D6C"/>
    <w:rsid w:val="00554D99"/>
    <w:rsid w:val="00554E6E"/>
    <w:rsid w:val="00554F5C"/>
    <w:rsid w:val="00554F6C"/>
    <w:rsid w:val="00555111"/>
    <w:rsid w:val="005552EA"/>
    <w:rsid w:val="005554F6"/>
    <w:rsid w:val="00555731"/>
    <w:rsid w:val="005557B5"/>
    <w:rsid w:val="00555B3D"/>
    <w:rsid w:val="00555B52"/>
    <w:rsid w:val="00555B7D"/>
    <w:rsid w:val="00555BE2"/>
    <w:rsid w:val="00555D4F"/>
    <w:rsid w:val="00555F1A"/>
    <w:rsid w:val="00555F20"/>
    <w:rsid w:val="00555F57"/>
    <w:rsid w:val="005561AF"/>
    <w:rsid w:val="005562E2"/>
    <w:rsid w:val="00556379"/>
    <w:rsid w:val="0055645B"/>
    <w:rsid w:val="00556483"/>
    <w:rsid w:val="005566BA"/>
    <w:rsid w:val="005566E1"/>
    <w:rsid w:val="005567AC"/>
    <w:rsid w:val="00556BFB"/>
    <w:rsid w:val="00556DCA"/>
    <w:rsid w:val="00556F29"/>
    <w:rsid w:val="0055713A"/>
    <w:rsid w:val="00557194"/>
    <w:rsid w:val="00557222"/>
    <w:rsid w:val="00557328"/>
    <w:rsid w:val="00557431"/>
    <w:rsid w:val="0055744E"/>
    <w:rsid w:val="005574C2"/>
    <w:rsid w:val="00557535"/>
    <w:rsid w:val="00557537"/>
    <w:rsid w:val="005576BE"/>
    <w:rsid w:val="005576C5"/>
    <w:rsid w:val="0055775F"/>
    <w:rsid w:val="00557790"/>
    <w:rsid w:val="00557A47"/>
    <w:rsid w:val="00557A9E"/>
    <w:rsid w:val="00557C9C"/>
    <w:rsid w:val="00557CB4"/>
    <w:rsid w:val="00557D19"/>
    <w:rsid w:val="0056031F"/>
    <w:rsid w:val="0056036A"/>
    <w:rsid w:val="005604E9"/>
    <w:rsid w:val="0056063E"/>
    <w:rsid w:val="00560728"/>
    <w:rsid w:val="00560A7A"/>
    <w:rsid w:val="00560C06"/>
    <w:rsid w:val="00560D2F"/>
    <w:rsid w:val="00560D3C"/>
    <w:rsid w:val="00560D87"/>
    <w:rsid w:val="00560FEA"/>
    <w:rsid w:val="005611E8"/>
    <w:rsid w:val="00561243"/>
    <w:rsid w:val="00561381"/>
    <w:rsid w:val="005614C5"/>
    <w:rsid w:val="00561592"/>
    <w:rsid w:val="00561651"/>
    <w:rsid w:val="00562020"/>
    <w:rsid w:val="00562318"/>
    <w:rsid w:val="00562403"/>
    <w:rsid w:val="00562461"/>
    <w:rsid w:val="0056248B"/>
    <w:rsid w:val="00562547"/>
    <w:rsid w:val="005625C4"/>
    <w:rsid w:val="00562681"/>
    <w:rsid w:val="00562A03"/>
    <w:rsid w:val="00562A09"/>
    <w:rsid w:val="00562A99"/>
    <w:rsid w:val="00562BF7"/>
    <w:rsid w:val="00563225"/>
    <w:rsid w:val="005632CE"/>
    <w:rsid w:val="005632F5"/>
    <w:rsid w:val="00563311"/>
    <w:rsid w:val="00563435"/>
    <w:rsid w:val="005635DA"/>
    <w:rsid w:val="00563616"/>
    <w:rsid w:val="005636BB"/>
    <w:rsid w:val="0056389D"/>
    <w:rsid w:val="00563974"/>
    <w:rsid w:val="005639DB"/>
    <w:rsid w:val="00563A05"/>
    <w:rsid w:val="00563AD3"/>
    <w:rsid w:val="00563CE6"/>
    <w:rsid w:val="00563F61"/>
    <w:rsid w:val="00563FEE"/>
    <w:rsid w:val="0056405F"/>
    <w:rsid w:val="0056407D"/>
    <w:rsid w:val="005640FE"/>
    <w:rsid w:val="00564261"/>
    <w:rsid w:val="00564389"/>
    <w:rsid w:val="005644A6"/>
    <w:rsid w:val="005644DB"/>
    <w:rsid w:val="005645CE"/>
    <w:rsid w:val="005645FB"/>
    <w:rsid w:val="00564654"/>
    <w:rsid w:val="005646C1"/>
    <w:rsid w:val="00564712"/>
    <w:rsid w:val="005647BF"/>
    <w:rsid w:val="0056491C"/>
    <w:rsid w:val="00564995"/>
    <w:rsid w:val="005649A2"/>
    <w:rsid w:val="00564C96"/>
    <w:rsid w:val="00564CEA"/>
    <w:rsid w:val="00564D16"/>
    <w:rsid w:val="00564E92"/>
    <w:rsid w:val="00564F34"/>
    <w:rsid w:val="00564F6D"/>
    <w:rsid w:val="00565037"/>
    <w:rsid w:val="005652BC"/>
    <w:rsid w:val="00565472"/>
    <w:rsid w:val="005654EA"/>
    <w:rsid w:val="00565745"/>
    <w:rsid w:val="00565787"/>
    <w:rsid w:val="00565963"/>
    <w:rsid w:val="00565971"/>
    <w:rsid w:val="005659D2"/>
    <w:rsid w:val="00565AF1"/>
    <w:rsid w:val="00565C8E"/>
    <w:rsid w:val="005661A5"/>
    <w:rsid w:val="005661CF"/>
    <w:rsid w:val="0056629E"/>
    <w:rsid w:val="005662AB"/>
    <w:rsid w:val="00566424"/>
    <w:rsid w:val="005667FE"/>
    <w:rsid w:val="005668DE"/>
    <w:rsid w:val="0056692E"/>
    <w:rsid w:val="00566A61"/>
    <w:rsid w:val="00566DB7"/>
    <w:rsid w:val="00566F25"/>
    <w:rsid w:val="00566F54"/>
    <w:rsid w:val="00566F85"/>
    <w:rsid w:val="00567094"/>
    <w:rsid w:val="00567463"/>
    <w:rsid w:val="00567499"/>
    <w:rsid w:val="005679C9"/>
    <w:rsid w:val="00567DD0"/>
    <w:rsid w:val="00567FB0"/>
    <w:rsid w:val="00570277"/>
    <w:rsid w:val="005702BB"/>
    <w:rsid w:val="00570342"/>
    <w:rsid w:val="0057036E"/>
    <w:rsid w:val="005706FC"/>
    <w:rsid w:val="0057070F"/>
    <w:rsid w:val="005708A5"/>
    <w:rsid w:val="005708AC"/>
    <w:rsid w:val="00570913"/>
    <w:rsid w:val="005709FE"/>
    <w:rsid w:val="00570B86"/>
    <w:rsid w:val="00570BBF"/>
    <w:rsid w:val="00570BFB"/>
    <w:rsid w:val="00570E59"/>
    <w:rsid w:val="00570F55"/>
    <w:rsid w:val="00570F7C"/>
    <w:rsid w:val="005711E3"/>
    <w:rsid w:val="005711E9"/>
    <w:rsid w:val="005715F0"/>
    <w:rsid w:val="00571767"/>
    <w:rsid w:val="005718D9"/>
    <w:rsid w:val="00571942"/>
    <w:rsid w:val="00571A9D"/>
    <w:rsid w:val="00571E28"/>
    <w:rsid w:val="00571EE8"/>
    <w:rsid w:val="005720FE"/>
    <w:rsid w:val="005721F0"/>
    <w:rsid w:val="00572207"/>
    <w:rsid w:val="00572610"/>
    <w:rsid w:val="00572BC2"/>
    <w:rsid w:val="00572BFD"/>
    <w:rsid w:val="00572DEE"/>
    <w:rsid w:val="00572DF0"/>
    <w:rsid w:val="00572FEA"/>
    <w:rsid w:val="005730CC"/>
    <w:rsid w:val="00573150"/>
    <w:rsid w:val="00573478"/>
    <w:rsid w:val="00573532"/>
    <w:rsid w:val="005735E5"/>
    <w:rsid w:val="00573F9E"/>
    <w:rsid w:val="005742B5"/>
    <w:rsid w:val="005743B6"/>
    <w:rsid w:val="00574623"/>
    <w:rsid w:val="00574722"/>
    <w:rsid w:val="0057477E"/>
    <w:rsid w:val="0057478B"/>
    <w:rsid w:val="005747F7"/>
    <w:rsid w:val="0057483E"/>
    <w:rsid w:val="00574889"/>
    <w:rsid w:val="00574907"/>
    <w:rsid w:val="00574937"/>
    <w:rsid w:val="00574A50"/>
    <w:rsid w:val="00574A5E"/>
    <w:rsid w:val="00574A72"/>
    <w:rsid w:val="00574BAB"/>
    <w:rsid w:val="00574D95"/>
    <w:rsid w:val="00574DDE"/>
    <w:rsid w:val="00575379"/>
    <w:rsid w:val="0057576A"/>
    <w:rsid w:val="00575941"/>
    <w:rsid w:val="00575B11"/>
    <w:rsid w:val="00575C69"/>
    <w:rsid w:val="00575D8F"/>
    <w:rsid w:val="00575FC7"/>
    <w:rsid w:val="0057608F"/>
    <w:rsid w:val="005760A9"/>
    <w:rsid w:val="00576209"/>
    <w:rsid w:val="005762C3"/>
    <w:rsid w:val="00576300"/>
    <w:rsid w:val="005763F2"/>
    <w:rsid w:val="00576585"/>
    <w:rsid w:val="005765CC"/>
    <w:rsid w:val="005766C8"/>
    <w:rsid w:val="00576A27"/>
    <w:rsid w:val="00576A35"/>
    <w:rsid w:val="00576B1E"/>
    <w:rsid w:val="00576BD3"/>
    <w:rsid w:val="00576C9F"/>
    <w:rsid w:val="00576CE7"/>
    <w:rsid w:val="00576CED"/>
    <w:rsid w:val="00576E32"/>
    <w:rsid w:val="005771AF"/>
    <w:rsid w:val="00577212"/>
    <w:rsid w:val="00577421"/>
    <w:rsid w:val="0057756D"/>
    <w:rsid w:val="005775D7"/>
    <w:rsid w:val="005779C3"/>
    <w:rsid w:val="00577CEE"/>
    <w:rsid w:val="00577E18"/>
    <w:rsid w:val="00577E61"/>
    <w:rsid w:val="005800BB"/>
    <w:rsid w:val="005800D5"/>
    <w:rsid w:val="005801C2"/>
    <w:rsid w:val="00580D9E"/>
    <w:rsid w:val="00580E65"/>
    <w:rsid w:val="00580F83"/>
    <w:rsid w:val="00580FA0"/>
    <w:rsid w:val="00581249"/>
    <w:rsid w:val="00581252"/>
    <w:rsid w:val="005812C6"/>
    <w:rsid w:val="0058144D"/>
    <w:rsid w:val="005814ED"/>
    <w:rsid w:val="00581628"/>
    <w:rsid w:val="005816F2"/>
    <w:rsid w:val="00581755"/>
    <w:rsid w:val="00581776"/>
    <w:rsid w:val="0058178D"/>
    <w:rsid w:val="005817EC"/>
    <w:rsid w:val="00581877"/>
    <w:rsid w:val="005818C9"/>
    <w:rsid w:val="005819C8"/>
    <w:rsid w:val="005819DE"/>
    <w:rsid w:val="00581A5B"/>
    <w:rsid w:val="00581CA4"/>
    <w:rsid w:val="00581CC4"/>
    <w:rsid w:val="00581D2D"/>
    <w:rsid w:val="005820E3"/>
    <w:rsid w:val="00582357"/>
    <w:rsid w:val="005824BB"/>
    <w:rsid w:val="00582681"/>
    <w:rsid w:val="0058282D"/>
    <w:rsid w:val="00582895"/>
    <w:rsid w:val="0058289C"/>
    <w:rsid w:val="005828FB"/>
    <w:rsid w:val="00582AA7"/>
    <w:rsid w:val="00582DC0"/>
    <w:rsid w:val="00582F3C"/>
    <w:rsid w:val="00582F87"/>
    <w:rsid w:val="005831BC"/>
    <w:rsid w:val="0058320A"/>
    <w:rsid w:val="005833DB"/>
    <w:rsid w:val="005833EC"/>
    <w:rsid w:val="00583500"/>
    <w:rsid w:val="0058350C"/>
    <w:rsid w:val="00583A03"/>
    <w:rsid w:val="00583A25"/>
    <w:rsid w:val="00583A4E"/>
    <w:rsid w:val="00583ACE"/>
    <w:rsid w:val="00583C81"/>
    <w:rsid w:val="00583ECE"/>
    <w:rsid w:val="00583F81"/>
    <w:rsid w:val="0058400F"/>
    <w:rsid w:val="00584154"/>
    <w:rsid w:val="0058415B"/>
    <w:rsid w:val="005842C6"/>
    <w:rsid w:val="005844D4"/>
    <w:rsid w:val="00584518"/>
    <w:rsid w:val="0058461C"/>
    <w:rsid w:val="005846C9"/>
    <w:rsid w:val="005849CE"/>
    <w:rsid w:val="005849D9"/>
    <w:rsid w:val="00584D8F"/>
    <w:rsid w:val="00584FA7"/>
    <w:rsid w:val="0058525A"/>
    <w:rsid w:val="0058547A"/>
    <w:rsid w:val="00585738"/>
    <w:rsid w:val="005859B7"/>
    <w:rsid w:val="005859F1"/>
    <w:rsid w:val="00585BE0"/>
    <w:rsid w:val="00585D3F"/>
    <w:rsid w:val="00585E66"/>
    <w:rsid w:val="00586089"/>
    <w:rsid w:val="00586167"/>
    <w:rsid w:val="005861E8"/>
    <w:rsid w:val="0058638C"/>
    <w:rsid w:val="005863B7"/>
    <w:rsid w:val="00586523"/>
    <w:rsid w:val="00586536"/>
    <w:rsid w:val="005866C0"/>
    <w:rsid w:val="005866EF"/>
    <w:rsid w:val="0058679D"/>
    <w:rsid w:val="005868AD"/>
    <w:rsid w:val="0058690F"/>
    <w:rsid w:val="00586C04"/>
    <w:rsid w:val="00586C1A"/>
    <w:rsid w:val="00586D28"/>
    <w:rsid w:val="00587007"/>
    <w:rsid w:val="0058713F"/>
    <w:rsid w:val="005873B6"/>
    <w:rsid w:val="005873EC"/>
    <w:rsid w:val="00587473"/>
    <w:rsid w:val="00587537"/>
    <w:rsid w:val="005878E1"/>
    <w:rsid w:val="00587AD0"/>
    <w:rsid w:val="00587AEB"/>
    <w:rsid w:val="00587AED"/>
    <w:rsid w:val="00587BB0"/>
    <w:rsid w:val="00587BF3"/>
    <w:rsid w:val="00587C99"/>
    <w:rsid w:val="00587DEC"/>
    <w:rsid w:val="00587E73"/>
    <w:rsid w:val="00587EA8"/>
    <w:rsid w:val="00590177"/>
    <w:rsid w:val="00590320"/>
    <w:rsid w:val="00590542"/>
    <w:rsid w:val="005905CD"/>
    <w:rsid w:val="0059092E"/>
    <w:rsid w:val="005909CA"/>
    <w:rsid w:val="00590BB3"/>
    <w:rsid w:val="00590DA2"/>
    <w:rsid w:val="0059111E"/>
    <w:rsid w:val="005911FF"/>
    <w:rsid w:val="005913D6"/>
    <w:rsid w:val="005915DF"/>
    <w:rsid w:val="00591728"/>
    <w:rsid w:val="00591752"/>
    <w:rsid w:val="00591779"/>
    <w:rsid w:val="00591832"/>
    <w:rsid w:val="00591AF3"/>
    <w:rsid w:val="00591C46"/>
    <w:rsid w:val="00591EED"/>
    <w:rsid w:val="00591F20"/>
    <w:rsid w:val="00591FAE"/>
    <w:rsid w:val="005921AC"/>
    <w:rsid w:val="005921AD"/>
    <w:rsid w:val="00592250"/>
    <w:rsid w:val="00592298"/>
    <w:rsid w:val="005923FF"/>
    <w:rsid w:val="0059249A"/>
    <w:rsid w:val="00592840"/>
    <w:rsid w:val="00592908"/>
    <w:rsid w:val="00592995"/>
    <w:rsid w:val="005929A7"/>
    <w:rsid w:val="005929FC"/>
    <w:rsid w:val="00592A44"/>
    <w:rsid w:val="00592A49"/>
    <w:rsid w:val="00592D1A"/>
    <w:rsid w:val="00592D31"/>
    <w:rsid w:val="00592E0F"/>
    <w:rsid w:val="00592E76"/>
    <w:rsid w:val="00592E8E"/>
    <w:rsid w:val="00592EFA"/>
    <w:rsid w:val="00592F3E"/>
    <w:rsid w:val="00593090"/>
    <w:rsid w:val="005930B1"/>
    <w:rsid w:val="00593114"/>
    <w:rsid w:val="00593243"/>
    <w:rsid w:val="00593392"/>
    <w:rsid w:val="005933FE"/>
    <w:rsid w:val="0059351D"/>
    <w:rsid w:val="005935BD"/>
    <w:rsid w:val="005935E5"/>
    <w:rsid w:val="0059363A"/>
    <w:rsid w:val="00593645"/>
    <w:rsid w:val="00593734"/>
    <w:rsid w:val="00593757"/>
    <w:rsid w:val="005937D6"/>
    <w:rsid w:val="005939EB"/>
    <w:rsid w:val="00593A1B"/>
    <w:rsid w:val="00593BBD"/>
    <w:rsid w:val="00593BCE"/>
    <w:rsid w:val="00593C73"/>
    <w:rsid w:val="005940CF"/>
    <w:rsid w:val="005942AA"/>
    <w:rsid w:val="00594414"/>
    <w:rsid w:val="00594423"/>
    <w:rsid w:val="005945B1"/>
    <w:rsid w:val="00594635"/>
    <w:rsid w:val="0059483E"/>
    <w:rsid w:val="00594845"/>
    <w:rsid w:val="005948FC"/>
    <w:rsid w:val="00594A9C"/>
    <w:rsid w:val="00594B80"/>
    <w:rsid w:val="00594C51"/>
    <w:rsid w:val="00594C5C"/>
    <w:rsid w:val="00594DE2"/>
    <w:rsid w:val="00594E5A"/>
    <w:rsid w:val="00594E6A"/>
    <w:rsid w:val="00594F6A"/>
    <w:rsid w:val="00595031"/>
    <w:rsid w:val="00595391"/>
    <w:rsid w:val="00595593"/>
    <w:rsid w:val="0059561D"/>
    <w:rsid w:val="005956FD"/>
    <w:rsid w:val="00595779"/>
    <w:rsid w:val="005959B4"/>
    <w:rsid w:val="00595B1F"/>
    <w:rsid w:val="00595D9C"/>
    <w:rsid w:val="0059603C"/>
    <w:rsid w:val="0059618D"/>
    <w:rsid w:val="0059621B"/>
    <w:rsid w:val="005963C2"/>
    <w:rsid w:val="005963DD"/>
    <w:rsid w:val="005966D4"/>
    <w:rsid w:val="0059689C"/>
    <w:rsid w:val="00596983"/>
    <w:rsid w:val="00596C66"/>
    <w:rsid w:val="00596C71"/>
    <w:rsid w:val="00597060"/>
    <w:rsid w:val="005970F3"/>
    <w:rsid w:val="005970F5"/>
    <w:rsid w:val="0059728A"/>
    <w:rsid w:val="005972EA"/>
    <w:rsid w:val="00597535"/>
    <w:rsid w:val="00597728"/>
    <w:rsid w:val="00597787"/>
    <w:rsid w:val="00597D43"/>
    <w:rsid w:val="00597DB0"/>
    <w:rsid w:val="00597DB2"/>
    <w:rsid w:val="00597F6D"/>
    <w:rsid w:val="00597FC5"/>
    <w:rsid w:val="005A0063"/>
    <w:rsid w:val="005A012D"/>
    <w:rsid w:val="005A01A3"/>
    <w:rsid w:val="005A01E9"/>
    <w:rsid w:val="005A0288"/>
    <w:rsid w:val="005A0614"/>
    <w:rsid w:val="005A0878"/>
    <w:rsid w:val="005A08F5"/>
    <w:rsid w:val="005A0934"/>
    <w:rsid w:val="005A0954"/>
    <w:rsid w:val="005A0C4C"/>
    <w:rsid w:val="005A0DDF"/>
    <w:rsid w:val="005A0E7D"/>
    <w:rsid w:val="005A138E"/>
    <w:rsid w:val="005A13DF"/>
    <w:rsid w:val="005A1430"/>
    <w:rsid w:val="005A1435"/>
    <w:rsid w:val="005A16AC"/>
    <w:rsid w:val="005A17CE"/>
    <w:rsid w:val="005A1815"/>
    <w:rsid w:val="005A197D"/>
    <w:rsid w:val="005A1C68"/>
    <w:rsid w:val="005A1E44"/>
    <w:rsid w:val="005A2069"/>
    <w:rsid w:val="005A213E"/>
    <w:rsid w:val="005A2448"/>
    <w:rsid w:val="005A2485"/>
    <w:rsid w:val="005A24BC"/>
    <w:rsid w:val="005A27E0"/>
    <w:rsid w:val="005A280D"/>
    <w:rsid w:val="005A2909"/>
    <w:rsid w:val="005A2A3D"/>
    <w:rsid w:val="005A2A8E"/>
    <w:rsid w:val="005A2B9E"/>
    <w:rsid w:val="005A2D41"/>
    <w:rsid w:val="005A2EAB"/>
    <w:rsid w:val="005A2EEA"/>
    <w:rsid w:val="005A31A7"/>
    <w:rsid w:val="005A334A"/>
    <w:rsid w:val="005A352F"/>
    <w:rsid w:val="005A35ED"/>
    <w:rsid w:val="005A36EA"/>
    <w:rsid w:val="005A372D"/>
    <w:rsid w:val="005A37AC"/>
    <w:rsid w:val="005A381B"/>
    <w:rsid w:val="005A3868"/>
    <w:rsid w:val="005A388B"/>
    <w:rsid w:val="005A39FD"/>
    <w:rsid w:val="005A3C64"/>
    <w:rsid w:val="005A3DBC"/>
    <w:rsid w:val="005A3E4A"/>
    <w:rsid w:val="005A4023"/>
    <w:rsid w:val="005A406B"/>
    <w:rsid w:val="005A40B3"/>
    <w:rsid w:val="005A4155"/>
    <w:rsid w:val="005A4622"/>
    <w:rsid w:val="005A4763"/>
    <w:rsid w:val="005A48DC"/>
    <w:rsid w:val="005A48EF"/>
    <w:rsid w:val="005A4A83"/>
    <w:rsid w:val="005A4BF6"/>
    <w:rsid w:val="005A4CA6"/>
    <w:rsid w:val="005A4F7B"/>
    <w:rsid w:val="005A5034"/>
    <w:rsid w:val="005A51DB"/>
    <w:rsid w:val="005A54A0"/>
    <w:rsid w:val="005A56A1"/>
    <w:rsid w:val="005A5948"/>
    <w:rsid w:val="005A5C44"/>
    <w:rsid w:val="005A5E1D"/>
    <w:rsid w:val="005A6007"/>
    <w:rsid w:val="005A60AA"/>
    <w:rsid w:val="005A61AE"/>
    <w:rsid w:val="005A62DA"/>
    <w:rsid w:val="005A6499"/>
    <w:rsid w:val="005A6572"/>
    <w:rsid w:val="005A66C1"/>
    <w:rsid w:val="005A6757"/>
    <w:rsid w:val="005A6793"/>
    <w:rsid w:val="005A67F2"/>
    <w:rsid w:val="005A68E9"/>
    <w:rsid w:val="005A6AE2"/>
    <w:rsid w:val="005A6E2E"/>
    <w:rsid w:val="005A6F2E"/>
    <w:rsid w:val="005A713A"/>
    <w:rsid w:val="005A71FB"/>
    <w:rsid w:val="005A720E"/>
    <w:rsid w:val="005A73D7"/>
    <w:rsid w:val="005A7455"/>
    <w:rsid w:val="005A77C0"/>
    <w:rsid w:val="005A77E1"/>
    <w:rsid w:val="005A7832"/>
    <w:rsid w:val="005A783C"/>
    <w:rsid w:val="005A790E"/>
    <w:rsid w:val="005A7A0D"/>
    <w:rsid w:val="005A7A77"/>
    <w:rsid w:val="005A7BDC"/>
    <w:rsid w:val="005A7C12"/>
    <w:rsid w:val="005A7F28"/>
    <w:rsid w:val="005B0078"/>
    <w:rsid w:val="005B010B"/>
    <w:rsid w:val="005B01AC"/>
    <w:rsid w:val="005B01D1"/>
    <w:rsid w:val="005B0326"/>
    <w:rsid w:val="005B065B"/>
    <w:rsid w:val="005B07D6"/>
    <w:rsid w:val="005B085D"/>
    <w:rsid w:val="005B09B6"/>
    <w:rsid w:val="005B0A91"/>
    <w:rsid w:val="005B0D7E"/>
    <w:rsid w:val="005B1077"/>
    <w:rsid w:val="005B1264"/>
    <w:rsid w:val="005B1B19"/>
    <w:rsid w:val="005B1C65"/>
    <w:rsid w:val="005B1CBD"/>
    <w:rsid w:val="005B1EFA"/>
    <w:rsid w:val="005B1F3D"/>
    <w:rsid w:val="005B20BB"/>
    <w:rsid w:val="005B223E"/>
    <w:rsid w:val="005B228C"/>
    <w:rsid w:val="005B26E9"/>
    <w:rsid w:val="005B2722"/>
    <w:rsid w:val="005B284A"/>
    <w:rsid w:val="005B28D2"/>
    <w:rsid w:val="005B29C4"/>
    <w:rsid w:val="005B2A8E"/>
    <w:rsid w:val="005B2B21"/>
    <w:rsid w:val="005B2BAA"/>
    <w:rsid w:val="005B2BBE"/>
    <w:rsid w:val="005B2C6D"/>
    <w:rsid w:val="005B2CA0"/>
    <w:rsid w:val="005B2E9B"/>
    <w:rsid w:val="005B2FED"/>
    <w:rsid w:val="005B3095"/>
    <w:rsid w:val="005B31EC"/>
    <w:rsid w:val="005B3350"/>
    <w:rsid w:val="005B338F"/>
    <w:rsid w:val="005B347A"/>
    <w:rsid w:val="005B3544"/>
    <w:rsid w:val="005B3662"/>
    <w:rsid w:val="005B3A37"/>
    <w:rsid w:val="005B3A3D"/>
    <w:rsid w:val="005B3BF7"/>
    <w:rsid w:val="005B3E9D"/>
    <w:rsid w:val="005B4130"/>
    <w:rsid w:val="005B4452"/>
    <w:rsid w:val="005B448D"/>
    <w:rsid w:val="005B44FF"/>
    <w:rsid w:val="005B4550"/>
    <w:rsid w:val="005B48D1"/>
    <w:rsid w:val="005B4A10"/>
    <w:rsid w:val="005B4AD2"/>
    <w:rsid w:val="005B4BA7"/>
    <w:rsid w:val="005B4D51"/>
    <w:rsid w:val="005B4EB5"/>
    <w:rsid w:val="005B4EE5"/>
    <w:rsid w:val="005B5159"/>
    <w:rsid w:val="005B530B"/>
    <w:rsid w:val="005B5355"/>
    <w:rsid w:val="005B53BF"/>
    <w:rsid w:val="005B53F1"/>
    <w:rsid w:val="005B54EF"/>
    <w:rsid w:val="005B5510"/>
    <w:rsid w:val="005B56A4"/>
    <w:rsid w:val="005B56EF"/>
    <w:rsid w:val="005B587E"/>
    <w:rsid w:val="005B5928"/>
    <w:rsid w:val="005B59DE"/>
    <w:rsid w:val="005B5AAC"/>
    <w:rsid w:val="005B5B23"/>
    <w:rsid w:val="005B5B5E"/>
    <w:rsid w:val="005B5CBE"/>
    <w:rsid w:val="005B5D51"/>
    <w:rsid w:val="005B5D7C"/>
    <w:rsid w:val="005B5E51"/>
    <w:rsid w:val="005B6152"/>
    <w:rsid w:val="005B6158"/>
    <w:rsid w:val="005B61E1"/>
    <w:rsid w:val="005B62C0"/>
    <w:rsid w:val="005B64FB"/>
    <w:rsid w:val="005B6618"/>
    <w:rsid w:val="005B6901"/>
    <w:rsid w:val="005B6947"/>
    <w:rsid w:val="005B69B5"/>
    <w:rsid w:val="005B6A78"/>
    <w:rsid w:val="005B6BF2"/>
    <w:rsid w:val="005B6C74"/>
    <w:rsid w:val="005B6EAB"/>
    <w:rsid w:val="005B6F69"/>
    <w:rsid w:val="005B6FCE"/>
    <w:rsid w:val="005B7264"/>
    <w:rsid w:val="005B73D3"/>
    <w:rsid w:val="005B7411"/>
    <w:rsid w:val="005B7465"/>
    <w:rsid w:val="005B76FF"/>
    <w:rsid w:val="005B7C3E"/>
    <w:rsid w:val="005B7C5B"/>
    <w:rsid w:val="005B7EA0"/>
    <w:rsid w:val="005C0045"/>
    <w:rsid w:val="005C0070"/>
    <w:rsid w:val="005C01AA"/>
    <w:rsid w:val="005C0260"/>
    <w:rsid w:val="005C037D"/>
    <w:rsid w:val="005C0452"/>
    <w:rsid w:val="005C0519"/>
    <w:rsid w:val="005C053F"/>
    <w:rsid w:val="005C087D"/>
    <w:rsid w:val="005C0ACA"/>
    <w:rsid w:val="005C0EE7"/>
    <w:rsid w:val="005C1049"/>
    <w:rsid w:val="005C108C"/>
    <w:rsid w:val="005C1094"/>
    <w:rsid w:val="005C10D9"/>
    <w:rsid w:val="005C1244"/>
    <w:rsid w:val="005C1272"/>
    <w:rsid w:val="005C158A"/>
    <w:rsid w:val="005C1674"/>
    <w:rsid w:val="005C16CC"/>
    <w:rsid w:val="005C16E8"/>
    <w:rsid w:val="005C16F9"/>
    <w:rsid w:val="005C17EF"/>
    <w:rsid w:val="005C1980"/>
    <w:rsid w:val="005C1A94"/>
    <w:rsid w:val="005C1ACE"/>
    <w:rsid w:val="005C1BD3"/>
    <w:rsid w:val="005C1CAC"/>
    <w:rsid w:val="005C1D10"/>
    <w:rsid w:val="005C1D61"/>
    <w:rsid w:val="005C1E87"/>
    <w:rsid w:val="005C2303"/>
    <w:rsid w:val="005C250F"/>
    <w:rsid w:val="005C2573"/>
    <w:rsid w:val="005C259E"/>
    <w:rsid w:val="005C2661"/>
    <w:rsid w:val="005C26FE"/>
    <w:rsid w:val="005C2AE1"/>
    <w:rsid w:val="005C2B83"/>
    <w:rsid w:val="005C2B97"/>
    <w:rsid w:val="005C2C3A"/>
    <w:rsid w:val="005C2D14"/>
    <w:rsid w:val="005C2DBD"/>
    <w:rsid w:val="005C2DE9"/>
    <w:rsid w:val="005C2F0D"/>
    <w:rsid w:val="005C2F15"/>
    <w:rsid w:val="005C30E7"/>
    <w:rsid w:val="005C3194"/>
    <w:rsid w:val="005C3296"/>
    <w:rsid w:val="005C3323"/>
    <w:rsid w:val="005C3436"/>
    <w:rsid w:val="005C3437"/>
    <w:rsid w:val="005C346E"/>
    <w:rsid w:val="005C3531"/>
    <w:rsid w:val="005C3670"/>
    <w:rsid w:val="005C373E"/>
    <w:rsid w:val="005C39EF"/>
    <w:rsid w:val="005C3D1A"/>
    <w:rsid w:val="005C3EFB"/>
    <w:rsid w:val="005C3F1B"/>
    <w:rsid w:val="005C417A"/>
    <w:rsid w:val="005C43B1"/>
    <w:rsid w:val="005C45A6"/>
    <w:rsid w:val="005C4646"/>
    <w:rsid w:val="005C4735"/>
    <w:rsid w:val="005C47F4"/>
    <w:rsid w:val="005C48A6"/>
    <w:rsid w:val="005C48A8"/>
    <w:rsid w:val="005C4932"/>
    <w:rsid w:val="005C49A9"/>
    <w:rsid w:val="005C49FD"/>
    <w:rsid w:val="005C4B3A"/>
    <w:rsid w:val="005C4C65"/>
    <w:rsid w:val="005C4D9F"/>
    <w:rsid w:val="005C4E10"/>
    <w:rsid w:val="005C4E7E"/>
    <w:rsid w:val="005C543B"/>
    <w:rsid w:val="005C557F"/>
    <w:rsid w:val="005C55E0"/>
    <w:rsid w:val="005C5670"/>
    <w:rsid w:val="005C5898"/>
    <w:rsid w:val="005C58DC"/>
    <w:rsid w:val="005C5A2D"/>
    <w:rsid w:val="005C5B50"/>
    <w:rsid w:val="005C5B5E"/>
    <w:rsid w:val="005C5BD2"/>
    <w:rsid w:val="005C5CDB"/>
    <w:rsid w:val="005C5D20"/>
    <w:rsid w:val="005C5DFE"/>
    <w:rsid w:val="005C5EB8"/>
    <w:rsid w:val="005C5F60"/>
    <w:rsid w:val="005C5FF6"/>
    <w:rsid w:val="005C6099"/>
    <w:rsid w:val="005C6166"/>
    <w:rsid w:val="005C6291"/>
    <w:rsid w:val="005C6571"/>
    <w:rsid w:val="005C6976"/>
    <w:rsid w:val="005C6A09"/>
    <w:rsid w:val="005C6B12"/>
    <w:rsid w:val="005C6C0E"/>
    <w:rsid w:val="005C6D78"/>
    <w:rsid w:val="005C6DFB"/>
    <w:rsid w:val="005C6EBD"/>
    <w:rsid w:val="005C70D4"/>
    <w:rsid w:val="005C715C"/>
    <w:rsid w:val="005C747A"/>
    <w:rsid w:val="005C7627"/>
    <w:rsid w:val="005C76A7"/>
    <w:rsid w:val="005C77F6"/>
    <w:rsid w:val="005C792B"/>
    <w:rsid w:val="005C7AC0"/>
    <w:rsid w:val="005C7ACF"/>
    <w:rsid w:val="005C7D1A"/>
    <w:rsid w:val="005C7F0B"/>
    <w:rsid w:val="005C7F13"/>
    <w:rsid w:val="005D00A4"/>
    <w:rsid w:val="005D01EC"/>
    <w:rsid w:val="005D0250"/>
    <w:rsid w:val="005D02C1"/>
    <w:rsid w:val="005D039F"/>
    <w:rsid w:val="005D03D3"/>
    <w:rsid w:val="005D0574"/>
    <w:rsid w:val="005D0578"/>
    <w:rsid w:val="005D05DA"/>
    <w:rsid w:val="005D07A5"/>
    <w:rsid w:val="005D07DA"/>
    <w:rsid w:val="005D0818"/>
    <w:rsid w:val="005D0AA1"/>
    <w:rsid w:val="005D0B25"/>
    <w:rsid w:val="005D0B88"/>
    <w:rsid w:val="005D0B89"/>
    <w:rsid w:val="005D0CFD"/>
    <w:rsid w:val="005D0D4E"/>
    <w:rsid w:val="005D0D77"/>
    <w:rsid w:val="005D0DEF"/>
    <w:rsid w:val="005D0DF7"/>
    <w:rsid w:val="005D10B3"/>
    <w:rsid w:val="005D11B0"/>
    <w:rsid w:val="005D1378"/>
    <w:rsid w:val="005D13AA"/>
    <w:rsid w:val="005D1C76"/>
    <w:rsid w:val="005D1CE4"/>
    <w:rsid w:val="005D1D7E"/>
    <w:rsid w:val="005D1E8B"/>
    <w:rsid w:val="005D1EAF"/>
    <w:rsid w:val="005D20AC"/>
    <w:rsid w:val="005D20D0"/>
    <w:rsid w:val="005D215C"/>
    <w:rsid w:val="005D2292"/>
    <w:rsid w:val="005D2324"/>
    <w:rsid w:val="005D25F7"/>
    <w:rsid w:val="005D26EF"/>
    <w:rsid w:val="005D2938"/>
    <w:rsid w:val="005D2A8E"/>
    <w:rsid w:val="005D2B9A"/>
    <w:rsid w:val="005D3230"/>
    <w:rsid w:val="005D352E"/>
    <w:rsid w:val="005D358F"/>
    <w:rsid w:val="005D3832"/>
    <w:rsid w:val="005D3836"/>
    <w:rsid w:val="005D3918"/>
    <w:rsid w:val="005D3BD5"/>
    <w:rsid w:val="005D3C26"/>
    <w:rsid w:val="005D3DC6"/>
    <w:rsid w:val="005D3E88"/>
    <w:rsid w:val="005D3F0C"/>
    <w:rsid w:val="005D4068"/>
    <w:rsid w:val="005D40CB"/>
    <w:rsid w:val="005D4170"/>
    <w:rsid w:val="005D4241"/>
    <w:rsid w:val="005D42B5"/>
    <w:rsid w:val="005D4542"/>
    <w:rsid w:val="005D4876"/>
    <w:rsid w:val="005D4927"/>
    <w:rsid w:val="005D499D"/>
    <w:rsid w:val="005D4B0A"/>
    <w:rsid w:val="005D4C2D"/>
    <w:rsid w:val="005D4D1B"/>
    <w:rsid w:val="005D4D62"/>
    <w:rsid w:val="005D4DC6"/>
    <w:rsid w:val="005D4FB1"/>
    <w:rsid w:val="005D4FCA"/>
    <w:rsid w:val="005D5092"/>
    <w:rsid w:val="005D50D4"/>
    <w:rsid w:val="005D50E4"/>
    <w:rsid w:val="005D5156"/>
    <w:rsid w:val="005D5435"/>
    <w:rsid w:val="005D54AB"/>
    <w:rsid w:val="005D54FA"/>
    <w:rsid w:val="005D554F"/>
    <w:rsid w:val="005D55F3"/>
    <w:rsid w:val="005D57AF"/>
    <w:rsid w:val="005D5A7C"/>
    <w:rsid w:val="005D5A81"/>
    <w:rsid w:val="005D5F3E"/>
    <w:rsid w:val="005D6180"/>
    <w:rsid w:val="005D61DA"/>
    <w:rsid w:val="005D63B6"/>
    <w:rsid w:val="005D64A1"/>
    <w:rsid w:val="005D6667"/>
    <w:rsid w:val="005D6A32"/>
    <w:rsid w:val="005D6AB8"/>
    <w:rsid w:val="005D6C18"/>
    <w:rsid w:val="005D6E33"/>
    <w:rsid w:val="005D703B"/>
    <w:rsid w:val="005D704D"/>
    <w:rsid w:val="005D737A"/>
    <w:rsid w:val="005D783F"/>
    <w:rsid w:val="005D79FE"/>
    <w:rsid w:val="005D7A0A"/>
    <w:rsid w:val="005D7B8F"/>
    <w:rsid w:val="005D7C4C"/>
    <w:rsid w:val="005D7D81"/>
    <w:rsid w:val="005D7D9B"/>
    <w:rsid w:val="005E0034"/>
    <w:rsid w:val="005E01D8"/>
    <w:rsid w:val="005E0264"/>
    <w:rsid w:val="005E04BA"/>
    <w:rsid w:val="005E05C8"/>
    <w:rsid w:val="005E0B73"/>
    <w:rsid w:val="005E0D81"/>
    <w:rsid w:val="005E0DE7"/>
    <w:rsid w:val="005E0F2C"/>
    <w:rsid w:val="005E10F9"/>
    <w:rsid w:val="005E1106"/>
    <w:rsid w:val="005E113A"/>
    <w:rsid w:val="005E1446"/>
    <w:rsid w:val="005E1535"/>
    <w:rsid w:val="005E1672"/>
    <w:rsid w:val="005E19C1"/>
    <w:rsid w:val="005E1A35"/>
    <w:rsid w:val="005E1AE8"/>
    <w:rsid w:val="005E1B7F"/>
    <w:rsid w:val="005E1C10"/>
    <w:rsid w:val="005E1C6C"/>
    <w:rsid w:val="005E1CF9"/>
    <w:rsid w:val="005E1D33"/>
    <w:rsid w:val="005E1F11"/>
    <w:rsid w:val="005E205E"/>
    <w:rsid w:val="005E20E6"/>
    <w:rsid w:val="005E2100"/>
    <w:rsid w:val="005E2171"/>
    <w:rsid w:val="005E221A"/>
    <w:rsid w:val="005E22E9"/>
    <w:rsid w:val="005E2413"/>
    <w:rsid w:val="005E24DB"/>
    <w:rsid w:val="005E2603"/>
    <w:rsid w:val="005E2A25"/>
    <w:rsid w:val="005E2A7F"/>
    <w:rsid w:val="005E2B06"/>
    <w:rsid w:val="005E2B72"/>
    <w:rsid w:val="005E2BA7"/>
    <w:rsid w:val="005E2D99"/>
    <w:rsid w:val="005E2E10"/>
    <w:rsid w:val="005E305D"/>
    <w:rsid w:val="005E3281"/>
    <w:rsid w:val="005E33B5"/>
    <w:rsid w:val="005E353C"/>
    <w:rsid w:val="005E3646"/>
    <w:rsid w:val="005E3740"/>
    <w:rsid w:val="005E37C7"/>
    <w:rsid w:val="005E37CF"/>
    <w:rsid w:val="005E382E"/>
    <w:rsid w:val="005E395B"/>
    <w:rsid w:val="005E3A3C"/>
    <w:rsid w:val="005E3AA7"/>
    <w:rsid w:val="005E3C8D"/>
    <w:rsid w:val="005E3CA8"/>
    <w:rsid w:val="005E4011"/>
    <w:rsid w:val="005E410B"/>
    <w:rsid w:val="005E43A1"/>
    <w:rsid w:val="005E43BA"/>
    <w:rsid w:val="005E46B4"/>
    <w:rsid w:val="005E4744"/>
    <w:rsid w:val="005E482F"/>
    <w:rsid w:val="005E4D3F"/>
    <w:rsid w:val="005E4F19"/>
    <w:rsid w:val="005E4FB2"/>
    <w:rsid w:val="005E519E"/>
    <w:rsid w:val="005E51AB"/>
    <w:rsid w:val="005E51BB"/>
    <w:rsid w:val="005E52CB"/>
    <w:rsid w:val="005E53EA"/>
    <w:rsid w:val="005E5740"/>
    <w:rsid w:val="005E5822"/>
    <w:rsid w:val="005E5905"/>
    <w:rsid w:val="005E59D7"/>
    <w:rsid w:val="005E5D8F"/>
    <w:rsid w:val="005E6050"/>
    <w:rsid w:val="005E6059"/>
    <w:rsid w:val="005E60E1"/>
    <w:rsid w:val="005E60FC"/>
    <w:rsid w:val="005E6231"/>
    <w:rsid w:val="005E6249"/>
    <w:rsid w:val="005E6279"/>
    <w:rsid w:val="005E6328"/>
    <w:rsid w:val="005E63B1"/>
    <w:rsid w:val="005E645C"/>
    <w:rsid w:val="005E6471"/>
    <w:rsid w:val="005E6520"/>
    <w:rsid w:val="005E6658"/>
    <w:rsid w:val="005E6894"/>
    <w:rsid w:val="005E6AB5"/>
    <w:rsid w:val="005E6AE6"/>
    <w:rsid w:val="005E6B8C"/>
    <w:rsid w:val="005E6D49"/>
    <w:rsid w:val="005E6E20"/>
    <w:rsid w:val="005E6EAB"/>
    <w:rsid w:val="005E6FAC"/>
    <w:rsid w:val="005E71C0"/>
    <w:rsid w:val="005E7338"/>
    <w:rsid w:val="005E75C9"/>
    <w:rsid w:val="005E76C6"/>
    <w:rsid w:val="005E7860"/>
    <w:rsid w:val="005E7953"/>
    <w:rsid w:val="005E79D0"/>
    <w:rsid w:val="005E7C7F"/>
    <w:rsid w:val="005E7D11"/>
    <w:rsid w:val="005E7DF6"/>
    <w:rsid w:val="005F0031"/>
    <w:rsid w:val="005F0062"/>
    <w:rsid w:val="005F00A2"/>
    <w:rsid w:val="005F02D8"/>
    <w:rsid w:val="005F03EC"/>
    <w:rsid w:val="005F051A"/>
    <w:rsid w:val="005F05BD"/>
    <w:rsid w:val="005F07B6"/>
    <w:rsid w:val="005F07C7"/>
    <w:rsid w:val="005F09AA"/>
    <w:rsid w:val="005F0A3A"/>
    <w:rsid w:val="005F0A79"/>
    <w:rsid w:val="005F0BE4"/>
    <w:rsid w:val="005F0C72"/>
    <w:rsid w:val="005F0CFF"/>
    <w:rsid w:val="005F0E58"/>
    <w:rsid w:val="005F0EEF"/>
    <w:rsid w:val="005F1008"/>
    <w:rsid w:val="005F1057"/>
    <w:rsid w:val="005F110F"/>
    <w:rsid w:val="005F114B"/>
    <w:rsid w:val="005F1184"/>
    <w:rsid w:val="005F11CB"/>
    <w:rsid w:val="005F1222"/>
    <w:rsid w:val="005F12FC"/>
    <w:rsid w:val="005F130A"/>
    <w:rsid w:val="005F1312"/>
    <w:rsid w:val="005F159E"/>
    <w:rsid w:val="005F15AF"/>
    <w:rsid w:val="005F1613"/>
    <w:rsid w:val="005F163F"/>
    <w:rsid w:val="005F173D"/>
    <w:rsid w:val="005F1849"/>
    <w:rsid w:val="005F1852"/>
    <w:rsid w:val="005F18DC"/>
    <w:rsid w:val="005F19B8"/>
    <w:rsid w:val="005F19EA"/>
    <w:rsid w:val="005F1A4F"/>
    <w:rsid w:val="005F1A78"/>
    <w:rsid w:val="005F1BD5"/>
    <w:rsid w:val="005F1C9A"/>
    <w:rsid w:val="005F1D44"/>
    <w:rsid w:val="005F1D6A"/>
    <w:rsid w:val="005F1EF8"/>
    <w:rsid w:val="005F207E"/>
    <w:rsid w:val="005F2222"/>
    <w:rsid w:val="005F231A"/>
    <w:rsid w:val="005F23B2"/>
    <w:rsid w:val="005F24FA"/>
    <w:rsid w:val="005F2671"/>
    <w:rsid w:val="005F2764"/>
    <w:rsid w:val="005F2AA4"/>
    <w:rsid w:val="005F2B5B"/>
    <w:rsid w:val="005F2C5E"/>
    <w:rsid w:val="005F2EB2"/>
    <w:rsid w:val="005F2F92"/>
    <w:rsid w:val="005F3053"/>
    <w:rsid w:val="005F30A1"/>
    <w:rsid w:val="005F3164"/>
    <w:rsid w:val="005F33A4"/>
    <w:rsid w:val="005F347B"/>
    <w:rsid w:val="005F35A1"/>
    <w:rsid w:val="005F393B"/>
    <w:rsid w:val="005F3A0D"/>
    <w:rsid w:val="005F3AF1"/>
    <w:rsid w:val="005F3B86"/>
    <w:rsid w:val="005F3BA1"/>
    <w:rsid w:val="005F3C74"/>
    <w:rsid w:val="005F3D64"/>
    <w:rsid w:val="005F3F3F"/>
    <w:rsid w:val="005F414D"/>
    <w:rsid w:val="005F4767"/>
    <w:rsid w:val="005F49AD"/>
    <w:rsid w:val="005F4DE0"/>
    <w:rsid w:val="005F4E21"/>
    <w:rsid w:val="005F4E4E"/>
    <w:rsid w:val="005F4EA3"/>
    <w:rsid w:val="005F5196"/>
    <w:rsid w:val="005F5232"/>
    <w:rsid w:val="005F5330"/>
    <w:rsid w:val="005F5384"/>
    <w:rsid w:val="005F53B0"/>
    <w:rsid w:val="005F5417"/>
    <w:rsid w:val="005F54C3"/>
    <w:rsid w:val="005F55B5"/>
    <w:rsid w:val="005F567E"/>
    <w:rsid w:val="005F5711"/>
    <w:rsid w:val="005F57BE"/>
    <w:rsid w:val="005F590A"/>
    <w:rsid w:val="005F594E"/>
    <w:rsid w:val="005F598B"/>
    <w:rsid w:val="005F59FE"/>
    <w:rsid w:val="005F5CE5"/>
    <w:rsid w:val="005F5D96"/>
    <w:rsid w:val="005F5DD2"/>
    <w:rsid w:val="005F621D"/>
    <w:rsid w:val="005F6326"/>
    <w:rsid w:val="005F6467"/>
    <w:rsid w:val="005F6598"/>
    <w:rsid w:val="005F65A8"/>
    <w:rsid w:val="005F65B9"/>
    <w:rsid w:val="005F6A63"/>
    <w:rsid w:val="005F6B0B"/>
    <w:rsid w:val="005F6B75"/>
    <w:rsid w:val="005F7097"/>
    <w:rsid w:val="005F72E6"/>
    <w:rsid w:val="005F748A"/>
    <w:rsid w:val="005F748F"/>
    <w:rsid w:val="005F768B"/>
    <w:rsid w:val="005F7787"/>
    <w:rsid w:val="005F7871"/>
    <w:rsid w:val="005F7A4E"/>
    <w:rsid w:val="005F7A6D"/>
    <w:rsid w:val="005F7B1D"/>
    <w:rsid w:val="005F7E3C"/>
    <w:rsid w:val="005F7EC6"/>
    <w:rsid w:val="00600191"/>
    <w:rsid w:val="00600199"/>
    <w:rsid w:val="006004E0"/>
    <w:rsid w:val="006006E2"/>
    <w:rsid w:val="006007E3"/>
    <w:rsid w:val="006008F1"/>
    <w:rsid w:val="00600C6E"/>
    <w:rsid w:val="00600C7E"/>
    <w:rsid w:val="00600F43"/>
    <w:rsid w:val="00600FDB"/>
    <w:rsid w:val="00601079"/>
    <w:rsid w:val="00601295"/>
    <w:rsid w:val="00601380"/>
    <w:rsid w:val="0060138A"/>
    <w:rsid w:val="00601426"/>
    <w:rsid w:val="006014C0"/>
    <w:rsid w:val="00601620"/>
    <w:rsid w:val="0060162C"/>
    <w:rsid w:val="006018BA"/>
    <w:rsid w:val="006018C8"/>
    <w:rsid w:val="00601D21"/>
    <w:rsid w:val="00601DAF"/>
    <w:rsid w:val="00601EDE"/>
    <w:rsid w:val="0060233A"/>
    <w:rsid w:val="0060241F"/>
    <w:rsid w:val="006024C7"/>
    <w:rsid w:val="006026BC"/>
    <w:rsid w:val="00602BB5"/>
    <w:rsid w:val="00602BD4"/>
    <w:rsid w:val="00602D28"/>
    <w:rsid w:val="00602D5A"/>
    <w:rsid w:val="00602DF7"/>
    <w:rsid w:val="00602FA8"/>
    <w:rsid w:val="00602FCB"/>
    <w:rsid w:val="00603072"/>
    <w:rsid w:val="00603237"/>
    <w:rsid w:val="00603495"/>
    <w:rsid w:val="006034CA"/>
    <w:rsid w:val="00603568"/>
    <w:rsid w:val="006035B1"/>
    <w:rsid w:val="0060362F"/>
    <w:rsid w:val="0060374A"/>
    <w:rsid w:val="006037F3"/>
    <w:rsid w:val="00603828"/>
    <w:rsid w:val="006038F7"/>
    <w:rsid w:val="00603A42"/>
    <w:rsid w:val="00603AD3"/>
    <w:rsid w:val="00603B5B"/>
    <w:rsid w:val="00603D76"/>
    <w:rsid w:val="00603E32"/>
    <w:rsid w:val="006040F0"/>
    <w:rsid w:val="00604113"/>
    <w:rsid w:val="00604133"/>
    <w:rsid w:val="0060416F"/>
    <w:rsid w:val="00604247"/>
    <w:rsid w:val="006042A4"/>
    <w:rsid w:val="006042FB"/>
    <w:rsid w:val="00604533"/>
    <w:rsid w:val="006047A6"/>
    <w:rsid w:val="006048C7"/>
    <w:rsid w:val="00604912"/>
    <w:rsid w:val="006049BB"/>
    <w:rsid w:val="00604A53"/>
    <w:rsid w:val="00604BD6"/>
    <w:rsid w:val="00604C06"/>
    <w:rsid w:val="00604C1C"/>
    <w:rsid w:val="00604C96"/>
    <w:rsid w:val="00604CFA"/>
    <w:rsid w:val="00604DEF"/>
    <w:rsid w:val="00604EA9"/>
    <w:rsid w:val="006050C3"/>
    <w:rsid w:val="006050CC"/>
    <w:rsid w:val="0060523A"/>
    <w:rsid w:val="0060526C"/>
    <w:rsid w:val="00605270"/>
    <w:rsid w:val="006054F3"/>
    <w:rsid w:val="0060561B"/>
    <w:rsid w:val="0060584C"/>
    <w:rsid w:val="0060590D"/>
    <w:rsid w:val="0060595D"/>
    <w:rsid w:val="00605974"/>
    <w:rsid w:val="006059A7"/>
    <w:rsid w:val="00605B49"/>
    <w:rsid w:val="00605BFD"/>
    <w:rsid w:val="00605C41"/>
    <w:rsid w:val="00605C6B"/>
    <w:rsid w:val="00605D60"/>
    <w:rsid w:val="00605F50"/>
    <w:rsid w:val="00606052"/>
    <w:rsid w:val="00606132"/>
    <w:rsid w:val="006061D3"/>
    <w:rsid w:val="006061DA"/>
    <w:rsid w:val="006062B1"/>
    <w:rsid w:val="00606350"/>
    <w:rsid w:val="0060652F"/>
    <w:rsid w:val="006067A2"/>
    <w:rsid w:val="0060683C"/>
    <w:rsid w:val="0060690A"/>
    <w:rsid w:val="00606939"/>
    <w:rsid w:val="00606A97"/>
    <w:rsid w:val="00606B3F"/>
    <w:rsid w:val="00606C83"/>
    <w:rsid w:val="00606E51"/>
    <w:rsid w:val="00606E61"/>
    <w:rsid w:val="00606EDB"/>
    <w:rsid w:val="00606EED"/>
    <w:rsid w:val="00606F2D"/>
    <w:rsid w:val="00606FF0"/>
    <w:rsid w:val="0060725A"/>
    <w:rsid w:val="0060732B"/>
    <w:rsid w:val="006074AD"/>
    <w:rsid w:val="006077C2"/>
    <w:rsid w:val="006077F7"/>
    <w:rsid w:val="0060784F"/>
    <w:rsid w:val="00607905"/>
    <w:rsid w:val="00607937"/>
    <w:rsid w:val="00607B5B"/>
    <w:rsid w:val="00607BF1"/>
    <w:rsid w:val="00607DB9"/>
    <w:rsid w:val="00610057"/>
    <w:rsid w:val="00610095"/>
    <w:rsid w:val="00610239"/>
    <w:rsid w:val="006104A1"/>
    <w:rsid w:val="0061069D"/>
    <w:rsid w:val="00610754"/>
    <w:rsid w:val="006107AA"/>
    <w:rsid w:val="006107C3"/>
    <w:rsid w:val="00610836"/>
    <w:rsid w:val="0061089B"/>
    <w:rsid w:val="00610BFA"/>
    <w:rsid w:val="00610CDA"/>
    <w:rsid w:val="00610D8C"/>
    <w:rsid w:val="00610E00"/>
    <w:rsid w:val="00610E4F"/>
    <w:rsid w:val="00610F5E"/>
    <w:rsid w:val="00611034"/>
    <w:rsid w:val="006110DC"/>
    <w:rsid w:val="006111DB"/>
    <w:rsid w:val="00611340"/>
    <w:rsid w:val="00611352"/>
    <w:rsid w:val="006113BD"/>
    <w:rsid w:val="006115A6"/>
    <w:rsid w:val="00611705"/>
    <w:rsid w:val="00611978"/>
    <w:rsid w:val="00611A36"/>
    <w:rsid w:val="00611A7E"/>
    <w:rsid w:val="00611B9E"/>
    <w:rsid w:val="00611BC5"/>
    <w:rsid w:val="00611E69"/>
    <w:rsid w:val="006120EB"/>
    <w:rsid w:val="00612104"/>
    <w:rsid w:val="0061213D"/>
    <w:rsid w:val="00612514"/>
    <w:rsid w:val="00612DD4"/>
    <w:rsid w:val="00613003"/>
    <w:rsid w:val="006130ED"/>
    <w:rsid w:val="00613279"/>
    <w:rsid w:val="006135D9"/>
    <w:rsid w:val="00613863"/>
    <w:rsid w:val="006138C4"/>
    <w:rsid w:val="00613AF1"/>
    <w:rsid w:val="00613DF5"/>
    <w:rsid w:val="00613E61"/>
    <w:rsid w:val="00613F85"/>
    <w:rsid w:val="0061438B"/>
    <w:rsid w:val="006143D1"/>
    <w:rsid w:val="00614641"/>
    <w:rsid w:val="006146BA"/>
    <w:rsid w:val="0061480F"/>
    <w:rsid w:val="00614922"/>
    <w:rsid w:val="00614943"/>
    <w:rsid w:val="006149BD"/>
    <w:rsid w:val="00614A74"/>
    <w:rsid w:val="00614AE7"/>
    <w:rsid w:val="00614C5F"/>
    <w:rsid w:val="00614D15"/>
    <w:rsid w:val="00614D38"/>
    <w:rsid w:val="00614ED8"/>
    <w:rsid w:val="006155B8"/>
    <w:rsid w:val="006155D2"/>
    <w:rsid w:val="006155F4"/>
    <w:rsid w:val="00615706"/>
    <w:rsid w:val="00615707"/>
    <w:rsid w:val="006157CB"/>
    <w:rsid w:val="006157E2"/>
    <w:rsid w:val="0061583D"/>
    <w:rsid w:val="00615883"/>
    <w:rsid w:val="0061597F"/>
    <w:rsid w:val="00615BB1"/>
    <w:rsid w:val="00615DF3"/>
    <w:rsid w:val="00615E76"/>
    <w:rsid w:val="00615E97"/>
    <w:rsid w:val="00615F0B"/>
    <w:rsid w:val="00615F30"/>
    <w:rsid w:val="00615FE4"/>
    <w:rsid w:val="006160D9"/>
    <w:rsid w:val="006161A9"/>
    <w:rsid w:val="006165E9"/>
    <w:rsid w:val="006165F6"/>
    <w:rsid w:val="006168E6"/>
    <w:rsid w:val="00616981"/>
    <w:rsid w:val="006169CD"/>
    <w:rsid w:val="00616A3E"/>
    <w:rsid w:val="00616ADC"/>
    <w:rsid w:val="00616D35"/>
    <w:rsid w:val="00616E81"/>
    <w:rsid w:val="00617204"/>
    <w:rsid w:val="006172C7"/>
    <w:rsid w:val="006174BD"/>
    <w:rsid w:val="00617566"/>
    <w:rsid w:val="006176FD"/>
    <w:rsid w:val="00617906"/>
    <w:rsid w:val="0061790D"/>
    <w:rsid w:val="0061797D"/>
    <w:rsid w:val="006179E2"/>
    <w:rsid w:val="00617B29"/>
    <w:rsid w:val="00617C85"/>
    <w:rsid w:val="00617DBD"/>
    <w:rsid w:val="00620071"/>
    <w:rsid w:val="0062016C"/>
    <w:rsid w:val="00620264"/>
    <w:rsid w:val="00620268"/>
    <w:rsid w:val="0062028C"/>
    <w:rsid w:val="00620393"/>
    <w:rsid w:val="0062092F"/>
    <w:rsid w:val="006209AF"/>
    <w:rsid w:val="00620A8A"/>
    <w:rsid w:val="00620AD3"/>
    <w:rsid w:val="00620B38"/>
    <w:rsid w:val="00620DFE"/>
    <w:rsid w:val="00620E2E"/>
    <w:rsid w:val="00621011"/>
    <w:rsid w:val="006211A0"/>
    <w:rsid w:val="006211A9"/>
    <w:rsid w:val="00621336"/>
    <w:rsid w:val="0062139E"/>
    <w:rsid w:val="00621411"/>
    <w:rsid w:val="006215E9"/>
    <w:rsid w:val="0062169A"/>
    <w:rsid w:val="006218B9"/>
    <w:rsid w:val="00621A40"/>
    <w:rsid w:val="00621BC2"/>
    <w:rsid w:val="00621E1F"/>
    <w:rsid w:val="00621FCD"/>
    <w:rsid w:val="006220ED"/>
    <w:rsid w:val="00622117"/>
    <w:rsid w:val="00622198"/>
    <w:rsid w:val="006222C4"/>
    <w:rsid w:val="006223A4"/>
    <w:rsid w:val="00622514"/>
    <w:rsid w:val="0062252F"/>
    <w:rsid w:val="00622744"/>
    <w:rsid w:val="00622A52"/>
    <w:rsid w:val="00622A7C"/>
    <w:rsid w:val="00622AFC"/>
    <w:rsid w:val="00622BF0"/>
    <w:rsid w:val="00622D6D"/>
    <w:rsid w:val="00622E84"/>
    <w:rsid w:val="006230FC"/>
    <w:rsid w:val="00623130"/>
    <w:rsid w:val="006235F7"/>
    <w:rsid w:val="00623604"/>
    <w:rsid w:val="0062371B"/>
    <w:rsid w:val="00623969"/>
    <w:rsid w:val="00623A67"/>
    <w:rsid w:val="00623AD3"/>
    <w:rsid w:val="00623C55"/>
    <w:rsid w:val="00623C99"/>
    <w:rsid w:val="00623D3F"/>
    <w:rsid w:val="00623E7F"/>
    <w:rsid w:val="006241A1"/>
    <w:rsid w:val="006241E4"/>
    <w:rsid w:val="006242EB"/>
    <w:rsid w:val="00624344"/>
    <w:rsid w:val="00624396"/>
    <w:rsid w:val="006243E3"/>
    <w:rsid w:val="00624480"/>
    <w:rsid w:val="00624817"/>
    <w:rsid w:val="00624CD9"/>
    <w:rsid w:val="00624D74"/>
    <w:rsid w:val="00624EAE"/>
    <w:rsid w:val="00625398"/>
    <w:rsid w:val="0062572B"/>
    <w:rsid w:val="00625774"/>
    <w:rsid w:val="00625784"/>
    <w:rsid w:val="0062586C"/>
    <w:rsid w:val="0062593A"/>
    <w:rsid w:val="00625A2D"/>
    <w:rsid w:val="00625A7B"/>
    <w:rsid w:val="00625AE0"/>
    <w:rsid w:val="00625B5A"/>
    <w:rsid w:val="00625BFE"/>
    <w:rsid w:val="00625C31"/>
    <w:rsid w:val="00625D23"/>
    <w:rsid w:val="00625E51"/>
    <w:rsid w:val="00625FA6"/>
    <w:rsid w:val="00626158"/>
    <w:rsid w:val="00626177"/>
    <w:rsid w:val="00626264"/>
    <w:rsid w:val="006263FF"/>
    <w:rsid w:val="006264B1"/>
    <w:rsid w:val="00626652"/>
    <w:rsid w:val="0062674D"/>
    <w:rsid w:val="00626A2D"/>
    <w:rsid w:val="00626B67"/>
    <w:rsid w:val="00626B70"/>
    <w:rsid w:val="00626BB4"/>
    <w:rsid w:val="00626C9A"/>
    <w:rsid w:val="00626CF4"/>
    <w:rsid w:val="00626EF3"/>
    <w:rsid w:val="006270A4"/>
    <w:rsid w:val="006271BA"/>
    <w:rsid w:val="006271CF"/>
    <w:rsid w:val="00627211"/>
    <w:rsid w:val="0062721E"/>
    <w:rsid w:val="006272A3"/>
    <w:rsid w:val="00627400"/>
    <w:rsid w:val="00627404"/>
    <w:rsid w:val="006274AC"/>
    <w:rsid w:val="00627551"/>
    <w:rsid w:val="006277A2"/>
    <w:rsid w:val="0062795A"/>
    <w:rsid w:val="00627AAE"/>
    <w:rsid w:val="00627AC2"/>
    <w:rsid w:val="00627F9A"/>
    <w:rsid w:val="00627FFE"/>
    <w:rsid w:val="0063012B"/>
    <w:rsid w:val="006303D6"/>
    <w:rsid w:val="00630421"/>
    <w:rsid w:val="006305E9"/>
    <w:rsid w:val="00630664"/>
    <w:rsid w:val="00630672"/>
    <w:rsid w:val="00630898"/>
    <w:rsid w:val="006309E7"/>
    <w:rsid w:val="00630AC5"/>
    <w:rsid w:val="00630CA8"/>
    <w:rsid w:val="00630E21"/>
    <w:rsid w:val="00630F2A"/>
    <w:rsid w:val="00630F54"/>
    <w:rsid w:val="006310AA"/>
    <w:rsid w:val="006310F2"/>
    <w:rsid w:val="006311A9"/>
    <w:rsid w:val="0063134F"/>
    <w:rsid w:val="00631572"/>
    <w:rsid w:val="00631724"/>
    <w:rsid w:val="0063181F"/>
    <w:rsid w:val="0063194D"/>
    <w:rsid w:val="00631A65"/>
    <w:rsid w:val="00631AF9"/>
    <w:rsid w:val="00631B82"/>
    <w:rsid w:val="00631D14"/>
    <w:rsid w:val="00631EC5"/>
    <w:rsid w:val="00632095"/>
    <w:rsid w:val="006323B9"/>
    <w:rsid w:val="0063251F"/>
    <w:rsid w:val="006325D4"/>
    <w:rsid w:val="006325E7"/>
    <w:rsid w:val="0063270D"/>
    <w:rsid w:val="00632784"/>
    <w:rsid w:val="006328BC"/>
    <w:rsid w:val="00632949"/>
    <w:rsid w:val="00632E1B"/>
    <w:rsid w:val="00632F26"/>
    <w:rsid w:val="00632F61"/>
    <w:rsid w:val="006330E0"/>
    <w:rsid w:val="006332A9"/>
    <w:rsid w:val="006334B5"/>
    <w:rsid w:val="006335A1"/>
    <w:rsid w:val="006335FE"/>
    <w:rsid w:val="006336E9"/>
    <w:rsid w:val="006337BA"/>
    <w:rsid w:val="00633AE2"/>
    <w:rsid w:val="00633BEB"/>
    <w:rsid w:val="00633DDE"/>
    <w:rsid w:val="00633FB7"/>
    <w:rsid w:val="006342CE"/>
    <w:rsid w:val="0063483A"/>
    <w:rsid w:val="00634941"/>
    <w:rsid w:val="00634AB4"/>
    <w:rsid w:val="00634C58"/>
    <w:rsid w:val="00634DE8"/>
    <w:rsid w:val="00634E0B"/>
    <w:rsid w:val="00634E2D"/>
    <w:rsid w:val="00634E85"/>
    <w:rsid w:val="00634F67"/>
    <w:rsid w:val="0063523E"/>
    <w:rsid w:val="0063525F"/>
    <w:rsid w:val="0063545F"/>
    <w:rsid w:val="00635598"/>
    <w:rsid w:val="00635693"/>
    <w:rsid w:val="00635754"/>
    <w:rsid w:val="00635769"/>
    <w:rsid w:val="00635837"/>
    <w:rsid w:val="006358D4"/>
    <w:rsid w:val="00635C1A"/>
    <w:rsid w:val="00635C84"/>
    <w:rsid w:val="00636129"/>
    <w:rsid w:val="0063618C"/>
    <w:rsid w:val="00636247"/>
    <w:rsid w:val="0063631C"/>
    <w:rsid w:val="0063634E"/>
    <w:rsid w:val="006363B1"/>
    <w:rsid w:val="006365C0"/>
    <w:rsid w:val="00636763"/>
    <w:rsid w:val="00636779"/>
    <w:rsid w:val="00636977"/>
    <w:rsid w:val="00636998"/>
    <w:rsid w:val="00636B13"/>
    <w:rsid w:val="00636B58"/>
    <w:rsid w:val="00636BB6"/>
    <w:rsid w:val="00636C62"/>
    <w:rsid w:val="00636E24"/>
    <w:rsid w:val="00636E82"/>
    <w:rsid w:val="00636E86"/>
    <w:rsid w:val="00636FA5"/>
    <w:rsid w:val="00636FE1"/>
    <w:rsid w:val="00637043"/>
    <w:rsid w:val="00637111"/>
    <w:rsid w:val="00637418"/>
    <w:rsid w:val="00637570"/>
    <w:rsid w:val="0063782E"/>
    <w:rsid w:val="00637851"/>
    <w:rsid w:val="006379FA"/>
    <w:rsid w:val="00640184"/>
    <w:rsid w:val="0064039A"/>
    <w:rsid w:val="006404A5"/>
    <w:rsid w:val="006406B9"/>
    <w:rsid w:val="00640706"/>
    <w:rsid w:val="00640849"/>
    <w:rsid w:val="006409AF"/>
    <w:rsid w:val="006409B2"/>
    <w:rsid w:val="00640A28"/>
    <w:rsid w:val="00640C5A"/>
    <w:rsid w:val="00640CF2"/>
    <w:rsid w:val="00640DAD"/>
    <w:rsid w:val="00641340"/>
    <w:rsid w:val="0064134A"/>
    <w:rsid w:val="006413E5"/>
    <w:rsid w:val="00641670"/>
    <w:rsid w:val="006416EA"/>
    <w:rsid w:val="00641815"/>
    <w:rsid w:val="00641920"/>
    <w:rsid w:val="0064194F"/>
    <w:rsid w:val="0064199D"/>
    <w:rsid w:val="00641B98"/>
    <w:rsid w:val="00641C25"/>
    <w:rsid w:val="0064218E"/>
    <w:rsid w:val="0064228C"/>
    <w:rsid w:val="00642491"/>
    <w:rsid w:val="006426C5"/>
    <w:rsid w:val="00642731"/>
    <w:rsid w:val="006427C4"/>
    <w:rsid w:val="00642909"/>
    <w:rsid w:val="00642970"/>
    <w:rsid w:val="00642B46"/>
    <w:rsid w:val="00642C18"/>
    <w:rsid w:val="00642D1F"/>
    <w:rsid w:val="00642D6D"/>
    <w:rsid w:val="00642F22"/>
    <w:rsid w:val="006430E7"/>
    <w:rsid w:val="0064319C"/>
    <w:rsid w:val="006432F8"/>
    <w:rsid w:val="006433AA"/>
    <w:rsid w:val="006433AF"/>
    <w:rsid w:val="00643437"/>
    <w:rsid w:val="00643488"/>
    <w:rsid w:val="00643879"/>
    <w:rsid w:val="006438CA"/>
    <w:rsid w:val="0064393B"/>
    <w:rsid w:val="00643C3E"/>
    <w:rsid w:val="00643CCA"/>
    <w:rsid w:val="00643DFD"/>
    <w:rsid w:val="00643F1A"/>
    <w:rsid w:val="0064401F"/>
    <w:rsid w:val="00644041"/>
    <w:rsid w:val="00644047"/>
    <w:rsid w:val="00644162"/>
    <w:rsid w:val="00644486"/>
    <w:rsid w:val="00644518"/>
    <w:rsid w:val="0064451C"/>
    <w:rsid w:val="00644559"/>
    <w:rsid w:val="006445CF"/>
    <w:rsid w:val="00644900"/>
    <w:rsid w:val="00644B8E"/>
    <w:rsid w:val="00644C04"/>
    <w:rsid w:val="00644CCB"/>
    <w:rsid w:val="00644D51"/>
    <w:rsid w:val="00644F0F"/>
    <w:rsid w:val="006453E6"/>
    <w:rsid w:val="00645465"/>
    <w:rsid w:val="006455F1"/>
    <w:rsid w:val="0064562C"/>
    <w:rsid w:val="0064575E"/>
    <w:rsid w:val="006459C8"/>
    <w:rsid w:val="00645B83"/>
    <w:rsid w:val="00645C21"/>
    <w:rsid w:val="00645C9A"/>
    <w:rsid w:val="00645F86"/>
    <w:rsid w:val="00645FD6"/>
    <w:rsid w:val="00645FE5"/>
    <w:rsid w:val="00646109"/>
    <w:rsid w:val="00646297"/>
    <w:rsid w:val="0064634F"/>
    <w:rsid w:val="00646678"/>
    <w:rsid w:val="00646987"/>
    <w:rsid w:val="00646A98"/>
    <w:rsid w:val="00646D96"/>
    <w:rsid w:val="00646F01"/>
    <w:rsid w:val="00646F6F"/>
    <w:rsid w:val="0064710F"/>
    <w:rsid w:val="006471D6"/>
    <w:rsid w:val="00647403"/>
    <w:rsid w:val="00647407"/>
    <w:rsid w:val="0064753B"/>
    <w:rsid w:val="0064756E"/>
    <w:rsid w:val="006476AB"/>
    <w:rsid w:val="00647727"/>
    <w:rsid w:val="006477A0"/>
    <w:rsid w:val="00647AC8"/>
    <w:rsid w:val="00647B37"/>
    <w:rsid w:val="00647EB7"/>
    <w:rsid w:val="00647EC3"/>
    <w:rsid w:val="0065000D"/>
    <w:rsid w:val="006501C8"/>
    <w:rsid w:val="00650232"/>
    <w:rsid w:val="006503EE"/>
    <w:rsid w:val="006505D2"/>
    <w:rsid w:val="0065069F"/>
    <w:rsid w:val="006506A9"/>
    <w:rsid w:val="00650736"/>
    <w:rsid w:val="006507CC"/>
    <w:rsid w:val="006508E7"/>
    <w:rsid w:val="00650B32"/>
    <w:rsid w:val="00650E67"/>
    <w:rsid w:val="00651105"/>
    <w:rsid w:val="006512DD"/>
    <w:rsid w:val="00651430"/>
    <w:rsid w:val="00651906"/>
    <w:rsid w:val="00651981"/>
    <w:rsid w:val="006519CC"/>
    <w:rsid w:val="00651A22"/>
    <w:rsid w:val="00651E26"/>
    <w:rsid w:val="00651E8A"/>
    <w:rsid w:val="006520AF"/>
    <w:rsid w:val="006522B3"/>
    <w:rsid w:val="00652442"/>
    <w:rsid w:val="00652726"/>
    <w:rsid w:val="00652A0A"/>
    <w:rsid w:val="00652B5F"/>
    <w:rsid w:val="00652B7A"/>
    <w:rsid w:val="00652BF7"/>
    <w:rsid w:val="00652E9D"/>
    <w:rsid w:val="00652ED0"/>
    <w:rsid w:val="006533FC"/>
    <w:rsid w:val="006535AE"/>
    <w:rsid w:val="006536B7"/>
    <w:rsid w:val="00653735"/>
    <w:rsid w:val="00653942"/>
    <w:rsid w:val="00653961"/>
    <w:rsid w:val="006539F2"/>
    <w:rsid w:val="00653A19"/>
    <w:rsid w:val="00653B16"/>
    <w:rsid w:val="00653BCB"/>
    <w:rsid w:val="00653BCF"/>
    <w:rsid w:val="00653DE3"/>
    <w:rsid w:val="00653E34"/>
    <w:rsid w:val="00653EC1"/>
    <w:rsid w:val="0065409F"/>
    <w:rsid w:val="006540DC"/>
    <w:rsid w:val="0065416B"/>
    <w:rsid w:val="006543B5"/>
    <w:rsid w:val="0065464B"/>
    <w:rsid w:val="00654781"/>
    <w:rsid w:val="0065481E"/>
    <w:rsid w:val="00654863"/>
    <w:rsid w:val="00654A77"/>
    <w:rsid w:val="00654C3E"/>
    <w:rsid w:val="00654E93"/>
    <w:rsid w:val="006551E9"/>
    <w:rsid w:val="00655465"/>
    <w:rsid w:val="006556A9"/>
    <w:rsid w:val="00655808"/>
    <w:rsid w:val="0065588D"/>
    <w:rsid w:val="00655A0C"/>
    <w:rsid w:val="00655E4C"/>
    <w:rsid w:val="00655F17"/>
    <w:rsid w:val="00655F8B"/>
    <w:rsid w:val="00656162"/>
    <w:rsid w:val="00656216"/>
    <w:rsid w:val="00656225"/>
    <w:rsid w:val="0065633E"/>
    <w:rsid w:val="00656390"/>
    <w:rsid w:val="00656505"/>
    <w:rsid w:val="006569A9"/>
    <w:rsid w:val="006569B5"/>
    <w:rsid w:val="00656A1C"/>
    <w:rsid w:val="00656B55"/>
    <w:rsid w:val="00656BA4"/>
    <w:rsid w:val="00656BF9"/>
    <w:rsid w:val="0065701C"/>
    <w:rsid w:val="00657160"/>
    <w:rsid w:val="00657263"/>
    <w:rsid w:val="0065736A"/>
    <w:rsid w:val="0065754C"/>
    <w:rsid w:val="00657698"/>
    <w:rsid w:val="006576D9"/>
    <w:rsid w:val="0065775C"/>
    <w:rsid w:val="0065779C"/>
    <w:rsid w:val="006577DD"/>
    <w:rsid w:val="00657A5E"/>
    <w:rsid w:val="00657A9B"/>
    <w:rsid w:val="00657AB5"/>
    <w:rsid w:val="00657B5D"/>
    <w:rsid w:val="00657C8B"/>
    <w:rsid w:val="00660412"/>
    <w:rsid w:val="006607A8"/>
    <w:rsid w:val="00660F44"/>
    <w:rsid w:val="0066108F"/>
    <w:rsid w:val="0066118B"/>
    <w:rsid w:val="00661655"/>
    <w:rsid w:val="00661702"/>
    <w:rsid w:val="0066189E"/>
    <w:rsid w:val="00661A69"/>
    <w:rsid w:val="00661AD8"/>
    <w:rsid w:val="00661E52"/>
    <w:rsid w:val="00661F61"/>
    <w:rsid w:val="00661FCB"/>
    <w:rsid w:val="0066214D"/>
    <w:rsid w:val="00662352"/>
    <w:rsid w:val="00662436"/>
    <w:rsid w:val="00662997"/>
    <w:rsid w:val="00662B3A"/>
    <w:rsid w:val="00662BF9"/>
    <w:rsid w:val="00662D64"/>
    <w:rsid w:val="00662FA3"/>
    <w:rsid w:val="00663027"/>
    <w:rsid w:val="0066321A"/>
    <w:rsid w:val="0066333D"/>
    <w:rsid w:val="00663763"/>
    <w:rsid w:val="006638B5"/>
    <w:rsid w:val="0066392B"/>
    <w:rsid w:val="0066393F"/>
    <w:rsid w:val="00663ADA"/>
    <w:rsid w:val="00663B22"/>
    <w:rsid w:val="00663B79"/>
    <w:rsid w:val="00663C89"/>
    <w:rsid w:val="00664031"/>
    <w:rsid w:val="00664046"/>
    <w:rsid w:val="0066406B"/>
    <w:rsid w:val="006640A0"/>
    <w:rsid w:val="006642B1"/>
    <w:rsid w:val="0066442B"/>
    <w:rsid w:val="006644FB"/>
    <w:rsid w:val="006649DF"/>
    <w:rsid w:val="00664C07"/>
    <w:rsid w:val="00664E1D"/>
    <w:rsid w:val="00664FED"/>
    <w:rsid w:val="006651CE"/>
    <w:rsid w:val="00665238"/>
    <w:rsid w:val="006652F1"/>
    <w:rsid w:val="00665486"/>
    <w:rsid w:val="006654C9"/>
    <w:rsid w:val="00665558"/>
    <w:rsid w:val="00665627"/>
    <w:rsid w:val="0066584A"/>
    <w:rsid w:val="00665913"/>
    <w:rsid w:val="00665970"/>
    <w:rsid w:val="00665AC2"/>
    <w:rsid w:val="00665D40"/>
    <w:rsid w:val="006663DC"/>
    <w:rsid w:val="00666439"/>
    <w:rsid w:val="00666673"/>
    <w:rsid w:val="0066689D"/>
    <w:rsid w:val="00666BD7"/>
    <w:rsid w:val="00666BEE"/>
    <w:rsid w:val="00666C8C"/>
    <w:rsid w:val="00666EEA"/>
    <w:rsid w:val="00666F71"/>
    <w:rsid w:val="00666FEB"/>
    <w:rsid w:val="00667089"/>
    <w:rsid w:val="006670CD"/>
    <w:rsid w:val="0066739A"/>
    <w:rsid w:val="006675EF"/>
    <w:rsid w:val="006676D4"/>
    <w:rsid w:val="00667743"/>
    <w:rsid w:val="006677EE"/>
    <w:rsid w:val="006677F6"/>
    <w:rsid w:val="00667818"/>
    <w:rsid w:val="0066799C"/>
    <w:rsid w:val="00667AA1"/>
    <w:rsid w:val="00667C9E"/>
    <w:rsid w:val="00667E4C"/>
    <w:rsid w:val="00667E72"/>
    <w:rsid w:val="00667E7E"/>
    <w:rsid w:val="006701D1"/>
    <w:rsid w:val="00670246"/>
    <w:rsid w:val="00670453"/>
    <w:rsid w:val="006704AF"/>
    <w:rsid w:val="00670503"/>
    <w:rsid w:val="006707EE"/>
    <w:rsid w:val="006708A9"/>
    <w:rsid w:val="00670976"/>
    <w:rsid w:val="0067099E"/>
    <w:rsid w:val="006709BE"/>
    <w:rsid w:val="00670A5E"/>
    <w:rsid w:val="00670BE7"/>
    <w:rsid w:val="00670E76"/>
    <w:rsid w:val="0067141D"/>
    <w:rsid w:val="006716A2"/>
    <w:rsid w:val="0067181E"/>
    <w:rsid w:val="00671836"/>
    <w:rsid w:val="006719BE"/>
    <w:rsid w:val="00671A32"/>
    <w:rsid w:val="00671BBA"/>
    <w:rsid w:val="00671C3F"/>
    <w:rsid w:val="00671CBF"/>
    <w:rsid w:val="00671CDE"/>
    <w:rsid w:val="00671DFB"/>
    <w:rsid w:val="00671EC7"/>
    <w:rsid w:val="00671FB1"/>
    <w:rsid w:val="00672038"/>
    <w:rsid w:val="00672144"/>
    <w:rsid w:val="00672550"/>
    <w:rsid w:val="006726FD"/>
    <w:rsid w:val="0067271B"/>
    <w:rsid w:val="00672910"/>
    <w:rsid w:val="00672A98"/>
    <w:rsid w:val="00672B66"/>
    <w:rsid w:val="00672CD3"/>
    <w:rsid w:val="00672E10"/>
    <w:rsid w:val="00672E98"/>
    <w:rsid w:val="00673068"/>
    <w:rsid w:val="00673160"/>
    <w:rsid w:val="00673346"/>
    <w:rsid w:val="006734DD"/>
    <w:rsid w:val="00673538"/>
    <w:rsid w:val="0067356E"/>
    <w:rsid w:val="0067357B"/>
    <w:rsid w:val="0067363F"/>
    <w:rsid w:val="00673761"/>
    <w:rsid w:val="0067376C"/>
    <w:rsid w:val="00673916"/>
    <w:rsid w:val="00673B21"/>
    <w:rsid w:val="00673E5E"/>
    <w:rsid w:val="00673EBF"/>
    <w:rsid w:val="00674025"/>
    <w:rsid w:val="0067407C"/>
    <w:rsid w:val="006740C7"/>
    <w:rsid w:val="00674102"/>
    <w:rsid w:val="006742D0"/>
    <w:rsid w:val="00674401"/>
    <w:rsid w:val="00674414"/>
    <w:rsid w:val="00674478"/>
    <w:rsid w:val="0067463A"/>
    <w:rsid w:val="00674640"/>
    <w:rsid w:val="0067484E"/>
    <w:rsid w:val="00674965"/>
    <w:rsid w:val="006749B8"/>
    <w:rsid w:val="00674C9E"/>
    <w:rsid w:val="00674E34"/>
    <w:rsid w:val="00674F42"/>
    <w:rsid w:val="006750CE"/>
    <w:rsid w:val="006750D5"/>
    <w:rsid w:val="006751EE"/>
    <w:rsid w:val="00675227"/>
    <w:rsid w:val="00675281"/>
    <w:rsid w:val="0067535A"/>
    <w:rsid w:val="006753D7"/>
    <w:rsid w:val="00675493"/>
    <w:rsid w:val="006754C6"/>
    <w:rsid w:val="006754E2"/>
    <w:rsid w:val="006756FB"/>
    <w:rsid w:val="0067578B"/>
    <w:rsid w:val="00675939"/>
    <w:rsid w:val="00675A8B"/>
    <w:rsid w:val="00675C34"/>
    <w:rsid w:val="00675D9A"/>
    <w:rsid w:val="00675EBB"/>
    <w:rsid w:val="00675EEA"/>
    <w:rsid w:val="0067606D"/>
    <w:rsid w:val="00676079"/>
    <w:rsid w:val="0067611B"/>
    <w:rsid w:val="006761B4"/>
    <w:rsid w:val="006763E8"/>
    <w:rsid w:val="00676401"/>
    <w:rsid w:val="00676415"/>
    <w:rsid w:val="00676767"/>
    <w:rsid w:val="00676BFD"/>
    <w:rsid w:val="00676DAE"/>
    <w:rsid w:val="00676DD1"/>
    <w:rsid w:val="00676E77"/>
    <w:rsid w:val="00677188"/>
    <w:rsid w:val="00677449"/>
    <w:rsid w:val="00677716"/>
    <w:rsid w:val="00677788"/>
    <w:rsid w:val="006777BD"/>
    <w:rsid w:val="00677A65"/>
    <w:rsid w:val="00677B30"/>
    <w:rsid w:val="00677BC2"/>
    <w:rsid w:val="00677D09"/>
    <w:rsid w:val="006801C9"/>
    <w:rsid w:val="00680225"/>
    <w:rsid w:val="0068072E"/>
    <w:rsid w:val="00680764"/>
    <w:rsid w:val="006808CF"/>
    <w:rsid w:val="006808E6"/>
    <w:rsid w:val="00680BFD"/>
    <w:rsid w:val="00680C2C"/>
    <w:rsid w:val="00680D61"/>
    <w:rsid w:val="00680E8B"/>
    <w:rsid w:val="00681492"/>
    <w:rsid w:val="006814B8"/>
    <w:rsid w:val="006814FF"/>
    <w:rsid w:val="0068166F"/>
    <w:rsid w:val="0068172F"/>
    <w:rsid w:val="006818A3"/>
    <w:rsid w:val="006819D0"/>
    <w:rsid w:val="00681C28"/>
    <w:rsid w:val="00681D17"/>
    <w:rsid w:val="00681F23"/>
    <w:rsid w:val="00681F59"/>
    <w:rsid w:val="00682198"/>
    <w:rsid w:val="006821BF"/>
    <w:rsid w:val="006821EC"/>
    <w:rsid w:val="0068277A"/>
    <w:rsid w:val="00682922"/>
    <w:rsid w:val="00682943"/>
    <w:rsid w:val="0068294B"/>
    <w:rsid w:val="00682B9D"/>
    <w:rsid w:val="00682C39"/>
    <w:rsid w:val="0068304E"/>
    <w:rsid w:val="00683194"/>
    <w:rsid w:val="006832A5"/>
    <w:rsid w:val="0068340E"/>
    <w:rsid w:val="00683567"/>
    <w:rsid w:val="0068358F"/>
    <w:rsid w:val="006836FB"/>
    <w:rsid w:val="00683781"/>
    <w:rsid w:val="006837F4"/>
    <w:rsid w:val="0068384B"/>
    <w:rsid w:val="00683985"/>
    <w:rsid w:val="006839BD"/>
    <w:rsid w:val="006839FB"/>
    <w:rsid w:val="00683A67"/>
    <w:rsid w:val="00683BCE"/>
    <w:rsid w:val="00683DA8"/>
    <w:rsid w:val="00683DF7"/>
    <w:rsid w:val="00684297"/>
    <w:rsid w:val="006842E2"/>
    <w:rsid w:val="006843E0"/>
    <w:rsid w:val="006845DB"/>
    <w:rsid w:val="00684877"/>
    <w:rsid w:val="00684B2E"/>
    <w:rsid w:val="00684B50"/>
    <w:rsid w:val="00684C92"/>
    <w:rsid w:val="00684CE1"/>
    <w:rsid w:val="00684D88"/>
    <w:rsid w:val="00684DE4"/>
    <w:rsid w:val="00684DE5"/>
    <w:rsid w:val="00684EDF"/>
    <w:rsid w:val="006851CA"/>
    <w:rsid w:val="0068522D"/>
    <w:rsid w:val="00685558"/>
    <w:rsid w:val="006855FC"/>
    <w:rsid w:val="0068562E"/>
    <w:rsid w:val="0068595E"/>
    <w:rsid w:val="00685982"/>
    <w:rsid w:val="00685B38"/>
    <w:rsid w:val="00685B6F"/>
    <w:rsid w:val="00685B76"/>
    <w:rsid w:val="00685D2A"/>
    <w:rsid w:val="00685E32"/>
    <w:rsid w:val="00685E34"/>
    <w:rsid w:val="00685E86"/>
    <w:rsid w:val="00685FF3"/>
    <w:rsid w:val="00686163"/>
    <w:rsid w:val="006863AF"/>
    <w:rsid w:val="00686400"/>
    <w:rsid w:val="00686522"/>
    <w:rsid w:val="00686594"/>
    <w:rsid w:val="006866AB"/>
    <w:rsid w:val="006866C2"/>
    <w:rsid w:val="00686763"/>
    <w:rsid w:val="0068680D"/>
    <w:rsid w:val="006868D3"/>
    <w:rsid w:val="00686A79"/>
    <w:rsid w:val="00686D09"/>
    <w:rsid w:val="00686EDF"/>
    <w:rsid w:val="00686EE4"/>
    <w:rsid w:val="00687230"/>
    <w:rsid w:val="00687232"/>
    <w:rsid w:val="0068733B"/>
    <w:rsid w:val="006873B8"/>
    <w:rsid w:val="006873D2"/>
    <w:rsid w:val="00687673"/>
    <w:rsid w:val="00687720"/>
    <w:rsid w:val="00687822"/>
    <w:rsid w:val="00687823"/>
    <w:rsid w:val="006879F3"/>
    <w:rsid w:val="00687A3E"/>
    <w:rsid w:val="00687B5C"/>
    <w:rsid w:val="00687C0C"/>
    <w:rsid w:val="00687E6A"/>
    <w:rsid w:val="00687EF5"/>
    <w:rsid w:val="00687F8A"/>
    <w:rsid w:val="00690118"/>
    <w:rsid w:val="00690436"/>
    <w:rsid w:val="00690725"/>
    <w:rsid w:val="0069074C"/>
    <w:rsid w:val="006907D2"/>
    <w:rsid w:val="0069086D"/>
    <w:rsid w:val="00690975"/>
    <w:rsid w:val="006909EE"/>
    <w:rsid w:val="00690CC0"/>
    <w:rsid w:val="00690CFE"/>
    <w:rsid w:val="00691089"/>
    <w:rsid w:val="0069111B"/>
    <w:rsid w:val="00691244"/>
    <w:rsid w:val="006912F1"/>
    <w:rsid w:val="00691928"/>
    <w:rsid w:val="00691AB7"/>
    <w:rsid w:val="00691C98"/>
    <w:rsid w:val="00691D58"/>
    <w:rsid w:val="00691EF3"/>
    <w:rsid w:val="00691F7A"/>
    <w:rsid w:val="006920B4"/>
    <w:rsid w:val="006920CA"/>
    <w:rsid w:val="0069212D"/>
    <w:rsid w:val="00692202"/>
    <w:rsid w:val="0069230D"/>
    <w:rsid w:val="006923E5"/>
    <w:rsid w:val="00692549"/>
    <w:rsid w:val="0069256B"/>
    <w:rsid w:val="00692672"/>
    <w:rsid w:val="00692AD6"/>
    <w:rsid w:val="00692B92"/>
    <w:rsid w:val="00692D31"/>
    <w:rsid w:val="00692E93"/>
    <w:rsid w:val="00692F6F"/>
    <w:rsid w:val="0069308B"/>
    <w:rsid w:val="006930AA"/>
    <w:rsid w:val="006930CE"/>
    <w:rsid w:val="006932E2"/>
    <w:rsid w:val="00693316"/>
    <w:rsid w:val="0069334B"/>
    <w:rsid w:val="00693652"/>
    <w:rsid w:val="006936A3"/>
    <w:rsid w:val="006936FA"/>
    <w:rsid w:val="0069379B"/>
    <w:rsid w:val="00693942"/>
    <w:rsid w:val="0069394A"/>
    <w:rsid w:val="00693A02"/>
    <w:rsid w:val="00693AA4"/>
    <w:rsid w:val="00693B18"/>
    <w:rsid w:val="00693C40"/>
    <w:rsid w:val="00693D7B"/>
    <w:rsid w:val="00693E55"/>
    <w:rsid w:val="006941D9"/>
    <w:rsid w:val="006941DB"/>
    <w:rsid w:val="00694319"/>
    <w:rsid w:val="006944AD"/>
    <w:rsid w:val="00694621"/>
    <w:rsid w:val="0069463C"/>
    <w:rsid w:val="00694786"/>
    <w:rsid w:val="00694A39"/>
    <w:rsid w:val="00694B3E"/>
    <w:rsid w:val="00694C0F"/>
    <w:rsid w:val="00694C99"/>
    <w:rsid w:val="00694D32"/>
    <w:rsid w:val="0069531B"/>
    <w:rsid w:val="006955A0"/>
    <w:rsid w:val="0069581C"/>
    <w:rsid w:val="006958EF"/>
    <w:rsid w:val="00695A33"/>
    <w:rsid w:val="00695C64"/>
    <w:rsid w:val="00695FAA"/>
    <w:rsid w:val="00696258"/>
    <w:rsid w:val="006962BE"/>
    <w:rsid w:val="006963E1"/>
    <w:rsid w:val="006964A2"/>
    <w:rsid w:val="00696663"/>
    <w:rsid w:val="00696759"/>
    <w:rsid w:val="00696B1F"/>
    <w:rsid w:val="00696DC1"/>
    <w:rsid w:val="006970FE"/>
    <w:rsid w:val="0069715B"/>
    <w:rsid w:val="006973B2"/>
    <w:rsid w:val="006974CA"/>
    <w:rsid w:val="00697520"/>
    <w:rsid w:val="0069762C"/>
    <w:rsid w:val="0069763C"/>
    <w:rsid w:val="006976D4"/>
    <w:rsid w:val="006978CE"/>
    <w:rsid w:val="00697903"/>
    <w:rsid w:val="0069793E"/>
    <w:rsid w:val="00697942"/>
    <w:rsid w:val="0069794A"/>
    <w:rsid w:val="006979F5"/>
    <w:rsid w:val="00697B32"/>
    <w:rsid w:val="00697BCB"/>
    <w:rsid w:val="00697E02"/>
    <w:rsid w:val="00697FCD"/>
    <w:rsid w:val="00697FCF"/>
    <w:rsid w:val="006A01E5"/>
    <w:rsid w:val="006A02C7"/>
    <w:rsid w:val="006A0365"/>
    <w:rsid w:val="006A04E2"/>
    <w:rsid w:val="006A06BB"/>
    <w:rsid w:val="006A088F"/>
    <w:rsid w:val="006A08CF"/>
    <w:rsid w:val="006A091A"/>
    <w:rsid w:val="006A0A11"/>
    <w:rsid w:val="006A0A18"/>
    <w:rsid w:val="006A0A89"/>
    <w:rsid w:val="006A0AA1"/>
    <w:rsid w:val="006A0AB8"/>
    <w:rsid w:val="006A0E2C"/>
    <w:rsid w:val="006A105D"/>
    <w:rsid w:val="006A107D"/>
    <w:rsid w:val="006A10E4"/>
    <w:rsid w:val="006A121C"/>
    <w:rsid w:val="006A13CC"/>
    <w:rsid w:val="006A142A"/>
    <w:rsid w:val="006A163B"/>
    <w:rsid w:val="006A164D"/>
    <w:rsid w:val="006A16BA"/>
    <w:rsid w:val="006A18F3"/>
    <w:rsid w:val="006A1957"/>
    <w:rsid w:val="006A19FB"/>
    <w:rsid w:val="006A1B68"/>
    <w:rsid w:val="006A1B8A"/>
    <w:rsid w:val="006A1BC1"/>
    <w:rsid w:val="006A1D9E"/>
    <w:rsid w:val="006A1FC8"/>
    <w:rsid w:val="006A2275"/>
    <w:rsid w:val="006A2654"/>
    <w:rsid w:val="006A28F7"/>
    <w:rsid w:val="006A2984"/>
    <w:rsid w:val="006A29C6"/>
    <w:rsid w:val="006A2CA4"/>
    <w:rsid w:val="006A3095"/>
    <w:rsid w:val="006A30DD"/>
    <w:rsid w:val="006A3278"/>
    <w:rsid w:val="006A32A8"/>
    <w:rsid w:val="006A34D7"/>
    <w:rsid w:val="006A350A"/>
    <w:rsid w:val="006A359B"/>
    <w:rsid w:val="006A38CC"/>
    <w:rsid w:val="006A393B"/>
    <w:rsid w:val="006A3A89"/>
    <w:rsid w:val="006A3A9D"/>
    <w:rsid w:val="006A3D56"/>
    <w:rsid w:val="006A3D98"/>
    <w:rsid w:val="006A3E36"/>
    <w:rsid w:val="006A40D3"/>
    <w:rsid w:val="006A4193"/>
    <w:rsid w:val="006A42B6"/>
    <w:rsid w:val="006A42C0"/>
    <w:rsid w:val="006A4B71"/>
    <w:rsid w:val="006A4C0A"/>
    <w:rsid w:val="006A4C0E"/>
    <w:rsid w:val="006A4C62"/>
    <w:rsid w:val="006A4D2D"/>
    <w:rsid w:val="006A4D4F"/>
    <w:rsid w:val="006A4D5F"/>
    <w:rsid w:val="006A4FA4"/>
    <w:rsid w:val="006A4FB0"/>
    <w:rsid w:val="006A500D"/>
    <w:rsid w:val="006A51D6"/>
    <w:rsid w:val="006A52E1"/>
    <w:rsid w:val="006A5342"/>
    <w:rsid w:val="006A53B8"/>
    <w:rsid w:val="006A5409"/>
    <w:rsid w:val="006A54E3"/>
    <w:rsid w:val="006A5558"/>
    <w:rsid w:val="006A56BE"/>
    <w:rsid w:val="006A584E"/>
    <w:rsid w:val="006A591F"/>
    <w:rsid w:val="006A597F"/>
    <w:rsid w:val="006A5A7A"/>
    <w:rsid w:val="006A5B42"/>
    <w:rsid w:val="006A5E31"/>
    <w:rsid w:val="006A5EF4"/>
    <w:rsid w:val="006A6188"/>
    <w:rsid w:val="006A66A0"/>
    <w:rsid w:val="006A6704"/>
    <w:rsid w:val="006A67DB"/>
    <w:rsid w:val="006A684F"/>
    <w:rsid w:val="006A6900"/>
    <w:rsid w:val="006A6DD9"/>
    <w:rsid w:val="006A708A"/>
    <w:rsid w:val="006A709A"/>
    <w:rsid w:val="006A70D6"/>
    <w:rsid w:val="006A71F0"/>
    <w:rsid w:val="006A728E"/>
    <w:rsid w:val="006A72CA"/>
    <w:rsid w:val="006A72D3"/>
    <w:rsid w:val="006A7681"/>
    <w:rsid w:val="006A778C"/>
    <w:rsid w:val="006A77DE"/>
    <w:rsid w:val="006A781F"/>
    <w:rsid w:val="006A7844"/>
    <w:rsid w:val="006A7B45"/>
    <w:rsid w:val="006A7BC7"/>
    <w:rsid w:val="006A7CFA"/>
    <w:rsid w:val="006A7DB5"/>
    <w:rsid w:val="006A7F20"/>
    <w:rsid w:val="006A7F8D"/>
    <w:rsid w:val="006B0035"/>
    <w:rsid w:val="006B0141"/>
    <w:rsid w:val="006B0237"/>
    <w:rsid w:val="006B0339"/>
    <w:rsid w:val="006B0402"/>
    <w:rsid w:val="006B06B5"/>
    <w:rsid w:val="006B07FA"/>
    <w:rsid w:val="006B0868"/>
    <w:rsid w:val="006B090E"/>
    <w:rsid w:val="006B09EA"/>
    <w:rsid w:val="006B0B64"/>
    <w:rsid w:val="006B0CEB"/>
    <w:rsid w:val="006B0EDB"/>
    <w:rsid w:val="006B0F36"/>
    <w:rsid w:val="006B1279"/>
    <w:rsid w:val="006B13D7"/>
    <w:rsid w:val="006B1762"/>
    <w:rsid w:val="006B185D"/>
    <w:rsid w:val="006B1D1A"/>
    <w:rsid w:val="006B1DCB"/>
    <w:rsid w:val="006B1ED6"/>
    <w:rsid w:val="006B1FE3"/>
    <w:rsid w:val="006B201F"/>
    <w:rsid w:val="006B207B"/>
    <w:rsid w:val="006B21A3"/>
    <w:rsid w:val="006B2390"/>
    <w:rsid w:val="006B249C"/>
    <w:rsid w:val="006B27C1"/>
    <w:rsid w:val="006B2889"/>
    <w:rsid w:val="006B299C"/>
    <w:rsid w:val="006B2CE1"/>
    <w:rsid w:val="006B2E3F"/>
    <w:rsid w:val="006B2E97"/>
    <w:rsid w:val="006B31C2"/>
    <w:rsid w:val="006B335C"/>
    <w:rsid w:val="006B335D"/>
    <w:rsid w:val="006B33A3"/>
    <w:rsid w:val="006B348D"/>
    <w:rsid w:val="006B3567"/>
    <w:rsid w:val="006B3667"/>
    <w:rsid w:val="006B3CEE"/>
    <w:rsid w:val="006B3E94"/>
    <w:rsid w:val="006B3F10"/>
    <w:rsid w:val="006B3F7D"/>
    <w:rsid w:val="006B405A"/>
    <w:rsid w:val="006B436B"/>
    <w:rsid w:val="006B44B3"/>
    <w:rsid w:val="006B4614"/>
    <w:rsid w:val="006B4780"/>
    <w:rsid w:val="006B4AC9"/>
    <w:rsid w:val="006B4B79"/>
    <w:rsid w:val="006B4BD1"/>
    <w:rsid w:val="006B4C3C"/>
    <w:rsid w:val="006B4FB5"/>
    <w:rsid w:val="006B4FC1"/>
    <w:rsid w:val="006B5172"/>
    <w:rsid w:val="006B52CF"/>
    <w:rsid w:val="006B54BD"/>
    <w:rsid w:val="006B56B7"/>
    <w:rsid w:val="006B56FE"/>
    <w:rsid w:val="006B5C67"/>
    <w:rsid w:val="006B60E4"/>
    <w:rsid w:val="006B61B4"/>
    <w:rsid w:val="006B61CD"/>
    <w:rsid w:val="006B6255"/>
    <w:rsid w:val="006B626F"/>
    <w:rsid w:val="006B62A3"/>
    <w:rsid w:val="006B67AC"/>
    <w:rsid w:val="006B67C9"/>
    <w:rsid w:val="006B67FB"/>
    <w:rsid w:val="006B686A"/>
    <w:rsid w:val="006B694C"/>
    <w:rsid w:val="006B69A1"/>
    <w:rsid w:val="006B6D15"/>
    <w:rsid w:val="006B6FD1"/>
    <w:rsid w:val="006B7076"/>
    <w:rsid w:val="006B7307"/>
    <w:rsid w:val="006B73AA"/>
    <w:rsid w:val="006B746E"/>
    <w:rsid w:val="006B7676"/>
    <w:rsid w:val="006B770F"/>
    <w:rsid w:val="006B77BF"/>
    <w:rsid w:val="006B799F"/>
    <w:rsid w:val="006B7A41"/>
    <w:rsid w:val="006B7A4A"/>
    <w:rsid w:val="006B7E41"/>
    <w:rsid w:val="006C0075"/>
    <w:rsid w:val="006C015F"/>
    <w:rsid w:val="006C017C"/>
    <w:rsid w:val="006C04DD"/>
    <w:rsid w:val="006C063E"/>
    <w:rsid w:val="006C06AC"/>
    <w:rsid w:val="006C06FB"/>
    <w:rsid w:val="006C08BB"/>
    <w:rsid w:val="006C08C7"/>
    <w:rsid w:val="006C0964"/>
    <w:rsid w:val="006C0D41"/>
    <w:rsid w:val="006C0F39"/>
    <w:rsid w:val="006C100D"/>
    <w:rsid w:val="006C1020"/>
    <w:rsid w:val="006C10A8"/>
    <w:rsid w:val="006C1332"/>
    <w:rsid w:val="006C13E9"/>
    <w:rsid w:val="006C1459"/>
    <w:rsid w:val="006C1549"/>
    <w:rsid w:val="006C1757"/>
    <w:rsid w:val="006C19FE"/>
    <w:rsid w:val="006C1ACA"/>
    <w:rsid w:val="006C1BBB"/>
    <w:rsid w:val="006C1BE8"/>
    <w:rsid w:val="006C1E77"/>
    <w:rsid w:val="006C1E9E"/>
    <w:rsid w:val="006C1EDF"/>
    <w:rsid w:val="006C1F53"/>
    <w:rsid w:val="006C2008"/>
    <w:rsid w:val="006C2151"/>
    <w:rsid w:val="006C2193"/>
    <w:rsid w:val="006C2261"/>
    <w:rsid w:val="006C22B2"/>
    <w:rsid w:val="006C22BC"/>
    <w:rsid w:val="006C254C"/>
    <w:rsid w:val="006C2597"/>
    <w:rsid w:val="006C2636"/>
    <w:rsid w:val="006C2BA3"/>
    <w:rsid w:val="006C2C15"/>
    <w:rsid w:val="006C2D0B"/>
    <w:rsid w:val="006C2E78"/>
    <w:rsid w:val="006C2ED6"/>
    <w:rsid w:val="006C2F67"/>
    <w:rsid w:val="006C2FF8"/>
    <w:rsid w:val="006C3093"/>
    <w:rsid w:val="006C311D"/>
    <w:rsid w:val="006C3248"/>
    <w:rsid w:val="006C3355"/>
    <w:rsid w:val="006C3517"/>
    <w:rsid w:val="006C3947"/>
    <w:rsid w:val="006C3983"/>
    <w:rsid w:val="006C3BC8"/>
    <w:rsid w:val="006C3C95"/>
    <w:rsid w:val="006C3D63"/>
    <w:rsid w:val="006C3E39"/>
    <w:rsid w:val="006C3F0C"/>
    <w:rsid w:val="006C3F71"/>
    <w:rsid w:val="006C4332"/>
    <w:rsid w:val="006C434D"/>
    <w:rsid w:val="006C43B4"/>
    <w:rsid w:val="006C4465"/>
    <w:rsid w:val="006C46DC"/>
    <w:rsid w:val="006C46F9"/>
    <w:rsid w:val="006C47AB"/>
    <w:rsid w:val="006C491E"/>
    <w:rsid w:val="006C49FD"/>
    <w:rsid w:val="006C4BEF"/>
    <w:rsid w:val="006C4DB0"/>
    <w:rsid w:val="006C4E17"/>
    <w:rsid w:val="006C4E4F"/>
    <w:rsid w:val="006C4E5A"/>
    <w:rsid w:val="006C4E92"/>
    <w:rsid w:val="006C508F"/>
    <w:rsid w:val="006C521F"/>
    <w:rsid w:val="006C531A"/>
    <w:rsid w:val="006C5403"/>
    <w:rsid w:val="006C55C4"/>
    <w:rsid w:val="006C581F"/>
    <w:rsid w:val="006C5948"/>
    <w:rsid w:val="006C5A5E"/>
    <w:rsid w:val="006C5CB0"/>
    <w:rsid w:val="006C5CE7"/>
    <w:rsid w:val="006C5D17"/>
    <w:rsid w:val="006C5D3D"/>
    <w:rsid w:val="006C5F58"/>
    <w:rsid w:val="006C6421"/>
    <w:rsid w:val="006C646E"/>
    <w:rsid w:val="006C647C"/>
    <w:rsid w:val="006C6555"/>
    <w:rsid w:val="006C6632"/>
    <w:rsid w:val="006C66A7"/>
    <w:rsid w:val="006C66BF"/>
    <w:rsid w:val="006C68A6"/>
    <w:rsid w:val="006C6AB5"/>
    <w:rsid w:val="006C6E8D"/>
    <w:rsid w:val="006C7035"/>
    <w:rsid w:val="006C70D7"/>
    <w:rsid w:val="006C723B"/>
    <w:rsid w:val="006C7444"/>
    <w:rsid w:val="006C76B6"/>
    <w:rsid w:val="006C7B90"/>
    <w:rsid w:val="006C7E5A"/>
    <w:rsid w:val="006D0051"/>
    <w:rsid w:val="006D0053"/>
    <w:rsid w:val="006D0240"/>
    <w:rsid w:val="006D04FD"/>
    <w:rsid w:val="006D074B"/>
    <w:rsid w:val="006D08C2"/>
    <w:rsid w:val="006D09EA"/>
    <w:rsid w:val="006D0A40"/>
    <w:rsid w:val="006D0C0A"/>
    <w:rsid w:val="006D0F62"/>
    <w:rsid w:val="006D1163"/>
    <w:rsid w:val="006D1197"/>
    <w:rsid w:val="006D11FB"/>
    <w:rsid w:val="006D14AA"/>
    <w:rsid w:val="006D14CB"/>
    <w:rsid w:val="006D1647"/>
    <w:rsid w:val="006D1BB5"/>
    <w:rsid w:val="006D1BFF"/>
    <w:rsid w:val="006D1D58"/>
    <w:rsid w:val="006D1DA0"/>
    <w:rsid w:val="006D1F70"/>
    <w:rsid w:val="006D1F97"/>
    <w:rsid w:val="006D258C"/>
    <w:rsid w:val="006D25FE"/>
    <w:rsid w:val="006D2879"/>
    <w:rsid w:val="006D2A43"/>
    <w:rsid w:val="006D2B04"/>
    <w:rsid w:val="006D2D51"/>
    <w:rsid w:val="006D2D5B"/>
    <w:rsid w:val="006D2E95"/>
    <w:rsid w:val="006D2F9A"/>
    <w:rsid w:val="006D318F"/>
    <w:rsid w:val="006D3308"/>
    <w:rsid w:val="006D33BD"/>
    <w:rsid w:val="006D33CA"/>
    <w:rsid w:val="006D344B"/>
    <w:rsid w:val="006D3689"/>
    <w:rsid w:val="006D3A13"/>
    <w:rsid w:val="006D3A95"/>
    <w:rsid w:val="006D3E19"/>
    <w:rsid w:val="006D3F69"/>
    <w:rsid w:val="006D42CE"/>
    <w:rsid w:val="006D434F"/>
    <w:rsid w:val="006D43FD"/>
    <w:rsid w:val="006D4554"/>
    <w:rsid w:val="006D4575"/>
    <w:rsid w:val="006D4BE5"/>
    <w:rsid w:val="006D4CAF"/>
    <w:rsid w:val="006D4DE3"/>
    <w:rsid w:val="006D4F4C"/>
    <w:rsid w:val="006D4FAA"/>
    <w:rsid w:val="006D5076"/>
    <w:rsid w:val="006D53B5"/>
    <w:rsid w:val="006D5412"/>
    <w:rsid w:val="006D560A"/>
    <w:rsid w:val="006D568F"/>
    <w:rsid w:val="006D5716"/>
    <w:rsid w:val="006D58F2"/>
    <w:rsid w:val="006D5A7C"/>
    <w:rsid w:val="006D5AC8"/>
    <w:rsid w:val="006D5BA8"/>
    <w:rsid w:val="006D5BEC"/>
    <w:rsid w:val="006D5CF7"/>
    <w:rsid w:val="006D5D67"/>
    <w:rsid w:val="006D5DD8"/>
    <w:rsid w:val="006D6075"/>
    <w:rsid w:val="006D6093"/>
    <w:rsid w:val="006D63A4"/>
    <w:rsid w:val="006D664E"/>
    <w:rsid w:val="006D66DC"/>
    <w:rsid w:val="006D67A8"/>
    <w:rsid w:val="006D6A48"/>
    <w:rsid w:val="006D6B12"/>
    <w:rsid w:val="006D6C9D"/>
    <w:rsid w:val="006D6D0F"/>
    <w:rsid w:val="006D6D20"/>
    <w:rsid w:val="006D7199"/>
    <w:rsid w:val="006D72A2"/>
    <w:rsid w:val="006D72D3"/>
    <w:rsid w:val="006D72E9"/>
    <w:rsid w:val="006D731E"/>
    <w:rsid w:val="006D73E3"/>
    <w:rsid w:val="006D7458"/>
    <w:rsid w:val="006D74A7"/>
    <w:rsid w:val="006D785A"/>
    <w:rsid w:val="006D7988"/>
    <w:rsid w:val="006D79CF"/>
    <w:rsid w:val="006D7AF0"/>
    <w:rsid w:val="006E0058"/>
    <w:rsid w:val="006E01C7"/>
    <w:rsid w:val="006E04AB"/>
    <w:rsid w:val="006E04C9"/>
    <w:rsid w:val="006E04DF"/>
    <w:rsid w:val="006E078D"/>
    <w:rsid w:val="006E086E"/>
    <w:rsid w:val="006E0A81"/>
    <w:rsid w:val="006E0AD4"/>
    <w:rsid w:val="006E0CCA"/>
    <w:rsid w:val="006E0D36"/>
    <w:rsid w:val="006E0D6A"/>
    <w:rsid w:val="006E0E85"/>
    <w:rsid w:val="006E15D1"/>
    <w:rsid w:val="006E192E"/>
    <w:rsid w:val="006E196A"/>
    <w:rsid w:val="006E19AE"/>
    <w:rsid w:val="006E1C49"/>
    <w:rsid w:val="006E1C9C"/>
    <w:rsid w:val="006E1D87"/>
    <w:rsid w:val="006E2074"/>
    <w:rsid w:val="006E21AF"/>
    <w:rsid w:val="006E2230"/>
    <w:rsid w:val="006E25CC"/>
    <w:rsid w:val="006E2858"/>
    <w:rsid w:val="006E29D0"/>
    <w:rsid w:val="006E2D46"/>
    <w:rsid w:val="006E2F0F"/>
    <w:rsid w:val="006E2FA4"/>
    <w:rsid w:val="006E3210"/>
    <w:rsid w:val="006E3361"/>
    <w:rsid w:val="006E343D"/>
    <w:rsid w:val="006E3A36"/>
    <w:rsid w:val="006E3A94"/>
    <w:rsid w:val="006E3BFE"/>
    <w:rsid w:val="006E3D20"/>
    <w:rsid w:val="006E3D92"/>
    <w:rsid w:val="006E3D9F"/>
    <w:rsid w:val="006E4016"/>
    <w:rsid w:val="006E40EB"/>
    <w:rsid w:val="006E410C"/>
    <w:rsid w:val="006E411A"/>
    <w:rsid w:val="006E42F5"/>
    <w:rsid w:val="006E499A"/>
    <w:rsid w:val="006E4ABC"/>
    <w:rsid w:val="006E4CAF"/>
    <w:rsid w:val="006E4CC8"/>
    <w:rsid w:val="006E4EA1"/>
    <w:rsid w:val="006E5171"/>
    <w:rsid w:val="006E525D"/>
    <w:rsid w:val="006E526E"/>
    <w:rsid w:val="006E52A1"/>
    <w:rsid w:val="006E5575"/>
    <w:rsid w:val="006E58ED"/>
    <w:rsid w:val="006E5A30"/>
    <w:rsid w:val="006E5AFE"/>
    <w:rsid w:val="006E5BEE"/>
    <w:rsid w:val="006E5D47"/>
    <w:rsid w:val="006E5FE5"/>
    <w:rsid w:val="006E6019"/>
    <w:rsid w:val="006E60A1"/>
    <w:rsid w:val="006E61A2"/>
    <w:rsid w:val="006E6237"/>
    <w:rsid w:val="006E662B"/>
    <w:rsid w:val="006E676A"/>
    <w:rsid w:val="006E68FC"/>
    <w:rsid w:val="006E69AA"/>
    <w:rsid w:val="006E6C80"/>
    <w:rsid w:val="006E6CA6"/>
    <w:rsid w:val="006E6DB9"/>
    <w:rsid w:val="006E6DED"/>
    <w:rsid w:val="006E6E1A"/>
    <w:rsid w:val="006E6E22"/>
    <w:rsid w:val="006E6FAA"/>
    <w:rsid w:val="006E6FC5"/>
    <w:rsid w:val="006E7058"/>
    <w:rsid w:val="006E714C"/>
    <w:rsid w:val="006E71E3"/>
    <w:rsid w:val="006E725D"/>
    <w:rsid w:val="006E72E7"/>
    <w:rsid w:val="006E7383"/>
    <w:rsid w:val="006E74D8"/>
    <w:rsid w:val="006E74F7"/>
    <w:rsid w:val="006E7549"/>
    <w:rsid w:val="006E767C"/>
    <w:rsid w:val="006E7789"/>
    <w:rsid w:val="006E783F"/>
    <w:rsid w:val="006E793A"/>
    <w:rsid w:val="006E7951"/>
    <w:rsid w:val="006E7A13"/>
    <w:rsid w:val="006E7A7F"/>
    <w:rsid w:val="006E7B7E"/>
    <w:rsid w:val="006E7C39"/>
    <w:rsid w:val="006E7C7E"/>
    <w:rsid w:val="006E7D8F"/>
    <w:rsid w:val="006E7E5D"/>
    <w:rsid w:val="006E7EB2"/>
    <w:rsid w:val="006F00EB"/>
    <w:rsid w:val="006F02CC"/>
    <w:rsid w:val="006F0400"/>
    <w:rsid w:val="006F04E2"/>
    <w:rsid w:val="006F04F2"/>
    <w:rsid w:val="006F0517"/>
    <w:rsid w:val="006F051B"/>
    <w:rsid w:val="006F06BE"/>
    <w:rsid w:val="006F073A"/>
    <w:rsid w:val="006F075F"/>
    <w:rsid w:val="006F089B"/>
    <w:rsid w:val="006F0ADC"/>
    <w:rsid w:val="006F0BB6"/>
    <w:rsid w:val="006F0CCF"/>
    <w:rsid w:val="006F0D8A"/>
    <w:rsid w:val="006F0DF1"/>
    <w:rsid w:val="006F10AF"/>
    <w:rsid w:val="006F1303"/>
    <w:rsid w:val="006F1380"/>
    <w:rsid w:val="006F14C8"/>
    <w:rsid w:val="006F1623"/>
    <w:rsid w:val="006F1677"/>
    <w:rsid w:val="006F181D"/>
    <w:rsid w:val="006F182F"/>
    <w:rsid w:val="006F18A4"/>
    <w:rsid w:val="006F1C71"/>
    <w:rsid w:val="006F1CB8"/>
    <w:rsid w:val="006F1DA9"/>
    <w:rsid w:val="006F1F13"/>
    <w:rsid w:val="006F21FC"/>
    <w:rsid w:val="006F2271"/>
    <w:rsid w:val="006F23B3"/>
    <w:rsid w:val="006F243F"/>
    <w:rsid w:val="006F249F"/>
    <w:rsid w:val="006F28D3"/>
    <w:rsid w:val="006F28EF"/>
    <w:rsid w:val="006F29A7"/>
    <w:rsid w:val="006F2A06"/>
    <w:rsid w:val="006F2B49"/>
    <w:rsid w:val="006F2C2C"/>
    <w:rsid w:val="006F2C67"/>
    <w:rsid w:val="006F2E01"/>
    <w:rsid w:val="006F301F"/>
    <w:rsid w:val="006F3258"/>
    <w:rsid w:val="006F32AD"/>
    <w:rsid w:val="006F37B1"/>
    <w:rsid w:val="006F3846"/>
    <w:rsid w:val="006F3A88"/>
    <w:rsid w:val="006F3B9E"/>
    <w:rsid w:val="006F3C3F"/>
    <w:rsid w:val="006F3DEC"/>
    <w:rsid w:val="006F3FA7"/>
    <w:rsid w:val="006F40F0"/>
    <w:rsid w:val="006F410D"/>
    <w:rsid w:val="006F41CE"/>
    <w:rsid w:val="006F44BC"/>
    <w:rsid w:val="006F4676"/>
    <w:rsid w:val="006F47C1"/>
    <w:rsid w:val="006F47C5"/>
    <w:rsid w:val="006F4815"/>
    <w:rsid w:val="006F4ACD"/>
    <w:rsid w:val="006F4C2F"/>
    <w:rsid w:val="006F4CEC"/>
    <w:rsid w:val="006F4E0B"/>
    <w:rsid w:val="006F4F66"/>
    <w:rsid w:val="006F51BD"/>
    <w:rsid w:val="006F5245"/>
    <w:rsid w:val="006F533E"/>
    <w:rsid w:val="006F5610"/>
    <w:rsid w:val="006F58C6"/>
    <w:rsid w:val="006F5A03"/>
    <w:rsid w:val="006F5B63"/>
    <w:rsid w:val="006F5BCE"/>
    <w:rsid w:val="006F5D5C"/>
    <w:rsid w:val="006F5EE7"/>
    <w:rsid w:val="006F5F7D"/>
    <w:rsid w:val="006F6009"/>
    <w:rsid w:val="006F60A0"/>
    <w:rsid w:val="006F6359"/>
    <w:rsid w:val="006F645A"/>
    <w:rsid w:val="006F64BB"/>
    <w:rsid w:val="006F654E"/>
    <w:rsid w:val="006F675D"/>
    <w:rsid w:val="006F685B"/>
    <w:rsid w:val="006F6B9A"/>
    <w:rsid w:val="006F6DBF"/>
    <w:rsid w:val="006F6E21"/>
    <w:rsid w:val="006F6E60"/>
    <w:rsid w:val="006F734E"/>
    <w:rsid w:val="006F7420"/>
    <w:rsid w:val="006F745E"/>
    <w:rsid w:val="006F75F7"/>
    <w:rsid w:val="006F765E"/>
    <w:rsid w:val="006F7AE6"/>
    <w:rsid w:val="006F7B0C"/>
    <w:rsid w:val="006F7B33"/>
    <w:rsid w:val="006F7B4A"/>
    <w:rsid w:val="006F7C3C"/>
    <w:rsid w:val="006F7C94"/>
    <w:rsid w:val="006F7D13"/>
    <w:rsid w:val="006F7EC1"/>
    <w:rsid w:val="006F7F3D"/>
    <w:rsid w:val="007002C2"/>
    <w:rsid w:val="007004FF"/>
    <w:rsid w:val="0070069E"/>
    <w:rsid w:val="007006ED"/>
    <w:rsid w:val="0070085E"/>
    <w:rsid w:val="00700AD4"/>
    <w:rsid w:val="00700B5B"/>
    <w:rsid w:val="00700B8F"/>
    <w:rsid w:val="00700C34"/>
    <w:rsid w:val="00700DC8"/>
    <w:rsid w:val="00700F12"/>
    <w:rsid w:val="0070102F"/>
    <w:rsid w:val="0070114C"/>
    <w:rsid w:val="007011F0"/>
    <w:rsid w:val="00701558"/>
    <w:rsid w:val="007016EB"/>
    <w:rsid w:val="00701A24"/>
    <w:rsid w:val="00701B23"/>
    <w:rsid w:val="00701BB9"/>
    <w:rsid w:val="00701C48"/>
    <w:rsid w:val="00701D98"/>
    <w:rsid w:val="00701E10"/>
    <w:rsid w:val="00701F4C"/>
    <w:rsid w:val="00701F7A"/>
    <w:rsid w:val="00701F91"/>
    <w:rsid w:val="00701FCB"/>
    <w:rsid w:val="0070202D"/>
    <w:rsid w:val="00702098"/>
    <w:rsid w:val="00702190"/>
    <w:rsid w:val="0070248E"/>
    <w:rsid w:val="007024A3"/>
    <w:rsid w:val="007024DA"/>
    <w:rsid w:val="007025C2"/>
    <w:rsid w:val="007025E1"/>
    <w:rsid w:val="007027C3"/>
    <w:rsid w:val="0070284F"/>
    <w:rsid w:val="00702A82"/>
    <w:rsid w:val="00702B38"/>
    <w:rsid w:val="00702B62"/>
    <w:rsid w:val="00702ED2"/>
    <w:rsid w:val="00702F57"/>
    <w:rsid w:val="00703096"/>
    <w:rsid w:val="00703255"/>
    <w:rsid w:val="0070326F"/>
    <w:rsid w:val="0070333D"/>
    <w:rsid w:val="007034B9"/>
    <w:rsid w:val="007034E4"/>
    <w:rsid w:val="007034F9"/>
    <w:rsid w:val="007035D9"/>
    <w:rsid w:val="00703815"/>
    <w:rsid w:val="00703818"/>
    <w:rsid w:val="007039C7"/>
    <w:rsid w:val="00703A65"/>
    <w:rsid w:val="00703ABB"/>
    <w:rsid w:val="00703BCF"/>
    <w:rsid w:val="00703C9B"/>
    <w:rsid w:val="00703E0E"/>
    <w:rsid w:val="00703F5F"/>
    <w:rsid w:val="0070426D"/>
    <w:rsid w:val="00704503"/>
    <w:rsid w:val="007045E1"/>
    <w:rsid w:val="007049B9"/>
    <w:rsid w:val="00704B85"/>
    <w:rsid w:val="00704BDA"/>
    <w:rsid w:val="00704BF9"/>
    <w:rsid w:val="00704CB8"/>
    <w:rsid w:val="00704D96"/>
    <w:rsid w:val="00704DC0"/>
    <w:rsid w:val="0070538F"/>
    <w:rsid w:val="0070548C"/>
    <w:rsid w:val="007056B5"/>
    <w:rsid w:val="007056F8"/>
    <w:rsid w:val="007059BB"/>
    <w:rsid w:val="00705A45"/>
    <w:rsid w:val="00705AD9"/>
    <w:rsid w:val="00705C41"/>
    <w:rsid w:val="00705C53"/>
    <w:rsid w:val="00705D50"/>
    <w:rsid w:val="00705E19"/>
    <w:rsid w:val="00706101"/>
    <w:rsid w:val="00706240"/>
    <w:rsid w:val="00706376"/>
    <w:rsid w:val="00706480"/>
    <w:rsid w:val="00706580"/>
    <w:rsid w:val="007065CB"/>
    <w:rsid w:val="007065E5"/>
    <w:rsid w:val="0070679C"/>
    <w:rsid w:val="0070684E"/>
    <w:rsid w:val="0070698C"/>
    <w:rsid w:val="00706AA7"/>
    <w:rsid w:val="00706AE3"/>
    <w:rsid w:val="00706D8D"/>
    <w:rsid w:val="00706DA2"/>
    <w:rsid w:val="00706E61"/>
    <w:rsid w:val="00706F62"/>
    <w:rsid w:val="0070702E"/>
    <w:rsid w:val="00707228"/>
    <w:rsid w:val="00707376"/>
    <w:rsid w:val="00707607"/>
    <w:rsid w:val="00707680"/>
    <w:rsid w:val="00707886"/>
    <w:rsid w:val="007078F0"/>
    <w:rsid w:val="00707B34"/>
    <w:rsid w:val="00707B4D"/>
    <w:rsid w:val="00707C17"/>
    <w:rsid w:val="00707E7C"/>
    <w:rsid w:val="00707F9E"/>
    <w:rsid w:val="00707FFE"/>
    <w:rsid w:val="007101F6"/>
    <w:rsid w:val="0071027D"/>
    <w:rsid w:val="00710410"/>
    <w:rsid w:val="0071056B"/>
    <w:rsid w:val="0071058B"/>
    <w:rsid w:val="007105FB"/>
    <w:rsid w:val="00710636"/>
    <w:rsid w:val="00710A58"/>
    <w:rsid w:val="00710A7C"/>
    <w:rsid w:val="00710CFC"/>
    <w:rsid w:val="00710DC2"/>
    <w:rsid w:val="00710DE6"/>
    <w:rsid w:val="00710EBB"/>
    <w:rsid w:val="00710EC3"/>
    <w:rsid w:val="00711272"/>
    <w:rsid w:val="0071169D"/>
    <w:rsid w:val="00711987"/>
    <w:rsid w:val="00711A58"/>
    <w:rsid w:val="00711B6B"/>
    <w:rsid w:val="00711B9D"/>
    <w:rsid w:val="00711BCE"/>
    <w:rsid w:val="0071228F"/>
    <w:rsid w:val="007122DC"/>
    <w:rsid w:val="00712329"/>
    <w:rsid w:val="0071233D"/>
    <w:rsid w:val="007123D0"/>
    <w:rsid w:val="00712590"/>
    <w:rsid w:val="007125E0"/>
    <w:rsid w:val="00712609"/>
    <w:rsid w:val="0071265B"/>
    <w:rsid w:val="00712A21"/>
    <w:rsid w:val="00712A76"/>
    <w:rsid w:val="00712AF4"/>
    <w:rsid w:val="00712F28"/>
    <w:rsid w:val="007132A7"/>
    <w:rsid w:val="007132BA"/>
    <w:rsid w:val="007133B5"/>
    <w:rsid w:val="00713853"/>
    <w:rsid w:val="007138DF"/>
    <w:rsid w:val="0071391F"/>
    <w:rsid w:val="007139C2"/>
    <w:rsid w:val="00713AC6"/>
    <w:rsid w:val="00713DA0"/>
    <w:rsid w:val="0071401B"/>
    <w:rsid w:val="00714031"/>
    <w:rsid w:val="0071404A"/>
    <w:rsid w:val="007141E8"/>
    <w:rsid w:val="00714373"/>
    <w:rsid w:val="007144BC"/>
    <w:rsid w:val="00714510"/>
    <w:rsid w:val="00714515"/>
    <w:rsid w:val="00714571"/>
    <w:rsid w:val="007145BC"/>
    <w:rsid w:val="0071482E"/>
    <w:rsid w:val="007148D6"/>
    <w:rsid w:val="00714C31"/>
    <w:rsid w:val="00714CB7"/>
    <w:rsid w:val="00714E47"/>
    <w:rsid w:val="0071504D"/>
    <w:rsid w:val="007152A3"/>
    <w:rsid w:val="00715416"/>
    <w:rsid w:val="00715421"/>
    <w:rsid w:val="00715552"/>
    <w:rsid w:val="007155D9"/>
    <w:rsid w:val="00715702"/>
    <w:rsid w:val="00715748"/>
    <w:rsid w:val="00715838"/>
    <w:rsid w:val="007158EB"/>
    <w:rsid w:val="007159B9"/>
    <w:rsid w:val="00715EB6"/>
    <w:rsid w:val="00715FF9"/>
    <w:rsid w:val="00716247"/>
    <w:rsid w:val="007162BB"/>
    <w:rsid w:val="007164BB"/>
    <w:rsid w:val="00716979"/>
    <w:rsid w:val="00716C52"/>
    <w:rsid w:val="00717108"/>
    <w:rsid w:val="007173D7"/>
    <w:rsid w:val="0071754E"/>
    <w:rsid w:val="007176A0"/>
    <w:rsid w:val="007176CC"/>
    <w:rsid w:val="007176DB"/>
    <w:rsid w:val="007178F3"/>
    <w:rsid w:val="00720069"/>
    <w:rsid w:val="00720102"/>
    <w:rsid w:val="00720598"/>
    <w:rsid w:val="00720784"/>
    <w:rsid w:val="007207B6"/>
    <w:rsid w:val="007207CF"/>
    <w:rsid w:val="00720893"/>
    <w:rsid w:val="00720982"/>
    <w:rsid w:val="007209CC"/>
    <w:rsid w:val="007209D9"/>
    <w:rsid w:val="00720ADC"/>
    <w:rsid w:val="00720D77"/>
    <w:rsid w:val="00721011"/>
    <w:rsid w:val="00721024"/>
    <w:rsid w:val="00721138"/>
    <w:rsid w:val="00721338"/>
    <w:rsid w:val="00721366"/>
    <w:rsid w:val="00721542"/>
    <w:rsid w:val="0072170B"/>
    <w:rsid w:val="00721917"/>
    <w:rsid w:val="00721928"/>
    <w:rsid w:val="007219A6"/>
    <w:rsid w:val="00721B83"/>
    <w:rsid w:val="00721D93"/>
    <w:rsid w:val="00721F3B"/>
    <w:rsid w:val="00721F71"/>
    <w:rsid w:val="00722194"/>
    <w:rsid w:val="007222A5"/>
    <w:rsid w:val="007222B5"/>
    <w:rsid w:val="00722653"/>
    <w:rsid w:val="007226BA"/>
    <w:rsid w:val="00722AC2"/>
    <w:rsid w:val="00722F56"/>
    <w:rsid w:val="00722F84"/>
    <w:rsid w:val="00722FD0"/>
    <w:rsid w:val="00722FE7"/>
    <w:rsid w:val="007231D4"/>
    <w:rsid w:val="007235B1"/>
    <w:rsid w:val="007235DA"/>
    <w:rsid w:val="007236C6"/>
    <w:rsid w:val="007237ED"/>
    <w:rsid w:val="00723885"/>
    <w:rsid w:val="00723A3E"/>
    <w:rsid w:val="00723ADA"/>
    <w:rsid w:val="00723CDE"/>
    <w:rsid w:val="00723FE5"/>
    <w:rsid w:val="00724254"/>
    <w:rsid w:val="00724409"/>
    <w:rsid w:val="00724479"/>
    <w:rsid w:val="00724A43"/>
    <w:rsid w:val="00724AD4"/>
    <w:rsid w:val="00724CA5"/>
    <w:rsid w:val="00724EEE"/>
    <w:rsid w:val="00724EEF"/>
    <w:rsid w:val="0072564D"/>
    <w:rsid w:val="007257E1"/>
    <w:rsid w:val="00725846"/>
    <w:rsid w:val="00725871"/>
    <w:rsid w:val="007258DB"/>
    <w:rsid w:val="007258EC"/>
    <w:rsid w:val="00725AED"/>
    <w:rsid w:val="00725B00"/>
    <w:rsid w:val="00725DC4"/>
    <w:rsid w:val="00725F42"/>
    <w:rsid w:val="00726105"/>
    <w:rsid w:val="007261A3"/>
    <w:rsid w:val="00726347"/>
    <w:rsid w:val="0072641E"/>
    <w:rsid w:val="007267B5"/>
    <w:rsid w:val="0072684B"/>
    <w:rsid w:val="007268AB"/>
    <w:rsid w:val="00726B82"/>
    <w:rsid w:val="00726E2E"/>
    <w:rsid w:val="00726E3F"/>
    <w:rsid w:val="00726E67"/>
    <w:rsid w:val="00726E79"/>
    <w:rsid w:val="00727050"/>
    <w:rsid w:val="0072713A"/>
    <w:rsid w:val="0072713B"/>
    <w:rsid w:val="0072734F"/>
    <w:rsid w:val="00727432"/>
    <w:rsid w:val="00727552"/>
    <w:rsid w:val="007275E3"/>
    <w:rsid w:val="007279CF"/>
    <w:rsid w:val="00727A58"/>
    <w:rsid w:val="00727D3C"/>
    <w:rsid w:val="00727DB2"/>
    <w:rsid w:val="00727E2E"/>
    <w:rsid w:val="00730118"/>
    <w:rsid w:val="007301EC"/>
    <w:rsid w:val="00730237"/>
    <w:rsid w:val="0073031F"/>
    <w:rsid w:val="0073038F"/>
    <w:rsid w:val="007304FE"/>
    <w:rsid w:val="00730520"/>
    <w:rsid w:val="00730527"/>
    <w:rsid w:val="00730812"/>
    <w:rsid w:val="00730882"/>
    <w:rsid w:val="0073093F"/>
    <w:rsid w:val="00730C34"/>
    <w:rsid w:val="00730CFC"/>
    <w:rsid w:val="00730DAD"/>
    <w:rsid w:val="00730DCE"/>
    <w:rsid w:val="007313AD"/>
    <w:rsid w:val="007314F7"/>
    <w:rsid w:val="00731BF5"/>
    <w:rsid w:val="00731C4E"/>
    <w:rsid w:val="00731DA5"/>
    <w:rsid w:val="00731E11"/>
    <w:rsid w:val="00731E58"/>
    <w:rsid w:val="00731F16"/>
    <w:rsid w:val="007320AB"/>
    <w:rsid w:val="00732106"/>
    <w:rsid w:val="00732412"/>
    <w:rsid w:val="007324CE"/>
    <w:rsid w:val="007325B6"/>
    <w:rsid w:val="00732677"/>
    <w:rsid w:val="007326E8"/>
    <w:rsid w:val="007326F6"/>
    <w:rsid w:val="007327D1"/>
    <w:rsid w:val="007329E6"/>
    <w:rsid w:val="00732A14"/>
    <w:rsid w:val="00732A60"/>
    <w:rsid w:val="00732B7A"/>
    <w:rsid w:val="00732BA7"/>
    <w:rsid w:val="00732D06"/>
    <w:rsid w:val="00732E3B"/>
    <w:rsid w:val="00733156"/>
    <w:rsid w:val="0073317D"/>
    <w:rsid w:val="007332EE"/>
    <w:rsid w:val="0073344A"/>
    <w:rsid w:val="00733656"/>
    <w:rsid w:val="00733817"/>
    <w:rsid w:val="00733A01"/>
    <w:rsid w:val="00733A48"/>
    <w:rsid w:val="00733B81"/>
    <w:rsid w:val="00733F02"/>
    <w:rsid w:val="00733FE1"/>
    <w:rsid w:val="0073428E"/>
    <w:rsid w:val="007342AE"/>
    <w:rsid w:val="007342F9"/>
    <w:rsid w:val="00734566"/>
    <w:rsid w:val="00734583"/>
    <w:rsid w:val="007345EC"/>
    <w:rsid w:val="0073461E"/>
    <w:rsid w:val="00734754"/>
    <w:rsid w:val="00734890"/>
    <w:rsid w:val="007348C7"/>
    <w:rsid w:val="007349BB"/>
    <w:rsid w:val="00734ADF"/>
    <w:rsid w:val="00734C83"/>
    <w:rsid w:val="00734D5C"/>
    <w:rsid w:val="00734DAB"/>
    <w:rsid w:val="00734F11"/>
    <w:rsid w:val="00734F1E"/>
    <w:rsid w:val="00734FC0"/>
    <w:rsid w:val="00735084"/>
    <w:rsid w:val="007351AE"/>
    <w:rsid w:val="0073528A"/>
    <w:rsid w:val="007353BF"/>
    <w:rsid w:val="0073554B"/>
    <w:rsid w:val="00735610"/>
    <w:rsid w:val="00735723"/>
    <w:rsid w:val="00735770"/>
    <w:rsid w:val="00736273"/>
    <w:rsid w:val="0073627C"/>
    <w:rsid w:val="007362F8"/>
    <w:rsid w:val="007363BD"/>
    <w:rsid w:val="00736519"/>
    <w:rsid w:val="0073651C"/>
    <w:rsid w:val="00736785"/>
    <w:rsid w:val="00736BFB"/>
    <w:rsid w:val="00736D13"/>
    <w:rsid w:val="00736D36"/>
    <w:rsid w:val="00736E08"/>
    <w:rsid w:val="00736E13"/>
    <w:rsid w:val="00736F02"/>
    <w:rsid w:val="00736F1C"/>
    <w:rsid w:val="00736F80"/>
    <w:rsid w:val="0073727D"/>
    <w:rsid w:val="0073743A"/>
    <w:rsid w:val="00737459"/>
    <w:rsid w:val="0073757D"/>
    <w:rsid w:val="007376A8"/>
    <w:rsid w:val="007377D1"/>
    <w:rsid w:val="00737BE4"/>
    <w:rsid w:val="00737CF2"/>
    <w:rsid w:val="00737E0E"/>
    <w:rsid w:val="00737EB0"/>
    <w:rsid w:val="00737ED7"/>
    <w:rsid w:val="00740177"/>
    <w:rsid w:val="0074027E"/>
    <w:rsid w:val="007402C3"/>
    <w:rsid w:val="007403AD"/>
    <w:rsid w:val="007405EB"/>
    <w:rsid w:val="0074064A"/>
    <w:rsid w:val="007406CA"/>
    <w:rsid w:val="007406DF"/>
    <w:rsid w:val="00740950"/>
    <w:rsid w:val="00740BC6"/>
    <w:rsid w:val="00740C0D"/>
    <w:rsid w:val="00740DBF"/>
    <w:rsid w:val="00740E61"/>
    <w:rsid w:val="007412B5"/>
    <w:rsid w:val="007413B6"/>
    <w:rsid w:val="0074145A"/>
    <w:rsid w:val="007414D9"/>
    <w:rsid w:val="0074175D"/>
    <w:rsid w:val="007418EC"/>
    <w:rsid w:val="00741B3F"/>
    <w:rsid w:val="00741B59"/>
    <w:rsid w:val="00741C46"/>
    <w:rsid w:val="00741E86"/>
    <w:rsid w:val="00742113"/>
    <w:rsid w:val="007421FA"/>
    <w:rsid w:val="0074225C"/>
    <w:rsid w:val="007422D2"/>
    <w:rsid w:val="007422D7"/>
    <w:rsid w:val="0074250F"/>
    <w:rsid w:val="00742668"/>
    <w:rsid w:val="0074268D"/>
    <w:rsid w:val="00742699"/>
    <w:rsid w:val="00742706"/>
    <w:rsid w:val="0074295C"/>
    <w:rsid w:val="0074298E"/>
    <w:rsid w:val="00742C8E"/>
    <w:rsid w:val="00742CF9"/>
    <w:rsid w:val="00742D5D"/>
    <w:rsid w:val="00742D6D"/>
    <w:rsid w:val="00742DA6"/>
    <w:rsid w:val="00742F8F"/>
    <w:rsid w:val="007431E2"/>
    <w:rsid w:val="007431EB"/>
    <w:rsid w:val="00743208"/>
    <w:rsid w:val="00743384"/>
    <w:rsid w:val="00743388"/>
    <w:rsid w:val="00743567"/>
    <w:rsid w:val="007435FA"/>
    <w:rsid w:val="0074374E"/>
    <w:rsid w:val="0074380E"/>
    <w:rsid w:val="0074389C"/>
    <w:rsid w:val="007439D3"/>
    <w:rsid w:val="00743B01"/>
    <w:rsid w:val="00743B3F"/>
    <w:rsid w:val="00743B6C"/>
    <w:rsid w:val="00743C1C"/>
    <w:rsid w:val="00743E4D"/>
    <w:rsid w:val="00743EEB"/>
    <w:rsid w:val="00744064"/>
    <w:rsid w:val="007440EA"/>
    <w:rsid w:val="007440EF"/>
    <w:rsid w:val="00744168"/>
    <w:rsid w:val="007443DE"/>
    <w:rsid w:val="007444C7"/>
    <w:rsid w:val="007444D8"/>
    <w:rsid w:val="0074461B"/>
    <w:rsid w:val="0074476A"/>
    <w:rsid w:val="00744994"/>
    <w:rsid w:val="00744AC3"/>
    <w:rsid w:val="00744B59"/>
    <w:rsid w:val="00744D1A"/>
    <w:rsid w:val="00744E4A"/>
    <w:rsid w:val="00744FF9"/>
    <w:rsid w:val="00745016"/>
    <w:rsid w:val="00745171"/>
    <w:rsid w:val="0074524D"/>
    <w:rsid w:val="00745377"/>
    <w:rsid w:val="007453DD"/>
    <w:rsid w:val="007454C9"/>
    <w:rsid w:val="00745627"/>
    <w:rsid w:val="00745673"/>
    <w:rsid w:val="00745676"/>
    <w:rsid w:val="00745776"/>
    <w:rsid w:val="00745905"/>
    <w:rsid w:val="007459E5"/>
    <w:rsid w:val="00745C26"/>
    <w:rsid w:val="00745C44"/>
    <w:rsid w:val="00745C77"/>
    <w:rsid w:val="00745CF0"/>
    <w:rsid w:val="00745E65"/>
    <w:rsid w:val="00745FF4"/>
    <w:rsid w:val="0074671C"/>
    <w:rsid w:val="0074686D"/>
    <w:rsid w:val="0074698A"/>
    <w:rsid w:val="007469C4"/>
    <w:rsid w:val="00746B6E"/>
    <w:rsid w:val="00746C92"/>
    <w:rsid w:val="007470F0"/>
    <w:rsid w:val="0074722C"/>
    <w:rsid w:val="007472AB"/>
    <w:rsid w:val="0074735F"/>
    <w:rsid w:val="007475B7"/>
    <w:rsid w:val="00747705"/>
    <w:rsid w:val="00747846"/>
    <w:rsid w:val="00747925"/>
    <w:rsid w:val="0074793C"/>
    <w:rsid w:val="00747A47"/>
    <w:rsid w:val="00747BBD"/>
    <w:rsid w:val="00747D9F"/>
    <w:rsid w:val="00747DB7"/>
    <w:rsid w:val="00747E21"/>
    <w:rsid w:val="00747E83"/>
    <w:rsid w:val="00747F38"/>
    <w:rsid w:val="00750135"/>
    <w:rsid w:val="00750222"/>
    <w:rsid w:val="0075025E"/>
    <w:rsid w:val="007502B7"/>
    <w:rsid w:val="007504BA"/>
    <w:rsid w:val="0075060C"/>
    <w:rsid w:val="00750705"/>
    <w:rsid w:val="007508C8"/>
    <w:rsid w:val="00750A30"/>
    <w:rsid w:val="00750B0F"/>
    <w:rsid w:val="00750D16"/>
    <w:rsid w:val="00750F7B"/>
    <w:rsid w:val="007510A1"/>
    <w:rsid w:val="007510B7"/>
    <w:rsid w:val="00751251"/>
    <w:rsid w:val="007516D8"/>
    <w:rsid w:val="0075177D"/>
    <w:rsid w:val="0075178F"/>
    <w:rsid w:val="00751822"/>
    <w:rsid w:val="007518CB"/>
    <w:rsid w:val="007519AA"/>
    <w:rsid w:val="00751A31"/>
    <w:rsid w:val="00751E22"/>
    <w:rsid w:val="00751F17"/>
    <w:rsid w:val="0075212F"/>
    <w:rsid w:val="007523B2"/>
    <w:rsid w:val="00752507"/>
    <w:rsid w:val="00752731"/>
    <w:rsid w:val="0075275E"/>
    <w:rsid w:val="00752778"/>
    <w:rsid w:val="00752823"/>
    <w:rsid w:val="0075297A"/>
    <w:rsid w:val="00752A82"/>
    <w:rsid w:val="00752B1E"/>
    <w:rsid w:val="00752B59"/>
    <w:rsid w:val="00752D68"/>
    <w:rsid w:val="00752FCB"/>
    <w:rsid w:val="00753132"/>
    <w:rsid w:val="0075319C"/>
    <w:rsid w:val="007531CF"/>
    <w:rsid w:val="007532FB"/>
    <w:rsid w:val="00753413"/>
    <w:rsid w:val="0075367F"/>
    <w:rsid w:val="00753704"/>
    <w:rsid w:val="00753718"/>
    <w:rsid w:val="007537B1"/>
    <w:rsid w:val="00753A1C"/>
    <w:rsid w:val="00753B2A"/>
    <w:rsid w:val="00753BE5"/>
    <w:rsid w:val="00753BF9"/>
    <w:rsid w:val="00753F10"/>
    <w:rsid w:val="00754093"/>
    <w:rsid w:val="00754110"/>
    <w:rsid w:val="0075461A"/>
    <w:rsid w:val="0075466A"/>
    <w:rsid w:val="00754C0D"/>
    <w:rsid w:val="00754D94"/>
    <w:rsid w:val="00754DA5"/>
    <w:rsid w:val="00754E9D"/>
    <w:rsid w:val="00754FDC"/>
    <w:rsid w:val="00754FEA"/>
    <w:rsid w:val="00755282"/>
    <w:rsid w:val="007553C6"/>
    <w:rsid w:val="007554F1"/>
    <w:rsid w:val="0075557B"/>
    <w:rsid w:val="00755757"/>
    <w:rsid w:val="00755772"/>
    <w:rsid w:val="00755891"/>
    <w:rsid w:val="007559A2"/>
    <w:rsid w:val="00755B07"/>
    <w:rsid w:val="00755CD6"/>
    <w:rsid w:val="0075612A"/>
    <w:rsid w:val="00756154"/>
    <w:rsid w:val="0075622E"/>
    <w:rsid w:val="0075626D"/>
    <w:rsid w:val="007562F2"/>
    <w:rsid w:val="00756452"/>
    <w:rsid w:val="0075646A"/>
    <w:rsid w:val="007567EB"/>
    <w:rsid w:val="00756B7A"/>
    <w:rsid w:val="00756B97"/>
    <w:rsid w:val="00756DC2"/>
    <w:rsid w:val="00757034"/>
    <w:rsid w:val="00757079"/>
    <w:rsid w:val="00757402"/>
    <w:rsid w:val="00757430"/>
    <w:rsid w:val="00757494"/>
    <w:rsid w:val="00757667"/>
    <w:rsid w:val="007576D1"/>
    <w:rsid w:val="00757797"/>
    <w:rsid w:val="0075780F"/>
    <w:rsid w:val="00757855"/>
    <w:rsid w:val="00757872"/>
    <w:rsid w:val="007579C4"/>
    <w:rsid w:val="00757AD8"/>
    <w:rsid w:val="00760006"/>
    <w:rsid w:val="00760375"/>
    <w:rsid w:val="00760637"/>
    <w:rsid w:val="0076067C"/>
    <w:rsid w:val="007606A0"/>
    <w:rsid w:val="007606C4"/>
    <w:rsid w:val="007606FC"/>
    <w:rsid w:val="007608C7"/>
    <w:rsid w:val="00760955"/>
    <w:rsid w:val="00760A50"/>
    <w:rsid w:val="00760B5A"/>
    <w:rsid w:val="00760FB0"/>
    <w:rsid w:val="0076120F"/>
    <w:rsid w:val="0076142A"/>
    <w:rsid w:val="0076144F"/>
    <w:rsid w:val="00761612"/>
    <w:rsid w:val="00761C1B"/>
    <w:rsid w:val="00761C9A"/>
    <w:rsid w:val="00761D02"/>
    <w:rsid w:val="00761E41"/>
    <w:rsid w:val="00761FAF"/>
    <w:rsid w:val="00762041"/>
    <w:rsid w:val="00762084"/>
    <w:rsid w:val="00762370"/>
    <w:rsid w:val="007623A2"/>
    <w:rsid w:val="00762515"/>
    <w:rsid w:val="00762549"/>
    <w:rsid w:val="007625F1"/>
    <w:rsid w:val="007626BE"/>
    <w:rsid w:val="007626D5"/>
    <w:rsid w:val="007629CE"/>
    <w:rsid w:val="00762A22"/>
    <w:rsid w:val="00762AD9"/>
    <w:rsid w:val="00762BCC"/>
    <w:rsid w:val="00762C63"/>
    <w:rsid w:val="00762D27"/>
    <w:rsid w:val="00762E9F"/>
    <w:rsid w:val="0076324B"/>
    <w:rsid w:val="007633F0"/>
    <w:rsid w:val="00763B7A"/>
    <w:rsid w:val="00763BFC"/>
    <w:rsid w:val="00763DCF"/>
    <w:rsid w:val="00763EBF"/>
    <w:rsid w:val="00763FB0"/>
    <w:rsid w:val="007640C2"/>
    <w:rsid w:val="00764309"/>
    <w:rsid w:val="0076436A"/>
    <w:rsid w:val="00764523"/>
    <w:rsid w:val="007647BF"/>
    <w:rsid w:val="00764A3F"/>
    <w:rsid w:val="00764BFD"/>
    <w:rsid w:val="00764DDC"/>
    <w:rsid w:val="00764FB9"/>
    <w:rsid w:val="0076509F"/>
    <w:rsid w:val="0076584E"/>
    <w:rsid w:val="007658DF"/>
    <w:rsid w:val="0076596B"/>
    <w:rsid w:val="00765AAA"/>
    <w:rsid w:val="00765ACE"/>
    <w:rsid w:val="00765D24"/>
    <w:rsid w:val="00765DB4"/>
    <w:rsid w:val="00765E2F"/>
    <w:rsid w:val="00765ED5"/>
    <w:rsid w:val="0076605A"/>
    <w:rsid w:val="007660CD"/>
    <w:rsid w:val="00766534"/>
    <w:rsid w:val="0076666B"/>
    <w:rsid w:val="007666F7"/>
    <w:rsid w:val="007668D5"/>
    <w:rsid w:val="00766F5A"/>
    <w:rsid w:val="00766FC3"/>
    <w:rsid w:val="00767025"/>
    <w:rsid w:val="00767070"/>
    <w:rsid w:val="007670DC"/>
    <w:rsid w:val="00767169"/>
    <w:rsid w:val="007671AA"/>
    <w:rsid w:val="0076749E"/>
    <w:rsid w:val="00767523"/>
    <w:rsid w:val="007676AC"/>
    <w:rsid w:val="00767741"/>
    <w:rsid w:val="007679F6"/>
    <w:rsid w:val="00767AA8"/>
    <w:rsid w:val="00767AF4"/>
    <w:rsid w:val="00767D60"/>
    <w:rsid w:val="00767D8F"/>
    <w:rsid w:val="00767FDE"/>
    <w:rsid w:val="00770120"/>
    <w:rsid w:val="00770131"/>
    <w:rsid w:val="007703D1"/>
    <w:rsid w:val="007703D6"/>
    <w:rsid w:val="00770686"/>
    <w:rsid w:val="007708D6"/>
    <w:rsid w:val="007709C4"/>
    <w:rsid w:val="007709EE"/>
    <w:rsid w:val="00770B4E"/>
    <w:rsid w:val="00770BE3"/>
    <w:rsid w:val="00770C5F"/>
    <w:rsid w:val="00770D01"/>
    <w:rsid w:val="00770F46"/>
    <w:rsid w:val="00770FEE"/>
    <w:rsid w:val="00770FF5"/>
    <w:rsid w:val="007710AD"/>
    <w:rsid w:val="007710CC"/>
    <w:rsid w:val="00771332"/>
    <w:rsid w:val="00771725"/>
    <w:rsid w:val="00771731"/>
    <w:rsid w:val="0077173B"/>
    <w:rsid w:val="0077191C"/>
    <w:rsid w:val="00771ABF"/>
    <w:rsid w:val="00771B54"/>
    <w:rsid w:val="00771C0C"/>
    <w:rsid w:val="00771F6B"/>
    <w:rsid w:val="007723F8"/>
    <w:rsid w:val="007724E2"/>
    <w:rsid w:val="00772965"/>
    <w:rsid w:val="00772D50"/>
    <w:rsid w:val="00772DC0"/>
    <w:rsid w:val="00772FC6"/>
    <w:rsid w:val="007730A4"/>
    <w:rsid w:val="007730B1"/>
    <w:rsid w:val="00773204"/>
    <w:rsid w:val="00773259"/>
    <w:rsid w:val="00773406"/>
    <w:rsid w:val="007734AA"/>
    <w:rsid w:val="007735C4"/>
    <w:rsid w:val="00773650"/>
    <w:rsid w:val="00773698"/>
    <w:rsid w:val="007737AF"/>
    <w:rsid w:val="007739C6"/>
    <w:rsid w:val="00773ABB"/>
    <w:rsid w:val="00773ABC"/>
    <w:rsid w:val="00774004"/>
    <w:rsid w:val="0077427D"/>
    <w:rsid w:val="007742BC"/>
    <w:rsid w:val="00774531"/>
    <w:rsid w:val="007746FA"/>
    <w:rsid w:val="007749AD"/>
    <w:rsid w:val="00774A35"/>
    <w:rsid w:val="00774A5C"/>
    <w:rsid w:val="00774AE5"/>
    <w:rsid w:val="00774AF2"/>
    <w:rsid w:val="00774B32"/>
    <w:rsid w:val="00774B40"/>
    <w:rsid w:val="00774C61"/>
    <w:rsid w:val="00774E6D"/>
    <w:rsid w:val="00774EF9"/>
    <w:rsid w:val="00774FD7"/>
    <w:rsid w:val="00775047"/>
    <w:rsid w:val="0077506B"/>
    <w:rsid w:val="007754C1"/>
    <w:rsid w:val="00775576"/>
    <w:rsid w:val="0077564C"/>
    <w:rsid w:val="007756E0"/>
    <w:rsid w:val="0077571C"/>
    <w:rsid w:val="00775795"/>
    <w:rsid w:val="00775797"/>
    <w:rsid w:val="00775935"/>
    <w:rsid w:val="00775AD9"/>
    <w:rsid w:val="00775EC4"/>
    <w:rsid w:val="00775FD3"/>
    <w:rsid w:val="0077618C"/>
    <w:rsid w:val="00776321"/>
    <w:rsid w:val="00776559"/>
    <w:rsid w:val="00776671"/>
    <w:rsid w:val="0077685F"/>
    <w:rsid w:val="0077686E"/>
    <w:rsid w:val="007768A4"/>
    <w:rsid w:val="007768FB"/>
    <w:rsid w:val="00776AB7"/>
    <w:rsid w:val="00776CB9"/>
    <w:rsid w:val="00776DCD"/>
    <w:rsid w:val="00776E01"/>
    <w:rsid w:val="00776FEC"/>
    <w:rsid w:val="007771F9"/>
    <w:rsid w:val="007771FD"/>
    <w:rsid w:val="007773A3"/>
    <w:rsid w:val="00777482"/>
    <w:rsid w:val="007774FC"/>
    <w:rsid w:val="0077759F"/>
    <w:rsid w:val="0077766C"/>
    <w:rsid w:val="007776A6"/>
    <w:rsid w:val="00777841"/>
    <w:rsid w:val="00777B1B"/>
    <w:rsid w:val="00777B90"/>
    <w:rsid w:val="00777D6E"/>
    <w:rsid w:val="00777E94"/>
    <w:rsid w:val="00780145"/>
    <w:rsid w:val="0078015B"/>
    <w:rsid w:val="007801D7"/>
    <w:rsid w:val="007805C4"/>
    <w:rsid w:val="007806A3"/>
    <w:rsid w:val="007806E4"/>
    <w:rsid w:val="007807B0"/>
    <w:rsid w:val="00780912"/>
    <w:rsid w:val="00780B91"/>
    <w:rsid w:val="00780CBA"/>
    <w:rsid w:val="00780D9C"/>
    <w:rsid w:val="00780FD1"/>
    <w:rsid w:val="0078162E"/>
    <w:rsid w:val="007819F1"/>
    <w:rsid w:val="00781A0F"/>
    <w:rsid w:val="00781B55"/>
    <w:rsid w:val="00781BA9"/>
    <w:rsid w:val="00781CAC"/>
    <w:rsid w:val="00781D6F"/>
    <w:rsid w:val="00781D95"/>
    <w:rsid w:val="00782024"/>
    <w:rsid w:val="007820D3"/>
    <w:rsid w:val="00782128"/>
    <w:rsid w:val="00782192"/>
    <w:rsid w:val="007821CF"/>
    <w:rsid w:val="0078220B"/>
    <w:rsid w:val="007824BB"/>
    <w:rsid w:val="0078255E"/>
    <w:rsid w:val="00782606"/>
    <w:rsid w:val="00782669"/>
    <w:rsid w:val="007826DC"/>
    <w:rsid w:val="007828D0"/>
    <w:rsid w:val="00782A3C"/>
    <w:rsid w:val="00782ADE"/>
    <w:rsid w:val="00782BAC"/>
    <w:rsid w:val="00782C22"/>
    <w:rsid w:val="00782CCB"/>
    <w:rsid w:val="00782CE9"/>
    <w:rsid w:val="00782F41"/>
    <w:rsid w:val="00782F74"/>
    <w:rsid w:val="007831EA"/>
    <w:rsid w:val="00783229"/>
    <w:rsid w:val="007836F0"/>
    <w:rsid w:val="00783791"/>
    <w:rsid w:val="00783A4F"/>
    <w:rsid w:val="00783BB1"/>
    <w:rsid w:val="00783F30"/>
    <w:rsid w:val="007841C7"/>
    <w:rsid w:val="00784376"/>
    <w:rsid w:val="00784412"/>
    <w:rsid w:val="0078465B"/>
    <w:rsid w:val="007846A3"/>
    <w:rsid w:val="007846D3"/>
    <w:rsid w:val="007848DC"/>
    <w:rsid w:val="00784929"/>
    <w:rsid w:val="00784A5B"/>
    <w:rsid w:val="00784BC3"/>
    <w:rsid w:val="00784DE3"/>
    <w:rsid w:val="00784F74"/>
    <w:rsid w:val="00784FFA"/>
    <w:rsid w:val="0078536A"/>
    <w:rsid w:val="00785474"/>
    <w:rsid w:val="007854C7"/>
    <w:rsid w:val="0078551D"/>
    <w:rsid w:val="007856BE"/>
    <w:rsid w:val="007856F1"/>
    <w:rsid w:val="0078570D"/>
    <w:rsid w:val="007858B6"/>
    <w:rsid w:val="00785A2B"/>
    <w:rsid w:val="00785BA8"/>
    <w:rsid w:val="00785C52"/>
    <w:rsid w:val="00785D28"/>
    <w:rsid w:val="00785D85"/>
    <w:rsid w:val="00785E1D"/>
    <w:rsid w:val="00785F15"/>
    <w:rsid w:val="00785FD2"/>
    <w:rsid w:val="00786457"/>
    <w:rsid w:val="007864E3"/>
    <w:rsid w:val="007865E6"/>
    <w:rsid w:val="0078677B"/>
    <w:rsid w:val="00786A9B"/>
    <w:rsid w:val="00786B5D"/>
    <w:rsid w:val="00786C82"/>
    <w:rsid w:val="00786E7A"/>
    <w:rsid w:val="00786F5B"/>
    <w:rsid w:val="007870E9"/>
    <w:rsid w:val="007871F3"/>
    <w:rsid w:val="0078722F"/>
    <w:rsid w:val="0078727E"/>
    <w:rsid w:val="0078733F"/>
    <w:rsid w:val="007873E5"/>
    <w:rsid w:val="007874D6"/>
    <w:rsid w:val="007875DC"/>
    <w:rsid w:val="0078787F"/>
    <w:rsid w:val="0078795D"/>
    <w:rsid w:val="00787B4A"/>
    <w:rsid w:val="00787B6B"/>
    <w:rsid w:val="00787D5D"/>
    <w:rsid w:val="00787DF8"/>
    <w:rsid w:val="00787E2D"/>
    <w:rsid w:val="00787FB9"/>
    <w:rsid w:val="007900E7"/>
    <w:rsid w:val="007901B0"/>
    <w:rsid w:val="007901D0"/>
    <w:rsid w:val="007902B0"/>
    <w:rsid w:val="007903CA"/>
    <w:rsid w:val="007905D3"/>
    <w:rsid w:val="007905E5"/>
    <w:rsid w:val="0079074B"/>
    <w:rsid w:val="007908BE"/>
    <w:rsid w:val="007908D4"/>
    <w:rsid w:val="00790A51"/>
    <w:rsid w:val="00790AF0"/>
    <w:rsid w:val="00790D12"/>
    <w:rsid w:val="00790DFE"/>
    <w:rsid w:val="00790F62"/>
    <w:rsid w:val="00791388"/>
    <w:rsid w:val="007916B0"/>
    <w:rsid w:val="00791785"/>
    <w:rsid w:val="00791A14"/>
    <w:rsid w:val="00791ACA"/>
    <w:rsid w:val="00791AE3"/>
    <w:rsid w:val="00791BA2"/>
    <w:rsid w:val="00791C2E"/>
    <w:rsid w:val="00791DC1"/>
    <w:rsid w:val="00791FA0"/>
    <w:rsid w:val="00791FE8"/>
    <w:rsid w:val="0079211A"/>
    <w:rsid w:val="00792139"/>
    <w:rsid w:val="007924B5"/>
    <w:rsid w:val="00792604"/>
    <w:rsid w:val="007926BA"/>
    <w:rsid w:val="00792702"/>
    <w:rsid w:val="00792881"/>
    <w:rsid w:val="00792966"/>
    <w:rsid w:val="00792B6E"/>
    <w:rsid w:val="00792C24"/>
    <w:rsid w:val="00792CC2"/>
    <w:rsid w:val="00792D1D"/>
    <w:rsid w:val="00792E50"/>
    <w:rsid w:val="00793289"/>
    <w:rsid w:val="00793296"/>
    <w:rsid w:val="0079340E"/>
    <w:rsid w:val="00793625"/>
    <w:rsid w:val="007937AD"/>
    <w:rsid w:val="007938A5"/>
    <w:rsid w:val="007938B2"/>
    <w:rsid w:val="00793942"/>
    <w:rsid w:val="00793A14"/>
    <w:rsid w:val="00793B32"/>
    <w:rsid w:val="00793DD4"/>
    <w:rsid w:val="00793FCC"/>
    <w:rsid w:val="00793FD6"/>
    <w:rsid w:val="007942E6"/>
    <w:rsid w:val="0079435E"/>
    <w:rsid w:val="00794366"/>
    <w:rsid w:val="00794379"/>
    <w:rsid w:val="0079446F"/>
    <w:rsid w:val="007945A1"/>
    <w:rsid w:val="007946C4"/>
    <w:rsid w:val="007947A9"/>
    <w:rsid w:val="00794D3D"/>
    <w:rsid w:val="00794EC1"/>
    <w:rsid w:val="00794ED9"/>
    <w:rsid w:val="00794EE5"/>
    <w:rsid w:val="00795023"/>
    <w:rsid w:val="007951AE"/>
    <w:rsid w:val="00795503"/>
    <w:rsid w:val="0079553A"/>
    <w:rsid w:val="0079576D"/>
    <w:rsid w:val="00795B8F"/>
    <w:rsid w:val="00795C35"/>
    <w:rsid w:val="00795FD4"/>
    <w:rsid w:val="00796004"/>
    <w:rsid w:val="00796285"/>
    <w:rsid w:val="0079636F"/>
    <w:rsid w:val="007963AF"/>
    <w:rsid w:val="0079672B"/>
    <w:rsid w:val="00796819"/>
    <w:rsid w:val="00796887"/>
    <w:rsid w:val="00796B22"/>
    <w:rsid w:val="00796B83"/>
    <w:rsid w:val="00796E6E"/>
    <w:rsid w:val="00796E94"/>
    <w:rsid w:val="00796EB1"/>
    <w:rsid w:val="00796EE3"/>
    <w:rsid w:val="00796F6E"/>
    <w:rsid w:val="00797075"/>
    <w:rsid w:val="007970A1"/>
    <w:rsid w:val="007970A2"/>
    <w:rsid w:val="0079723A"/>
    <w:rsid w:val="00797285"/>
    <w:rsid w:val="00797333"/>
    <w:rsid w:val="0079744D"/>
    <w:rsid w:val="007976E2"/>
    <w:rsid w:val="0079791C"/>
    <w:rsid w:val="0079794C"/>
    <w:rsid w:val="00797B12"/>
    <w:rsid w:val="00797C2E"/>
    <w:rsid w:val="007A0012"/>
    <w:rsid w:val="007A008F"/>
    <w:rsid w:val="007A0171"/>
    <w:rsid w:val="007A0237"/>
    <w:rsid w:val="007A0270"/>
    <w:rsid w:val="007A05F6"/>
    <w:rsid w:val="007A09DF"/>
    <w:rsid w:val="007A0A37"/>
    <w:rsid w:val="007A0EBA"/>
    <w:rsid w:val="007A0F4E"/>
    <w:rsid w:val="007A1337"/>
    <w:rsid w:val="007A1463"/>
    <w:rsid w:val="007A163A"/>
    <w:rsid w:val="007A17B2"/>
    <w:rsid w:val="007A19E8"/>
    <w:rsid w:val="007A1AFD"/>
    <w:rsid w:val="007A1E02"/>
    <w:rsid w:val="007A1EA6"/>
    <w:rsid w:val="007A1F71"/>
    <w:rsid w:val="007A1FA7"/>
    <w:rsid w:val="007A22CE"/>
    <w:rsid w:val="007A237E"/>
    <w:rsid w:val="007A2456"/>
    <w:rsid w:val="007A259D"/>
    <w:rsid w:val="007A267E"/>
    <w:rsid w:val="007A279D"/>
    <w:rsid w:val="007A2973"/>
    <w:rsid w:val="007A2A5D"/>
    <w:rsid w:val="007A2B2A"/>
    <w:rsid w:val="007A2C5F"/>
    <w:rsid w:val="007A2C67"/>
    <w:rsid w:val="007A304C"/>
    <w:rsid w:val="007A30B1"/>
    <w:rsid w:val="007A3248"/>
    <w:rsid w:val="007A3344"/>
    <w:rsid w:val="007A337B"/>
    <w:rsid w:val="007A3386"/>
    <w:rsid w:val="007A340B"/>
    <w:rsid w:val="007A349B"/>
    <w:rsid w:val="007A37BA"/>
    <w:rsid w:val="007A3861"/>
    <w:rsid w:val="007A3A51"/>
    <w:rsid w:val="007A3CE6"/>
    <w:rsid w:val="007A3E4D"/>
    <w:rsid w:val="007A4023"/>
    <w:rsid w:val="007A40AC"/>
    <w:rsid w:val="007A41AD"/>
    <w:rsid w:val="007A42D6"/>
    <w:rsid w:val="007A4377"/>
    <w:rsid w:val="007A48A1"/>
    <w:rsid w:val="007A4C3C"/>
    <w:rsid w:val="007A501B"/>
    <w:rsid w:val="007A5173"/>
    <w:rsid w:val="007A5219"/>
    <w:rsid w:val="007A5370"/>
    <w:rsid w:val="007A547D"/>
    <w:rsid w:val="007A5657"/>
    <w:rsid w:val="007A5712"/>
    <w:rsid w:val="007A57B1"/>
    <w:rsid w:val="007A57BF"/>
    <w:rsid w:val="007A57DD"/>
    <w:rsid w:val="007A57EA"/>
    <w:rsid w:val="007A58C2"/>
    <w:rsid w:val="007A5907"/>
    <w:rsid w:val="007A5A04"/>
    <w:rsid w:val="007A5A6E"/>
    <w:rsid w:val="007A5BD4"/>
    <w:rsid w:val="007A5CF2"/>
    <w:rsid w:val="007A5D32"/>
    <w:rsid w:val="007A5DB5"/>
    <w:rsid w:val="007A5E24"/>
    <w:rsid w:val="007A5EB8"/>
    <w:rsid w:val="007A5F46"/>
    <w:rsid w:val="007A6006"/>
    <w:rsid w:val="007A60D4"/>
    <w:rsid w:val="007A610D"/>
    <w:rsid w:val="007A6137"/>
    <w:rsid w:val="007A6209"/>
    <w:rsid w:val="007A627F"/>
    <w:rsid w:val="007A62A4"/>
    <w:rsid w:val="007A6318"/>
    <w:rsid w:val="007A639B"/>
    <w:rsid w:val="007A63FD"/>
    <w:rsid w:val="007A6526"/>
    <w:rsid w:val="007A667B"/>
    <w:rsid w:val="007A671F"/>
    <w:rsid w:val="007A672C"/>
    <w:rsid w:val="007A6D18"/>
    <w:rsid w:val="007A6D3C"/>
    <w:rsid w:val="007A70E6"/>
    <w:rsid w:val="007A70FB"/>
    <w:rsid w:val="007A71C4"/>
    <w:rsid w:val="007A724D"/>
    <w:rsid w:val="007A7555"/>
    <w:rsid w:val="007A7914"/>
    <w:rsid w:val="007A79D4"/>
    <w:rsid w:val="007A7D64"/>
    <w:rsid w:val="007A7DF1"/>
    <w:rsid w:val="007A7ECC"/>
    <w:rsid w:val="007B0083"/>
    <w:rsid w:val="007B0338"/>
    <w:rsid w:val="007B045A"/>
    <w:rsid w:val="007B049E"/>
    <w:rsid w:val="007B0544"/>
    <w:rsid w:val="007B05E0"/>
    <w:rsid w:val="007B05FC"/>
    <w:rsid w:val="007B0739"/>
    <w:rsid w:val="007B0766"/>
    <w:rsid w:val="007B0821"/>
    <w:rsid w:val="007B09D8"/>
    <w:rsid w:val="007B0A46"/>
    <w:rsid w:val="007B0B0D"/>
    <w:rsid w:val="007B0D49"/>
    <w:rsid w:val="007B0E16"/>
    <w:rsid w:val="007B0F27"/>
    <w:rsid w:val="007B0F8D"/>
    <w:rsid w:val="007B0FE7"/>
    <w:rsid w:val="007B11BF"/>
    <w:rsid w:val="007B1325"/>
    <w:rsid w:val="007B1397"/>
    <w:rsid w:val="007B13AA"/>
    <w:rsid w:val="007B15B9"/>
    <w:rsid w:val="007B175A"/>
    <w:rsid w:val="007B1A20"/>
    <w:rsid w:val="007B1E42"/>
    <w:rsid w:val="007B20F1"/>
    <w:rsid w:val="007B22D4"/>
    <w:rsid w:val="007B23FC"/>
    <w:rsid w:val="007B247D"/>
    <w:rsid w:val="007B2530"/>
    <w:rsid w:val="007B2588"/>
    <w:rsid w:val="007B2606"/>
    <w:rsid w:val="007B2879"/>
    <w:rsid w:val="007B28B7"/>
    <w:rsid w:val="007B29F7"/>
    <w:rsid w:val="007B2A0D"/>
    <w:rsid w:val="007B2C2F"/>
    <w:rsid w:val="007B2CB0"/>
    <w:rsid w:val="007B2DE9"/>
    <w:rsid w:val="007B2E72"/>
    <w:rsid w:val="007B3020"/>
    <w:rsid w:val="007B3250"/>
    <w:rsid w:val="007B32EC"/>
    <w:rsid w:val="007B35E5"/>
    <w:rsid w:val="007B36F7"/>
    <w:rsid w:val="007B3AB0"/>
    <w:rsid w:val="007B3C1D"/>
    <w:rsid w:val="007B3C3E"/>
    <w:rsid w:val="007B3CD2"/>
    <w:rsid w:val="007B3D62"/>
    <w:rsid w:val="007B3D81"/>
    <w:rsid w:val="007B3F72"/>
    <w:rsid w:val="007B3FE8"/>
    <w:rsid w:val="007B40C0"/>
    <w:rsid w:val="007B4363"/>
    <w:rsid w:val="007B4603"/>
    <w:rsid w:val="007B4742"/>
    <w:rsid w:val="007B4834"/>
    <w:rsid w:val="007B4842"/>
    <w:rsid w:val="007B4A15"/>
    <w:rsid w:val="007B4A85"/>
    <w:rsid w:val="007B4D9E"/>
    <w:rsid w:val="007B4DD7"/>
    <w:rsid w:val="007B4EDA"/>
    <w:rsid w:val="007B4F47"/>
    <w:rsid w:val="007B50CB"/>
    <w:rsid w:val="007B5465"/>
    <w:rsid w:val="007B5489"/>
    <w:rsid w:val="007B57AC"/>
    <w:rsid w:val="007B586A"/>
    <w:rsid w:val="007B591C"/>
    <w:rsid w:val="007B5A6D"/>
    <w:rsid w:val="007B5C58"/>
    <w:rsid w:val="007B5E08"/>
    <w:rsid w:val="007B5EDC"/>
    <w:rsid w:val="007B6449"/>
    <w:rsid w:val="007B64F7"/>
    <w:rsid w:val="007B667A"/>
    <w:rsid w:val="007B66D6"/>
    <w:rsid w:val="007B6839"/>
    <w:rsid w:val="007B6A91"/>
    <w:rsid w:val="007B6AE0"/>
    <w:rsid w:val="007B6B22"/>
    <w:rsid w:val="007B6BFC"/>
    <w:rsid w:val="007B6C21"/>
    <w:rsid w:val="007B6C7A"/>
    <w:rsid w:val="007B6CD1"/>
    <w:rsid w:val="007B6CE4"/>
    <w:rsid w:val="007B6EBF"/>
    <w:rsid w:val="007B70E0"/>
    <w:rsid w:val="007B725F"/>
    <w:rsid w:val="007B735A"/>
    <w:rsid w:val="007B7386"/>
    <w:rsid w:val="007B73AB"/>
    <w:rsid w:val="007B74EE"/>
    <w:rsid w:val="007B7561"/>
    <w:rsid w:val="007B7608"/>
    <w:rsid w:val="007B790F"/>
    <w:rsid w:val="007B7960"/>
    <w:rsid w:val="007B79A9"/>
    <w:rsid w:val="007B7A20"/>
    <w:rsid w:val="007B7A8A"/>
    <w:rsid w:val="007B7AE5"/>
    <w:rsid w:val="007B7BF3"/>
    <w:rsid w:val="007B7F78"/>
    <w:rsid w:val="007B7FEA"/>
    <w:rsid w:val="007C0103"/>
    <w:rsid w:val="007C02B5"/>
    <w:rsid w:val="007C0371"/>
    <w:rsid w:val="007C0400"/>
    <w:rsid w:val="007C0466"/>
    <w:rsid w:val="007C0552"/>
    <w:rsid w:val="007C0BE7"/>
    <w:rsid w:val="007C0C67"/>
    <w:rsid w:val="007C1119"/>
    <w:rsid w:val="007C122E"/>
    <w:rsid w:val="007C12F8"/>
    <w:rsid w:val="007C13BA"/>
    <w:rsid w:val="007C13F2"/>
    <w:rsid w:val="007C1552"/>
    <w:rsid w:val="007C1589"/>
    <w:rsid w:val="007C1746"/>
    <w:rsid w:val="007C19B2"/>
    <w:rsid w:val="007C1A24"/>
    <w:rsid w:val="007C1A51"/>
    <w:rsid w:val="007C1A90"/>
    <w:rsid w:val="007C1AC1"/>
    <w:rsid w:val="007C1BE8"/>
    <w:rsid w:val="007C1CCB"/>
    <w:rsid w:val="007C1D55"/>
    <w:rsid w:val="007C1D61"/>
    <w:rsid w:val="007C215C"/>
    <w:rsid w:val="007C21C5"/>
    <w:rsid w:val="007C2425"/>
    <w:rsid w:val="007C25D1"/>
    <w:rsid w:val="007C2791"/>
    <w:rsid w:val="007C279B"/>
    <w:rsid w:val="007C2943"/>
    <w:rsid w:val="007C2A5A"/>
    <w:rsid w:val="007C2D3F"/>
    <w:rsid w:val="007C2DC9"/>
    <w:rsid w:val="007C2E63"/>
    <w:rsid w:val="007C32E6"/>
    <w:rsid w:val="007C3379"/>
    <w:rsid w:val="007C33A4"/>
    <w:rsid w:val="007C347A"/>
    <w:rsid w:val="007C3511"/>
    <w:rsid w:val="007C370B"/>
    <w:rsid w:val="007C3AE8"/>
    <w:rsid w:val="007C3F88"/>
    <w:rsid w:val="007C4102"/>
    <w:rsid w:val="007C41BB"/>
    <w:rsid w:val="007C4253"/>
    <w:rsid w:val="007C43CD"/>
    <w:rsid w:val="007C449B"/>
    <w:rsid w:val="007C45C0"/>
    <w:rsid w:val="007C4649"/>
    <w:rsid w:val="007C469F"/>
    <w:rsid w:val="007C47CF"/>
    <w:rsid w:val="007C47D6"/>
    <w:rsid w:val="007C48AA"/>
    <w:rsid w:val="007C492C"/>
    <w:rsid w:val="007C4A5B"/>
    <w:rsid w:val="007C4BA3"/>
    <w:rsid w:val="007C4CFB"/>
    <w:rsid w:val="007C4E60"/>
    <w:rsid w:val="007C4EBE"/>
    <w:rsid w:val="007C4F43"/>
    <w:rsid w:val="007C53B0"/>
    <w:rsid w:val="007C5405"/>
    <w:rsid w:val="007C5484"/>
    <w:rsid w:val="007C5512"/>
    <w:rsid w:val="007C55DA"/>
    <w:rsid w:val="007C5729"/>
    <w:rsid w:val="007C574D"/>
    <w:rsid w:val="007C581E"/>
    <w:rsid w:val="007C5892"/>
    <w:rsid w:val="007C58BD"/>
    <w:rsid w:val="007C5AC0"/>
    <w:rsid w:val="007C6056"/>
    <w:rsid w:val="007C6142"/>
    <w:rsid w:val="007C6195"/>
    <w:rsid w:val="007C62E1"/>
    <w:rsid w:val="007C636A"/>
    <w:rsid w:val="007C639E"/>
    <w:rsid w:val="007C6462"/>
    <w:rsid w:val="007C6496"/>
    <w:rsid w:val="007C64D5"/>
    <w:rsid w:val="007C662B"/>
    <w:rsid w:val="007C6886"/>
    <w:rsid w:val="007C6B6C"/>
    <w:rsid w:val="007C6D44"/>
    <w:rsid w:val="007C6DD2"/>
    <w:rsid w:val="007C6E68"/>
    <w:rsid w:val="007C6ED3"/>
    <w:rsid w:val="007C6F15"/>
    <w:rsid w:val="007C6FFE"/>
    <w:rsid w:val="007C7166"/>
    <w:rsid w:val="007C7193"/>
    <w:rsid w:val="007C7292"/>
    <w:rsid w:val="007C72E4"/>
    <w:rsid w:val="007C74E1"/>
    <w:rsid w:val="007C77EB"/>
    <w:rsid w:val="007C786C"/>
    <w:rsid w:val="007C78A0"/>
    <w:rsid w:val="007C79A8"/>
    <w:rsid w:val="007C7D87"/>
    <w:rsid w:val="007C7EE4"/>
    <w:rsid w:val="007D00D6"/>
    <w:rsid w:val="007D0848"/>
    <w:rsid w:val="007D085A"/>
    <w:rsid w:val="007D08DA"/>
    <w:rsid w:val="007D0D6E"/>
    <w:rsid w:val="007D0E0C"/>
    <w:rsid w:val="007D0F93"/>
    <w:rsid w:val="007D10CA"/>
    <w:rsid w:val="007D1353"/>
    <w:rsid w:val="007D136F"/>
    <w:rsid w:val="007D13F4"/>
    <w:rsid w:val="007D1561"/>
    <w:rsid w:val="007D186A"/>
    <w:rsid w:val="007D189C"/>
    <w:rsid w:val="007D1A62"/>
    <w:rsid w:val="007D1ADD"/>
    <w:rsid w:val="007D1AFE"/>
    <w:rsid w:val="007D1C09"/>
    <w:rsid w:val="007D1C49"/>
    <w:rsid w:val="007D1CAD"/>
    <w:rsid w:val="007D1E84"/>
    <w:rsid w:val="007D1EA6"/>
    <w:rsid w:val="007D1EBA"/>
    <w:rsid w:val="007D1FC8"/>
    <w:rsid w:val="007D2028"/>
    <w:rsid w:val="007D209A"/>
    <w:rsid w:val="007D21F3"/>
    <w:rsid w:val="007D2401"/>
    <w:rsid w:val="007D24F6"/>
    <w:rsid w:val="007D2576"/>
    <w:rsid w:val="007D2607"/>
    <w:rsid w:val="007D28CB"/>
    <w:rsid w:val="007D297C"/>
    <w:rsid w:val="007D29AA"/>
    <w:rsid w:val="007D29C9"/>
    <w:rsid w:val="007D2A78"/>
    <w:rsid w:val="007D2BE5"/>
    <w:rsid w:val="007D2D78"/>
    <w:rsid w:val="007D2DCB"/>
    <w:rsid w:val="007D3089"/>
    <w:rsid w:val="007D30A8"/>
    <w:rsid w:val="007D314F"/>
    <w:rsid w:val="007D3221"/>
    <w:rsid w:val="007D343F"/>
    <w:rsid w:val="007D3470"/>
    <w:rsid w:val="007D3521"/>
    <w:rsid w:val="007D35FF"/>
    <w:rsid w:val="007D361F"/>
    <w:rsid w:val="007D3760"/>
    <w:rsid w:val="007D3833"/>
    <w:rsid w:val="007D39AE"/>
    <w:rsid w:val="007D3A19"/>
    <w:rsid w:val="007D3A69"/>
    <w:rsid w:val="007D3A81"/>
    <w:rsid w:val="007D3AE3"/>
    <w:rsid w:val="007D3BB0"/>
    <w:rsid w:val="007D3DF2"/>
    <w:rsid w:val="007D3E14"/>
    <w:rsid w:val="007D3EAE"/>
    <w:rsid w:val="007D43D2"/>
    <w:rsid w:val="007D43FA"/>
    <w:rsid w:val="007D4436"/>
    <w:rsid w:val="007D46AC"/>
    <w:rsid w:val="007D4818"/>
    <w:rsid w:val="007D4B09"/>
    <w:rsid w:val="007D4BD9"/>
    <w:rsid w:val="007D4C6C"/>
    <w:rsid w:val="007D4D47"/>
    <w:rsid w:val="007D4DE6"/>
    <w:rsid w:val="007D4F29"/>
    <w:rsid w:val="007D5060"/>
    <w:rsid w:val="007D507B"/>
    <w:rsid w:val="007D50FC"/>
    <w:rsid w:val="007D53F8"/>
    <w:rsid w:val="007D551C"/>
    <w:rsid w:val="007D5536"/>
    <w:rsid w:val="007D55DF"/>
    <w:rsid w:val="007D571D"/>
    <w:rsid w:val="007D571E"/>
    <w:rsid w:val="007D58A4"/>
    <w:rsid w:val="007D5936"/>
    <w:rsid w:val="007D5A20"/>
    <w:rsid w:val="007D5A23"/>
    <w:rsid w:val="007D5CB1"/>
    <w:rsid w:val="007D5F27"/>
    <w:rsid w:val="007D6140"/>
    <w:rsid w:val="007D635C"/>
    <w:rsid w:val="007D635E"/>
    <w:rsid w:val="007D6471"/>
    <w:rsid w:val="007D6626"/>
    <w:rsid w:val="007D67A9"/>
    <w:rsid w:val="007D67EA"/>
    <w:rsid w:val="007D690F"/>
    <w:rsid w:val="007D6927"/>
    <w:rsid w:val="007D6992"/>
    <w:rsid w:val="007D6A03"/>
    <w:rsid w:val="007D6AEF"/>
    <w:rsid w:val="007D6D32"/>
    <w:rsid w:val="007D6DB7"/>
    <w:rsid w:val="007D7115"/>
    <w:rsid w:val="007D71D5"/>
    <w:rsid w:val="007D77A3"/>
    <w:rsid w:val="007D7A1B"/>
    <w:rsid w:val="007D7A28"/>
    <w:rsid w:val="007D7D18"/>
    <w:rsid w:val="007D7D23"/>
    <w:rsid w:val="007D7D45"/>
    <w:rsid w:val="007D7ED0"/>
    <w:rsid w:val="007E017D"/>
    <w:rsid w:val="007E02E3"/>
    <w:rsid w:val="007E0391"/>
    <w:rsid w:val="007E0421"/>
    <w:rsid w:val="007E04A5"/>
    <w:rsid w:val="007E04CC"/>
    <w:rsid w:val="007E05E6"/>
    <w:rsid w:val="007E0686"/>
    <w:rsid w:val="007E06AF"/>
    <w:rsid w:val="007E07E3"/>
    <w:rsid w:val="007E0B9F"/>
    <w:rsid w:val="007E0F2A"/>
    <w:rsid w:val="007E118C"/>
    <w:rsid w:val="007E12CA"/>
    <w:rsid w:val="007E1311"/>
    <w:rsid w:val="007E145E"/>
    <w:rsid w:val="007E1521"/>
    <w:rsid w:val="007E1551"/>
    <w:rsid w:val="007E181C"/>
    <w:rsid w:val="007E1932"/>
    <w:rsid w:val="007E19A3"/>
    <w:rsid w:val="007E19B6"/>
    <w:rsid w:val="007E1A99"/>
    <w:rsid w:val="007E1B41"/>
    <w:rsid w:val="007E20E5"/>
    <w:rsid w:val="007E2107"/>
    <w:rsid w:val="007E218A"/>
    <w:rsid w:val="007E230D"/>
    <w:rsid w:val="007E2316"/>
    <w:rsid w:val="007E234C"/>
    <w:rsid w:val="007E2445"/>
    <w:rsid w:val="007E2454"/>
    <w:rsid w:val="007E2463"/>
    <w:rsid w:val="007E2743"/>
    <w:rsid w:val="007E278B"/>
    <w:rsid w:val="007E29DE"/>
    <w:rsid w:val="007E2A77"/>
    <w:rsid w:val="007E2CBB"/>
    <w:rsid w:val="007E2F7F"/>
    <w:rsid w:val="007E3059"/>
    <w:rsid w:val="007E31E1"/>
    <w:rsid w:val="007E32A6"/>
    <w:rsid w:val="007E351A"/>
    <w:rsid w:val="007E3549"/>
    <w:rsid w:val="007E3571"/>
    <w:rsid w:val="007E3608"/>
    <w:rsid w:val="007E39EA"/>
    <w:rsid w:val="007E3AA1"/>
    <w:rsid w:val="007E3AC4"/>
    <w:rsid w:val="007E3B85"/>
    <w:rsid w:val="007E3C3F"/>
    <w:rsid w:val="007E3D09"/>
    <w:rsid w:val="007E3D58"/>
    <w:rsid w:val="007E3EA0"/>
    <w:rsid w:val="007E3F3D"/>
    <w:rsid w:val="007E3FF4"/>
    <w:rsid w:val="007E40D8"/>
    <w:rsid w:val="007E4119"/>
    <w:rsid w:val="007E4243"/>
    <w:rsid w:val="007E4648"/>
    <w:rsid w:val="007E4990"/>
    <w:rsid w:val="007E4A0C"/>
    <w:rsid w:val="007E4A75"/>
    <w:rsid w:val="007E4C79"/>
    <w:rsid w:val="007E4DAB"/>
    <w:rsid w:val="007E4E21"/>
    <w:rsid w:val="007E4E53"/>
    <w:rsid w:val="007E4F65"/>
    <w:rsid w:val="007E507E"/>
    <w:rsid w:val="007E51B4"/>
    <w:rsid w:val="007E51E1"/>
    <w:rsid w:val="007E5265"/>
    <w:rsid w:val="007E53A3"/>
    <w:rsid w:val="007E5405"/>
    <w:rsid w:val="007E5567"/>
    <w:rsid w:val="007E57F0"/>
    <w:rsid w:val="007E5987"/>
    <w:rsid w:val="007E5AC1"/>
    <w:rsid w:val="007E5B96"/>
    <w:rsid w:val="007E5C5B"/>
    <w:rsid w:val="007E5D7F"/>
    <w:rsid w:val="007E600A"/>
    <w:rsid w:val="007E607D"/>
    <w:rsid w:val="007E608B"/>
    <w:rsid w:val="007E6273"/>
    <w:rsid w:val="007E635D"/>
    <w:rsid w:val="007E64EA"/>
    <w:rsid w:val="007E66B1"/>
    <w:rsid w:val="007E69AF"/>
    <w:rsid w:val="007E6A09"/>
    <w:rsid w:val="007E6B6C"/>
    <w:rsid w:val="007E6F34"/>
    <w:rsid w:val="007E73F0"/>
    <w:rsid w:val="007E73FA"/>
    <w:rsid w:val="007E742E"/>
    <w:rsid w:val="007E7440"/>
    <w:rsid w:val="007E7519"/>
    <w:rsid w:val="007E75AC"/>
    <w:rsid w:val="007E75FF"/>
    <w:rsid w:val="007E7841"/>
    <w:rsid w:val="007E7930"/>
    <w:rsid w:val="007E7966"/>
    <w:rsid w:val="007E7ACE"/>
    <w:rsid w:val="007E7AEF"/>
    <w:rsid w:val="007E7AFA"/>
    <w:rsid w:val="007E7C9C"/>
    <w:rsid w:val="007E7DCB"/>
    <w:rsid w:val="007F016E"/>
    <w:rsid w:val="007F026C"/>
    <w:rsid w:val="007F054E"/>
    <w:rsid w:val="007F0557"/>
    <w:rsid w:val="007F05A1"/>
    <w:rsid w:val="007F05AC"/>
    <w:rsid w:val="007F05DB"/>
    <w:rsid w:val="007F0886"/>
    <w:rsid w:val="007F096A"/>
    <w:rsid w:val="007F09B0"/>
    <w:rsid w:val="007F0A60"/>
    <w:rsid w:val="007F0A87"/>
    <w:rsid w:val="007F0C16"/>
    <w:rsid w:val="007F0C59"/>
    <w:rsid w:val="007F0CD2"/>
    <w:rsid w:val="007F0F58"/>
    <w:rsid w:val="007F1051"/>
    <w:rsid w:val="007F11D2"/>
    <w:rsid w:val="007F123C"/>
    <w:rsid w:val="007F140E"/>
    <w:rsid w:val="007F14BB"/>
    <w:rsid w:val="007F1533"/>
    <w:rsid w:val="007F1712"/>
    <w:rsid w:val="007F1748"/>
    <w:rsid w:val="007F17DF"/>
    <w:rsid w:val="007F17EC"/>
    <w:rsid w:val="007F180E"/>
    <w:rsid w:val="007F1865"/>
    <w:rsid w:val="007F1989"/>
    <w:rsid w:val="007F19FD"/>
    <w:rsid w:val="007F1A52"/>
    <w:rsid w:val="007F1A80"/>
    <w:rsid w:val="007F1B0F"/>
    <w:rsid w:val="007F1BE4"/>
    <w:rsid w:val="007F1CF6"/>
    <w:rsid w:val="007F22AB"/>
    <w:rsid w:val="007F2458"/>
    <w:rsid w:val="007F25B2"/>
    <w:rsid w:val="007F25D3"/>
    <w:rsid w:val="007F2660"/>
    <w:rsid w:val="007F2968"/>
    <w:rsid w:val="007F2C4A"/>
    <w:rsid w:val="007F2C8B"/>
    <w:rsid w:val="007F2D8D"/>
    <w:rsid w:val="007F2DC8"/>
    <w:rsid w:val="007F2E98"/>
    <w:rsid w:val="007F30D2"/>
    <w:rsid w:val="007F30EC"/>
    <w:rsid w:val="007F32D5"/>
    <w:rsid w:val="007F32E0"/>
    <w:rsid w:val="007F33E3"/>
    <w:rsid w:val="007F3642"/>
    <w:rsid w:val="007F3868"/>
    <w:rsid w:val="007F390F"/>
    <w:rsid w:val="007F3A66"/>
    <w:rsid w:val="007F3AF1"/>
    <w:rsid w:val="007F3C83"/>
    <w:rsid w:val="007F3D53"/>
    <w:rsid w:val="007F3D69"/>
    <w:rsid w:val="007F4104"/>
    <w:rsid w:val="007F413B"/>
    <w:rsid w:val="007F4173"/>
    <w:rsid w:val="007F4193"/>
    <w:rsid w:val="007F42AB"/>
    <w:rsid w:val="007F4312"/>
    <w:rsid w:val="007F443A"/>
    <w:rsid w:val="007F45C8"/>
    <w:rsid w:val="007F4955"/>
    <w:rsid w:val="007F4A6C"/>
    <w:rsid w:val="007F4B0F"/>
    <w:rsid w:val="007F500C"/>
    <w:rsid w:val="007F5166"/>
    <w:rsid w:val="007F5281"/>
    <w:rsid w:val="007F5354"/>
    <w:rsid w:val="007F5360"/>
    <w:rsid w:val="007F5566"/>
    <w:rsid w:val="007F55F7"/>
    <w:rsid w:val="007F56C7"/>
    <w:rsid w:val="007F5803"/>
    <w:rsid w:val="007F5C79"/>
    <w:rsid w:val="007F5D14"/>
    <w:rsid w:val="007F5D5C"/>
    <w:rsid w:val="007F5D7A"/>
    <w:rsid w:val="007F5E26"/>
    <w:rsid w:val="007F6030"/>
    <w:rsid w:val="007F62F5"/>
    <w:rsid w:val="007F6411"/>
    <w:rsid w:val="007F667E"/>
    <w:rsid w:val="007F6833"/>
    <w:rsid w:val="007F6896"/>
    <w:rsid w:val="007F6947"/>
    <w:rsid w:val="007F69AA"/>
    <w:rsid w:val="007F6AA9"/>
    <w:rsid w:val="007F6AAD"/>
    <w:rsid w:val="007F6C67"/>
    <w:rsid w:val="007F6D62"/>
    <w:rsid w:val="007F6E9D"/>
    <w:rsid w:val="007F6ED9"/>
    <w:rsid w:val="007F6F5C"/>
    <w:rsid w:val="007F71E5"/>
    <w:rsid w:val="007F72B5"/>
    <w:rsid w:val="007F737E"/>
    <w:rsid w:val="007F7442"/>
    <w:rsid w:val="007F74DB"/>
    <w:rsid w:val="007F763F"/>
    <w:rsid w:val="007F7687"/>
    <w:rsid w:val="007F77CD"/>
    <w:rsid w:val="007F77D6"/>
    <w:rsid w:val="007F7989"/>
    <w:rsid w:val="007F79F6"/>
    <w:rsid w:val="007F7ACF"/>
    <w:rsid w:val="007F7C26"/>
    <w:rsid w:val="007F7D1E"/>
    <w:rsid w:val="007F7E66"/>
    <w:rsid w:val="007F7EA9"/>
    <w:rsid w:val="0080020C"/>
    <w:rsid w:val="00800579"/>
    <w:rsid w:val="00800852"/>
    <w:rsid w:val="00800994"/>
    <w:rsid w:val="00800AFD"/>
    <w:rsid w:val="00800C7D"/>
    <w:rsid w:val="00800DCD"/>
    <w:rsid w:val="0080108C"/>
    <w:rsid w:val="008010CF"/>
    <w:rsid w:val="0080110B"/>
    <w:rsid w:val="00801476"/>
    <w:rsid w:val="00801547"/>
    <w:rsid w:val="00801731"/>
    <w:rsid w:val="00801BE4"/>
    <w:rsid w:val="00801C26"/>
    <w:rsid w:val="00801E99"/>
    <w:rsid w:val="00801EAD"/>
    <w:rsid w:val="00802088"/>
    <w:rsid w:val="008022A0"/>
    <w:rsid w:val="008022B0"/>
    <w:rsid w:val="008022B4"/>
    <w:rsid w:val="0080240F"/>
    <w:rsid w:val="008025AC"/>
    <w:rsid w:val="0080266A"/>
    <w:rsid w:val="0080278F"/>
    <w:rsid w:val="0080280C"/>
    <w:rsid w:val="00802896"/>
    <w:rsid w:val="00802BC7"/>
    <w:rsid w:val="00802C47"/>
    <w:rsid w:val="0080312C"/>
    <w:rsid w:val="008033F3"/>
    <w:rsid w:val="00803488"/>
    <w:rsid w:val="0080370B"/>
    <w:rsid w:val="0080375A"/>
    <w:rsid w:val="00803B9C"/>
    <w:rsid w:val="008040DC"/>
    <w:rsid w:val="0080437B"/>
    <w:rsid w:val="0080448B"/>
    <w:rsid w:val="008044C5"/>
    <w:rsid w:val="008044D4"/>
    <w:rsid w:val="0080453B"/>
    <w:rsid w:val="008048EC"/>
    <w:rsid w:val="00804938"/>
    <w:rsid w:val="00804AD7"/>
    <w:rsid w:val="00804B96"/>
    <w:rsid w:val="00804D0B"/>
    <w:rsid w:val="00804E92"/>
    <w:rsid w:val="00805000"/>
    <w:rsid w:val="00805085"/>
    <w:rsid w:val="008050EE"/>
    <w:rsid w:val="0080519B"/>
    <w:rsid w:val="00805349"/>
    <w:rsid w:val="0080535C"/>
    <w:rsid w:val="00805472"/>
    <w:rsid w:val="008054C0"/>
    <w:rsid w:val="008054E0"/>
    <w:rsid w:val="0080553E"/>
    <w:rsid w:val="00805979"/>
    <w:rsid w:val="00805B06"/>
    <w:rsid w:val="00805F04"/>
    <w:rsid w:val="0080608D"/>
    <w:rsid w:val="008060C7"/>
    <w:rsid w:val="0080612A"/>
    <w:rsid w:val="008062E0"/>
    <w:rsid w:val="008064A9"/>
    <w:rsid w:val="008064B2"/>
    <w:rsid w:val="00806690"/>
    <w:rsid w:val="008066DC"/>
    <w:rsid w:val="00806791"/>
    <w:rsid w:val="008067D9"/>
    <w:rsid w:val="00806963"/>
    <w:rsid w:val="00806F13"/>
    <w:rsid w:val="00806F20"/>
    <w:rsid w:val="008071B5"/>
    <w:rsid w:val="0080729C"/>
    <w:rsid w:val="00807464"/>
    <w:rsid w:val="008074C0"/>
    <w:rsid w:val="0080751E"/>
    <w:rsid w:val="0080753B"/>
    <w:rsid w:val="0080776F"/>
    <w:rsid w:val="008077C1"/>
    <w:rsid w:val="008078BC"/>
    <w:rsid w:val="00807A25"/>
    <w:rsid w:val="00807A27"/>
    <w:rsid w:val="00807C36"/>
    <w:rsid w:val="00807C8D"/>
    <w:rsid w:val="00807EAD"/>
    <w:rsid w:val="00807EBB"/>
    <w:rsid w:val="008100BA"/>
    <w:rsid w:val="00810166"/>
    <w:rsid w:val="00810381"/>
    <w:rsid w:val="0081047C"/>
    <w:rsid w:val="00810891"/>
    <w:rsid w:val="008108BB"/>
    <w:rsid w:val="00810A0C"/>
    <w:rsid w:val="00810BB7"/>
    <w:rsid w:val="00810C03"/>
    <w:rsid w:val="00811570"/>
    <w:rsid w:val="00811707"/>
    <w:rsid w:val="0081174C"/>
    <w:rsid w:val="00811778"/>
    <w:rsid w:val="008118C9"/>
    <w:rsid w:val="00811C7C"/>
    <w:rsid w:val="00811D00"/>
    <w:rsid w:val="00811E1B"/>
    <w:rsid w:val="00811EA2"/>
    <w:rsid w:val="00811EBA"/>
    <w:rsid w:val="00811F7C"/>
    <w:rsid w:val="008120BB"/>
    <w:rsid w:val="008121FC"/>
    <w:rsid w:val="00812285"/>
    <w:rsid w:val="00812478"/>
    <w:rsid w:val="0081247D"/>
    <w:rsid w:val="00812496"/>
    <w:rsid w:val="00812576"/>
    <w:rsid w:val="0081259B"/>
    <w:rsid w:val="00812691"/>
    <w:rsid w:val="00812AEB"/>
    <w:rsid w:val="00812B39"/>
    <w:rsid w:val="00812B86"/>
    <w:rsid w:val="00812BA4"/>
    <w:rsid w:val="00812BB4"/>
    <w:rsid w:val="00812BD0"/>
    <w:rsid w:val="00812C25"/>
    <w:rsid w:val="00812D81"/>
    <w:rsid w:val="00812E33"/>
    <w:rsid w:val="008132F8"/>
    <w:rsid w:val="00813458"/>
    <w:rsid w:val="00813490"/>
    <w:rsid w:val="00813551"/>
    <w:rsid w:val="00813552"/>
    <w:rsid w:val="008135B7"/>
    <w:rsid w:val="008135E4"/>
    <w:rsid w:val="00813827"/>
    <w:rsid w:val="00813968"/>
    <w:rsid w:val="00813A92"/>
    <w:rsid w:val="00813BDF"/>
    <w:rsid w:val="00813C1D"/>
    <w:rsid w:val="00813DCD"/>
    <w:rsid w:val="00813DD5"/>
    <w:rsid w:val="0081401F"/>
    <w:rsid w:val="00814296"/>
    <w:rsid w:val="008142F5"/>
    <w:rsid w:val="00814336"/>
    <w:rsid w:val="008144F0"/>
    <w:rsid w:val="008147C6"/>
    <w:rsid w:val="008148E6"/>
    <w:rsid w:val="00814952"/>
    <w:rsid w:val="008149AB"/>
    <w:rsid w:val="008149BB"/>
    <w:rsid w:val="00814ABE"/>
    <w:rsid w:val="00814F2D"/>
    <w:rsid w:val="00815083"/>
    <w:rsid w:val="0081513A"/>
    <w:rsid w:val="0081533F"/>
    <w:rsid w:val="008153F5"/>
    <w:rsid w:val="0081554B"/>
    <w:rsid w:val="0081578B"/>
    <w:rsid w:val="00815BB8"/>
    <w:rsid w:val="00815C2E"/>
    <w:rsid w:val="00815D73"/>
    <w:rsid w:val="00815E32"/>
    <w:rsid w:val="00815F01"/>
    <w:rsid w:val="008160B9"/>
    <w:rsid w:val="00816343"/>
    <w:rsid w:val="0081641A"/>
    <w:rsid w:val="0081658E"/>
    <w:rsid w:val="0081669E"/>
    <w:rsid w:val="00816764"/>
    <w:rsid w:val="0081681A"/>
    <w:rsid w:val="00816968"/>
    <w:rsid w:val="00816A06"/>
    <w:rsid w:val="00816A84"/>
    <w:rsid w:val="00816BC4"/>
    <w:rsid w:val="00816C34"/>
    <w:rsid w:val="00816C85"/>
    <w:rsid w:val="0081704F"/>
    <w:rsid w:val="00817103"/>
    <w:rsid w:val="008172F4"/>
    <w:rsid w:val="00817300"/>
    <w:rsid w:val="00817427"/>
    <w:rsid w:val="008174D7"/>
    <w:rsid w:val="0081755E"/>
    <w:rsid w:val="00817713"/>
    <w:rsid w:val="0081784A"/>
    <w:rsid w:val="00817943"/>
    <w:rsid w:val="00817D61"/>
    <w:rsid w:val="00817F7E"/>
    <w:rsid w:val="00820185"/>
    <w:rsid w:val="00820258"/>
    <w:rsid w:val="008204F4"/>
    <w:rsid w:val="00820608"/>
    <w:rsid w:val="00820794"/>
    <w:rsid w:val="008207AA"/>
    <w:rsid w:val="00820A49"/>
    <w:rsid w:val="00820B2D"/>
    <w:rsid w:val="00820E56"/>
    <w:rsid w:val="00820F48"/>
    <w:rsid w:val="00820F51"/>
    <w:rsid w:val="00820FAE"/>
    <w:rsid w:val="0082104F"/>
    <w:rsid w:val="008210EA"/>
    <w:rsid w:val="0082117C"/>
    <w:rsid w:val="00821350"/>
    <w:rsid w:val="00821663"/>
    <w:rsid w:val="00821841"/>
    <w:rsid w:val="008218E6"/>
    <w:rsid w:val="008219EF"/>
    <w:rsid w:val="00821D68"/>
    <w:rsid w:val="00821EA3"/>
    <w:rsid w:val="00821F29"/>
    <w:rsid w:val="00821F37"/>
    <w:rsid w:val="00822051"/>
    <w:rsid w:val="00822073"/>
    <w:rsid w:val="00822105"/>
    <w:rsid w:val="008221E2"/>
    <w:rsid w:val="00822228"/>
    <w:rsid w:val="00822295"/>
    <w:rsid w:val="008222AA"/>
    <w:rsid w:val="008222BD"/>
    <w:rsid w:val="00822560"/>
    <w:rsid w:val="0082259C"/>
    <w:rsid w:val="008226D1"/>
    <w:rsid w:val="00822756"/>
    <w:rsid w:val="00822777"/>
    <w:rsid w:val="008229A0"/>
    <w:rsid w:val="00822C69"/>
    <w:rsid w:val="00822CEA"/>
    <w:rsid w:val="00822D57"/>
    <w:rsid w:val="00822DCE"/>
    <w:rsid w:val="00822F23"/>
    <w:rsid w:val="008230A7"/>
    <w:rsid w:val="00823288"/>
    <w:rsid w:val="008236E8"/>
    <w:rsid w:val="008238DA"/>
    <w:rsid w:val="00823AD3"/>
    <w:rsid w:val="00823B2F"/>
    <w:rsid w:val="00823B36"/>
    <w:rsid w:val="00823C08"/>
    <w:rsid w:val="00823DE4"/>
    <w:rsid w:val="00823E73"/>
    <w:rsid w:val="00824038"/>
    <w:rsid w:val="0082415B"/>
    <w:rsid w:val="008243D4"/>
    <w:rsid w:val="008243FF"/>
    <w:rsid w:val="0082456F"/>
    <w:rsid w:val="00824641"/>
    <w:rsid w:val="00824678"/>
    <w:rsid w:val="0082467F"/>
    <w:rsid w:val="0082476A"/>
    <w:rsid w:val="00824BA3"/>
    <w:rsid w:val="00824BE3"/>
    <w:rsid w:val="00824D6C"/>
    <w:rsid w:val="00824E56"/>
    <w:rsid w:val="00824FAA"/>
    <w:rsid w:val="008252E5"/>
    <w:rsid w:val="008253A1"/>
    <w:rsid w:val="008255C8"/>
    <w:rsid w:val="0082566E"/>
    <w:rsid w:val="00825812"/>
    <w:rsid w:val="00825815"/>
    <w:rsid w:val="0082583C"/>
    <w:rsid w:val="00825873"/>
    <w:rsid w:val="0082598A"/>
    <w:rsid w:val="00825B39"/>
    <w:rsid w:val="00825B85"/>
    <w:rsid w:val="00825D38"/>
    <w:rsid w:val="00825EA5"/>
    <w:rsid w:val="00826018"/>
    <w:rsid w:val="008260DC"/>
    <w:rsid w:val="008260DF"/>
    <w:rsid w:val="00826741"/>
    <w:rsid w:val="0082676D"/>
    <w:rsid w:val="00826AA7"/>
    <w:rsid w:val="00826C05"/>
    <w:rsid w:val="00826D03"/>
    <w:rsid w:val="00826D7B"/>
    <w:rsid w:val="00826F2A"/>
    <w:rsid w:val="00826F80"/>
    <w:rsid w:val="00826F86"/>
    <w:rsid w:val="00826FC8"/>
    <w:rsid w:val="008273D7"/>
    <w:rsid w:val="0082751F"/>
    <w:rsid w:val="008276AF"/>
    <w:rsid w:val="00827994"/>
    <w:rsid w:val="008279B5"/>
    <w:rsid w:val="008279ED"/>
    <w:rsid w:val="00827D33"/>
    <w:rsid w:val="00827D35"/>
    <w:rsid w:val="00830329"/>
    <w:rsid w:val="008303FE"/>
    <w:rsid w:val="00830402"/>
    <w:rsid w:val="00830561"/>
    <w:rsid w:val="008305AE"/>
    <w:rsid w:val="00830690"/>
    <w:rsid w:val="00830A9F"/>
    <w:rsid w:val="00830B2E"/>
    <w:rsid w:val="00830C10"/>
    <w:rsid w:val="00830D1E"/>
    <w:rsid w:val="0083138D"/>
    <w:rsid w:val="008313A7"/>
    <w:rsid w:val="00831522"/>
    <w:rsid w:val="0083168B"/>
    <w:rsid w:val="008318C7"/>
    <w:rsid w:val="00831A7B"/>
    <w:rsid w:val="00831AC0"/>
    <w:rsid w:val="00831D8D"/>
    <w:rsid w:val="00831DD3"/>
    <w:rsid w:val="0083205F"/>
    <w:rsid w:val="00832194"/>
    <w:rsid w:val="00832295"/>
    <w:rsid w:val="008322E9"/>
    <w:rsid w:val="0083235B"/>
    <w:rsid w:val="0083236E"/>
    <w:rsid w:val="00832453"/>
    <w:rsid w:val="00832558"/>
    <w:rsid w:val="0083266E"/>
    <w:rsid w:val="0083272B"/>
    <w:rsid w:val="00832842"/>
    <w:rsid w:val="0083290A"/>
    <w:rsid w:val="00832975"/>
    <w:rsid w:val="00832EEF"/>
    <w:rsid w:val="00832F01"/>
    <w:rsid w:val="0083308D"/>
    <w:rsid w:val="0083316A"/>
    <w:rsid w:val="00833280"/>
    <w:rsid w:val="0083342C"/>
    <w:rsid w:val="00833587"/>
    <w:rsid w:val="00833660"/>
    <w:rsid w:val="008336AF"/>
    <w:rsid w:val="00833807"/>
    <w:rsid w:val="00833847"/>
    <w:rsid w:val="008338B7"/>
    <w:rsid w:val="0083397D"/>
    <w:rsid w:val="008339CA"/>
    <w:rsid w:val="00833B66"/>
    <w:rsid w:val="00833DD4"/>
    <w:rsid w:val="0083402B"/>
    <w:rsid w:val="00834060"/>
    <w:rsid w:val="00834312"/>
    <w:rsid w:val="00834321"/>
    <w:rsid w:val="0083444F"/>
    <w:rsid w:val="008346E0"/>
    <w:rsid w:val="00834713"/>
    <w:rsid w:val="00834925"/>
    <w:rsid w:val="008349E2"/>
    <w:rsid w:val="00834C4D"/>
    <w:rsid w:val="00834D15"/>
    <w:rsid w:val="00834DEC"/>
    <w:rsid w:val="00834E97"/>
    <w:rsid w:val="00834F4A"/>
    <w:rsid w:val="0083547A"/>
    <w:rsid w:val="0083556E"/>
    <w:rsid w:val="00835586"/>
    <w:rsid w:val="008356CC"/>
    <w:rsid w:val="00835811"/>
    <w:rsid w:val="00835854"/>
    <w:rsid w:val="00835E5C"/>
    <w:rsid w:val="00835EF8"/>
    <w:rsid w:val="00836073"/>
    <w:rsid w:val="00836281"/>
    <w:rsid w:val="00836344"/>
    <w:rsid w:val="00836390"/>
    <w:rsid w:val="008363D8"/>
    <w:rsid w:val="0083648F"/>
    <w:rsid w:val="008364F8"/>
    <w:rsid w:val="00836510"/>
    <w:rsid w:val="0083652A"/>
    <w:rsid w:val="00836DC3"/>
    <w:rsid w:val="00836E6C"/>
    <w:rsid w:val="00837066"/>
    <w:rsid w:val="008370DE"/>
    <w:rsid w:val="00837143"/>
    <w:rsid w:val="008372CB"/>
    <w:rsid w:val="00837392"/>
    <w:rsid w:val="008373E7"/>
    <w:rsid w:val="0083745A"/>
    <w:rsid w:val="0083756B"/>
    <w:rsid w:val="00837686"/>
    <w:rsid w:val="0083769C"/>
    <w:rsid w:val="008376C6"/>
    <w:rsid w:val="00837805"/>
    <w:rsid w:val="0083786C"/>
    <w:rsid w:val="00837BE9"/>
    <w:rsid w:val="00837EBC"/>
    <w:rsid w:val="00837F44"/>
    <w:rsid w:val="00837FB1"/>
    <w:rsid w:val="0084008C"/>
    <w:rsid w:val="00840486"/>
    <w:rsid w:val="00840694"/>
    <w:rsid w:val="008407C2"/>
    <w:rsid w:val="008409B6"/>
    <w:rsid w:val="00840ECE"/>
    <w:rsid w:val="00840F2E"/>
    <w:rsid w:val="00841032"/>
    <w:rsid w:val="008410D7"/>
    <w:rsid w:val="00841208"/>
    <w:rsid w:val="0084120B"/>
    <w:rsid w:val="00841382"/>
    <w:rsid w:val="0084139F"/>
    <w:rsid w:val="00841542"/>
    <w:rsid w:val="008415C0"/>
    <w:rsid w:val="008418F6"/>
    <w:rsid w:val="0084197D"/>
    <w:rsid w:val="008419AA"/>
    <w:rsid w:val="00841CC8"/>
    <w:rsid w:val="008421EE"/>
    <w:rsid w:val="0084228D"/>
    <w:rsid w:val="00842298"/>
    <w:rsid w:val="008422EE"/>
    <w:rsid w:val="00842334"/>
    <w:rsid w:val="008425FF"/>
    <w:rsid w:val="0084272E"/>
    <w:rsid w:val="00842801"/>
    <w:rsid w:val="00842869"/>
    <w:rsid w:val="00842921"/>
    <w:rsid w:val="00842936"/>
    <w:rsid w:val="00842BA6"/>
    <w:rsid w:val="00842C1E"/>
    <w:rsid w:val="00842C4F"/>
    <w:rsid w:val="00842C7C"/>
    <w:rsid w:val="00842EEC"/>
    <w:rsid w:val="008431DD"/>
    <w:rsid w:val="00843294"/>
    <w:rsid w:val="00843372"/>
    <w:rsid w:val="0084359D"/>
    <w:rsid w:val="0084360E"/>
    <w:rsid w:val="0084365B"/>
    <w:rsid w:val="00843686"/>
    <w:rsid w:val="0084377F"/>
    <w:rsid w:val="00843801"/>
    <w:rsid w:val="00843883"/>
    <w:rsid w:val="008439C7"/>
    <w:rsid w:val="00843CB6"/>
    <w:rsid w:val="00843DDD"/>
    <w:rsid w:val="00843E2E"/>
    <w:rsid w:val="00843E3F"/>
    <w:rsid w:val="00843F8F"/>
    <w:rsid w:val="00844354"/>
    <w:rsid w:val="008444E4"/>
    <w:rsid w:val="0084466F"/>
    <w:rsid w:val="008446AB"/>
    <w:rsid w:val="008446EE"/>
    <w:rsid w:val="008446F2"/>
    <w:rsid w:val="00844B7F"/>
    <w:rsid w:val="00844BC8"/>
    <w:rsid w:val="00845067"/>
    <w:rsid w:val="008450C6"/>
    <w:rsid w:val="00845220"/>
    <w:rsid w:val="008452E5"/>
    <w:rsid w:val="00845365"/>
    <w:rsid w:val="00845387"/>
    <w:rsid w:val="0084555E"/>
    <w:rsid w:val="00845604"/>
    <w:rsid w:val="0084574C"/>
    <w:rsid w:val="00845770"/>
    <w:rsid w:val="008459A3"/>
    <w:rsid w:val="00845B12"/>
    <w:rsid w:val="00845B2D"/>
    <w:rsid w:val="00845D5C"/>
    <w:rsid w:val="00845D88"/>
    <w:rsid w:val="00845DBF"/>
    <w:rsid w:val="00845FE6"/>
    <w:rsid w:val="008461FA"/>
    <w:rsid w:val="00846359"/>
    <w:rsid w:val="0084642D"/>
    <w:rsid w:val="0084645B"/>
    <w:rsid w:val="00846484"/>
    <w:rsid w:val="0084650D"/>
    <w:rsid w:val="00846514"/>
    <w:rsid w:val="008467E6"/>
    <w:rsid w:val="0084681F"/>
    <w:rsid w:val="00846844"/>
    <w:rsid w:val="00846950"/>
    <w:rsid w:val="0084696B"/>
    <w:rsid w:val="00846A15"/>
    <w:rsid w:val="00846A25"/>
    <w:rsid w:val="00846C5F"/>
    <w:rsid w:val="00846E02"/>
    <w:rsid w:val="00846E64"/>
    <w:rsid w:val="0084729D"/>
    <w:rsid w:val="00847531"/>
    <w:rsid w:val="00847798"/>
    <w:rsid w:val="00847C12"/>
    <w:rsid w:val="00847C3F"/>
    <w:rsid w:val="00847CFB"/>
    <w:rsid w:val="00847D47"/>
    <w:rsid w:val="0085006B"/>
    <w:rsid w:val="00850140"/>
    <w:rsid w:val="008502FC"/>
    <w:rsid w:val="0085040B"/>
    <w:rsid w:val="00850412"/>
    <w:rsid w:val="0085042B"/>
    <w:rsid w:val="0085042C"/>
    <w:rsid w:val="00850566"/>
    <w:rsid w:val="00850713"/>
    <w:rsid w:val="0085088C"/>
    <w:rsid w:val="00850C7B"/>
    <w:rsid w:val="00850CFE"/>
    <w:rsid w:val="00850D66"/>
    <w:rsid w:val="00850DD2"/>
    <w:rsid w:val="00850E84"/>
    <w:rsid w:val="00851112"/>
    <w:rsid w:val="00851230"/>
    <w:rsid w:val="008514A3"/>
    <w:rsid w:val="0085165B"/>
    <w:rsid w:val="008516BE"/>
    <w:rsid w:val="00851790"/>
    <w:rsid w:val="0085181E"/>
    <w:rsid w:val="00851875"/>
    <w:rsid w:val="00851A3A"/>
    <w:rsid w:val="00851AA9"/>
    <w:rsid w:val="00851B8D"/>
    <w:rsid w:val="00851BA9"/>
    <w:rsid w:val="00851C1A"/>
    <w:rsid w:val="00851D83"/>
    <w:rsid w:val="00851E41"/>
    <w:rsid w:val="0085230E"/>
    <w:rsid w:val="00852376"/>
    <w:rsid w:val="0085247E"/>
    <w:rsid w:val="008524DE"/>
    <w:rsid w:val="00852525"/>
    <w:rsid w:val="00852539"/>
    <w:rsid w:val="00852589"/>
    <w:rsid w:val="008525C1"/>
    <w:rsid w:val="0085280B"/>
    <w:rsid w:val="00852908"/>
    <w:rsid w:val="008529A7"/>
    <w:rsid w:val="00852AE1"/>
    <w:rsid w:val="00852D68"/>
    <w:rsid w:val="00852F50"/>
    <w:rsid w:val="00852FC7"/>
    <w:rsid w:val="00853045"/>
    <w:rsid w:val="008530CF"/>
    <w:rsid w:val="0085326B"/>
    <w:rsid w:val="008532D3"/>
    <w:rsid w:val="00853471"/>
    <w:rsid w:val="00853686"/>
    <w:rsid w:val="00853728"/>
    <w:rsid w:val="008538CD"/>
    <w:rsid w:val="00853E33"/>
    <w:rsid w:val="00853F2D"/>
    <w:rsid w:val="008540C3"/>
    <w:rsid w:val="00854155"/>
    <w:rsid w:val="0085437C"/>
    <w:rsid w:val="00854728"/>
    <w:rsid w:val="0085481E"/>
    <w:rsid w:val="00854A6B"/>
    <w:rsid w:val="00854C47"/>
    <w:rsid w:val="00854C53"/>
    <w:rsid w:val="00854C98"/>
    <w:rsid w:val="00854D35"/>
    <w:rsid w:val="00854DA8"/>
    <w:rsid w:val="00854DC4"/>
    <w:rsid w:val="00854DC6"/>
    <w:rsid w:val="00854FBD"/>
    <w:rsid w:val="00855018"/>
    <w:rsid w:val="008551A7"/>
    <w:rsid w:val="0085524E"/>
    <w:rsid w:val="008552CE"/>
    <w:rsid w:val="00855454"/>
    <w:rsid w:val="008554AD"/>
    <w:rsid w:val="008554FB"/>
    <w:rsid w:val="00855680"/>
    <w:rsid w:val="008556FC"/>
    <w:rsid w:val="008558B4"/>
    <w:rsid w:val="008559A0"/>
    <w:rsid w:val="00855B27"/>
    <w:rsid w:val="00855EE2"/>
    <w:rsid w:val="00855FBF"/>
    <w:rsid w:val="00856056"/>
    <w:rsid w:val="00856070"/>
    <w:rsid w:val="008560A9"/>
    <w:rsid w:val="00856787"/>
    <w:rsid w:val="00856881"/>
    <w:rsid w:val="00856A19"/>
    <w:rsid w:val="00856BF6"/>
    <w:rsid w:val="00856C07"/>
    <w:rsid w:val="00856CE5"/>
    <w:rsid w:val="00856D32"/>
    <w:rsid w:val="00857087"/>
    <w:rsid w:val="00857093"/>
    <w:rsid w:val="008571B1"/>
    <w:rsid w:val="008575FE"/>
    <w:rsid w:val="008576CA"/>
    <w:rsid w:val="008577DE"/>
    <w:rsid w:val="00857C22"/>
    <w:rsid w:val="00857C3E"/>
    <w:rsid w:val="00857CD5"/>
    <w:rsid w:val="00857DDE"/>
    <w:rsid w:val="00857E09"/>
    <w:rsid w:val="00857F24"/>
    <w:rsid w:val="00860070"/>
    <w:rsid w:val="0086007A"/>
    <w:rsid w:val="0086017C"/>
    <w:rsid w:val="008603EB"/>
    <w:rsid w:val="008605F9"/>
    <w:rsid w:val="008607E6"/>
    <w:rsid w:val="008608CF"/>
    <w:rsid w:val="0086091B"/>
    <w:rsid w:val="00860A66"/>
    <w:rsid w:val="00860AE9"/>
    <w:rsid w:val="00860BA8"/>
    <w:rsid w:val="00860C49"/>
    <w:rsid w:val="00860FB8"/>
    <w:rsid w:val="008610D2"/>
    <w:rsid w:val="008611DC"/>
    <w:rsid w:val="008613A1"/>
    <w:rsid w:val="00861564"/>
    <w:rsid w:val="008615BE"/>
    <w:rsid w:val="00861990"/>
    <w:rsid w:val="008619BB"/>
    <w:rsid w:val="00861A84"/>
    <w:rsid w:val="00861BD4"/>
    <w:rsid w:val="00861E01"/>
    <w:rsid w:val="0086213C"/>
    <w:rsid w:val="00862224"/>
    <w:rsid w:val="00862313"/>
    <w:rsid w:val="008625E1"/>
    <w:rsid w:val="008628F8"/>
    <w:rsid w:val="00862923"/>
    <w:rsid w:val="00862A0F"/>
    <w:rsid w:val="00862B80"/>
    <w:rsid w:val="00862C13"/>
    <w:rsid w:val="00862D1C"/>
    <w:rsid w:val="00862D96"/>
    <w:rsid w:val="00862F3E"/>
    <w:rsid w:val="00862F98"/>
    <w:rsid w:val="00863123"/>
    <w:rsid w:val="00863219"/>
    <w:rsid w:val="00863364"/>
    <w:rsid w:val="00863387"/>
    <w:rsid w:val="008634C9"/>
    <w:rsid w:val="008634CA"/>
    <w:rsid w:val="008637DB"/>
    <w:rsid w:val="0086380A"/>
    <w:rsid w:val="00863E26"/>
    <w:rsid w:val="00863F1D"/>
    <w:rsid w:val="008640C2"/>
    <w:rsid w:val="00864351"/>
    <w:rsid w:val="00864492"/>
    <w:rsid w:val="008644D9"/>
    <w:rsid w:val="00864503"/>
    <w:rsid w:val="008645C0"/>
    <w:rsid w:val="0086460A"/>
    <w:rsid w:val="00864653"/>
    <w:rsid w:val="00864942"/>
    <w:rsid w:val="0086494F"/>
    <w:rsid w:val="00864A37"/>
    <w:rsid w:val="00864AC6"/>
    <w:rsid w:val="00864AE5"/>
    <w:rsid w:val="00864BFC"/>
    <w:rsid w:val="00864C38"/>
    <w:rsid w:val="00864C5F"/>
    <w:rsid w:val="00864F4E"/>
    <w:rsid w:val="008650AA"/>
    <w:rsid w:val="00865235"/>
    <w:rsid w:val="00865533"/>
    <w:rsid w:val="008655CB"/>
    <w:rsid w:val="008656F7"/>
    <w:rsid w:val="0086584B"/>
    <w:rsid w:val="00865970"/>
    <w:rsid w:val="00865A70"/>
    <w:rsid w:val="00865B5B"/>
    <w:rsid w:val="00865BB0"/>
    <w:rsid w:val="00865ECF"/>
    <w:rsid w:val="00866000"/>
    <w:rsid w:val="00866575"/>
    <w:rsid w:val="008665AB"/>
    <w:rsid w:val="00866769"/>
    <w:rsid w:val="008667AD"/>
    <w:rsid w:val="00866882"/>
    <w:rsid w:val="00866979"/>
    <w:rsid w:val="00866A9A"/>
    <w:rsid w:val="00866E58"/>
    <w:rsid w:val="00866EB2"/>
    <w:rsid w:val="00867081"/>
    <w:rsid w:val="0086731D"/>
    <w:rsid w:val="008673C1"/>
    <w:rsid w:val="00867456"/>
    <w:rsid w:val="008675E5"/>
    <w:rsid w:val="008675F0"/>
    <w:rsid w:val="008676E3"/>
    <w:rsid w:val="00867757"/>
    <w:rsid w:val="00867989"/>
    <w:rsid w:val="00867A63"/>
    <w:rsid w:val="00867B31"/>
    <w:rsid w:val="00867BB9"/>
    <w:rsid w:val="00867D36"/>
    <w:rsid w:val="00867E31"/>
    <w:rsid w:val="00867FEE"/>
    <w:rsid w:val="008700B1"/>
    <w:rsid w:val="00870251"/>
    <w:rsid w:val="00870735"/>
    <w:rsid w:val="00870747"/>
    <w:rsid w:val="0087077B"/>
    <w:rsid w:val="0087081C"/>
    <w:rsid w:val="0087084A"/>
    <w:rsid w:val="00870856"/>
    <w:rsid w:val="0087087C"/>
    <w:rsid w:val="00870941"/>
    <w:rsid w:val="00870A23"/>
    <w:rsid w:val="00870ABD"/>
    <w:rsid w:val="00870AC4"/>
    <w:rsid w:val="00870AE1"/>
    <w:rsid w:val="00870BB9"/>
    <w:rsid w:val="00870C71"/>
    <w:rsid w:val="00870CF7"/>
    <w:rsid w:val="00870D6E"/>
    <w:rsid w:val="0087105B"/>
    <w:rsid w:val="008711A0"/>
    <w:rsid w:val="008711D5"/>
    <w:rsid w:val="00871264"/>
    <w:rsid w:val="00871405"/>
    <w:rsid w:val="0087177E"/>
    <w:rsid w:val="008718FD"/>
    <w:rsid w:val="00871D05"/>
    <w:rsid w:val="00871D48"/>
    <w:rsid w:val="00871D89"/>
    <w:rsid w:val="00871EF8"/>
    <w:rsid w:val="00871FD0"/>
    <w:rsid w:val="00871FE9"/>
    <w:rsid w:val="0087246F"/>
    <w:rsid w:val="0087248D"/>
    <w:rsid w:val="00872651"/>
    <w:rsid w:val="0087276B"/>
    <w:rsid w:val="00872816"/>
    <w:rsid w:val="00872D7F"/>
    <w:rsid w:val="00872DC6"/>
    <w:rsid w:val="00872F38"/>
    <w:rsid w:val="00872F8C"/>
    <w:rsid w:val="00873167"/>
    <w:rsid w:val="0087316B"/>
    <w:rsid w:val="00873295"/>
    <w:rsid w:val="008733CA"/>
    <w:rsid w:val="008733D7"/>
    <w:rsid w:val="00873704"/>
    <w:rsid w:val="00873805"/>
    <w:rsid w:val="008739B2"/>
    <w:rsid w:val="00873AB2"/>
    <w:rsid w:val="00873F75"/>
    <w:rsid w:val="00873FB2"/>
    <w:rsid w:val="00873FB9"/>
    <w:rsid w:val="00874054"/>
    <w:rsid w:val="00874278"/>
    <w:rsid w:val="0087448D"/>
    <w:rsid w:val="00874740"/>
    <w:rsid w:val="0087497E"/>
    <w:rsid w:val="00874BF7"/>
    <w:rsid w:val="00874CC2"/>
    <w:rsid w:val="00874D3F"/>
    <w:rsid w:val="008750AB"/>
    <w:rsid w:val="00875112"/>
    <w:rsid w:val="00875381"/>
    <w:rsid w:val="008756FA"/>
    <w:rsid w:val="00875749"/>
    <w:rsid w:val="0087589E"/>
    <w:rsid w:val="00875EAE"/>
    <w:rsid w:val="00876598"/>
    <w:rsid w:val="00876643"/>
    <w:rsid w:val="00876799"/>
    <w:rsid w:val="008767D1"/>
    <w:rsid w:val="0087683A"/>
    <w:rsid w:val="008769B8"/>
    <w:rsid w:val="00876A79"/>
    <w:rsid w:val="00876B89"/>
    <w:rsid w:val="00876C85"/>
    <w:rsid w:val="00876D87"/>
    <w:rsid w:val="00876DD7"/>
    <w:rsid w:val="00876DE3"/>
    <w:rsid w:val="00876E5A"/>
    <w:rsid w:val="0087707F"/>
    <w:rsid w:val="008773C8"/>
    <w:rsid w:val="00877760"/>
    <w:rsid w:val="00877A38"/>
    <w:rsid w:val="00877A62"/>
    <w:rsid w:val="00877B55"/>
    <w:rsid w:val="00877CD9"/>
    <w:rsid w:val="00877D92"/>
    <w:rsid w:val="00877E6F"/>
    <w:rsid w:val="00877EE9"/>
    <w:rsid w:val="008801A4"/>
    <w:rsid w:val="0088035F"/>
    <w:rsid w:val="0088043B"/>
    <w:rsid w:val="0088046C"/>
    <w:rsid w:val="00880896"/>
    <w:rsid w:val="008808C2"/>
    <w:rsid w:val="00880936"/>
    <w:rsid w:val="008809D5"/>
    <w:rsid w:val="00880C2E"/>
    <w:rsid w:val="00880CC1"/>
    <w:rsid w:val="008811A3"/>
    <w:rsid w:val="00881248"/>
    <w:rsid w:val="0088137A"/>
    <w:rsid w:val="008815D0"/>
    <w:rsid w:val="008816CA"/>
    <w:rsid w:val="008816F0"/>
    <w:rsid w:val="008817D0"/>
    <w:rsid w:val="00881882"/>
    <w:rsid w:val="0088190C"/>
    <w:rsid w:val="00881951"/>
    <w:rsid w:val="0088199B"/>
    <w:rsid w:val="008819BE"/>
    <w:rsid w:val="00881D07"/>
    <w:rsid w:val="00881DE1"/>
    <w:rsid w:val="00881E34"/>
    <w:rsid w:val="00882147"/>
    <w:rsid w:val="0088225C"/>
    <w:rsid w:val="008823B6"/>
    <w:rsid w:val="00882545"/>
    <w:rsid w:val="008825A2"/>
    <w:rsid w:val="00882A13"/>
    <w:rsid w:val="00882C17"/>
    <w:rsid w:val="00882DF4"/>
    <w:rsid w:val="00882F68"/>
    <w:rsid w:val="0088300F"/>
    <w:rsid w:val="008830EA"/>
    <w:rsid w:val="0088321E"/>
    <w:rsid w:val="0088335D"/>
    <w:rsid w:val="0088341F"/>
    <w:rsid w:val="008834B6"/>
    <w:rsid w:val="008835E8"/>
    <w:rsid w:val="0088363D"/>
    <w:rsid w:val="00883723"/>
    <w:rsid w:val="00883947"/>
    <w:rsid w:val="00883A02"/>
    <w:rsid w:val="00883A93"/>
    <w:rsid w:val="00883BA9"/>
    <w:rsid w:val="00883BFB"/>
    <w:rsid w:val="008841D5"/>
    <w:rsid w:val="00884215"/>
    <w:rsid w:val="0088424B"/>
    <w:rsid w:val="00884285"/>
    <w:rsid w:val="00884493"/>
    <w:rsid w:val="008845CE"/>
    <w:rsid w:val="00884694"/>
    <w:rsid w:val="00884733"/>
    <w:rsid w:val="00884739"/>
    <w:rsid w:val="00884858"/>
    <w:rsid w:val="00884A2E"/>
    <w:rsid w:val="00884A32"/>
    <w:rsid w:val="00884A35"/>
    <w:rsid w:val="00884E3E"/>
    <w:rsid w:val="00884EDE"/>
    <w:rsid w:val="00885013"/>
    <w:rsid w:val="0088513A"/>
    <w:rsid w:val="008851D8"/>
    <w:rsid w:val="008851F0"/>
    <w:rsid w:val="0088522D"/>
    <w:rsid w:val="00885381"/>
    <w:rsid w:val="00885AD0"/>
    <w:rsid w:val="00885E28"/>
    <w:rsid w:val="00885EF6"/>
    <w:rsid w:val="008862EF"/>
    <w:rsid w:val="008863C8"/>
    <w:rsid w:val="008864EE"/>
    <w:rsid w:val="008866CE"/>
    <w:rsid w:val="0088685F"/>
    <w:rsid w:val="00886938"/>
    <w:rsid w:val="00886CBE"/>
    <w:rsid w:val="00886D19"/>
    <w:rsid w:val="00886D95"/>
    <w:rsid w:val="00886E19"/>
    <w:rsid w:val="00886FF8"/>
    <w:rsid w:val="008870A6"/>
    <w:rsid w:val="008872B4"/>
    <w:rsid w:val="008873BE"/>
    <w:rsid w:val="00887598"/>
    <w:rsid w:val="008875B7"/>
    <w:rsid w:val="008877F0"/>
    <w:rsid w:val="0088786A"/>
    <w:rsid w:val="00887AAD"/>
    <w:rsid w:val="00887B92"/>
    <w:rsid w:val="00887BDA"/>
    <w:rsid w:val="00887DFD"/>
    <w:rsid w:val="00887EB5"/>
    <w:rsid w:val="00890043"/>
    <w:rsid w:val="008900E8"/>
    <w:rsid w:val="0089010B"/>
    <w:rsid w:val="00890345"/>
    <w:rsid w:val="0089038D"/>
    <w:rsid w:val="008904B1"/>
    <w:rsid w:val="0089054D"/>
    <w:rsid w:val="00890700"/>
    <w:rsid w:val="008908F4"/>
    <w:rsid w:val="0089090D"/>
    <w:rsid w:val="00890A16"/>
    <w:rsid w:val="00890CAD"/>
    <w:rsid w:val="00890D76"/>
    <w:rsid w:val="00890EDF"/>
    <w:rsid w:val="00890F26"/>
    <w:rsid w:val="008912BA"/>
    <w:rsid w:val="00891352"/>
    <w:rsid w:val="0089138F"/>
    <w:rsid w:val="0089153A"/>
    <w:rsid w:val="008915F3"/>
    <w:rsid w:val="00891744"/>
    <w:rsid w:val="00891B4E"/>
    <w:rsid w:val="00891CEE"/>
    <w:rsid w:val="00891F80"/>
    <w:rsid w:val="00892054"/>
    <w:rsid w:val="00892118"/>
    <w:rsid w:val="00892119"/>
    <w:rsid w:val="0089215F"/>
    <w:rsid w:val="00892267"/>
    <w:rsid w:val="008922E6"/>
    <w:rsid w:val="008923BD"/>
    <w:rsid w:val="008923E0"/>
    <w:rsid w:val="00892430"/>
    <w:rsid w:val="0089265B"/>
    <w:rsid w:val="0089282A"/>
    <w:rsid w:val="00892C02"/>
    <w:rsid w:val="00892C3E"/>
    <w:rsid w:val="00892CC6"/>
    <w:rsid w:val="00892F52"/>
    <w:rsid w:val="00892FF8"/>
    <w:rsid w:val="0089316E"/>
    <w:rsid w:val="008932A3"/>
    <w:rsid w:val="008934CB"/>
    <w:rsid w:val="008936AB"/>
    <w:rsid w:val="008937A1"/>
    <w:rsid w:val="008937FC"/>
    <w:rsid w:val="0089382D"/>
    <w:rsid w:val="0089387B"/>
    <w:rsid w:val="008938C5"/>
    <w:rsid w:val="008939AE"/>
    <w:rsid w:val="008939FC"/>
    <w:rsid w:val="00893D00"/>
    <w:rsid w:val="00893D21"/>
    <w:rsid w:val="00893E81"/>
    <w:rsid w:val="00894027"/>
    <w:rsid w:val="0089431E"/>
    <w:rsid w:val="008946B5"/>
    <w:rsid w:val="008947CA"/>
    <w:rsid w:val="00894897"/>
    <w:rsid w:val="0089497D"/>
    <w:rsid w:val="00894A96"/>
    <w:rsid w:val="00894B08"/>
    <w:rsid w:val="00894C1A"/>
    <w:rsid w:val="00894D0D"/>
    <w:rsid w:val="00894D80"/>
    <w:rsid w:val="00894DDF"/>
    <w:rsid w:val="00894E41"/>
    <w:rsid w:val="00894F21"/>
    <w:rsid w:val="00894F7C"/>
    <w:rsid w:val="008952E3"/>
    <w:rsid w:val="0089538A"/>
    <w:rsid w:val="008955EA"/>
    <w:rsid w:val="0089560E"/>
    <w:rsid w:val="0089579A"/>
    <w:rsid w:val="00895A5B"/>
    <w:rsid w:val="00895ADC"/>
    <w:rsid w:val="00895AF0"/>
    <w:rsid w:val="00895B88"/>
    <w:rsid w:val="00895B8D"/>
    <w:rsid w:val="00895C07"/>
    <w:rsid w:val="00895C7E"/>
    <w:rsid w:val="00895D03"/>
    <w:rsid w:val="00895DD8"/>
    <w:rsid w:val="00895F92"/>
    <w:rsid w:val="0089645D"/>
    <w:rsid w:val="0089673E"/>
    <w:rsid w:val="008969D0"/>
    <w:rsid w:val="00896C89"/>
    <w:rsid w:val="00896F56"/>
    <w:rsid w:val="0089708E"/>
    <w:rsid w:val="008971CA"/>
    <w:rsid w:val="00897641"/>
    <w:rsid w:val="0089778C"/>
    <w:rsid w:val="0089789F"/>
    <w:rsid w:val="0089791A"/>
    <w:rsid w:val="00897946"/>
    <w:rsid w:val="00897AA2"/>
    <w:rsid w:val="00897DF8"/>
    <w:rsid w:val="00897E3B"/>
    <w:rsid w:val="008A0057"/>
    <w:rsid w:val="008A00D7"/>
    <w:rsid w:val="008A01B6"/>
    <w:rsid w:val="008A023D"/>
    <w:rsid w:val="008A04BC"/>
    <w:rsid w:val="008A05CE"/>
    <w:rsid w:val="008A0691"/>
    <w:rsid w:val="008A07C1"/>
    <w:rsid w:val="008A08F0"/>
    <w:rsid w:val="008A0901"/>
    <w:rsid w:val="008A0937"/>
    <w:rsid w:val="008A09F2"/>
    <w:rsid w:val="008A0BE0"/>
    <w:rsid w:val="008A0DEC"/>
    <w:rsid w:val="008A0E1E"/>
    <w:rsid w:val="008A0EA4"/>
    <w:rsid w:val="008A0F2E"/>
    <w:rsid w:val="008A153B"/>
    <w:rsid w:val="008A1719"/>
    <w:rsid w:val="008A1879"/>
    <w:rsid w:val="008A18A5"/>
    <w:rsid w:val="008A19AB"/>
    <w:rsid w:val="008A1BA8"/>
    <w:rsid w:val="008A1C91"/>
    <w:rsid w:val="008A1CDB"/>
    <w:rsid w:val="008A1CF5"/>
    <w:rsid w:val="008A1D7C"/>
    <w:rsid w:val="008A1EFA"/>
    <w:rsid w:val="008A1F94"/>
    <w:rsid w:val="008A1FB6"/>
    <w:rsid w:val="008A2184"/>
    <w:rsid w:val="008A21D7"/>
    <w:rsid w:val="008A21EF"/>
    <w:rsid w:val="008A2279"/>
    <w:rsid w:val="008A230D"/>
    <w:rsid w:val="008A23E8"/>
    <w:rsid w:val="008A2649"/>
    <w:rsid w:val="008A2735"/>
    <w:rsid w:val="008A27F8"/>
    <w:rsid w:val="008A2893"/>
    <w:rsid w:val="008A28B8"/>
    <w:rsid w:val="008A2BD6"/>
    <w:rsid w:val="008A2BEE"/>
    <w:rsid w:val="008A2CA3"/>
    <w:rsid w:val="008A2D5F"/>
    <w:rsid w:val="008A3214"/>
    <w:rsid w:val="008A329E"/>
    <w:rsid w:val="008A3435"/>
    <w:rsid w:val="008A363C"/>
    <w:rsid w:val="008A3755"/>
    <w:rsid w:val="008A389E"/>
    <w:rsid w:val="008A3948"/>
    <w:rsid w:val="008A3982"/>
    <w:rsid w:val="008A39B7"/>
    <w:rsid w:val="008A3A57"/>
    <w:rsid w:val="008A3C37"/>
    <w:rsid w:val="008A3D29"/>
    <w:rsid w:val="008A3DCE"/>
    <w:rsid w:val="008A3E37"/>
    <w:rsid w:val="008A4040"/>
    <w:rsid w:val="008A40E7"/>
    <w:rsid w:val="008A42B9"/>
    <w:rsid w:val="008A42D1"/>
    <w:rsid w:val="008A4412"/>
    <w:rsid w:val="008A44C8"/>
    <w:rsid w:val="008A4AD5"/>
    <w:rsid w:val="008A4BA6"/>
    <w:rsid w:val="008A4C95"/>
    <w:rsid w:val="008A4CB7"/>
    <w:rsid w:val="008A4DB6"/>
    <w:rsid w:val="008A4DF4"/>
    <w:rsid w:val="008A4E73"/>
    <w:rsid w:val="008A4E7E"/>
    <w:rsid w:val="008A4F05"/>
    <w:rsid w:val="008A55A8"/>
    <w:rsid w:val="008A566C"/>
    <w:rsid w:val="008A582F"/>
    <w:rsid w:val="008A5A63"/>
    <w:rsid w:val="008A5C54"/>
    <w:rsid w:val="008A5C95"/>
    <w:rsid w:val="008A5D84"/>
    <w:rsid w:val="008A5EC4"/>
    <w:rsid w:val="008A60B4"/>
    <w:rsid w:val="008A61BC"/>
    <w:rsid w:val="008A61C3"/>
    <w:rsid w:val="008A6245"/>
    <w:rsid w:val="008A62FF"/>
    <w:rsid w:val="008A631B"/>
    <w:rsid w:val="008A63EE"/>
    <w:rsid w:val="008A6477"/>
    <w:rsid w:val="008A6490"/>
    <w:rsid w:val="008A671A"/>
    <w:rsid w:val="008A6777"/>
    <w:rsid w:val="008A6974"/>
    <w:rsid w:val="008A69E6"/>
    <w:rsid w:val="008A6A26"/>
    <w:rsid w:val="008A6CA2"/>
    <w:rsid w:val="008A6FF4"/>
    <w:rsid w:val="008A708C"/>
    <w:rsid w:val="008A71E7"/>
    <w:rsid w:val="008A72B9"/>
    <w:rsid w:val="008A738E"/>
    <w:rsid w:val="008A7396"/>
    <w:rsid w:val="008A73A1"/>
    <w:rsid w:val="008A7626"/>
    <w:rsid w:val="008A764B"/>
    <w:rsid w:val="008A7697"/>
    <w:rsid w:val="008A7870"/>
    <w:rsid w:val="008A78F5"/>
    <w:rsid w:val="008A7A93"/>
    <w:rsid w:val="008A7E05"/>
    <w:rsid w:val="008A7F26"/>
    <w:rsid w:val="008A7F27"/>
    <w:rsid w:val="008A7F34"/>
    <w:rsid w:val="008A7FC3"/>
    <w:rsid w:val="008B03AC"/>
    <w:rsid w:val="008B044D"/>
    <w:rsid w:val="008B0451"/>
    <w:rsid w:val="008B05EA"/>
    <w:rsid w:val="008B0611"/>
    <w:rsid w:val="008B06C6"/>
    <w:rsid w:val="008B08DD"/>
    <w:rsid w:val="008B097F"/>
    <w:rsid w:val="008B0B5E"/>
    <w:rsid w:val="008B0C86"/>
    <w:rsid w:val="008B0D1E"/>
    <w:rsid w:val="008B0E14"/>
    <w:rsid w:val="008B1004"/>
    <w:rsid w:val="008B1164"/>
    <w:rsid w:val="008B11B3"/>
    <w:rsid w:val="008B1504"/>
    <w:rsid w:val="008B153E"/>
    <w:rsid w:val="008B15EB"/>
    <w:rsid w:val="008B1783"/>
    <w:rsid w:val="008B17A9"/>
    <w:rsid w:val="008B18DA"/>
    <w:rsid w:val="008B1C63"/>
    <w:rsid w:val="008B1EB1"/>
    <w:rsid w:val="008B1F92"/>
    <w:rsid w:val="008B219D"/>
    <w:rsid w:val="008B2235"/>
    <w:rsid w:val="008B22A3"/>
    <w:rsid w:val="008B23AB"/>
    <w:rsid w:val="008B275E"/>
    <w:rsid w:val="008B2911"/>
    <w:rsid w:val="008B29F9"/>
    <w:rsid w:val="008B2A2F"/>
    <w:rsid w:val="008B2A49"/>
    <w:rsid w:val="008B2A4E"/>
    <w:rsid w:val="008B2AAC"/>
    <w:rsid w:val="008B2BB7"/>
    <w:rsid w:val="008B2C69"/>
    <w:rsid w:val="008B2C90"/>
    <w:rsid w:val="008B2EF7"/>
    <w:rsid w:val="008B3035"/>
    <w:rsid w:val="008B31F2"/>
    <w:rsid w:val="008B3278"/>
    <w:rsid w:val="008B3304"/>
    <w:rsid w:val="008B36C3"/>
    <w:rsid w:val="008B383A"/>
    <w:rsid w:val="008B3929"/>
    <w:rsid w:val="008B3B6A"/>
    <w:rsid w:val="008B3F26"/>
    <w:rsid w:val="008B4008"/>
    <w:rsid w:val="008B4153"/>
    <w:rsid w:val="008B42D1"/>
    <w:rsid w:val="008B455D"/>
    <w:rsid w:val="008B47E1"/>
    <w:rsid w:val="008B49DC"/>
    <w:rsid w:val="008B49F0"/>
    <w:rsid w:val="008B4A73"/>
    <w:rsid w:val="008B4B14"/>
    <w:rsid w:val="008B4B26"/>
    <w:rsid w:val="008B4BFF"/>
    <w:rsid w:val="008B4DDD"/>
    <w:rsid w:val="008B4EC5"/>
    <w:rsid w:val="008B4F50"/>
    <w:rsid w:val="008B4F53"/>
    <w:rsid w:val="008B4F6A"/>
    <w:rsid w:val="008B4F84"/>
    <w:rsid w:val="008B525D"/>
    <w:rsid w:val="008B5437"/>
    <w:rsid w:val="008B58D3"/>
    <w:rsid w:val="008B59E6"/>
    <w:rsid w:val="008B5A9D"/>
    <w:rsid w:val="008B5F8E"/>
    <w:rsid w:val="008B62A6"/>
    <w:rsid w:val="008B62ED"/>
    <w:rsid w:val="008B63D1"/>
    <w:rsid w:val="008B6539"/>
    <w:rsid w:val="008B6596"/>
    <w:rsid w:val="008B66BE"/>
    <w:rsid w:val="008B66EE"/>
    <w:rsid w:val="008B6707"/>
    <w:rsid w:val="008B673B"/>
    <w:rsid w:val="008B6790"/>
    <w:rsid w:val="008B67D1"/>
    <w:rsid w:val="008B687E"/>
    <w:rsid w:val="008B6C2F"/>
    <w:rsid w:val="008B6D27"/>
    <w:rsid w:val="008B6F9C"/>
    <w:rsid w:val="008B71E7"/>
    <w:rsid w:val="008B7230"/>
    <w:rsid w:val="008B7311"/>
    <w:rsid w:val="008B7508"/>
    <w:rsid w:val="008B75FE"/>
    <w:rsid w:val="008B7A03"/>
    <w:rsid w:val="008B7A3E"/>
    <w:rsid w:val="008B7AC3"/>
    <w:rsid w:val="008B7B97"/>
    <w:rsid w:val="008B7BD5"/>
    <w:rsid w:val="008C0062"/>
    <w:rsid w:val="008C0280"/>
    <w:rsid w:val="008C02B9"/>
    <w:rsid w:val="008C0430"/>
    <w:rsid w:val="008C0720"/>
    <w:rsid w:val="008C0808"/>
    <w:rsid w:val="008C089A"/>
    <w:rsid w:val="008C08BE"/>
    <w:rsid w:val="008C0984"/>
    <w:rsid w:val="008C09B6"/>
    <w:rsid w:val="008C0AF4"/>
    <w:rsid w:val="008C0B68"/>
    <w:rsid w:val="008C0DC3"/>
    <w:rsid w:val="008C0DC5"/>
    <w:rsid w:val="008C0EF5"/>
    <w:rsid w:val="008C0F77"/>
    <w:rsid w:val="008C11D7"/>
    <w:rsid w:val="008C12A2"/>
    <w:rsid w:val="008C13DB"/>
    <w:rsid w:val="008C1C2B"/>
    <w:rsid w:val="008C1C3D"/>
    <w:rsid w:val="008C1E37"/>
    <w:rsid w:val="008C1EDB"/>
    <w:rsid w:val="008C227F"/>
    <w:rsid w:val="008C22B3"/>
    <w:rsid w:val="008C22FB"/>
    <w:rsid w:val="008C2314"/>
    <w:rsid w:val="008C26D7"/>
    <w:rsid w:val="008C273B"/>
    <w:rsid w:val="008C278F"/>
    <w:rsid w:val="008C2B33"/>
    <w:rsid w:val="008C2C66"/>
    <w:rsid w:val="008C2D15"/>
    <w:rsid w:val="008C2E01"/>
    <w:rsid w:val="008C2E12"/>
    <w:rsid w:val="008C3049"/>
    <w:rsid w:val="008C308D"/>
    <w:rsid w:val="008C32F4"/>
    <w:rsid w:val="008C337F"/>
    <w:rsid w:val="008C361D"/>
    <w:rsid w:val="008C3816"/>
    <w:rsid w:val="008C391E"/>
    <w:rsid w:val="008C3BDD"/>
    <w:rsid w:val="008C3DAD"/>
    <w:rsid w:val="008C3DC2"/>
    <w:rsid w:val="008C413B"/>
    <w:rsid w:val="008C41AF"/>
    <w:rsid w:val="008C41B7"/>
    <w:rsid w:val="008C42CA"/>
    <w:rsid w:val="008C431B"/>
    <w:rsid w:val="008C453E"/>
    <w:rsid w:val="008C467C"/>
    <w:rsid w:val="008C46B9"/>
    <w:rsid w:val="008C46C5"/>
    <w:rsid w:val="008C46F8"/>
    <w:rsid w:val="008C4812"/>
    <w:rsid w:val="008C4AE7"/>
    <w:rsid w:val="008C4B94"/>
    <w:rsid w:val="008C4BBB"/>
    <w:rsid w:val="008C4BDA"/>
    <w:rsid w:val="008C4C4F"/>
    <w:rsid w:val="008C4D2D"/>
    <w:rsid w:val="008C4DB8"/>
    <w:rsid w:val="008C4E5F"/>
    <w:rsid w:val="008C5146"/>
    <w:rsid w:val="008C520F"/>
    <w:rsid w:val="008C525D"/>
    <w:rsid w:val="008C5405"/>
    <w:rsid w:val="008C54C1"/>
    <w:rsid w:val="008C58CF"/>
    <w:rsid w:val="008C59CF"/>
    <w:rsid w:val="008C6017"/>
    <w:rsid w:val="008C602C"/>
    <w:rsid w:val="008C61CA"/>
    <w:rsid w:val="008C63F9"/>
    <w:rsid w:val="008C6550"/>
    <w:rsid w:val="008C6864"/>
    <w:rsid w:val="008C68F5"/>
    <w:rsid w:val="008C6969"/>
    <w:rsid w:val="008C6E62"/>
    <w:rsid w:val="008C6F17"/>
    <w:rsid w:val="008C7030"/>
    <w:rsid w:val="008C7215"/>
    <w:rsid w:val="008C73D0"/>
    <w:rsid w:val="008C758E"/>
    <w:rsid w:val="008C7755"/>
    <w:rsid w:val="008C7902"/>
    <w:rsid w:val="008C79E2"/>
    <w:rsid w:val="008C7A0E"/>
    <w:rsid w:val="008C7AFE"/>
    <w:rsid w:val="008C7BDA"/>
    <w:rsid w:val="008C7BE2"/>
    <w:rsid w:val="008C7C0D"/>
    <w:rsid w:val="008C7E4C"/>
    <w:rsid w:val="008D007B"/>
    <w:rsid w:val="008D022F"/>
    <w:rsid w:val="008D0360"/>
    <w:rsid w:val="008D076E"/>
    <w:rsid w:val="008D0783"/>
    <w:rsid w:val="008D07B7"/>
    <w:rsid w:val="008D08A5"/>
    <w:rsid w:val="008D09F9"/>
    <w:rsid w:val="008D0B4A"/>
    <w:rsid w:val="008D0B5E"/>
    <w:rsid w:val="008D0B7B"/>
    <w:rsid w:val="008D0F05"/>
    <w:rsid w:val="008D1016"/>
    <w:rsid w:val="008D123E"/>
    <w:rsid w:val="008D1254"/>
    <w:rsid w:val="008D135F"/>
    <w:rsid w:val="008D1475"/>
    <w:rsid w:val="008D1534"/>
    <w:rsid w:val="008D15AA"/>
    <w:rsid w:val="008D1798"/>
    <w:rsid w:val="008D17DC"/>
    <w:rsid w:val="008D1963"/>
    <w:rsid w:val="008D199D"/>
    <w:rsid w:val="008D1CD5"/>
    <w:rsid w:val="008D218F"/>
    <w:rsid w:val="008D22E3"/>
    <w:rsid w:val="008D24EB"/>
    <w:rsid w:val="008D26B1"/>
    <w:rsid w:val="008D2915"/>
    <w:rsid w:val="008D2B6E"/>
    <w:rsid w:val="008D2BC6"/>
    <w:rsid w:val="008D2C15"/>
    <w:rsid w:val="008D2EA1"/>
    <w:rsid w:val="008D2F5F"/>
    <w:rsid w:val="008D311E"/>
    <w:rsid w:val="008D31D5"/>
    <w:rsid w:val="008D344F"/>
    <w:rsid w:val="008D3896"/>
    <w:rsid w:val="008D3CFF"/>
    <w:rsid w:val="008D3F6C"/>
    <w:rsid w:val="008D40B4"/>
    <w:rsid w:val="008D40F1"/>
    <w:rsid w:val="008D41FA"/>
    <w:rsid w:val="008D42F8"/>
    <w:rsid w:val="008D438A"/>
    <w:rsid w:val="008D45B7"/>
    <w:rsid w:val="008D49FC"/>
    <w:rsid w:val="008D4A6E"/>
    <w:rsid w:val="008D4A73"/>
    <w:rsid w:val="008D4AB6"/>
    <w:rsid w:val="008D4B1F"/>
    <w:rsid w:val="008D4F26"/>
    <w:rsid w:val="008D4F33"/>
    <w:rsid w:val="008D503F"/>
    <w:rsid w:val="008D505D"/>
    <w:rsid w:val="008D5222"/>
    <w:rsid w:val="008D5385"/>
    <w:rsid w:val="008D5694"/>
    <w:rsid w:val="008D578A"/>
    <w:rsid w:val="008D599D"/>
    <w:rsid w:val="008D5BF4"/>
    <w:rsid w:val="008D5D1E"/>
    <w:rsid w:val="008D5E1C"/>
    <w:rsid w:val="008D5EC6"/>
    <w:rsid w:val="008D61FE"/>
    <w:rsid w:val="008D624A"/>
    <w:rsid w:val="008D66A0"/>
    <w:rsid w:val="008D6704"/>
    <w:rsid w:val="008D678C"/>
    <w:rsid w:val="008D67D3"/>
    <w:rsid w:val="008D67F1"/>
    <w:rsid w:val="008D680E"/>
    <w:rsid w:val="008D68A9"/>
    <w:rsid w:val="008D6965"/>
    <w:rsid w:val="008D6C92"/>
    <w:rsid w:val="008D6D5E"/>
    <w:rsid w:val="008D6F93"/>
    <w:rsid w:val="008D7075"/>
    <w:rsid w:val="008D70AD"/>
    <w:rsid w:val="008D71EE"/>
    <w:rsid w:val="008D73E4"/>
    <w:rsid w:val="008D74E4"/>
    <w:rsid w:val="008D79E2"/>
    <w:rsid w:val="008D7B03"/>
    <w:rsid w:val="008D7B74"/>
    <w:rsid w:val="008D7C6C"/>
    <w:rsid w:val="008D7FA3"/>
    <w:rsid w:val="008E0040"/>
    <w:rsid w:val="008E01C2"/>
    <w:rsid w:val="008E05BC"/>
    <w:rsid w:val="008E05FF"/>
    <w:rsid w:val="008E0743"/>
    <w:rsid w:val="008E07E8"/>
    <w:rsid w:val="008E08AE"/>
    <w:rsid w:val="008E0928"/>
    <w:rsid w:val="008E0CBA"/>
    <w:rsid w:val="008E0D36"/>
    <w:rsid w:val="008E0E7D"/>
    <w:rsid w:val="008E116E"/>
    <w:rsid w:val="008E1468"/>
    <w:rsid w:val="008E14B0"/>
    <w:rsid w:val="008E18E4"/>
    <w:rsid w:val="008E1A91"/>
    <w:rsid w:val="008E1AE4"/>
    <w:rsid w:val="008E1AE8"/>
    <w:rsid w:val="008E1B3F"/>
    <w:rsid w:val="008E1C17"/>
    <w:rsid w:val="008E1C2C"/>
    <w:rsid w:val="008E1C58"/>
    <w:rsid w:val="008E1CA0"/>
    <w:rsid w:val="008E1E98"/>
    <w:rsid w:val="008E1F3E"/>
    <w:rsid w:val="008E2024"/>
    <w:rsid w:val="008E2266"/>
    <w:rsid w:val="008E233D"/>
    <w:rsid w:val="008E26C0"/>
    <w:rsid w:val="008E285C"/>
    <w:rsid w:val="008E2944"/>
    <w:rsid w:val="008E29FB"/>
    <w:rsid w:val="008E2BDC"/>
    <w:rsid w:val="008E2C24"/>
    <w:rsid w:val="008E2CAD"/>
    <w:rsid w:val="008E2D53"/>
    <w:rsid w:val="008E2D64"/>
    <w:rsid w:val="008E2DB8"/>
    <w:rsid w:val="008E2EFE"/>
    <w:rsid w:val="008E33E5"/>
    <w:rsid w:val="008E34D7"/>
    <w:rsid w:val="008E36FA"/>
    <w:rsid w:val="008E3707"/>
    <w:rsid w:val="008E399A"/>
    <w:rsid w:val="008E39D2"/>
    <w:rsid w:val="008E39F6"/>
    <w:rsid w:val="008E3C18"/>
    <w:rsid w:val="008E3D83"/>
    <w:rsid w:val="008E3E04"/>
    <w:rsid w:val="008E3EED"/>
    <w:rsid w:val="008E3F37"/>
    <w:rsid w:val="008E40F0"/>
    <w:rsid w:val="008E41F4"/>
    <w:rsid w:val="008E422E"/>
    <w:rsid w:val="008E44FD"/>
    <w:rsid w:val="008E457C"/>
    <w:rsid w:val="008E482C"/>
    <w:rsid w:val="008E4902"/>
    <w:rsid w:val="008E4B03"/>
    <w:rsid w:val="008E4BA6"/>
    <w:rsid w:val="008E4BCD"/>
    <w:rsid w:val="008E4C11"/>
    <w:rsid w:val="008E4CC3"/>
    <w:rsid w:val="008E4F49"/>
    <w:rsid w:val="008E4FB9"/>
    <w:rsid w:val="008E5049"/>
    <w:rsid w:val="008E513B"/>
    <w:rsid w:val="008E524A"/>
    <w:rsid w:val="008E531B"/>
    <w:rsid w:val="008E53E5"/>
    <w:rsid w:val="008E569D"/>
    <w:rsid w:val="008E5706"/>
    <w:rsid w:val="008E5778"/>
    <w:rsid w:val="008E588C"/>
    <w:rsid w:val="008E588E"/>
    <w:rsid w:val="008E58BD"/>
    <w:rsid w:val="008E5B09"/>
    <w:rsid w:val="008E5BA7"/>
    <w:rsid w:val="008E5C38"/>
    <w:rsid w:val="008E5D7E"/>
    <w:rsid w:val="008E5F67"/>
    <w:rsid w:val="008E60AC"/>
    <w:rsid w:val="008E60EA"/>
    <w:rsid w:val="008E6164"/>
    <w:rsid w:val="008E6262"/>
    <w:rsid w:val="008E6379"/>
    <w:rsid w:val="008E63A5"/>
    <w:rsid w:val="008E63C2"/>
    <w:rsid w:val="008E63E0"/>
    <w:rsid w:val="008E67AB"/>
    <w:rsid w:val="008E6869"/>
    <w:rsid w:val="008E68BA"/>
    <w:rsid w:val="008E6D51"/>
    <w:rsid w:val="008E6F0A"/>
    <w:rsid w:val="008E709E"/>
    <w:rsid w:val="008E70A4"/>
    <w:rsid w:val="008E71FA"/>
    <w:rsid w:val="008E75B4"/>
    <w:rsid w:val="008E77EC"/>
    <w:rsid w:val="008E79FE"/>
    <w:rsid w:val="008E7A13"/>
    <w:rsid w:val="008E7B31"/>
    <w:rsid w:val="008E7C6A"/>
    <w:rsid w:val="008E7DBA"/>
    <w:rsid w:val="008E7E56"/>
    <w:rsid w:val="008E7FF3"/>
    <w:rsid w:val="008F0177"/>
    <w:rsid w:val="008F01E8"/>
    <w:rsid w:val="008F0529"/>
    <w:rsid w:val="008F0567"/>
    <w:rsid w:val="008F0569"/>
    <w:rsid w:val="008F0724"/>
    <w:rsid w:val="008F07AD"/>
    <w:rsid w:val="008F0DB9"/>
    <w:rsid w:val="008F145D"/>
    <w:rsid w:val="008F1766"/>
    <w:rsid w:val="008F1773"/>
    <w:rsid w:val="008F17AD"/>
    <w:rsid w:val="008F1865"/>
    <w:rsid w:val="008F1A17"/>
    <w:rsid w:val="008F1AF9"/>
    <w:rsid w:val="008F1B94"/>
    <w:rsid w:val="008F1D5C"/>
    <w:rsid w:val="008F2218"/>
    <w:rsid w:val="008F22BE"/>
    <w:rsid w:val="008F233C"/>
    <w:rsid w:val="008F2584"/>
    <w:rsid w:val="008F2B7A"/>
    <w:rsid w:val="008F2BC9"/>
    <w:rsid w:val="008F2D5C"/>
    <w:rsid w:val="008F304B"/>
    <w:rsid w:val="008F30E3"/>
    <w:rsid w:val="008F317B"/>
    <w:rsid w:val="008F33EC"/>
    <w:rsid w:val="008F3473"/>
    <w:rsid w:val="008F3544"/>
    <w:rsid w:val="008F375D"/>
    <w:rsid w:val="008F39A3"/>
    <w:rsid w:val="008F3B1E"/>
    <w:rsid w:val="008F3C73"/>
    <w:rsid w:val="008F3C8A"/>
    <w:rsid w:val="008F410D"/>
    <w:rsid w:val="008F4176"/>
    <w:rsid w:val="008F41DC"/>
    <w:rsid w:val="008F423E"/>
    <w:rsid w:val="008F4267"/>
    <w:rsid w:val="008F435B"/>
    <w:rsid w:val="008F43DC"/>
    <w:rsid w:val="008F4415"/>
    <w:rsid w:val="008F4769"/>
    <w:rsid w:val="008F47E4"/>
    <w:rsid w:val="008F498F"/>
    <w:rsid w:val="008F499C"/>
    <w:rsid w:val="008F4A4D"/>
    <w:rsid w:val="008F4AE6"/>
    <w:rsid w:val="008F4AF7"/>
    <w:rsid w:val="008F4CC5"/>
    <w:rsid w:val="008F4CF5"/>
    <w:rsid w:val="008F4DA1"/>
    <w:rsid w:val="008F4E4E"/>
    <w:rsid w:val="008F4EE4"/>
    <w:rsid w:val="008F4F25"/>
    <w:rsid w:val="008F4FB5"/>
    <w:rsid w:val="008F51D9"/>
    <w:rsid w:val="008F520E"/>
    <w:rsid w:val="008F56FB"/>
    <w:rsid w:val="008F57F1"/>
    <w:rsid w:val="008F5951"/>
    <w:rsid w:val="008F5C44"/>
    <w:rsid w:val="008F5D4D"/>
    <w:rsid w:val="008F5D5A"/>
    <w:rsid w:val="008F5DE8"/>
    <w:rsid w:val="008F5EBC"/>
    <w:rsid w:val="008F5ED3"/>
    <w:rsid w:val="008F602B"/>
    <w:rsid w:val="008F617B"/>
    <w:rsid w:val="008F632A"/>
    <w:rsid w:val="008F6763"/>
    <w:rsid w:val="008F6A11"/>
    <w:rsid w:val="008F6B3A"/>
    <w:rsid w:val="008F6EEB"/>
    <w:rsid w:val="008F701B"/>
    <w:rsid w:val="008F70F1"/>
    <w:rsid w:val="008F70FD"/>
    <w:rsid w:val="008F71EF"/>
    <w:rsid w:val="008F724B"/>
    <w:rsid w:val="008F725C"/>
    <w:rsid w:val="008F73A3"/>
    <w:rsid w:val="008F7450"/>
    <w:rsid w:val="008F75B5"/>
    <w:rsid w:val="008F75C9"/>
    <w:rsid w:val="008F7D03"/>
    <w:rsid w:val="008F7E2C"/>
    <w:rsid w:val="00900193"/>
    <w:rsid w:val="00900275"/>
    <w:rsid w:val="00900418"/>
    <w:rsid w:val="00900422"/>
    <w:rsid w:val="009006CF"/>
    <w:rsid w:val="00900719"/>
    <w:rsid w:val="009007A1"/>
    <w:rsid w:val="00900CC3"/>
    <w:rsid w:val="00900D46"/>
    <w:rsid w:val="00901025"/>
    <w:rsid w:val="00901041"/>
    <w:rsid w:val="00901172"/>
    <w:rsid w:val="009011ED"/>
    <w:rsid w:val="00901383"/>
    <w:rsid w:val="0090142E"/>
    <w:rsid w:val="00901523"/>
    <w:rsid w:val="0090155D"/>
    <w:rsid w:val="009017EF"/>
    <w:rsid w:val="00901AFF"/>
    <w:rsid w:val="00901D62"/>
    <w:rsid w:val="00901D88"/>
    <w:rsid w:val="00901EFE"/>
    <w:rsid w:val="00902076"/>
    <w:rsid w:val="0090207A"/>
    <w:rsid w:val="00902157"/>
    <w:rsid w:val="00902182"/>
    <w:rsid w:val="00902443"/>
    <w:rsid w:val="00902547"/>
    <w:rsid w:val="00902881"/>
    <w:rsid w:val="00902CB0"/>
    <w:rsid w:val="00902E0C"/>
    <w:rsid w:val="00902FF4"/>
    <w:rsid w:val="0090308E"/>
    <w:rsid w:val="00903103"/>
    <w:rsid w:val="009033CD"/>
    <w:rsid w:val="00903763"/>
    <w:rsid w:val="009039D3"/>
    <w:rsid w:val="00903D61"/>
    <w:rsid w:val="0090414E"/>
    <w:rsid w:val="0090437A"/>
    <w:rsid w:val="00904399"/>
    <w:rsid w:val="009043EF"/>
    <w:rsid w:val="0090446D"/>
    <w:rsid w:val="00904552"/>
    <w:rsid w:val="00904560"/>
    <w:rsid w:val="009046CD"/>
    <w:rsid w:val="00904B10"/>
    <w:rsid w:val="00904B23"/>
    <w:rsid w:val="00904D11"/>
    <w:rsid w:val="00904DD4"/>
    <w:rsid w:val="00904E1A"/>
    <w:rsid w:val="00905078"/>
    <w:rsid w:val="0090508B"/>
    <w:rsid w:val="009051F9"/>
    <w:rsid w:val="0090531B"/>
    <w:rsid w:val="00905398"/>
    <w:rsid w:val="0090542B"/>
    <w:rsid w:val="0090543D"/>
    <w:rsid w:val="00905672"/>
    <w:rsid w:val="00905A6F"/>
    <w:rsid w:val="00905AEC"/>
    <w:rsid w:val="00905C42"/>
    <w:rsid w:val="00905CC3"/>
    <w:rsid w:val="0090605F"/>
    <w:rsid w:val="009060BD"/>
    <w:rsid w:val="00906172"/>
    <w:rsid w:val="00906189"/>
    <w:rsid w:val="00906194"/>
    <w:rsid w:val="009067F6"/>
    <w:rsid w:val="00906835"/>
    <w:rsid w:val="00906A37"/>
    <w:rsid w:val="00906B7D"/>
    <w:rsid w:val="00906CB2"/>
    <w:rsid w:val="00906E37"/>
    <w:rsid w:val="00906E5C"/>
    <w:rsid w:val="00906EE6"/>
    <w:rsid w:val="00906F42"/>
    <w:rsid w:val="009070EC"/>
    <w:rsid w:val="00907143"/>
    <w:rsid w:val="00907318"/>
    <w:rsid w:val="00907372"/>
    <w:rsid w:val="0090748A"/>
    <w:rsid w:val="00907832"/>
    <w:rsid w:val="0090792C"/>
    <w:rsid w:val="00907A9E"/>
    <w:rsid w:val="00907B80"/>
    <w:rsid w:val="00907D3B"/>
    <w:rsid w:val="00907D6C"/>
    <w:rsid w:val="00907E21"/>
    <w:rsid w:val="00907E3C"/>
    <w:rsid w:val="00907E48"/>
    <w:rsid w:val="009102A3"/>
    <w:rsid w:val="009105E8"/>
    <w:rsid w:val="009106AC"/>
    <w:rsid w:val="009106FF"/>
    <w:rsid w:val="009108AD"/>
    <w:rsid w:val="00910933"/>
    <w:rsid w:val="00910A83"/>
    <w:rsid w:val="00910C98"/>
    <w:rsid w:val="00910CE2"/>
    <w:rsid w:val="00910CF9"/>
    <w:rsid w:val="00910EC2"/>
    <w:rsid w:val="00911139"/>
    <w:rsid w:val="00911355"/>
    <w:rsid w:val="009114A3"/>
    <w:rsid w:val="009114D8"/>
    <w:rsid w:val="0091151B"/>
    <w:rsid w:val="00911685"/>
    <w:rsid w:val="0091192D"/>
    <w:rsid w:val="00911937"/>
    <w:rsid w:val="00911948"/>
    <w:rsid w:val="00911B36"/>
    <w:rsid w:val="00911B84"/>
    <w:rsid w:val="00911CEF"/>
    <w:rsid w:val="009121DA"/>
    <w:rsid w:val="0091231D"/>
    <w:rsid w:val="009125B6"/>
    <w:rsid w:val="009125C8"/>
    <w:rsid w:val="00912664"/>
    <w:rsid w:val="00912670"/>
    <w:rsid w:val="00912695"/>
    <w:rsid w:val="00912AB9"/>
    <w:rsid w:val="00912D4D"/>
    <w:rsid w:val="00912F96"/>
    <w:rsid w:val="00913053"/>
    <w:rsid w:val="00913207"/>
    <w:rsid w:val="00913241"/>
    <w:rsid w:val="009136B7"/>
    <w:rsid w:val="00914098"/>
    <w:rsid w:val="0091420A"/>
    <w:rsid w:val="00914278"/>
    <w:rsid w:val="009142A0"/>
    <w:rsid w:val="009142E0"/>
    <w:rsid w:val="00914820"/>
    <w:rsid w:val="00914867"/>
    <w:rsid w:val="009148BE"/>
    <w:rsid w:val="00914A68"/>
    <w:rsid w:val="00914B1A"/>
    <w:rsid w:val="00914D0A"/>
    <w:rsid w:val="00914D36"/>
    <w:rsid w:val="00914F15"/>
    <w:rsid w:val="00914F2F"/>
    <w:rsid w:val="009154B5"/>
    <w:rsid w:val="00915536"/>
    <w:rsid w:val="009158EE"/>
    <w:rsid w:val="00915AF7"/>
    <w:rsid w:val="00915BD6"/>
    <w:rsid w:val="00915BF6"/>
    <w:rsid w:val="00915C25"/>
    <w:rsid w:val="00915C78"/>
    <w:rsid w:val="00915E41"/>
    <w:rsid w:val="00916049"/>
    <w:rsid w:val="00916242"/>
    <w:rsid w:val="009162FC"/>
    <w:rsid w:val="00916457"/>
    <w:rsid w:val="009165D9"/>
    <w:rsid w:val="009166F7"/>
    <w:rsid w:val="00916716"/>
    <w:rsid w:val="0091674F"/>
    <w:rsid w:val="00916998"/>
    <w:rsid w:val="00916C26"/>
    <w:rsid w:val="00916C3C"/>
    <w:rsid w:val="00916CDD"/>
    <w:rsid w:val="00916CE3"/>
    <w:rsid w:val="00916D18"/>
    <w:rsid w:val="00916ED9"/>
    <w:rsid w:val="00916F86"/>
    <w:rsid w:val="00917263"/>
    <w:rsid w:val="00917367"/>
    <w:rsid w:val="00917477"/>
    <w:rsid w:val="009175E9"/>
    <w:rsid w:val="00917998"/>
    <w:rsid w:val="00917EAA"/>
    <w:rsid w:val="0092001C"/>
    <w:rsid w:val="00920487"/>
    <w:rsid w:val="0092059E"/>
    <w:rsid w:val="00920701"/>
    <w:rsid w:val="009207E6"/>
    <w:rsid w:val="00920857"/>
    <w:rsid w:val="0092099B"/>
    <w:rsid w:val="00920AEE"/>
    <w:rsid w:val="00920B9F"/>
    <w:rsid w:val="00920BA9"/>
    <w:rsid w:val="00920BAD"/>
    <w:rsid w:val="00920D5F"/>
    <w:rsid w:val="00920E53"/>
    <w:rsid w:val="00920F05"/>
    <w:rsid w:val="00920F3E"/>
    <w:rsid w:val="009211FE"/>
    <w:rsid w:val="009213BF"/>
    <w:rsid w:val="0092145F"/>
    <w:rsid w:val="009214E8"/>
    <w:rsid w:val="00921532"/>
    <w:rsid w:val="0092162E"/>
    <w:rsid w:val="0092166E"/>
    <w:rsid w:val="00921752"/>
    <w:rsid w:val="009219A0"/>
    <w:rsid w:val="00921C22"/>
    <w:rsid w:val="00921C6D"/>
    <w:rsid w:val="00921D13"/>
    <w:rsid w:val="009221AF"/>
    <w:rsid w:val="00922227"/>
    <w:rsid w:val="009225A2"/>
    <w:rsid w:val="009225B1"/>
    <w:rsid w:val="0092288F"/>
    <w:rsid w:val="00922892"/>
    <w:rsid w:val="009228A4"/>
    <w:rsid w:val="009229B7"/>
    <w:rsid w:val="009229BA"/>
    <w:rsid w:val="009229FA"/>
    <w:rsid w:val="00922AB5"/>
    <w:rsid w:val="00922AD5"/>
    <w:rsid w:val="00922CA9"/>
    <w:rsid w:val="00922CD6"/>
    <w:rsid w:val="00922D8A"/>
    <w:rsid w:val="00922FF7"/>
    <w:rsid w:val="0092304E"/>
    <w:rsid w:val="0092306A"/>
    <w:rsid w:val="009231D9"/>
    <w:rsid w:val="009232B4"/>
    <w:rsid w:val="00923320"/>
    <w:rsid w:val="009233BD"/>
    <w:rsid w:val="00923422"/>
    <w:rsid w:val="009235AC"/>
    <w:rsid w:val="009235AE"/>
    <w:rsid w:val="009237BC"/>
    <w:rsid w:val="009238E3"/>
    <w:rsid w:val="00923A4A"/>
    <w:rsid w:val="00923BD3"/>
    <w:rsid w:val="00923FC9"/>
    <w:rsid w:val="00924013"/>
    <w:rsid w:val="009240C4"/>
    <w:rsid w:val="009240CC"/>
    <w:rsid w:val="00924132"/>
    <w:rsid w:val="00924242"/>
    <w:rsid w:val="0092459B"/>
    <w:rsid w:val="00924655"/>
    <w:rsid w:val="00924784"/>
    <w:rsid w:val="00924897"/>
    <w:rsid w:val="00924AB6"/>
    <w:rsid w:val="00924C25"/>
    <w:rsid w:val="00924CB6"/>
    <w:rsid w:val="00924F0A"/>
    <w:rsid w:val="00924F40"/>
    <w:rsid w:val="00924FD0"/>
    <w:rsid w:val="009252D9"/>
    <w:rsid w:val="0092531A"/>
    <w:rsid w:val="0092541F"/>
    <w:rsid w:val="0092547B"/>
    <w:rsid w:val="00925547"/>
    <w:rsid w:val="009256B4"/>
    <w:rsid w:val="009259C8"/>
    <w:rsid w:val="00925A3A"/>
    <w:rsid w:val="00925A72"/>
    <w:rsid w:val="00925B18"/>
    <w:rsid w:val="00925DFA"/>
    <w:rsid w:val="00925E23"/>
    <w:rsid w:val="00925EA4"/>
    <w:rsid w:val="0092605F"/>
    <w:rsid w:val="009261C3"/>
    <w:rsid w:val="009262A4"/>
    <w:rsid w:val="009262B7"/>
    <w:rsid w:val="0092635F"/>
    <w:rsid w:val="00926433"/>
    <w:rsid w:val="009264A9"/>
    <w:rsid w:val="009264F2"/>
    <w:rsid w:val="00926517"/>
    <w:rsid w:val="009265C3"/>
    <w:rsid w:val="009265F8"/>
    <w:rsid w:val="00926AB2"/>
    <w:rsid w:val="00926E1A"/>
    <w:rsid w:val="009270CE"/>
    <w:rsid w:val="009271B8"/>
    <w:rsid w:val="009271F4"/>
    <w:rsid w:val="00927219"/>
    <w:rsid w:val="00927227"/>
    <w:rsid w:val="009275B6"/>
    <w:rsid w:val="0092775F"/>
    <w:rsid w:val="00927827"/>
    <w:rsid w:val="009278A5"/>
    <w:rsid w:val="00927A50"/>
    <w:rsid w:val="00927AF8"/>
    <w:rsid w:val="00927BFF"/>
    <w:rsid w:val="00927C45"/>
    <w:rsid w:val="00927D08"/>
    <w:rsid w:val="00927D17"/>
    <w:rsid w:val="00927E41"/>
    <w:rsid w:val="00927E8D"/>
    <w:rsid w:val="00930048"/>
    <w:rsid w:val="0093006E"/>
    <w:rsid w:val="0093017E"/>
    <w:rsid w:val="00930286"/>
    <w:rsid w:val="00930322"/>
    <w:rsid w:val="0093040D"/>
    <w:rsid w:val="00930432"/>
    <w:rsid w:val="00930572"/>
    <w:rsid w:val="009306D5"/>
    <w:rsid w:val="009306F2"/>
    <w:rsid w:val="00930817"/>
    <w:rsid w:val="00930858"/>
    <w:rsid w:val="009309AE"/>
    <w:rsid w:val="00930B63"/>
    <w:rsid w:val="00930B92"/>
    <w:rsid w:val="00930BC6"/>
    <w:rsid w:val="00930BEF"/>
    <w:rsid w:val="00930D38"/>
    <w:rsid w:val="00930F0C"/>
    <w:rsid w:val="00930F6A"/>
    <w:rsid w:val="009310D5"/>
    <w:rsid w:val="00931174"/>
    <w:rsid w:val="0093134C"/>
    <w:rsid w:val="0093138F"/>
    <w:rsid w:val="00931423"/>
    <w:rsid w:val="00931456"/>
    <w:rsid w:val="0093153F"/>
    <w:rsid w:val="00931549"/>
    <w:rsid w:val="00931617"/>
    <w:rsid w:val="009317C9"/>
    <w:rsid w:val="00931823"/>
    <w:rsid w:val="009319CA"/>
    <w:rsid w:val="00931C46"/>
    <w:rsid w:val="00931F10"/>
    <w:rsid w:val="00932214"/>
    <w:rsid w:val="009323E0"/>
    <w:rsid w:val="0093248A"/>
    <w:rsid w:val="0093254F"/>
    <w:rsid w:val="009325AC"/>
    <w:rsid w:val="00932AAE"/>
    <w:rsid w:val="00932CB5"/>
    <w:rsid w:val="00932D50"/>
    <w:rsid w:val="00932E78"/>
    <w:rsid w:val="00932E8D"/>
    <w:rsid w:val="0093321D"/>
    <w:rsid w:val="0093339D"/>
    <w:rsid w:val="009333D4"/>
    <w:rsid w:val="00933412"/>
    <w:rsid w:val="0093344C"/>
    <w:rsid w:val="009334A8"/>
    <w:rsid w:val="009334E1"/>
    <w:rsid w:val="00933573"/>
    <w:rsid w:val="009335F1"/>
    <w:rsid w:val="00933704"/>
    <w:rsid w:val="00933726"/>
    <w:rsid w:val="00933959"/>
    <w:rsid w:val="00933976"/>
    <w:rsid w:val="00933D3C"/>
    <w:rsid w:val="00933F48"/>
    <w:rsid w:val="00933F5F"/>
    <w:rsid w:val="0093401B"/>
    <w:rsid w:val="00934172"/>
    <w:rsid w:val="009343E6"/>
    <w:rsid w:val="00934708"/>
    <w:rsid w:val="009347C6"/>
    <w:rsid w:val="009347FD"/>
    <w:rsid w:val="00934A29"/>
    <w:rsid w:val="00934AC8"/>
    <w:rsid w:val="00934C00"/>
    <w:rsid w:val="00934C48"/>
    <w:rsid w:val="00934FA8"/>
    <w:rsid w:val="00934FCA"/>
    <w:rsid w:val="00935000"/>
    <w:rsid w:val="00935055"/>
    <w:rsid w:val="009351E4"/>
    <w:rsid w:val="00935272"/>
    <w:rsid w:val="009354E3"/>
    <w:rsid w:val="0093567C"/>
    <w:rsid w:val="009356A9"/>
    <w:rsid w:val="0093571E"/>
    <w:rsid w:val="009358D6"/>
    <w:rsid w:val="0093592E"/>
    <w:rsid w:val="009359DC"/>
    <w:rsid w:val="00935A1E"/>
    <w:rsid w:val="00935AF6"/>
    <w:rsid w:val="00935B41"/>
    <w:rsid w:val="00935DE9"/>
    <w:rsid w:val="00935E24"/>
    <w:rsid w:val="00936247"/>
    <w:rsid w:val="009363AC"/>
    <w:rsid w:val="00936532"/>
    <w:rsid w:val="00936665"/>
    <w:rsid w:val="009367D9"/>
    <w:rsid w:val="009368C3"/>
    <w:rsid w:val="00936AF0"/>
    <w:rsid w:val="00936F5F"/>
    <w:rsid w:val="00937021"/>
    <w:rsid w:val="009370C0"/>
    <w:rsid w:val="00937100"/>
    <w:rsid w:val="0093710F"/>
    <w:rsid w:val="009371CE"/>
    <w:rsid w:val="00937239"/>
    <w:rsid w:val="0093727D"/>
    <w:rsid w:val="0093738B"/>
    <w:rsid w:val="00937394"/>
    <w:rsid w:val="009373E5"/>
    <w:rsid w:val="009373F1"/>
    <w:rsid w:val="009374C8"/>
    <w:rsid w:val="009375E8"/>
    <w:rsid w:val="00937664"/>
    <w:rsid w:val="009376D2"/>
    <w:rsid w:val="0093793C"/>
    <w:rsid w:val="00937D41"/>
    <w:rsid w:val="00937D7F"/>
    <w:rsid w:val="00937E26"/>
    <w:rsid w:val="00937ECC"/>
    <w:rsid w:val="0094001A"/>
    <w:rsid w:val="0094005B"/>
    <w:rsid w:val="00940141"/>
    <w:rsid w:val="0094022E"/>
    <w:rsid w:val="00940CD2"/>
    <w:rsid w:val="00940D90"/>
    <w:rsid w:val="00940DDC"/>
    <w:rsid w:val="00940E06"/>
    <w:rsid w:val="00940E1E"/>
    <w:rsid w:val="00940E23"/>
    <w:rsid w:val="00940E47"/>
    <w:rsid w:val="00940E55"/>
    <w:rsid w:val="00940EA4"/>
    <w:rsid w:val="00940FD8"/>
    <w:rsid w:val="0094102D"/>
    <w:rsid w:val="00941045"/>
    <w:rsid w:val="00941206"/>
    <w:rsid w:val="00941328"/>
    <w:rsid w:val="00941368"/>
    <w:rsid w:val="00941432"/>
    <w:rsid w:val="0094144E"/>
    <w:rsid w:val="009415B2"/>
    <w:rsid w:val="009415F2"/>
    <w:rsid w:val="0094165A"/>
    <w:rsid w:val="009418CD"/>
    <w:rsid w:val="00941A12"/>
    <w:rsid w:val="00941BF5"/>
    <w:rsid w:val="00941CC7"/>
    <w:rsid w:val="00941D0D"/>
    <w:rsid w:val="00941DE3"/>
    <w:rsid w:val="00941E90"/>
    <w:rsid w:val="0094203C"/>
    <w:rsid w:val="009420C8"/>
    <w:rsid w:val="00942110"/>
    <w:rsid w:val="009423A6"/>
    <w:rsid w:val="0094260F"/>
    <w:rsid w:val="0094263B"/>
    <w:rsid w:val="0094266A"/>
    <w:rsid w:val="009426CA"/>
    <w:rsid w:val="00942AFC"/>
    <w:rsid w:val="00942CFE"/>
    <w:rsid w:val="00942D49"/>
    <w:rsid w:val="00942D6B"/>
    <w:rsid w:val="00942F33"/>
    <w:rsid w:val="00942FB5"/>
    <w:rsid w:val="0094310E"/>
    <w:rsid w:val="00943569"/>
    <w:rsid w:val="00943616"/>
    <w:rsid w:val="009436FC"/>
    <w:rsid w:val="0094393F"/>
    <w:rsid w:val="00943B4A"/>
    <w:rsid w:val="00943C75"/>
    <w:rsid w:val="00943CBF"/>
    <w:rsid w:val="00943D78"/>
    <w:rsid w:val="00943E2B"/>
    <w:rsid w:val="0094413B"/>
    <w:rsid w:val="009444C7"/>
    <w:rsid w:val="0094450D"/>
    <w:rsid w:val="00944602"/>
    <w:rsid w:val="009446CE"/>
    <w:rsid w:val="00944703"/>
    <w:rsid w:val="009447A7"/>
    <w:rsid w:val="00944968"/>
    <w:rsid w:val="00944A8E"/>
    <w:rsid w:val="00944CF7"/>
    <w:rsid w:val="00944F86"/>
    <w:rsid w:val="00945022"/>
    <w:rsid w:val="009452F4"/>
    <w:rsid w:val="00945411"/>
    <w:rsid w:val="00945418"/>
    <w:rsid w:val="009455C1"/>
    <w:rsid w:val="00945680"/>
    <w:rsid w:val="00945825"/>
    <w:rsid w:val="009459DD"/>
    <w:rsid w:val="009459E1"/>
    <w:rsid w:val="00945BA1"/>
    <w:rsid w:val="00945CC5"/>
    <w:rsid w:val="00945D92"/>
    <w:rsid w:val="00945E1E"/>
    <w:rsid w:val="00945E99"/>
    <w:rsid w:val="00945F76"/>
    <w:rsid w:val="00945FA2"/>
    <w:rsid w:val="00945FD2"/>
    <w:rsid w:val="00946031"/>
    <w:rsid w:val="00946124"/>
    <w:rsid w:val="009461BF"/>
    <w:rsid w:val="0094662D"/>
    <w:rsid w:val="0094682B"/>
    <w:rsid w:val="00946947"/>
    <w:rsid w:val="00946B48"/>
    <w:rsid w:val="00946BAC"/>
    <w:rsid w:val="00946C86"/>
    <w:rsid w:val="00946DCF"/>
    <w:rsid w:val="00946E85"/>
    <w:rsid w:val="00946FB0"/>
    <w:rsid w:val="00946FB8"/>
    <w:rsid w:val="00947060"/>
    <w:rsid w:val="009470BE"/>
    <w:rsid w:val="009472B7"/>
    <w:rsid w:val="00947A38"/>
    <w:rsid w:val="00947D19"/>
    <w:rsid w:val="00950163"/>
    <w:rsid w:val="00950216"/>
    <w:rsid w:val="00950282"/>
    <w:rsid w:val="00950299"/>
    <w:rsid w:val="009502E2"/>
    <w:rsid w:val="0095040F"/>
    <w:rsid w:val="00950671"/>
    <w:rsid w:val="00950690"/>
    <w:rsid w:val="0095091A"/>
    <w:rsid w:val="00950ACB"/>
    <w:rsid w:val="00950B60"/>
    <w:rsid w:val="00950CE8"/>
    <w:rsid w:val="00950D09"/>
    <w:rsid w:val="00951070"/>
    <w:rsid w:val="0095128E"/>
    <w:rsid w:val="009512D9"/>
    <w:rsid w:val="00951322"/>
    <w:rsid w:val="0095142B"/>
    <w:rsid w:val="00951584"/>
    <w:rsid w:val="00951BB4"/>
    <w:rsid w:val="00951D41"/>
    <w:rsid w:val="00951DA7"/>
    <w:rsid w:val="00952004"/>
    <w:rsid w:val="0095205E"/>
    <w:rsid w:val="009520AF"/>
    <w:rsid w:val="00952259"/>
    <w:rsid w:val="0095226D"/>
    <w:rsid w:val="00952333"/>
    <w:rsid w:val="00952600"/>
    <w:rsid w:val="0095271F"/>
    <w:rsid w:val="009529C8"/>
    <w:rsid w:val="00952B51"/>
    <w:rsid w:val="00952E9A"/>
    <w:rsid w:val="00952EC5"/>
    <w:rsid w:val="009532E8"/>
    <w:rsid w:val="009533E1"/>
    <w:rsid w:val="00953451"/>
    <w:rsid w:val="009535E4"/>
    <w:rsid w:val="00953750"/>
    <w:rsid w:val="00953982"/>
    <w:rsid w:val="00953A0E"/>
    <w:rsid w:val="00953B98"/>
    <w:rsid w:val="00953D3D"/>
    <w:rsid w:val="00953D72"/>
    <w:rsid w:val="00953E1E"/>
    <w:rsid w:val="00953E4E"/>
    <w:rsid w:val="00953F45"/>
    <w:rsid w:val="00954113"/>
    <w:rsid w:val="00954124"/>
    <w:rsid w:val="00954156"/>
    <w:rsid w:val="009541EA"/>
    <w:rsid w:val="00954416"/>
    <w:rsid w:val="00954638"/>
    <w:rsid w:val="009546EC"/>
    <w:rsid w:val="00954743"/>
    <w:rsid w:val="00954776"/>
    <w:rsid w:val="00954846"/>
    <w:rsid w:val="00954ACB"/>
    <w:rsid w:val="00954E6C"/>
    <w:rsid w:val="00954F11"/>
    <w:rsid w:val="00954F19"/>
    <w:rsid w:val="00955141"/>
    <w:rsid w:val="009551BC"/>
    <w:rsid w:val="0095538F"/>
    <w:rsid w:val="009556F5"/>
    <w:rsid w:val="00955718"/>
    <w:rsid w:val="0095574E"/>
    <w:rsid w:val="009557D2"/>
    <w:rsid w:val="009557FB"/>
    <w:rsid w:val="00955833"/>
    <w:rsid w:val="00955BBA"/>
    <w:rsid w:val="00955C6B"/>
    <w:rsid w:val="00955C95"/>
    <w:rsid w:val="00955CCD"/>
    <w:rsid w:val="00955D57"/>
    <w:rsid w:val="00955E56"/>
    <w:rsid w:val="00955EC7"/>
    <w:rsid w:val="00956075"/>
    <w:rsid w:val="0095630A"/>
    <w:rsid w:val="00956346"/>
    <w:rsid w:val="00956379"/>
    <w:rsid w:val="0095640F"/>
    <w:rsid w:val="009564E9"/>
    <w:rsid w:val="009565D5"/>
    <w:rsid w:val="0095677D"/>
    <w:rsid w:val="009567BC"/>
    <w:rsid w:val="009568F5"/>
    <w:rsid w:val="009568FD"/>
    <w:rsid w:val="00956996"/>
    <w:rsid w:val="00956A2C"/>
    <w:rsid w:val="00956AE1"/>
    <w:rsid w:val="00956E98"/>
    <w:rsid w:val="00956E9E"/>
    <w:rsid w:val="00956EAA"/>
    <w:rsid w:val="00956FF4"/>
    <w:rsid w:val="00957048"/>
    <w:rsid w:val="009570A4"/>
    <w:rsid w:val="009572D0"/>
    <w:rsid w:val="009573E7"/>
    <w:rsid w:val="009574E7"/>
    <w:rsid w:val="009576DA"/>
    <w:rsid w:val="009576E1"/>
    <w:rsid w:val="009577DA"/>
    <w:rsid w:val="009577EA"/>
    <w:rsid w:val="00957812"/>
    <w:rsid w:val="009578CF"/>
    <w:rsid w:val="00957A7A"/>
    <w:rsid w:val="00957BAC"/>
    <w:rsid w:val="00957DDD"/>
    <w:rsid w:val="00957FDF"/>
    <w:rsid w:val="0096023A"/>
    <w:rsid w:val="00960249"/>
    <w:rsid w:val="0096025F"/>
    <w:rsid w:val="0096043C"/>
    <w:rsid w:val="00960683"/>
    <w:rsid w:val="0096070B"/>
    <w:rsid w:val="009607F7"/>
    <w:rsid w:val="00960850"/>
    <w:rsid w:val="00960AF0"/>
    <w:rsid w:val="00960CCD"/>
    <w:rsid w:val="00960E93"/>
    <w:rsid w:val="00960F13"/>
    <w:rsid w:val="00960F76"/>
    <w:rsid w:val="00960F7C"/>
    <w:rsid w:val="00961007"/>
    <w:rsid w:val="00961114"/>
    <w:rsid w:val="009611D0"/>
    <w:rsid w:val="00961204"/>
    <w:rsid w:val="0096123F"/>
    <w:rsid w:val="009614B0"/>
    <w:rsid w:val="00961516"/>
    <w:rsid w:val="0096168D"/>
    <w:rsid w:val="0096180B"/>
    <w:rsid w:val="00961811"/>
    <w:rsid w:val="009618C3"/>
    <w:rsid w:val="00961919"/>
    <w:rsid w:val="00961AED"/>
    <w:rsid w:val="00961B6B"/>
    <w:rsid w:val="00961B9B"/>
    <w:rsid w:val="00961BC9"/>
    <w:rsid w:val="00961C03"/>
    <w:rsid w:val="00961CA5"/>
    <w:rsid w:val="00962305"/>
    <w:rsid w:val="00962321"/>
    <w:rsid w:val="0096235D"/>
    <w:rsid w:val="009623CE"/>
    <w:rsid w:val="0096245D"/>
    <w:rsid w:val="00962586"/>
    <w:rsid w:val="0096269A"/>
    <w:rsid w:val="00962A4F"/>
    <w:rsid w:val="00962B79"/>
    <w:rsid w:val="00962B7D"/>
    <w:rsid w:val="00962BBE"/>
    <w:rsid w:val="00962BF1"/>
    <w:rsid w:val="00962E4D"/>
    <w:rsid w:val="009630E8"/>
    <w:rsid w:val="00963117"/>
    <w:rsid w:val="00963183"/>
    <w:rsid w:val="0096318F"/>
    <w:rsid w:val="009632DA"/>
    <w:rsid w:val="009634C9"/>
    <w:rsid w:val="009636E6"/>
    <w:rsid w:val="00963833"/>
    <w:rsid w:val="00963836"/>
    <w:rsid w:val="0096388E"/>
    <w:rsid w:val="00963B2E"/>
    <w:rsid w:val="00963BEB"/>
    <w:rsid w:val="00963E09"/>
    <w:rsid w:val="00963F1E"/>
    <w:rsid w:val="00964012"/>
    <w:rsid w:val="00964088"/>
    <w:rsid w:val="009642C5"/>
    <w:rsid w:val="00964324"/>
    <w:rsid w:val="0096479F"/>
    <w:rsid w:val="009647BC"/>
    <w:rsid w:val="00964AE8"/>
    <w:rsid w:val="00964C2A"/>
    <w:rsid w:val="00964C45"/>
    <w:rsid w:val="00964D23"/>
    <w:rsid w:val="00964F0A"/>
    <w:rsid w:val="00964F2C"/>
    <w:rsid w:val="00964FCF"/>
    <w:rsid w:val="00965266"/>
    <w:rsid w:val="0096530D"/>
    <w:rsid w:val="00965500"/>
    <w:rsid w:val="00965948"/>
    <w:rsid w:val="00965A6C"/>
    <w:rsid w:val="00965AB4"/>
    <w:rsid w:val="00965AF0"/>
    <w:rsid w:val="00965B81"/>
    <w:rsid w:val="00965C69"/>
    <w:rsid w:val="009660E7"/>
    <w:rsid w:val="0096613F"/>
    <w:rsid w:val="00966263"/>
    <w:rsid w:val="00966329"/>
    <w:rsid w:val="0096638A"/>
    <w:rsid w:val="0096646F"/>
    <w:rsid w:val="00966520"/>
    <w:rsid w:val="0096655D"/>
    <w:rsid w:val="0096694F"/>
    <w:rsid w:val="009669AE"/>
    <w:rsid w:val="00966A1B"/>
    <w:rsid w:val="00966A7B"/>
    <w:rsid w:val="00966CF6"/>
    <w:rsid w:val="00966E75"/>
    <w:rsid w:val="00966EE4"/>
    <w:rsid w:val="00966F76"/>
    <w:rsid w:val="00967208"/>
    <w:rsid w:val="00967285"/>
    <w:rsid w:val="00967604"/>
    <w:rsid w:val="009678AB"/>
    <w:rsid w:val="00967962"/>
    <w:rsid w:val="00967A0F"/>
    <w:rsid w:val="00967ADB"/>
    <w:rsid w:val="00967C0B"/>
    <w:rsid w:val="00967C38"/>
    <w:rsid w:val="00967CE6"/>
    <w:rsid w:val="00967DAC"/>
    <w:rsid w:val="009700B8"/>
    <w:rsid w:val="00970156"/>
    <w:rsid w:val="0097018F"/>
    <w:rsid w:val="00970667"/>
    <w:rsid w:val="009707C3"/>
    <w:rsid w:val="00970821"/>
    <w:rsid w:val="009709B3"/>
    <w:rsid w:val="009709EF"/>
    <w:rsid w:val="00970ABC"/>
    <w:rsid w:val="00970B24"/>
    <w:rsid w:val="00970C60"/>
    <w:rsid w:val="00970C9B"/>
    <w:rsid w:val="00970D6B"/>
    <w:rsid w:val="0097103D"/>
    <w:rsid w:val="009710F6"/>
    <w:rsid w:val="0097123F"/>
    <w:rsid w:val="009713F4"/>
    <w:rsid w:val="00971403"/>
    <w:rsid w:val="009716F4"/>
    <w:rsid w:val="00971718"/>
    <w:rsid w:val="00971855"/>
    <w:rsid w:val="009718DF"/>
    <w:rsid w:val="00971A44"/>
    <w:rsid w:val="00971BB3"/>
    <w:rsid w:val="00971E36"/>
    <w:rsid w:val="00971E55"/>
    <w:rsid w:val="00971FC7"/>
    <w:rsid w:val="00971FED"/>
    <w:rsid w:val="0097213B"/>
    <w:rsid w:val="00972141"/>
    <w:rsid w:val="00972388"/>
    <w:rsid w:val="009723D8"/>
    <w:rsid w:val="00972520"/>
    <w:rsid w:val="00972980"/>
    <w:rsid w:val="00972994"/>
    <w:rsid w:val="00972ABC"/>
    <w:rsid w:val="00972C40"/>
    <w:rsid w:val="00972C8A"/>
    <w:rsid w:val="00972CAF"/>
    <w:rsid w:val="00972D70"/>
    <w:rsid w:val="00972E7C"/>
    <w:rsid w:val="00973702"/>
    <w:rsid w:val="00973740"/>
    <w:rsid w:val="00973859"/>
    <w:rsid w:val="00973B3B"/>
    <w:rsid w:val="00973B61"/>
    <w:rsid w:val="00973B97"/>
    <w:rsid w:val="00973ECA"/>
    <w:rsid w:val="00974062"/>
    <w:rsid w:val="009740AD"/>
    <w:rsid w:val="009741BE"/>
    <w:rsid w:val="009741ED"/>
    <w:rsid w:val="0097429B"/>
    <w:rsid w:val="009742DC"/>
    <w:rsid w:val="0097440C"/>
    <w:rsid w:val="009744CC"/>
    <w:rsid w:val="00974537"/>
    <w:rsid w:val="009745EC"/>
    <w:rsid w:val="009746B8"/>
    <w:rsid w:val="0097490E"/>
    <w:rsid w:val="0097494C"/>
    <w:rsid w:val="00974AD7"/>
    <w:rsid w:val="00974BE8"/>
    <w:rsid w:val="00974C9C"/>
    <w:rsid w:val="00974CE6"/>
    <w:rsid w:val="00974D85"/>
    <w:rsid w:val="00974E1D"/>
    <w:rsid w:val="009752A2"/>
    <w:rsid w:val="009753C6"/>
    <w:rsid w:val="009753FC"/>
    <w:rsid w:val="009756D4"/>
    <w:rsid w:val="00975702"/>
    <w:rsid w:val="00975970"/>
    <w:rsid w:val="00975985"/>
    <w:rsid w:val="00975A5A"/>
    <w:rsid w:val="00975B45"/>
    <w:rsid w:val="00975CFD"/>
    <w:rsid w:val="00975F7B"/>
    <w:rsid w:val="009760AD"/>
    <w:rsid w:val="009760F9"/>
    <w:rsid w:val="0097620B"/>
    <w:rsid w:val="00976318"/>
    <w:rsid w:val="00976374"/>
    <w:rsid w:val="009763CD"/>
    <w:rsid w:val="009763FA"/>
    <w:rsid w:val="0097646C"/>
    <w:rsid w:val="00976543"/>
    <w:rsid w:val="0097658E"/>
    <w:rsid w:val="00976818"/>
    <w:rsid w:val="0097684B"/>
    <w:rsid w:val="00976944"/>
    <w:rsid w:val="00976A0B"/>
    <w:rsid w:val="00976A0E"/>
    <w:rsid w:val="00976C88"/>
    <w:rsid w:val="00976D64"/>
    <w:rsid w:val="00976EEC"/>
    <w:rsid w:val="00976F16"/>
    <w:rsid w:val="00976FE9"/>
    <w:rsid w:val="00977069"/>
    <w:rsid w:val="0097707C"/>
    <w:rsid w:val="009770B1"/>
    <w:rsid w:val="00977207"/>
    <w:rsid w:val="009772AB"/>
    <w:rsid w:val="00977344"/>
    <w:rsid w:val="009773AD"/>
    <w:rsid w:val="009773FE"/>
    <w:rsid w:val="00977464"/>
    <w:rsid w:val="009774F5"/>
    <w:rsid w:val="009779D1"/>
    <w:rsid w:val="00977B66"/>
    <w:rsid w:val="00977D82"/>
    <w:rsid w:val="00977DB8"/>
    <w:rsid w:val="00977EB2"/>
    <w:rsid w:val="00977F0C"/>
    <w:rsid w:val="00977FFA"/>
    <w:rsid w:val="0098001E"/>
    <w:rsid w:val="00980057"/>
    <w:rsid w:val="009801B2"/>
    <w:rsid w:val="009801C7"/>
    <w:rsid w:val="009802B5"/>
    <w:rsid w:val="009802E4"/>
    <w:rsid w:val="009803BD"/>
    <w:rsid w:val="009805F5"/>
    <w:rsid w:val="00980614"/>
    <w:rsid w:val="009806E7"/>
    <w:rsid w:val="0098083E"/>
    <w:rsid w:val="0098087E"/>
    <w:rsid w:val="00980897"/>
    <w:rsid w:val="00980A92"/>
    <w:rsid w:val="00980CA8"/>
    <w:rsid w:val="00980FE2"/>
    <w:rsid w:val="00981057"/>
    <w:rsid w:val="009810DA"/>
    <w:rsid w:val="00981544"/>
    <w:rsid w:val="009815B6"/>
    <w:rsid w:val="009815BE"/>
    <w:rsid w:val="0098168A"/>
    <w:rsid w:val="009816D6"/>
    <w:rsid w:val="009817F9"/>
    <w:rsid w:val="00981829"/>
    <w:rsid w:val="0098182E"/>
    <w:rsid w:val="00981A03"/>
    <w:rsid w:val="00981A8F"/>
    <w:rsid w:val="00981AEC"/>
    <w:rsid w:val="00981C40"/>
    <w:rsid w:val="00981C58"/>
    <w:rsid w:val="00981E00"/>
    <w:rsid w:val="00981E14"/>
    <w:rsid w:val="00981E71"/>
    <w:rsid w:val="009820E6"/>
    <w:rsid w:val="009822E4"/>
    <w:rsid w:val="0098232E"/>
    <w:rsid w:val="00982579"/>
    <w:rsid w:val="00982694"/>
    <w:rsid w:val="009828F3"/>
    <w:rsid w:val="009829DC"/>
    <w:rsid w:val="00982B23"/>
    <w:rsid w:val="00982B32"/>
    <w:rsid w:val="00982BB2"/>
    <w:rsid w:val="00982F37"/>
    <w:rsid w:val="00983142"/>
    <w:rsid w:val="0098315F"/>
    <w:rsid w:val="009832CD"/>
    <w:rsid w:val="0098342C"/>
    <w:rsid w:val="0098346D"/>
    <w:rsid w:val="009834A7"/>
    <w:rsid w:val="009836E2"/>
    <w:rsid w:val="00983A26"/>
    <w:rsid w:val="00983BC8"/>
    <w:rsid w:val="00983C7F"/>
    <w:rsid w:val="00983D79"/>
    <w:rsid w:val="00983DDC"/>
    <w:rsid w:val="009841EB"/>
    <w:rsid w:val="0098425A"/>
    <w:rsid w:val="0098425C"/>
    <w:rsid w:val="00984327"/>
    <w:rsid w:val="009843B8"/>
    <w:rsid w:val="0098463E"/>
    <w:rsid w:val="00984737"/>
    <w:rsid w:val="00984856"/>
    <w:rsid w:val="00984AFD"/>
    <w:rsid w:val="00984BFA"/>
    <w:rsid w:val="00984FEE"/>
    <w:rsid w:val="009852DB"/>
    <w:rsid w:val="00985D06"/>
    <w:rsid w:val="00986188"/>
    <w:rsid w:val="0098618D"/>
    <w:rsid w:val="00986336"/>
    <w:rsid w:val="0098643E"/>
    <w:rsid w:val="009864C7"/>
    <w:rsid w:val="009865D6"/>
    <w:rsid w:val="00986704"/>
    <w:rsid w:val="009867EE"/>
    <w:rsid w:val="00986A60"/>
    <w:rsid w:val="00986BD8"/>
    <w:rsid w:val="00986C58"/>
    <w:rsid w:val="00986D11"/>
    <w:rsid w:val="00987018"/>
    <w:rsid w:val="0098706F"/>
    <w:rsid w:val="009870CE"/>
    <w:rsid w:val="0098714D"/>
    <w:rsid w:val="00987163"/>
    <w:rsid w:val="0098738E"/>
    <w:rsid w:val="009873FB"/>
    <w:rsid w:val="00987735"/>
    <w:rsid w:val="0098776B"/>
    <w:rsid w:val="009878A7"/>
    <w:rsid w:val="009879B1"/>
    <w:rsid w:val="00987B74"/>
    <w:rsid w:val="00987D46"/>
    <w:rsid w:val="00987EC5"/>
    <w:rsid w:val="00990372"/>
    <w:rsid w:val="00990424"/>
    <w:rsid w:val="0099058E"/>
    <w:rsid w:val="00990680"/>
    <w:rsid w:val="00990985"/>
    <w:rsid w:val="009909CB"/>
    <w:rsid w:val="00990A1D"/>
    <w:rsid w:val="00990A87"/>
    <w:rsid w:val="00990DA7"/>
    <w:rsid w:val="00990EF8"/>
    <w:rsid w:val="0099132A"/>
    <w:rsid w:val="0099133A"/>
    <w:rsid w:val="00991567"/>
    <w:rsid w:val="009915E0"/>
    <w:rsid w:val="00991889"/>
    <w:rsid w:val="0099192D"/>
    <w:rsid w:val="009919E8"/>
    <w:rsid w:val="00991C92"/>
    <w:rsid w:val="00991D04"/>
    <w:rsid w:val="009920DD"/>
    <w:rsid w:val="0099250D"/>
    <w:rsid w:val="00992580"/>
    <w:rsid w:val="009925A9"/>
    <w:rsid w:val="009926D9"/>
    <w:rsid w:val="00992825"/>
    <w:rsid w:val="0099288E"/>
    <w:rsid w:val="00992A76"/>
    <w:rsid w:val="00992CB7"/>
    <w:rsid w:val="00992CC1"/>
    <w:rsid w:val="00992D5C"/>
    <w:rsid w:val="00992F67"/>
    <w:rsid w:val="00992FA7"/>
    <w:rsid w:val="00993283"/>
    <w:rsid w:val="009932AD"/>
    <w:rsid w:val="009933FD"/>
    <w:rsid w:val="0099350F"/>
    <w:rsid w:val="00993669"/>
    <w:rsid w:val="009936A9"/>
    <w:rsid w:val="0099383A"/>
    <w:rsid w:val="00993AD6"/>
    <w:rsid w:val="00993C6F"/>
    <w:rsid w:val="00993EAF"/>
    <w:rsid w:val="00993FC5"/>
    <w:rsid w:val="009941C5"/>
    <w:rsid w:val="00994292"/>
    <w:rsid w:val="009942BD"/>
    <w:rsid w:val="009942FC"/>
    <w:rsid w:val="00994364"/>
    <w:rsid w:val="00994490"/>
    <w:rsid w:val="00994598"/>
    <w:rsid w:val="009945A7"/>
    <w:rsid w:val="009946C3"/>
    <w:rsid w:val="009946E2"/>
    <w:rsid w:val="0099470D"/>
    <w:rsid w:val="0099472F"/>
    <w:rsid w:val="00994841"/>
    <w:rsid w:val="009948AA"/>
    <w:rsid w:val="00994958"/>
    <w:rsid w:val="009949B8"/>
    <w:rsid w:val="009949D8"/>
    <w:rsid w:val="00994C37"/>
    <w:rsid w:val="00994D2D"/>
    <w:rsid w:val="00994D6E"/>
    <w:rsid w:val="009950D8"/>
    <w:rsid w:val="0099536E"/>
    <w:rsid w:val="00995397"/>
    <w:rsid w:val="009953B3"/>
    <w:rsid w:val="0099548B"/>
    <w:rsid w:val="00995599"/>
    <w:rsid w:val="0099593E"/>
    <w:rsid w:val="00995A20"/>
    <w:rsid w:val="00995ABC"/>
    <w:rsid w:val="00995DA5"/>
    <w:rsid w:val="00995E84"/>
    <w:rsid w:val="00996023"/>
    <w:rsid w:val="009965E2"/>
    <w:rsid w:val="0099681D"/>
    <w:rsid w:val="009969B0"/>
    <w:rsid w:val="009969C5"/>
    <w:rsid w:val="00996AB7"/>
    <w:rsid w:val="00996D2D"/>
    <w:rsid w:val="00996EEF"/>
    <w:rsid w:val="00997034"/>
    <w:rsid w:val="0099722D"/>
    <w:rsid w:val="00997273"/>
    <w:rsid w:val="009972FE"/>
    <w:rsid w:val="009974BE"/>
    <w:rsid w:val="009A023E"/>
    <w:rsid w:val="009A0253"/>
    <w:rsid w:val="009A0293"/>
    <w:rsid w:val="009A03AC"/>
    <w:rsid w:val="009A04B8"/>
    <w:rsid w:val="009A05E2"/>
    <w:rsid w:val="009A089F"/>
    <w:rsid w:val="009A0ACE"/>
    <w:rsid w:val="009A0AF8"/>
    <w:rsid w:val="009A0CDD"/>
    <w:rsid w:val="009A0EAC"/>
    <w:rsid w:val="009A0F9E"/>
    <w:rsid w:val="009A13AC"/>
    <w:rsid w:val="009A1414"/>
    <w:rsid w:val="009A1435"/>
    <w:rsid w:val="009A14DB"/>
    <w:rsid w:val="009A1546"/>
    <w:rsid w:val="009A1719"/>
    <w:rsid w:val="009A1772"/>
    <w:rsid w:val="009A17C7"/>
    <w:rsid w:val="009A1863"/>
    <w:rsid w:val="009A1AB8"/>
    <w:rsid w:val="009A1BD3"/>
    <w:rsid w:val="009A1C52"/>
    <w:rsid w:val="009A1E9B"/>
    <w:rsid w:val="009A1F53"/>
    <w:rsid w:val="009A1FDE"/>
    <w:rsid w:val="009A21DF"/>
    <w:rsid w:val="009A22A3"/>
    <w:rsid w:val="009A2323"/>
    <w:rsid w:val="009A2363"/>
    <w:rsid w:val="009A2399"/>
    <w:rsid w:val="009A23B3"/>
    <w:rsid w:val="009A23D2"/>
    <w:rsid w:val="009A254A"/>
    <w:rsid w:val="009A2790"/>
    <w:rsid w:val="009A27BC"/>
    <w:rsid w:val="009A2B28"/>
    <w:rsid w:val="009A2B42"/>
    <w:rsid w:val="009A2C19"/>
    <w:rsid w:val="009A2C53"/>
    <w:rsid w:val="009A2CD2"/>
    <w:rsid w:val="009A2E25"/>
    <w:rsid w:val="009A3119"/>
    <w:rsid w:val="009A3238"/>
    <w:rsid w:val="009A3302"/>
    <w:rsid w:val="009A33C4"/>
    <w:rsid w:val="009A33CB"/>
    <w:rsid w:val="009A3645"/>
    <w:rsid w:val="009A3680"/>
    <w:rsid w:val="009A37C1"/>
    <w:rsid w:val="009A37EF"/>
    <w:rsid w:val="009A386B"/>
    <w:rsid w:val="009A39E5"/>
    <w:rsid w:val="009A3A17"/>
    <w:rsid w:val="009A3B08"/>
    <w:rsid w:val="009A3D7C"/>
    <w:rsid w:val="009A3F8D"/>
    <w:rsid w:val="009A4090"/>
    <w:rsid w:val="009A426A"/>
    <w:rsid w:val="009A4313"/>
    <w:rsid w:val="009A448F"/>
    <w:rsid w:val="009A4704"/>
    <w:rsid w:val="009A491C"/>
    <w:rsid w:val="009A4977"/>
    <w:rsid w:val="009A4C4A"/>
    <w:rsid w:val="009A4C56"/>
    <w:rsid w:val="009A4D43"/>
    <w:rsid w:val="009A4EB6"/>
    <w:rsid w:val="009A5114"/>
    <w:rsid w:val="009A5206"/>
    <w:rsid w:val="009A5291"/>
    <w:rsid w:val="009A5389"/>
    <w:rsid w:val="009A53BD"/>
    <w:rsid w:val="009A53F8"/>
    <w:rsid w:val="009A5502"/>
    <w:rsid w:val="009A5604"/>
    <w:rsid w:val="009A5689"/>
    <w:rsid w:val="009A5738"/>
    <w:rsid w:val="009A5779"/>
    <w:rsid w:val="009A588C"/>
    <w:rsid w:val="009A58F3"/>
    <w:rsid w:val="009A5963"/>
    <w:rsid w:val="009A5A8B"/>
    <w:rsid w:val="009A5CA7"/>
    <w:rsid w:val="009A5EDC"/>
    <w:rsid w:val="009A61A2"/>
    <w:rsid w:val="009A61D6"/>
    <w:rsid w:val="009A61EB"/>
    <w:rsid w:val="009A622E"/>
    <w:rsid w:val="009A6325"/>
    <w:rsid w:val="009A639A"/>
    <w:rsid w:val="009A656B"/>
    <w:rsid w:val="009A6A45"/>
    <w:rsid w:val="009A6A8C"/>
    <w:rsid w:val="009A6B7B"/>
    <w:rsid w:val="009A6DBC"/>
    <w:rsid w:val="009A6E39"/>
    <w:rsid w:val="009A7020"/>
    <w:rsid w:val="009A7068"/>
    <w:rsid w:val="009A7093"/>
    <w:rsid w:val="009A7331"/>
    <w:rsid w:val="009A73D6"/>
    <w:rsid w:val="009A7791"/>
    <w:rsid w:val="009A77C4"/>
    <w:rsid w:val="009A793F"/>
    <w:rsid w:val="009A7A73"/>
    <w:rsid w:val="009A7AA0"/>
    <w:rsid w:val="009A7AA6"/>
    <w:rsid w:val="009A7BAD"/>
    <w:rsid w:val="009A7C31"/>
    <w:rsid w:val="009A7C46"/>
    <w:rsid w:val="009A7D14"/>
    <w:rsid w:val="009A7D35"/>
    <w:rsid w:val="009A7D5B"/>
    <w:rsid w:val="009A7D79"/>
    <w:rsid w:val="009A7DB8"/>
    <w:rsid w:val="009A7ED3"/>
    <w:rsid w:val="009A7EE9"/>
    <w:rsid w:val="009A7F26"/>
    <w:rsid w:val="009B018F"/>
    <w:rsid w:val="009B0310"/>
    <w:rsid w:val="009B05EF"/>
    <w:rsid w:val="009B0745"/>
    <w:rsid w:val="009B0843"/>
    <w:rsid w:val="009B0A48"/>
    <w:rsid w:val="009B0A64"/>
    <w:rsid w:val="009B0D28"/>
    <w:rsid w:val="009B0DAE"/>
    <w:rsid w:val="009B0E90"/>
    <w:rsid w:val="009B0EC0"/>
    <w:rsid w:val="009B0F5F"/>
    <w:rsid w:val="009B0F71"/>
    <w:rsid w:val="009B115F"/>
    <w:rsid w:val="009B1212"/>
    <w:rsid w:val="009B12AC"/>
    <w:rsid w:val="009B1326"/>
    <w:rsid w:val="009B1327"/>
    <w:rsid w:val="009B1445"/>
    <w:rsid w:val="009B15B8"/>
    <w:rsid w:val="009B1A8B"/>
    <w:rsid w:val="009B1B06"/>
    <w:rsid w:val="009B1E28"/>
    <w:rsid w:val="009B208A"/>
    <w:rsid w:val="009B2231"/>
    <w:rsid w:val="009B2375"/>
    <w:rsid w:val="009B28D9"/>
    <w:rsid w:val="009B2A27"/>
    <w:rsid w:val="009B2AB3"/>
    <w:rsid w:val="009B2AE2"/>
    <w:rsid w:val="009B2B9C"/>
    <w:rsid w:val="009B2BB7"/>
    <w:rsid w:val="009B2CE3"/>
    <w:rsid w:val="009B2DC0"/>
    <w:rsid w:val="009B2FDB"/>
    <w:rsid w:val="009B3113"/>
    <w:rsid w:val="009B314F"/>
    <w:rsid w:val="009B3224"/>
    <w:rsid w:val="009B3296"/>
    <w:rsid w:val="009B3514"/>
    <w:rsid w:val="009B3575"/>
    <w:rsid w:val="009B35D5"/>
    <w:rsid w:val="009B36B4"/>
    <w:rsid w:val="009B37F4"/>
    <w:rsid w:val="009B3853"/>
    <w:rsid w:val="009B3893"/>
    <w:rsid w:val="009B3A0D"/>
    <w:rsid w:val="009B3A5B"/>
    <w:rsid w:val="009B3C64"/>
    <w:rsid w:val="009B3F0D"/>
    <w:rsid w:val="009B3FD0"/>
    <w:rsid w:val="009B41F3"/>
    <w:rsid w:val="009B4273"/>
    <w:rsid w:val="009B430A"/>
    <w:rsid w:val="009B43FF"/>
    <w:rsid w:val="009B4761"/>
    <w:rsid w:val="009B4837"/>
    <w:rsid w:val="009B497F"/>
    <w:rsid w:val="009B49B4"/>
    <w:rsid w:val="009B4AFC"/>
    <w:rsid w:val="009B4BE3"/>
    <w:rsid w:val="009B4BEC"/>
    <w:rsid w:val="009B4C09"/>
    <w:rsid w:val="009B4CA8"/>
    <w:rsid w:val="009B4E79"/>
    <w:rsid w:val="009B50C1"/>
    <w:rsid w:val="009B52AB"/>
    <w:rsid w:val="009B5440"/>
    <w:rsid w:val="009B5443"/>
    <w:rsid w:val="009B5649"/>
    <w:rsid w:val="009B5806"/>
    <w:rsid w:val="009B586D"/>
    <w:rsid w:val="009B5988"/>
    <w:rsid w:val="009B5D0F"/>
    <w:rsid w:val="009B5D99"/>
    <w:rsid w:val="009B5E38"/>
    <w:rsid w:val="009B6031"/>
    <w:rsid w:val="009B614A"/>
    <w:rsid w:val="009B61B1"/>
    <w:rsid w:val="009B6504"/>
    <w:rsid w:val="009B68E8"/>
    <w:rsid w:val="009B6988"/>
    <w:rsid w:val="009B73C3"/>
    <w:rsid w:val="009B741D"/>
    <w:rsid w:val="009B75D2"/>
    <w:rsid w:val="009B760F"/>
    <w:rsid w:val="009B775D"/>
    <w:rsid w:val="009B7797"/>
    <w:rsid w:val="009B7AD9"/>
    <w:rsid w:val="009B7C5C"/>
    <w:rsid w:val="009B7D3C"/>
    <w:rsid w:val="009B7E35"/>
    <w:rsid w:val="009B7F0A"/>
    <w:rsid w:val="009B7FD2"/>
    <w:rsid w:val="009B7FF7"/>
    <w:rsid w:val="009C033D"/>
    <w:rsid w:val="009C03AB"/>
    <w:rsid w:val="009C05E8"/>
    <w:rsid w:val="009C0605"/>
    <w:rsid w:val="009C0743"/>
    <w:rsid w:val="009C085A"/>
    <w:rsid w:val="009C0AA6"/>
    <w:rsid w:val="009C0B32"/>
    <w:rsid w:val="009C0C2C"/>
    <w:rsid w:val="009C0DDB"/>
    <w:rsid w:val="009C0EEE"/>
    <w:rsid w:val="009C0F1A"/>
    <w:rsid w:val="009C0FBA"/>
    <w:rsid w:val="009C1060"/>
    <w:rsid w:val="009C1190"/>
    <w:rsid w:val="009C12F1"/>
    <w:rsid w:val="009C16C9"/>
    <w:rsid w:val="009C19EF"/>
    <w:rsid w:val="009C1AEE"/>
    <w:rsid w:val="009C1CEE"/>
    <w:rsid w:val="009C1D79"/>
    <w:rsid w:val="009C1D7F"/>
    <w:rsid w:val="009C2491"/>
    <w:rsid w:val="009C24C2"/>
    <w:rsid w:val="009C25CF"/>
    <w:rsid w:val="009C27FC"/>
    <w:rsid w:val="009C2800"/>
    <w:rsid w:val="009C2AD5"/>
    <w:rsid w:val="009C2B3A"/>
    <w:rsid w:val="009C2C33"/>
    <w:rsid w:val="009C2F30"/>
    <w:rsid w:val="009C2F97"/>
    <w:rsid w:val="009C3092"/>
    <w:rsid w:val="009C3584"/>
    <w:rsid w:val="009C35EA"/>
    <w:rsid w:val="009C361F"/>
    <w:rsid w:val="009C3642"/>
    <w:rsid w:val="009C38C6"/>
    <w:rsid w:val="009C3933"/>
    <w:rsid w:val="009C3A42"/>
    <w:rsid w:val="009C3BCF"/>
    <w:rsid w:val="009C3C03"/>
    <w:rsid w:val="009C3CD1"/>
    <w:rsid w:val="009C3DC8"/>
    <w:rsid w:val="009C3FE8"/>
    <w:rsid w:val="009C40DA"/>
    <w:rsid w:val="009C4100"/>
    <w:rsid w:val="009C4233"/>
    <w:rsid w:val="009C43E2"/>
    <w:rsid w:val="009C443F"/>
    <w:rsid w:val="009C4526"/>
    <w:rsid w:val="009C45A9"/>
    <w:rsid w:val="009C4810"/>
    <w:rsid w:val="009C49C9"/>
    <w:rsid w:val="009C4BAD"/>
    <w:rsid w:val="009C4C14"/>
    <w:rsid w:val="009C4C38"/>
    <w:rsid w:val="009C4CD4"/>
    <w:rsid w:val="009C4DB3"/>
    <w:rsid w:val="009C50D8"/>
    <w:rsid w:val="009C516B"/>
    <w:rsid w:val="009C5281"/>
    <w:rsid w:val="009C5426"/>
    <w:rsid w:val="009C5495"/>
    <w:rsid w:val="009C5530"/>
    <w:rsid w:val="009C55A0"/>
    <w:rsid w:val="009C5D85"/>
    <w:rsid w:val="009C5DEB"/>
    <w:rsid w:val="009C5E98"/>
    <w:rsid w:val="009C602E"/>
    <w:rsid w:val="009C64A9"/>
    <w:rsid w:val="009C656A"/>
    <w:rsid w:val="009C66A4"/>
    <w:rsid w:val="009C678D"/>
    <w:rsid w:val="009C6853"/>
    <w:rsid w:val="009C687C"/>
    <w:rsid w:val="009C68D7"/>
    <w:rsid w:val="009C694E"/>
    <w:rsid w:val="009C698B"/>
    <w:rsid w:val="009C6A19"/>
    <w:rsid w:val="009C6B9E"/>
    <w:rsid w:val="009C6D59"/>
    <w:rsid w:val="009C6D9D"/>
    <w:rsid w:val="009C6E13"/>
    <w:rsid w:val="009C6E29"/>
    <w:rsid w:val="009C6FF8"/>
    <w:rsid w:val="009C6FFC"/>
    <w:rsid w:val="009C705F"/>
    <w:rsid w:val="009C758A"/>
    <w:rsid w:val="009C75B8"/>
    <w:rsid w:val="009C7703"/>
    <w:rsid w:val="009C7745"/>
    <w:rsid w:val="009C78A5"/>
    <w:rsid w:val="009C790C"/>
    <w:rsid w:val="009C7962"/>
    <w:rsid w:val="009C7980"/>
    <w:rsid w:val="009C7A0B"/>
    <w:rsid w:val="009C7AF6"/>
    <w:rsid w:val="009C7CF2"/>
    <w:rsid w:val="009C7DF5"/>
    <w:rsid w:val="009C7F5A"/>
    <w:rsid w:val="009D0487"/>
    <w:rsid w:val="009D07A2"/>
    <w:rsid w:val="009D0AD8"/>
    <w:rsid w:val="009D0CF1"/>
    <w:rsid w:val="009D0D34"/>
    <w:rsid w:val="009D10F2"/>
    <w:rsid w:val="009D10F4"/>
    <w:rsid w:val="009D12D2"/>
    <w:rsid w:val="009D1370"/>
    <w:rsid w:val="009D138F"/>
    <w:rsid w:val="009D14C1"/>
    <w:rsid w:val="009D14F2"/>
    <w:rsid w:val="009D180D"/>
    <w:rsid w:val="009D1923"/>
    <w:rsid w:val="009D1968"/>
    <w:rsid w:val="009D196D"/>
    <w:rsid w:val="009D19AD"/>
    <w:rsid w:val="009D1A5A"/>
    <w:rsid w:val="009D1B50"/>
    <w:rsid w:val="009D1C88"/>
    <w:rsid w:val="009D1E5C"/>
    <w:rsid w:val="009D1F2B"/>
    <w:rsid w:val="009D2379"/>
    <w:rsid w:val="009D2590"/>
    <w:rsid w:val="009D26DD"/>
    <w:rsid w:val="009D271D"/>
    <w:rsid w:val="009D281A"/>
    <w:rsid w:val="009D29A4"/>
    <w:rsid w:val="009D2B96"/>
    <w:rsid w:val="009D2C05"/>
    <w:rsid w:val="009D2CDF"/>
    <w:rsid w:val="009D2DE0"/>
    <w:rsid w:val="009D2F8F"/>
    <w:rsid w:val="009D3002"/>
    <w:rsid w:val="009D3215"/>
    <w:rsid w:val="009D326C"/>
    <w:rsid w:val="009D3323"/>
    <w:rsid w:val="009D3421"/>
    <w:rsid w:val="009D35A9"/>
    <w:rsid w:val="009D36B6"/>
    <w:rsid w:val="009D39C1"/>
    <w:rsid w:val="009D3AD4"/>
    <w:rsid w:val="009D3C3C"/>
    <w:rsid w:val="009D3D17"/>
    <w:rsid w:val="009D3F66"/>
    <w:rsid w:val="009D40D1"/>
    <w:rsid w:val="009D40F4"/>
    <w:rsid w:val="009D4171"/>
    <w:rsid w:val="009D423A"/>
    <w:rsid w:val="009D4257"/>
    <w:rsid w:val="009D4412"/>
    <w:rsid w:val="009D4477"/>
    <w:rsid w:val="009D44E3"/>
    <w:rsid w:val="009D47FC"/>
    <w:rsid w:val="009D4840"/>
    <w:rsid w:val="009D4BBF"/>
    <w:rsid w:val="009D5126"/>
    <w:rsid w:val="009D5133"/>
    <w:rsid w:val="009D5269"/>
    <w:rsid w:val="009D5281"/>
    <w:rsid w:val="009D530F"/>
    <w:rsid w:val="009D558C"/>
    <w:rsid w:val="009D55C6"/>
    <w:rsid w:val="009D57E2"/>
    <w:rsid w:val="009D581F"/>
    <w:rsid w:val="009D5AD7"/>
    <w:rsid w:val="009D5BCA"/>
    <w:rsid w:val="009D5E2E"/>
    <w:rsid w:val="009D5F8F"/>
    <w:rsid w:val="009D629A"/>
    <w:rsid w:val="009D6583"/>
    <w:rsid w:val="009D6649"/>
    <w:rsid w:val="009D66B0"/>
    <w:rsid w:val="009D66FB"/>
    <w:rsid w:val="009D67D9"/>
    <w:rsid w:val="009D680C"/>
    <w:rsid w:val="009D6814"/>
    <w:rsid w:val="009D68B7"/>
    <w:rsid w:val="009D6C49"/>
    <w:rsid w:val="009D6C69"/>
    <w:rsid w:val="009D6D19"/>
    <w:rsid w:val="009D6DFF"/>
    <w:rsid w:val="009D6EE8"/>
    <w:rsid w:val="009D6F67"/>
    <w:rsid w:val="009D6FB6"/>
    <w:rsid w:val="009D777F"/>
    <w:rsid w:val="009D77A5"/>
    <w:rsid w:val="009D796B"/>
    <w:rsid w:val="009D7A86"/>
    <w:rsid w:val="009D7D6C"/>
    <w:rsid w:val="009E0116"/>
    <w:rsid w:val="009E0204"/>
    <w:rsid w:val="009E0542"/>
    <w:rsid w:val="009E054B"/>
    <w:rsid w:val="009E0638"/>
    <w:rsid w:val="009E0794"/>
    <w:rsid w:val="009E084E"/>
    <w:rsid w:val="009E0A1B"/>
    <w:rsid w:val="009E0D38"/>
    <w:rsid w:val="009E0EA3"/>
    <w:rsid w:val="009E0ED6"/>
    <w:rsid w:val="009E11DB"/>
    <w:rsid w:val="009E12C2"/>
    <w:rsid w:val="009E137F"/>
    <w:rsid w:val="009E139B"/>
    <w:rsid w:val="009E1702"/>
    <w:rsid w:val="009E1833"/>
    <w:rsid w:val="009E1B52"/>
    <w:rsid w:val="009E1C83"/>
    <w:rsid w:val="009E1DCA"/>
    <w:rsid w:val="009E1F23"/>
    <w:rsid w:val="009E210E"/>
    <w:rsid w:val="009E2167"/>
    <w:rsid w:val="009E259E"/>
    <w:rsid w:val="009E275B"/>
    <w:rsid w:val="009E275E"/>
    <w:rsid w:val="009E2A80"/>
    <w:rsid w:val="009E2B60"/>
    <w:rsid w:val="009E2E74"/>
    <w:rsid w:val="009E2E77"/>
    <w:rsid w:val="009E2F2F"/>
    <w:rsid w:val="009E346E"/>
    <w:rsid w:val="009E3497"/>
    <w:rsid w:val="009E34CD"/>
    <w:rsid w:val="009E376A"/>
    <w:rsid w:val="009E397F"/>
    <w:rsid w:val="009E3CC4"/>
    <w:rsid w:val="009E3DA3"/>
    <w:rsid w:val="009E3DF7"/>
    <w:rsid w:val="009E3EF3"/>
    <w:rsid w:val="009E3EF9"/>
    <w:rsid w:val="009E4406"/>
    <w:rsid w:val="009E4447"/>
    <w:rsid w:val="009E4521"/>
    <w:rsid w:val="009E4709"/>
    <w:rsid w:val="009E473F"/>
    <w:rsid w:val="009E479E"/>
    <w:rsid w:val="009E483A"/>
    <w:rsid w:val="009E48B8"/>
    <w:rsid w:val="009E48D6"/>
    <w:rsid w:val="009E49AF"/>
    <w:rsid w:val="009E4B10"/>
    <w:rsid w:val="009E4D10"/>
    <w:rsid w:val="009E4E90"/>
    <w:rsid w:val="009E4F79"/>
    <w:rsid w:val="009E5490"/>
    <w:rsid w:val="009E56A8"/>
    <w:rsid w:val="009E58BB"/>
    <w:rsid w:val="009E59CC"/>
    <w:rsid w:val="009E5B00"/>
    <w:rsid w:val="009E5BBB"/>
    <w:rsid w:val="009E5DB9"/>
    <w:rsid w:val="009E5E5B"/>
    <w:rsid w:val="009E6064"/>
    <w:rsid w:val="009E60A6"/>
    <w:rsid w:val="009E60CF"/>
    <w:rsid w:val="009E6226"/>
    <w:rsid w:val="009E6545"/>
    <w:rsid w:val="009E6627"/>
    <w:rsid w:val="009E6898"/>
    <w:rsid w:val="009E6A15"/>
    <w:rsid w:val="009E6A1F"/>
    <w:rsid w:val="009E6AE0"/>
    <w:rsid w:val="009E6DB1"/>
    <w:rsid w:val="009E6E1F"/>
    <w:rsid w:val="009E6E39"/>
    <w:rsid w:val="009E7015"/>
    <w:rsid w:val="009E7116"/>
    <w:rsid w:val="009E740C"/>
    <w:rsid w:val="009E78A3"/>
    <w:rsid w:val="009E7943"/>
    <w:rsid w:val="009F0045"/>
    <w:rsid w:val="009F0163"/>
    <w:rsid w:val="009F058F"/>
    <w:rsid w:val="009F081C"/>
    <w:rsid w:val="009F0BC1"/>
    <w:rsid w:val="009F0CA0"/>
    <w:rsid w:val="009F0E43"/>
    <w:rsid w:val="009F0E72"/>
    <w:rsid w:val="009F119A"/>
    <w:rsid w:val="009F121C"/>
    <w:rsid w:val="009F1520"/>
    <w:rsid w:val="009F1636"/>
    <w:rsid w:val="009F1BA5"/>
    <w:rsid w:val="009F1BCD"/>
    <w:rsid w:val="009F1C51"/>
    <w:rsid w:val="009F1C98"/>
    <w:rsid w:val="009F1CB7"/>
    <w:rsid w:val="009F1CBF"/>
    <w:rsid w:val="009F1DBE"/>
    <w:rsid w:val="009F1E8E"/>
    <w:rsid w:val="009F1F4A"/>
    <w:rsid w:val="009F1F62"/>
    <w:rsid w:val="009F2426"/>
    <w:rsid w:val="009F2514"/>
    <w:rsid w:val="009F2676"/>
    <w:rsid w:val="009F2726"/>
    <w:rsid w:val="009F28D9"/>
    <w:rsid w:val="009F2A88"/>
    <w:rsid w:val="009F2B6B"/>
    <w:rsid w:val="009F2BC0"/>
    <w:rsid w:val="009F2C03"/>
    <w:rsid w:val="009F2C16"/>
    <w:rsid w:val="009F2C4B"/>
    <w:rsid w:val="009F2C53"/>
    <w:rsid w:val="009F2C8A"/>
    <w:rsid w:val="009F2D53"/>
    <w:rsid w:val="009F2DEC"/>
    <w:rsid w:val="009F359D"/>
    <w:rsid w:val="009F3640"/>
    <w:rsid w:val="009F3658"/>
    <w:rsid w:val="009F374A"/>
    <w:rsid w:val="009F3814"/>
    <w:rsid w:val="009F3C4F"/>
    <w:rsid w:val="009F3D38"/>
    <w:rsid w:val="009F3DB1"/>
    <w:rsid w:val="009F3F68"/>
    <w:rsid w:val="009F4130"/>
    <w:rsid w:val="009F421A"/>
    <w:rsid w:val="009F4298"/>
    <w:rsid w:val="009F4323"/>
    <w:rsid w:val="009F4374"/>
    <w:rsid w:val="009F44A5"/>
    <w:rsid w:val="009F466F"/>
    <w:rsid w:val="009F468A"/>
    <w:rsid w:val="009F46D9"/>
    <w:rsid w:val="009F4733"/>
    <w:rsid w:val="009F4755"/>
    <w:rsid w:val="009F4769"/>
    <w:rsid w:val="009F4E69"/>
    <w:rsid w:val="009F50AF"/>
    <w:rsid w:val="009F51EC"/>
    <w:rsid w:val="009F52AE"/>
    <w:rsid w:val="009F548F"/>
    <w:rsid w:val="009F58E8"/>
    <w:rsid w:val="009F5985"/>
    <w:rsid w:val="009F5AB1"/>
    <w:rsid w:val="009F5B05"/>
    <w:rsid w:val="009F5B2E"/>
    <w:rsid w:val="009F5C54"/>
    <w:rsid w:val="009F5CA3"/>
    <w:rsid w:val="009F5D33"/>
    <w:rsid w:val="009F5D5D"/>
    <w:rsid w:val="009F60E5"/>
    <w:rsid w:val="009F62B1"/>
    <w:rsid w:val="009F67DA"/>
    <w:rsid w:val="009F67DC"/>
    <w:rsid w:val="009F68FD"/>
    <w:rsid w:val="009F6C4F"/>
    <w:rsid w:val="009F6F12"/>
    <w:rsid w:val="009F6FD9"/>
    <w:rsid w:val="009F7043"/>
    <w:rsid w:val="009F705F"/>
    <w:rsid w:val="009F7159"/>
    <w:rsid w:val="009F7341"/>
    <w:rsid w:val="009F7387"/>
    <w:rsid w:val="009F7500"/>
    <w:rsid w:val="009F7536"/>
    <w:rsid w:val="009F7569"/>
    <w:rsid w:val="009F75BD"/>
    <w:rsid w:val="009F764A"/>
    <w:rsid w:val="009F7B9E"/>
    <w:rsid w:val="009F7C27"/>
    <w:rsid w:val="009F7D6F"/>
    <w:rsid w:val="009F7DFC"/>
    <w:rsid w:val="009F7DFD"/>
    <w:rsid w:val="00A00211"/>
    <w:rsid w:val="00A00459"/>
    <w:rsid w:val="00A006AE"/>
    <w:rsid w:val="00A0086F"/>
    <w:rsid w:val="00A00927"/>
    <w:rsid w:val="00A0093F"/>
    <w:rsid w:val="00A00958"/>
    <w:rsid w:val="00A00B0D"/>
    <w:rsid w:val="00A00BA4"/>
    <w:rsid w:val="00A00C72"/>
    <w:rsid w:val="00A0148E"/>
    <w:rsid w:val="00A01826"/>
    <w:rsid w:val="00A01887"/>
    <w:rsid w:val="00A01A79"/>
    <w:rsid w:val="00A01B6F"/>
    <w:rsid w:val="00A01C2C"/>
    <w:rsid w:val="00A01CAD"/>
    <w:rsid w:val="00A01E86"/>
    <w:rsid w:val="00A02277"/>
    <w:rsid w:val="00A023E9"/>
    <w:rsid w:val="00A02513"/>
    <w:rsid w:val="00A026E1"/>
    <w:rsid w:val="00A02C01"/>
    <w:rsid w:val="00A02DCF"/>
    <w:rsid w:val="00A02FB6"/>
    <w:rsid w:val="00A032B5"/>
    <w:rsid w:val="00A03367"/>
    <w:rsid w:val="00A033F3"/>
    <w:rsid w:val="00A036C1"/>
    <w:rsid w:val="00A03829"/>
    <w:rsid w:val="00A038E3"/>
    <w:rsid w:val="00A03BA8"/>
    <w:rsid w:val="00A03C30"/>
    <w:rsid w:val="00A03C38"/>
    <w:rsid w:val="00A03E4A"/>
    <w:rsid w:val="00A03F98"/>
    <w:rsid w:val="00A0400D"/>
    <w:rsid w:val="00A04053"/>
    <w:rsid w:val="00A0425C"/>
    <w:rsid w:val="00A04EEA"/>
    <w:rsid w:val="00A051C2"/>
    <w:rsid w:val="00A05218"/>
    <w:rsid w:val="00A0524C"/>
    <w:rsid w:val="00A05277"/>
    <w:rsid w:val="00A05347"/>
    <w:rsid w:val="00A05377"/>
    <w:rsid w:val="00A053B1"/>
    <w:rsid w:val="00A054D6"/>
    <w:rsid w:val="00A05534"/>
    <w:rsid w:val="00A055B4"/>
    <w:rsid w:val="00A0621B"/>
    <w:rsid w:val="00A06323"/>
    <w:rsid w:val="00A06367"/>
    <w:rsid w:val="00A066AE"/>
    <w:rsid w:val="00A0678A"/>
    <w:rsid w:val="00A06A2F"/>
    <w:rsid w:val="00A06A48"/>
    <w:rsid w:val="00A06B4C"/>
    <w:rsid w:val="00A06B80"/>
    <w:rsid w:val="00A06B8F"/>
    <w:rsid w:val="00A06D74"/>
    <w:rsid w:val="00A07193"/>
    <w:rsid w:val="00A07258"/>
    <w:rsid w:val="00A07382"/>
    <w:rsid w:val="00A07398"/>
    <w:rsid w:val="00A0742C"/>
    <w:rsid w:val="00A07526"/>
    <w:rsid w:val="00A07809"/>
    <w:rsid w:val="00A07941"/>
    <w:rsid w:val="00A07B51"/>
    <w:rsid w:val="00A07D8C"/>
    <w:rsid w:val="00A07DCC"/>
    <w:rsid w:val="00A07FB9"/>
    <w:rsid w:val="00A07FE4"/>
    <w:rsid w:val="00A1023C"/>
    <w:rsid w:val="00A1032D"/>
    <w:rsid w:val="00A10383"/>
    <w:rsid w:val="00A10497"/>
    <w:rsid w:val="00A10652"/>
    <w:rsid w:val="00A106D1"/>
    <w:rsid w:val="00A10BD1"/>
    <w:rsid w:val="00A10BEF"/>
    <w:rsid w:val="00A10DA1"/>
    <w:rsid w:val="00A10EBA"/>
    <w:rsid w:val="00A10F5F"/>
    <w:rsid w:val="00A11047"/>
    <w:rsid w:val="00A110DC"/>
    <w:rsid w:val="00A1116F"/>
    <w:rsid w:val="00A111ED"/>
    <w:rsid w:val="00A112CD"/>
    <w:rsid w:val="00A112D4"/>
    <w:rsid w:val="00A112E2"/>
    <w:rsid w:val="00A114CA"/>
    <w:rsid w:val="00A115A6"/>
    <w:rsid w:val="00A117A4"/>
    <w:rsid w:val="00A11CDF"/>
    <w:rsid w:val="00A11E00"/>
    <w:rsid w:val="00A11FBE"/>
    <w:rsid w:val="00A120B4"/>
    <w:rsid w:val="00A121C4"/>
    <w:rsid w:val="00A1223E"/>
    <w:rsid w:val="00A12271"/>
    <w:rsid w:val="00A12432"/>
    <w:rsid w:val="00A12670"/>
    <w:rsid w:val="00A1285F"/>
    <w:rsid w:val="00A1289F"/>
    <w:rsid w:val="00A12AE6"/>
    <w:rsid w:val="00A12ED9"/>
    <w:rsid w:val="00A1305D"/>
    <w:rsid w:val="00A130F7"/>
    <w:rsid w:val="00A13541"/>
    <w:rsid w:val="00A137BF"/>
    <w:rsid w:val="00A13F9B"/>
    <w:rsid w:val="00A14010"/>
    <w:rsid w:val="00A1425F"/>
    <w:rsid w:val="00A144C0"/>
    <w:rsid w:val="00A14634"/>
    <w:rsid w:val="00A1463E"/>
    <w:rsid w:val="00A1496F"/>
    <w:rsid w:val="00A14E7F"/>
    <w:rsid w:val="00A14EFF"/>
    <w:rsid w:val="00A1500C"/>
    <w:rsid w:val="00A150CF"/>
    <w:rsid w:val="00A1522D"/>
    <w:rsid w:val="00A152A8"/>
    <w:rsid w:val="00A153AD"/>
    <w:rsid w:val="00A15547"/>
    <w:rsid w:val="00A156A6"/>
    <w:rsid w:val="00A156EB"/>
    <w:rsid w:val="00A15728"/>
    <w:rsid w:val="00A158F5"/>
    <w:rsid w:val="00A15B6B"/>
    <w:rsid w:val="00A15BD2"/>
    <w:rsid w:val="00A15D69"/>
    <w:rsid w:val="00A16059"/>
    <w:rsid w:val="00A161A4"/>
    <w:rsid w:val="00A161A7"/>
    <w:rsid w:val="00A161B8"/>
    <w:rsid w:val="00A162C4"/>
    <w:rsid w:val="00A16565"/>
    <w:rsid w:val="00A16729"/>
    <w:rsid w:val="00A16774"/>
    <w:rsid w:val="00A16817"/>
    <w:rsid w:val="00A16A23"/>
    <w:rsid w:val="00A16BBD"/>
    <w:rsid w:val="00A16D1D"/>
    <w:rsid w:val="00A16D54"/>
    <w:rsid w:val="00A16E1D"/>
    <w:rsid w:val="00A16ED2"/>
    <w:rsid w:val="00A171C6"/>
    <w:rsid w:val="00A1723E"/>
    <w:rsid w:val="00A172F7"/>
    <w:rsid w:val="00A1734E"/>
    <w:rsid w:val="00A17378"/>
    <w:rsid w:val="00A1775F"/>
    <w:rsid w:val="00A1791A"/>
    <w:rsid w:val="00A179B7"/>
    <w:rsid w:val="00A17A8C"/>
    <w:rsid w:val="00A17E30"/>
    <w:rsid w:val="00A17EB5"/>
    <w:rsid w:val="00A17EC2"/>
    <w:rsid w:val="00A20186"/>
    <w:rsid w:val="00A20189"/>
    <w:rsid w:val="00A20270"/>
    <w:rsid w:val="00A2029E"/>
    <w:rsid w:val="00A202A0"/>
    <w:rsid w:val="00A2045F"/>
    <w:rsid w:val="00A2081C"/>
    <w:rsid w:val="00A20A1E"/>
    <w:rsid w:val="00A20ACA"/>
    <w:rsid w:val="00A20B7A"/>
    <w:rsid w:val="00A20BBA"/>
    <w:rsid w:val="00A20C05"/>
    <w:rsid w:val="00A20CAE"/>
    <w:rsid w:val="00A21174"/>
    <w:rsid w:val="00A212D5"/>
    <w:rsid w:val="00A21539"/>
    <w:rsid w:val="00A2169A"/>
    <w:rsid w:val="00A218BF"/>
    <w:rsid w:val="00A219E3"/>
    <w:rsid w:val="00A21A1A"/>
    <w:rsid w:val="00A21A85"/>
    <w:rsid w:val="00A21ADA"/>
    <w:rsid w:val="00A21B12"/>
    <w:rsid w:val="00A21B83"/>
    <w:rsid w:val="00A21CEE"/>
    <w:rsid w:val="00A21DDD"/>
    <w:rsid w:val="00A21F1B"/>
    <w:rsid w:val="00A21FA4"/>
    <w:rsid w:val="00A220F4"/>
    <w:rsid w:val="00A221C3"/>
    <w:rsid w:val="00A2228F"/>
    <w:rsid w:val="00A223C6"/>
    <w:rsid w:val="00A224EB"/>
    <w:rsid w:val="00A225BC"/>
    <w:rsid w:val="00A225DD"/>
    <w:rsid w:val="00A22825"/>
    <w:rsid w:val="00A2296E"/>
    <w:rsid w:val="00A22B6F"/>
    <w:rsid w:val="00A22B88"/>
    <w:rsid w:val="00A22CE3"/>
    <w:rsid w:val="00A22E67"/>
    <w:rsid w:val="00A22E6C"/>
    <w:rsid w:val="00A22F68"/>
    <w:rsid w:val="00A23109"/>
    <w:rsid w:val="00A2310D"/>
    <w:rsid w:val="00A23582"/>
    <w:rsid w:val="00A235EA"/>
    <w:rsid w:val="00A2377F"/>
    <w:rsid w:val="00A23805"/>
    <w:rsid w:val="00A2401C"/>
    <w:rsid w:val="00A240F8"/>
    <w:rsid w:val="00A2411E"/>
    <w:rsid w:val="00A241C1"/>
    <w:rsid w:val="00A2423C"/>
    <w:rsid w:val="00A24243"/>
    <w:rsid w:val="00A245EB"/>
    <w:rsid w:val="00A2462E"/>
    <w:rsid w:val="00A2487C"/>
    <w:rsid w:val="00A2488A"/>
    <w:rsid w:val="00A24AA4"/>
    <w:rsid w:val="00A24B99"/>
    <w:rsid w:val="00A24BDC"/>
    <w:rsid w:val="00A24CE4"/>
    <w:rsid w:val="00A24DB6"/>
    <w:rsid w:val="00A24DF2"/>
    <w:rsid w:val="00A24E4E"/>
    <w:rsid w:val="00A24FF3"/>
    <w:rsid w:val="00A2520C"/>
    <w:rsid w:val="00A254B8"/>
    <w:rsid w:val="00A2572C"/>
    <w:rsid w:val="00A25799"/>
    <w:rsid w:val="00A258A5"/>
    <w:rsid w:val="00A25931"/>
    <w:rsid w:val="00A259D7"/>
    <w:rsid w:val="00A25D2A"/>
    <w:rsid w:val="00A25E45"/>
    <w:rsid w:val="00A262CC"/>
    <w:rsid w:val="00A26551"/>
    <w:rsid w:val="00A265AF"/>
    <w:rsid w:val="00A2665B"/>
    <w:rsid w:val="00A266C8"/>
    <w:rsid w:val="00A267DE"/>
    <w:rsid w:val="00A26878"/>
    <w:rsid w:val="00A26905"/>
    <w:rsid w:val="00A26AEB"/>
    <w:rsid w:val="00A26BCD"/>
    <w:rsid w:val="00A26C09"/>
    <w:rsid w:val="00A26D2C"/>
    <w:rsid w:val="00A26DC5"/>
    <w:rsid w:val="00A26EBC"/>
    <w:rsid w:val="00A26F76"/>
    <w:rsid w:val="00A27351"/>
    <w:rsid w:val="00A2736C"/>
    <w:rsid w:val="00A27532"/>
    <w:rsid w:val="00A27863"/>
    <w:rsid w:val="00A27867"/>
    <w:rsid w:val="00A279E1"/>
    <w:rsid w:val="00A27A1C"/>
    <w:rsid w:val="00A3016D"/>
    <w:rsid w:val="00A3018B"/>
    <w:rsid w:val="00A30233"/>
    <w:rsid w:val="00A30254"/>
    <w:rsid w:val="00A30C94"/>
    <w:rsid w:val="00A30CE1"/>
    <w:rsid w:val="00A30D4C"/>
    <w:rsid w:val="00A30FC1"/>
    <w:rsid w:val="00A3114A"/>
    <w:rsid w:val="00A31236"/>
    <w:rsid w:val="00A3127D"/>
    <w:rsid w:val="00A313F6"/>
    <w:rsid w:val="00A3158C"/>
    <w:rsid w:val="00A315F3"/>
    <w:rsid w:val="00A31B34"/>
    <w:rsid w:val="00A31CBF"/>
    <w:rsid w:val="00A31EDB"/>
    <w:rsid w:val="00A32373"/>
    <w:rsid w:val="00A325A1"/>
    <w:rsid w:val="00A325C4"/>
    <w:rsid w:val="00A325FA"/>
    <w:rsid w:val="00A32766"/>
    <w:rsid w:val="00A32BCC"/>
    <w:rsid w:val="00A32D92"/>
    <w:rsid w:val="00A32E1A"/>
    <w:rsid w:val="00A32F03"/>
    <w:rsid w:val="00A32F18"/>
    <w:rsid w:val="00A32F67"/>
    <w:rsid w:val="00A32FB8"/>
    <w:rsid w:val="00A33053"/>
    <w:rsid w:val="00A33206"/>
    <w:rsid w:val="00A3325E"/>
    <w:rsid w:val="00A33287"/>
    <w:rsid w:val="00A3329F"/>
    <w:rsid w:val="00A33367"/>
    <w:rsid w:val="00A334E8"/>
    <w:rsid w:val="00A33517"/>
    <w:rsid w:val="00A335DC"/>
    <w:rsid w:val="00A33672"/>
    <w:rsid w:val="00A3377E"/>
    <w:rsid w:val="00A338A2"/>
    <w:rsid w:val="00A339A1"/>
    <w:rsid w:val="00A33C77"/>
    <w:rsid w:val="00A34422"/>
    <w:rsid w:val="00A3481D"/>
    <w:rsid w:val="00A34822"/>
    <w:rsid w:val="00A3488B"/>
    <w:rsid w:val="00A348E1"/>
    <w:rsid w:val="00A348FE"/>
    <w:rsid w:val="00A34978"/>
    <w:rsid w:val="00A349FD"/>
    <w:rsid w:val="00A34D3E"/>
    <w:rsid w:val="00A35216"/>
    <w:rsid w:val="00A35383"/>
    <w:rsid w:val="00A35A3D"/>
    <w:rsid w:val="00A35B81"/>
    <w:rsid w:val="00A35CA2"/>
    <w:rsid w:val="00A35D9F"/>
    <w:rsid w:val="00A35F80"/>
    <w:rsid w:val="00A3608F"/>
    <w:rsid w:val="00A3609E"/>
    <w:rsid w:val="00A360C9"/>
    <w:rsid w:val="00A3630C"/>
    <w:rsid w:val="00A363B8"/>
    <w:rsid w:val="00A364CC"/>
    <w:rsid w:val="00A36773"/>
    <w:rsid w:val="00A3683B"/>
    <w:rsid w:val="00A36884"/>
    <w:rsid w:val="00A36C97"/>
    <w:rsid w:val="00A36CF1"/>
    <w:rsid w:val="00A36D4E"/>
    <w:rsid w:val="00A36E57"/>
    <w:rsid w:val="00A36F20"/>
    <w:rsid w:val="00A36FB5"/>
    <w:rsid w:val="00A36FD6"/>
    <w:rsid w:val="00A370C5"/>
    <w:rsid w:val="00A37541"/>
    <w:rsid w:val="00A375CA"/>
    <w:rsid w:val="00A37607"/>
    <w:rsid w:val="00A37837"/>
    <w:rsid w:val="00A378F8"/>
    <w:rsid w:val="00A37B12"/>
    <w:rsid w:val="00A37B1D"/>
    <w:rsid w:val="00A37B42"/>
    <w:rsid w:val="00A37C7C"/>
    <w:rsid w:val="00A37FB3"/>
    <w:rsid w:val="00A37FE1"/>
    <w:rsid w:val="00A40003"/>
    <w:rsid w:val="00A40107"/>
    <w:rsid w:val="00A401A7"/>
    <w:rsid w:val="00A40338"/>
    <w:rsid w:val="00A404A5"/>
    <w:rsid w:val="00A404F5"/>
    <w:rsid w:val="00A40501"/>
    <w:rsid w:val="00A406A7"/>
    <w:rsid w:val="00A40822"/>
    <w:rsid w:val="00A408AA"/>
    <w:rsid w:val="00A40A5E"/>
    <w:rsid w:val="00A40C97"/>
    <w:rsid w:val="00A40D9C"/>
    <w:rsid w:val="00A4112C"/>
    <w:rsid w:val="00A4112D"/>
    <w:rsid w:val="00A411CC"/>
    <w:rsid w:val="00A411CE"/>
    <w:rsid w:val="00A41405"/>
    <w:rsid w:val="00A414FC"/>
    <w:rsid w:val="00A415EA"/>
    <w:rsid w:val="00A41681"/>
    <w:rsid w:val="00A417E9"/>
    <w:rsid w:val="00A417F1"/>
    <w:rsid w:val="00A4180F"/>
    <w:rsid w:val="00A41829"/>
    <w:rsid w:val="00A419AC"/>
    <w:rsid w:val="00A41A06"/>
    <w:rsid w:val="00A41B67"/>
    <w:rsid w:val="00A41BAD"/>
    <w:rsid w:val="00A41D07"/>
    <w:rsid w:val="00A41F4C"/>
    <w:rsid w:val="00A42010"/>
    <w:rsid w:val="00A42204"/>
    <w:rsid w:val="00A42303"/>
    <w:rsid w:val="00A42329"/>
    <w:rsid w:val="00A42535"/>
    <w:rsid w:val="00A4257D"/>
    <w:rsid w:val="00A42841"/>
    <w:rsid w:val="00A42944"/>
    <w:rsid w:val="00A4296F"/>
    <w:rsid w:val="00A42DDF"/>
    <w:rsid w:val="00A42F74"/>
    <w:rsid w:val="00A43023"/>
    <w:rsid w:val="00A43059"/>
    <w:rsid w:val="00A4312F"/>
    <w:rsid w:val="00A431D2"/>
    <w:rsid w:val="00A431D8"/>
    <w:rsid w:val="00A431FF"/>
    <w:rsid w:val="00A43241"/>
    <w:rsid w:val="00A43291"/>
    <w:rsid w:val="00A432DD"/>
    <w:rsid w:val="00A43534"/>
    <w:rsid w:val="00A43606"/>
    <w:rsid w:val="00A43678"/>
    <w:rsid w:val="00A436F5"/>
    <w:rsid w:val="00A43988"/>
    <w:rsid w:val="00A43A62"/>
    <w:rsid w:val="00A43B69"/>
    <w:rsid w:val="00A43B77"/>
    <w:rsid w:val="00A43BEA"/>
    <w:rsid w:val="00A43BEB"/>
    <w:rsid w:val="00A43C41"/>
    <w:rsid w:val="00A43D31"/>
    <w:rsid w:val="00A43DCE"/>
    <w:rsid w:val="00A43E99"/>
    <w:rsid w:val="00A43F8F"/>
    <w:rsid w:val="00A43FCC"/>
    <w:rsid w:val="00A440AE"/>
    <w:rsid w:val="00A441EF"/>
    <w:rsid w:val="00A442F3"/>
    <w:rsid w:val="00A444C3"/>
    <w:rsid w:val="00A44769"/>
    <w:rsid w:val="00A44861"/>
    <w:rsid w:val="00A4488B"/>
    <w:rsid w:val="00A44928"/>
    <w:rsid w:val="00A44A31"/>
    <w:rsid w:val="00A44A7B"/>
    <w:rsid w:val="00A44DE6"/>
    <w:rsid w:val="00A44FED"/>
    <w:rsid w:val="00A45062"/>
    <w:rsid w:val="00A4512B"/>
    <w:rsid w:val="00A4564F"/>
    <w:rsid w:val="00A457A6"/>
    <w:rsid w:val="00A45A32"/>
    <w:rsid w:val="00A45DE5"/>
    <w:rsid w:val="00A45EE3"/>
    <w:rsid w:val="00A4639B"/>
    <w:rsid w:val="00A46463"/>
    <w:rsid w:val="00A464D2"/>
    <w:rsid w:val="00A464D6"/>
    <w:rsid w:val="00A46606"/>
    <w:rsid w:val="00A467A7"/>
    <w:rsid w:val="00A4684D"/>
    <w:rsid w:val="00A468FC"/>
    <w:rsid w:val="00A46936"/>
    <w:rsid w:val="00A4694B"/>
    <w:rsid w:val="00A46997"/>
    <w:rsid w:val="00A469B9"/>
    <w:rsid w:val="00A46B20"/>
    <w:rsid w:val="00A46CB9"/>
    <w:rsid w:val="00A46D8D"/>
    <w:rsid w:val="00A46F6C"/>
    <w:rsid w:val="00A47021"/>
    <w:rsid w:val="00A47045"/>
    <w:rsid w:val="00A472B3"/>
    <w:rsid w:val="00A4734C"/>
    <w:rsid w:val="00A473AA"/>
    <w:rsid w:val="00A47507"/>
    <w:rsid w:val="00A4764A"/>
    <w:rsid w:val="00A476F2"/>
    <w:rsid w:val="00A47877"/>
    <w:rsid w:val="00A4787A"/>
    <w:rsid w:val="00A47CD8"/>
    <w:rsid w:val="00A47DA1"/>
    <w:rsid w:val="00A47DC0"/>
    <w:rsid w:val="00A47EDA"/>
    <w:rsid w:val="00A47F46"/>
    <w:rsid w:val="00A50049"/>
    <w:rsid w:val="00A50050"/>
    <w:rsid w:val="00A500BE"/>
    <w:rsid w:val="00A5048B"/>
    <w:rsid w:val="00A5050A"/>
    <w:rsid w:val="00A505D9"/>
    <w:rsid w:val="00A50633"/>
    <w:rsid w:val="00A506FA"/>
    <w:rsid w:val="00A50906"/>
    <w:rsid w:val="00A5098A"/>
    <w:rsid w:val="00A50A1E"/>
    <w:rsid w:val="00A50C14"/>
    <w:rsid w:val="00A50C35"/>
    <w:rsid w:val="00A50C41"/>
    <w:rsid w:val="00A50C5D"/>
    <w:rsid w:val="00A50C8D"/>
    <w:rsid w:val="00A50D38"/>
    <w:rsid w:val="00A50D6D"/>
    <w:rsid w:val="00A50EA4"/>
    <w:rsid w:val="00A50F2B"/>
    <w:rsid w:val="00A51351"/>
    <w:rsid w:val="00A51405"/>
    <w:rsid w:val="00A51443"/>
    <w:rsid w:val="00A514B7"/>
    <w:rsid w:val="00A517C2"/>
    <w:rsid w:val="00A51901"/>
    <w:rsid w:val="00A51A15"/>
    <w:rsid w:val="00A51EF2"/>
    <w:rsid w:val="00A51F12"/>
    <w:rsid w:val="00A52460"/>
    <w:rsid w:val="00A527CF"/>
    <w:rsid w:val="00A5288F"/>
    <w:rsid w:val="00A52AF2"/>
    <w:rsid w:val="00A52CB7"/>
    <w:rsid w:val="00A52DE1"/>
    <w:rsid w:val="00A52ED8"/>
    <w:rsid w:val="00A535C1"/>
    <w:rsid w:val="00A5378F"/>
    <w:rsid w:val="00A538A2"/>
    <w:rsid w:val="00A539D5"/>
    <w:rsid w:val="00A53A21"/>
    <w:rsid w:val="00A53C18"/>
    <w:rsid w:val="00A53CA3"/>
    <w:rsid w:val="00A53FE0"/>
    <w:rsid w:val="00A54151"/>
    <w:rsid w:val="00A5418D"/>
    <w:rsid w:val="00A542F7"/>
    <w:rsid w:val="00A544B6"/>
    <w:rsid w:val="00A544DE"/>
    <w:rsid w:val="00A5458E"/>
    <w:rsid w:val="00A54721"/>
    <w:rsid w:val="00A54824"/>
    <w:rsid w:val="00A54838"/>
    <w:rsid w:val="00A548D1"/>
    <w:rsid w:val="00A54A97"/>
    <w:rsid w:val="00A54C15"/>
    <w:rsid w:val="00A54C53"/>
    <w:rsid w:val="00A54F57"/>
    <w:rsid w:val="00A5507A"/>
    <w:rsid w:val="00A55246"/>
    <w:rsid w:val="00A55482"/>
    <w:rsid w:val="00A55696"/>
    <w:rsid w:val="00A5573D"/>
    <w:rsid w:val="00A5585E"/>
    <w:rsid w:val="00A5589A"/>
    <w:rsid w:val="00A55944"/>
    <w:rsid w:val="00A55C21"/>
    <w:rsid w:val="00A55D3D"/>
    <w:rsid w:val="00A55D89"/>
    <w:rsid w:val="00A56205"/>
    <w:rsid w:val="00A56286"/>
    <w:rsid w:val="00A562F8"/>
    <w:rsid w:val="00A56329"/>
    <w:rsid w:val="00A5651B"/>
    <w:rsid w:val="00A56824"/>
    <w:rsid w:val="00A568AE"/>
    <w:rsid w:val="00A5692E"/>
    <w:rsid w:val="00A56B4A"/>
    <w:rsid w:val="00A56F4F"/>
    <w:rsid w:val="00A5708E"/>
    <w:rsid w:val="00A57631"/>
    <w:rsid w:val="00A578EB"/>
    <w:rsid w:val="00A57AA3"/>
    <w:rsid w:val="00A57B4F"/>
    <w:rsid w:val="00A57C8B"/>
    <w:rsid w:val="00A57CA4"/>
    <w:rsid w:val="00A57E35"/>
    <w:rsid w:val="00A57EAD"/>
    <w:rsid w:val="00A57EFA"/>
    <w:rsid w:val="00A57F26"/>
    <w:rsid w:val="00A6006A"/>
    <w:rsid w:val="00A60191"/>
    <w:rsid w:val="00A604B8"/>
    <w:rsid w:val="00A60806"/>
    <w:rsid w:val="00A608DE"/>
    <w:rsid w:val="00A6098A"/>
    <w:rsid w:val="00A60AC0"/>
    <w:rsid w:val="00A60BA3"/>
    <w:rsid w:val="00A60C1D"/>
    <w:rsid w:val="00A60C2E"/>
    <w:rsid w:val="00A60CD2"/>
    <w:rsid w:val="00A61049"/>
    <w:rsid w:val="00A610E0"/>
    <w:rsid w:val="00A611C9"/>
    <w:rsid w:val="00A614D5"/>
    <w:rsid w:val="00A61514"/>
    <w:rsid w:val="00A616FD"/>
    <w:rsid w:val="00A61758"/>
    <w:rsid w:val="00A61832"/>
    <w:rsid w:val="00A6187F"/>
    <w:rsid w:val="00A61B05"/>
    <w:rsid w:val="00A61E95"/>
    <w:rsid w:val="00A61F25"/>
    <w:rsid w:val="00A61FF9"/>
    <w:rsid w:val="00A62070"/>
    <w:rsid w:val="00A62092"/>
    <w:rsid w:val="00A620FF"/>
    <w:rsid w:val="00A626FF"/>
    <w:rsid w:val="00A62703"/>
    <w:rsid w:val="00A62711"/>
    <w:rsid w:val="00A6272A"/>
    <w:rsid w:val="00A627D1"/>
    <w:rsid w:val="00A6284A"/>
    <w:rsid w:val="00A6291F"/>
    <w:rsid w:val="00A629E2"/>
    <w:rsid w:val="00A629FF"/>
    <w:rsid w:val="00A62B18"/>
    <w:rsid w:val="00A62B96"/>
    <w:rsid w:val="00A62CF6"/>
    <w:rsid w:val="00A62D63"/>
    <w:rsid w:val="00A62E8F"/>
    <w:rsid w:val="00A62FE4"/>
    <w:rsid w:val="00A6309D"/>
    <w:rsid w:val="00A630BD"/>
    <w:rsid w:val="00A631AE"/>
    <w:rsid w:val="00A631D0"/>
    <w:rsid w:val="00A631F3"/>
    <w:rsid w:val="00A63406"/>
    <w:rsid w:val="00A6361C"/>
    <w:rsid w:val="00A6367A"/>
    <w:rsid w:val="00A63801"/>
    <w:rsid w:val="00A63A9E"/>
    <w:rsid w:val="00A63B76"/>
    <w:rsid w:val="00A63C35"/>
    <w:rsid w:val="00A63C38"/>
    <w:rsid w:val="00A63C44"/>
    <w:rsid w:val="00A63F0F"/>
    <w:rsid w:val="00A64020"/>
    <w:rsid w:val="00A64220"/>
    <w:rsid w:val="00A6426B"/>
    <w:rsid w:val="00A642C7"/>
    <w:rsid w:val="00A64335"/>
    <w:rsid w:val="00A64373"/>
    <w:rsid w:val="00A643C6"/>
    <w:rsid w:val="00A643D5"/>
    <w:rsid w:val="00A64485"/>
    <w:rsid w:val="00A644CF"/>
    <w:rsid w:val="00A6458A"/>
    <w:rsid w:val="00A64595"/>
    <w:rsid w:val="00A646F0"/>
    <w:rsid w:val="00A6498D"/>
    <w:rsid w:val="00A64A72"/>
    <w:rsid w:val="00A64B99"/>
    <w:rsid w:val="00A64C5B"/>
    <w:rsid w:val="00A64E4C"/>
    <w:rsid w:val="00A64E97"/>
    <w:rsid w:val="00A64EC1"/>
    <w:rsid w:val="00A64FC8"/>
    <w:rsid w:val="00A6500D"/>
    <w:rsid w:val="00A65028"/>
    <w:rsid w:val="00A651EA"/>
    <w:rsid w:val="00A654B2"/>
    <w:rsid w:val="00A657CD"/>
    <w:rsid w:val="00A657EB"/>
    <w:rsid w:val="00A6587F"/>
    <w:rsid w:val="00A658B5"/>
    <w:rsid w:val="00A658D0"/>
    <w:rsid w:val="00A65B33"/>
    <w:rsid w:val="00A65CA0"/>
    <w:rsid w:val="00A65DD4"/>
    <w:rsid w:val="00A65EF9"/>
    <w:rsid w:val="00A65F52"/>
    <w:rsid w:val="00A65F85"/>
    <w:rsid w:val="00A660ED"/>
    <w:rsid w:val="00A66131"/>
    <w:rsid w:val="00A661DC"/>
    <w:rsid w:val="00A661F3"/>
    <w:rsid w:val="00A66211"/>
    <w:rsid w:val="00A66226"/>
    <w:rsid w:val="00A6640A"/>
    <w:rsid w:val="00A66583"/>
    <w:rsid w:val="00A6661F"/>
    <w:rsid w:val="00A669DE"/>
    <w:rsid w:val="00A66A8B"/>
    <w:rsid w:val="00A66AD8"/>
    <w:rsid w:val="00A66D51"/>
    <w:rsid w:val="00A66E30"/>
    <w:rsid w:val="00A66E32"/>
    <w:rsid w:val="00A674E2"/>
    <w:rsid w:val="00A675A1"/>
    <w:rsid w:val="00A676DC"/>
    <w:rsid w:val="00A677ED"/>
    <w:rsid w:val="00A67823"/>
    <w:rsid w:val="00A67BA6"/>
    <w:rsid w:val="00A67D07"/>
    <w:rsid w:val="00A67FF0"/>
    <w:rsid w:val="00A7007C"/>
    <w:rsid w:val="00A70114"/>
    <w:rsid w:val="00A701EC"/>
    <w:rsid w:val="00A70337"/>
    <w:rsid w:val="00A7034E"/>
    <w:rsid w:val="00A703FE"/>
    <w:rsid w:val="00A704CD"/>
    <w:rsid w:val="00A705DA"/>
    <w:rsid w:val="00A70607"/>
    <w:rsid w:val="00A7076E"/>
    <w:rsid w:val="00A70807"/>
    <w:rsid w:val="00A709AB"/>
    <w:rsid w:val="00A70C8D"/>
    <w:rsid w:val="00A70CA2"/>
    <w:rsid w:val="00A70D5D"/>
    <w:rsid w:val="00A70FCF"/>
    <w:rsid w:val="00A7100E"/>
    <w:rsid w:val="00A71080"/>
    <w:rsid w:val="00A71679"/>
    <w:rsid w:val="00A7176C"/>
    <w:rsid w:val="00A71C0F"/>
    <w:rsid w:val="00A71E1B"/>
    <w:rsid w:val="00A71E7F"/>
    <w:rsid w:val="00A71F5B"/>
    <w:rsid w:val="00A72014"/>
    <w:rsid w:val="00A72033"/>
    <w:rsid w:val="00A7237F"/>
    <w:rsid w:val="00A72436"/>
    <w:rsid w:val="00A72480"/>
    <w:rsid w:val="00A7252A"/>
    <w:rsid w:val="00A72608"/>
    <w:rsid w:val="00A7268D"/>
    <w:rsid w:val="00A726DD"/>
    <w:rsid w:val="00A72806"/>
    <w:rsid w:val="00A72AD0"/>
    <w:rsid w:val="00A72C17"/>
    <w:rsid w:val="00A72F95"/>
    <w:rsid w:val="00A72F9E"/>
    <w:rsid w:val="00A72FA0"/>
    <w:rsid w:val="00A72FDD"/>
    <w:rsid w:val="00A73066"/>
    <w:rsid w:val="00A732BF"/>
    <w:rsid w:val="00A732EE"/>
    <w:rsid w:val="00A733B7"/>
    <w:rsid w:val="00A73734"/>
    <w:rsid w:val="00A73812"/>
    <w:rsid w:val="00A7390E"/>
    <w:rsid w:val="00A73AD1"/>
    <w:rsid w:val="00A73AFD"/>
    <w:rsid w:val="00A73BAC"/>
    <w:rsid w:val="00A73C59"/>
    <w:rsid w:val="00A73D0F"/>
    <w:rsid w:val="00A73EF2"/>
    <w:rsid w:val="00A7415D"/>
    <w:rsid w:val="00A74165"/>
    <w:rsid w:val="00A7416E"/>
    <w:rsid w:val="00A741CE"/>
    <w:rsid w:val="00A741F3"/>
    <w:rsid w:val="00A74385"/>
    <w:rsid w:val="00A743C7"/>
    <w:rsid w:val="00A7453D"/>
    <w:rsid w:val="00A7463E"/>
    <w:rsid w:val="00A746BE"/>
    <w:rsid w:val="00A748F9"/>
    <w:rsid w:val="00A7495A"/>
    <w:rsid w:val="00A74AAA"/>
    <w:rsid w:val="00A74B53"/>
    <w:rsid w:val="00A74B7C"/>
    <w:rsid w:val="00A74C85"/>
    <w:rsid w:val="00A74D6D"/>
    <w:rsid w:val="00A75367"/>
    <w:rsid w:val="00A753CF"/>
    <w:rsid w:val="00A756F3"/>
    <w:rsid w:val="00A75914"/>
    <w:rsid w:val="00A7594C"/>
    <w:rsid w:val="00A75B13"/>
    <w:rsid w:val="00A75C51"/>
    <w:rsid w:val="00A75CCE"/>
    <w:rsid w:val="00A75DD3"/>
    <w:rsid w:val="00A75EF5"/>
    <w:rsid w:val="00A7603F"/>
    <w:rsid w:val="00A76378"/>
    <w:rsid w:val="00A7676A"/>
    <w:rsid w:val="00A76B92"/>
    <w:rsid w:val="00A76C7A"/>
    <w:rsid w:val="00A76C9D"/>
    <w:rsid w:val="00A76D6B"/>
    <w:rsid w:val="00A76D9A"/>
    <w:rsid w:val="00A76FF8"/>
    <w:rsid w:val="00A77098"/>
    <w:rsid w:val="00A770AB"/>
    <w:rsid w:val="00A77532"/>
    <w:rsid w:val="00A77597"/>
    <w:rsid w:val="00A7767A"/>
    <w:rsid w:val="00A776DD"/>
    <w:rsid w:val="00A777AB"/>
    <w:rsid w:val="00A77898"/>
    <w:rsid w:val="00A778CD"/>
    <w:rsid w:val="00A77A55"/>
    <w:rsid w:val="00A77B65"/>
    <w:rsid w:val="00A77FA9"/>
    <w:rsid w:val="00A80060"/>
    <w:rsid w:val="00A80175"/>
    <w:rsid w:val="00A801C1"/>
    <w:rsid w:val="00A80214"/>
    <w:rsid w:val="00A8029B"/>
    <w:rsid w:val="00A80330"/>
    <w:rsid w:val="00A8034D"/>
    <w:rsid w:val="00A8048A"/>
    <w:rsid w:val="00A804F7"/>
    <w:rsid w:val="00A80667"/>
    <w:rsid w:val="00A8066C"/>
    <w:rsid w:val="00A80673"/>
    <w:rsid w:val="00A80747"/>
    <w:rsid w:val="00A8087E"/>
    <w:rsid w:val="00A80C6D"/>
    <w:rsid w:val="00A80E07"/>
    <w:rsid w:val="00A80E7F"/>
    <w:rsid w:val="00A8125B"/>
    <w:rsid w:val="00A812D0"/>
    <w:rsid w:val="00A81333"/>
    <w:rsid w:val="00A817C1"/>
    <w:rsid w:val="00A8196E"/>
    <w:rsid w:val="00A819BF"/>
    <w:rsid w:val="00A81A3D"/>
    <w:rsid w:val="00A81ACE"/>
    <w:rsid w:val="00A81CE9"/>
    <w:rsid w:val="00A81DCF"/>
    <w:rsid w:val="00A81DE3"/>
    <w:rsid w:val="00A81EFE"/>
    <w:rsid w:val="00A82001"/>
    <w:rsid w:val="00A82174"/>
    <w:rsid w:val="00A8224D"/>
    <w:rsid w:val="00A82409"/>
    <w:rsid w:val="00A82748"/>
    <w:rsid w:val="00A82870"/>
    <w:rsid w:val="00A828D9"/>
    <w:rsid w:val="00A82982"/>
    <w:rsid w:val="00A82C75"/>
    <w:rsid w:val="00A82D79"/>
    <w:rsid w:val="00A82F5A"/>
    <w:rsid w:val="00A82F75"/>
    <w:rsid w:val="00A82F90"/>
    <w:rsid w:val="00A830AF"/>
    <w:rsid w:val="00A8314A"/>
    <w:rsid w:val="00A831F4"/>
    <w:rsid w:val="00A83214"/>
    <w:rsid w:val="00A8321C"/>
    <w:rsid w:val="00A8324D"/>
    <w:rsid w:val="00A834BC"/>
    <w:rsid w:val="00A8355A"/>
    <w:rsid w:val="00A83588"/>
    <w:rsid w:val="00A83C9B"/>
    <w:rsid w:val="00A83CE6"/>
    <w:rsid w:val="00A84086"/>
    <w:rsid w:val="00A84170"/>
    <w:rsid w:val="00A843D6"/>
    <w:rsid w:val="00A844F8"/>
    <w:rsid w:val="00A846FC"/>
    <w:rsid w:val="00A848AF"/>
    <w:rsid w:val="00A84A20"/>
    <w:rsid w:val="00A84CF2"/>
    <w:rsid w:val="00A84EA4"/>
    <w:rsid w:val="00A84ED6"/>
    <w:rsid w:val="00A8506E"/>
    <w:rsid w:val="00A8517E"/>
    <w:rsid w:val="00A85369"/>
    <w:rsid w:val="00A854E3"/>
    <w:rsid w:val="00A855B8"/>
    <w:rsid w:val="00A858EB"/>
    <w:rsid w:val="00A859AF"/>
    <w:rsid w:val="00A859E0"/>
    <w:rsid w:val="00A85A22"/>
    <w:rsid w:val="00A85A30"/>
    <w:rsid w:val="00A85ACF"/>
    <w:rsid w:val="00A85C36"/>
    <w:rsid w:val="00A85C59"/>
    <w:rsid w:val="00A85FE8"/>
    <w:rsid w:val="00A85FEE"/>
    <w:rsid w:val="00A86285"/>
    <w:rsid w:val="00A863D6"/>
    <w:rsid w:val="00A8656F"/>
    <w:rsid w:val="00A865AF"/>
    <w:rsid w:val="00A86675"/>
    <w:rsid w:val="00A86698"/>
    <w:rsid w:val="00A8670B"/>
    <w:rsid w:val="00A86847"/>
    <w:rsid w:val="00A86B91"/>
    <w:rsid w:val="00A86CB9"/>
    <w:rsid w:val="00A86D92"/>
    <w:rsid w:val="00A86E16"/>
    <w:rsid w:val="00A86F26"/>
    <w:rsid w:val="00A86FE5"/>
    <w:rsid w:val="00A87059"/>
    <w:rsid w:val="00A872A2"/>
    <w:rsid w:val="00A8735A"/>
    <w:rsid w:val="00A87494"/>
    <w:rsid w:val="00A87509"/>
    <w:rsid w:val="00A8751C"/>
    <w:rsid w:val="00A8754C"/>
    <w:rsid w:val="00A8768E"/>
    <w:rsid w:val="00A87885"/>
    <w:rsid w:val="00A87A33"/>
    <w:rsid w:val="00A87BAD"/>
    <w:rsid w:val="00A87DB2"/>
    <w:rsid w:val="00A87FCB"/>
    <w:rsid w:val="00A87FEA"/>
    <w:rsid w:val="00A90093"/>
    <w:rsid w:val="00A900B0"/>
    <w:rsid w:val="00A90466"/>
    <w:rsid w:val="00A90489"/>
    <w:rsid w:val="00A904B2"/>
    <w:rsid w:val="00A905C5"/>
    <w:rsid w:val="00A90755"/>
    <w:rsid w:val="00A90972"/>
    <w:rsid w:val="00A90C97"/>
    <w:rsid w:val="00A90CB0"/>
    <w:rsid w:val="00A90D48"/>
    <w:rsid w:val="00A91163"/>
    <w:rsid w:val="00A911EB"/>
    <w:rsid w:val="00A91208"/>
    <w:rsid w:val="00A91251"/>
    <w:rsid w:val="00A9158E"/>
    <w:rsid w:val="00A916D2"/>
    <w:rsid w:val="00A91977"/>
    <w:rsid w:val="00A91DE2"/>
    <w:rsid w:val="00A91DEE"/>
    <w:rsid w:val="00A91F9E"/>
    <w:rsid w:val="00A9202D"/>
    <w:rsid w:val="00A920FC"/>
    <w:rsid w:val="00A922C2"/>
    <w:rsid w:val="00A924A0"/>
    <w:rsid w:val="00A92539"/>
    <w:rsid w:val="00A9253F"/>
    <w:rsid w:val="00A9257A"/>
    <w:rsid w:val="00A925F6"/>
    <w:rsid w:val="00A928FE"/>
    <w:rsid w:val="00A92AB6"/>
    <w:rsid w:val="00A92B4B"/>
    <w:rsid w:val="00A92C55"/>
    <w:rsid w:val="00A92D05"/>
    <w:rsid w:val="00A92D67"/>
    <w:rsid w:val="00A92EE5"/>
    <w:rsid w:val="00A92FE7"/>
    <w:rsid w:val="00A93054"/>
    <w:rsid w:val="00A9306D"/>
    <w:rsid w:val="00A93160"/>
    <w:rsid w:val="00A93315"/>
    <w:rsid w:val="00A935C2"/>
    <w:rsid w:val="00A93648"/>
    <w:rsid w:val="00A936B8"/>
    <w:rsid w:val="00A93833"/>
    <w:rsid w:val="00A93DD6"/>
    <w:rsid w:val="00A93ECA"/>
    <w:rsid w:val="00A93FA0"/>
    <w:rsid w:val="00A94121"/>
    <w:rsid w:val="00A94157"/>
    <w:rsid w:val="00A942AA"/>
    <w:rsid w:val="00A9431C"/>
    <w:rsid w:val="00A94366"/>
    <w:rsid w:val="00A9438E"/>
    <w:rsid w:val="00A94441"/>
    <w:rsid w:val="00A944C0"/>
    <w:rsid w:val="00A94B33"/>
    <w:rsid w:val="00A94BF0"/>
    <w:rsid w:val="00A94C61"/>
    <w:rsid w:val="00A94D0F"/>
    <w:rsid w:val="00A94D3E"/>
    <w:rsid w:val="00A94E28"/>
    <w:rsid w:val="00A95090"/>
    <w:rsid w:val="00A9511B"/>
    <w:rsid w:val="00A951FC"/>
    <w:rsid w:val="00A952DF"/>
    <w:rsid w:val="00A95370"/>
    <w:rsid w:val="00A95467"/>
    <w:rsid w:val="00A95599"/>
    <w:rsid w:val="00A95948"/>
    <w:rsid w:val="00A95AD0"/>
    <w:rsid w:val="00A95CBF"/>
    <w:rsid w:val="00A95EB0"/>
    <w:rsid w:val="00A95FD6"/>
    <w:rsid w:val="00A95FDA"/>
    <w:rsid w:val="00A96059"/>
    <w:rsid w:val="00A96237"/>
    <w:rsid w:val="00A96425"/>
    <w:rsid w:val="00A96475"/>
    <w:rsid w:val="00A964BE"/>
    <w:rsid w:val="00A96550"/>
    <w:rsid w:val="00A9666E"/>
    <w:rsid w:val="00A96691"/>
    <w:rsid w:val="00A96829"/>
    <w:rsid w:val="00A969BF"/>
    <w:rsid w:val="00A96A06"/>
    <w:rsid w:val="00A96A12"/>
    <w:rsid w:val="00A96D77"/>
    <w:rsid w:val="00A96E04"/>
    <w:rsid w:val="00A96E81"/>
    <w:rsid w:val="00A971E0"/>
    <w:rsid w:val="00A97396"/>
    <w:rsid w:val="00A97596"/>
    <w:rsid w:val="00A97601"/>
    <w:rsid w:val="00A976B5"/>
    <w:rsid w:val="00A978CD"/>
    <w:rsid w:val="00A97945"/>
    <w:rsid w:val="00A97B5E"/>
    <w:rsid w:val="00A97C78"/>
    <w:rsid w:val="00A97F85"/>
    <w:rsid w:val="00AA004E"/>
    <w:rsid w:val="00AA020A"/>
    <w:rsid w:val="00AA03A7"/>
    <w:rsid w:val="00AA08CF"/>
    <w:rsid w:val="00AA0945"/>
    <w:rsid w:val="00AA0C1C"/>
    <w:rsid w:val="00AA0C2C"/>
    <w:rsid w:val="00AA0D7A"/>
    <w:rsid w:val="00AA0D94"/>
    <w:rsid w:val="00AA0E49"/>
    <w:rsid w:val="00AA0E8F"/>
    <w:rsid w:val="00AA0E99"/>
    <w:rsid w:val="00AA0FDE"/>
    <w:rsid w:val="00AA1154"/>
    <w:rsid w:val="00AA1185"/>
    <w:rsid w:val="00AA139D"/>
    <w:rsid w:val="00AA140E"/>
    <w:rsid w:val="00AA142C"/>
    <w:rsid w:val="00AA1527"/>
    <w:rsid w:val="00AA1666"/>
    <w:rsid w:val="00AA198A"/>
    <w:rsid w:val="00AA1A02"/>
    <w:rsid w:val="00AA1B76"/>
    <w:rsid w:val="00AA1CFB"/>
    <w:rsid w:val="00AA1D69"/>
    <w:rsid w:val="00AA1DBE"/>
    <w:rsid w:val="00AA25E0"/>
    <w:rsid w:val="00AA2612"/>
    <w:rsid w:val="00AA26B0"/>
    <w:rsid w:val="00AA2768"/>
    <w:rsid w:val="00AA2B5B"/>
    <w:rsid w:val="00AA2B7F"/>
    <w:rsid w:val="00AA2B8B"/>
    <w:rsid w:val="00AA2BC7"/>
    <w:rsid w:val="00AA2BCC"/>
    <w:rsid w:val="00AA2C9D"/>
    <w:rsid w:val="00AA2E09"/>
    <w:rsid w:val="00AA3084"/>
    <w:rsid w:val="00AA340E"/>
    <w:rsid w:val="00AA356A"/>
    <w:rsid w:val="00AA360C"/>
    <w:rsid w:val="00AA3740"/>
    <w:rsid w:val="00AA3783"/>
    <w:rsid w:val="00AA3928"/>
    <w:rsid w:val="00AA39FF"/>
    <w:rsid w:val="00AA3A7D"/>
    <w:rsid w:val="00AA3ACC"/>
    <w:rsid w:val="00AA3B0B"/>
    <w:rsid w:val="00AA3B93"/>
    <w:rsid w:val="00AA3C94"/>
    <w:rsid w:val="00AA3CB4"/>
    <w:rsid w:val="00AA3E9C"/>
    <w:rsid w:val="00AA3EA7"/>
    <w:rsid w:val="00AA3EE6"/>
    <w:rsid w:val="00AA42DF"/>
    <w:rsid w:val="00AA449C"/>
    <w:rsid w:val="00AA4643"/>
    <w:rsid w:val="00AA4848"/>
    <w:rsid w:val="00AA4AD6"/>
    <w:rsid w:val="00AA4BE5"/>
    <w:rsid w:val="00AA4C55"/>
    <w:rsid w:val="00AA4CDF"/>
    <w:rsid w:val="00AA4EB0"/>
    <w:rsid w:val="00AA4ECC"/>
    <w:rsid w:val="00AA5000"/>
    <w:rsid w:val="00AA534D"/>
    <w:rsid w:val="00AA541D"/>
    <w:rsid w:val="00AA562A"/>
    <w:rsid w:val="00AA56E8"/>
    <w:rsid w:val="00AA5BD1"/>
    <w:rsid w:val="00AA5C46"/>
    <w:rsid w:val="00AA5C84"/>
    <w:rsid w:val="00AA5DE6"/>
    <w:rsid w:val="00AA5E50"/>
    <w:rsid w:val="00AA5F0D"/>
    <w:rsid w:val="00AA63B5"/>
    <w:rsid w:val="00AA6581"/>
    <w:rsid w:val="00AA665E"/>
    <w:rsid w:val="00AA6686"/>
    <w:rsid w:val="00AA6700"/>
    <w:rsid w:val="00AA6D34"/>
    <w:rsid w:val="00AA7227"/>
    <w:rsid w:val="00AA724B"/>
    <w:rsid w:val="00AA73D3"/>
    <w:rsid w:val="00AA74AF"/>
    <w:rsid w:val="00AA7526"/>
    <w:rsid w:val="00AA7B1E"/>
    <w:rsid w:val="00AA7B29"/>
    <w:rsid w:val="00AA7C39"/>
    <w:rsid w:val="00AA7DD4"/>
    <w:rsid w:val="00AA7E9D"/>
    <w:rsid w:val="00AA7F18"/>
    <w:rsid w:val="00AA7FEB"/>
    <w:rsid w:val="00AB0045"/>
    <w:rsid w:val="00AB00D7"/>
    <w:rsid w:val="00AB019D"/>
    <w:rsid w:val="00AB0307"/>
    <w:rsid w:val="00AB0309"/>
    <w:rsid w:val="00AB048E"/>
    <w:rsid w:val="00AB0613"/>
    <w:rsid w:val="00AB0726"/>
    <w:rsid w:val="00AB0864"/>
    <w:rsid w:val="00AB08A0"/>
    <w:rsid w:val="00AB0BC9"/>
    <w:rsid w:val="00AB0C1C"/>
    <w:rsid w:val="00AB0CCE"/>
    <w:rsid w:val="00AB0D1D"/>
    <w:rsid w:val="00AB0E26"/>
    <w:rsid w:val="00AB0ECC"/>
    <w:rsid w:val="00AB1099"/>
    <w:rsid w:val="00AB137D"/>
    <w:rsid w:val="00AB138C"/>
    <w:rsid w:val="00AB168D"/>
    <w:rsid w:val="00AB16A6"/>
    <w:rsid w:val="00AB1997"/>
    <w:rsid w:val="00AB1A97"/>
    <w:rsid w:val="00AB1BCF"/>
    <w:rsid w:val="00AB1D84"/>
    <w:rsid w:val="00AB1F22"/>
    <w:rsid w:val="00AB2036"/>
    <w:rsid w:val="00AB2137"/>
    <w:rsid w:val="00AB2297"/>
    <w:rsid w:val="00AB26F4"/>
    <w:rsid w:val="00AB2706"/>
    <w:rsid w:val="00AB276D"/>
    <w:rsid w:val="00AB284D"/>
    <w:rsid w:val="00AB2982"/>
    <w:rsid w:val="00AB2A33"/>
    <w:rsid w:val="00AB2A6A"/>
    <w:rsid w:val="00AB305B"/>
    <w:rsid w:val="00AB30FC"/>
    <w:rsid w:val="00AB31B7"/>
    <w:rsid w:val="00AB3212"/>
    <w:rsid w:val="00AB34A7"/>
    <w:rsid w:val="00AB35C8"/>
    <w:rsid w:val="00AB35FA"/>
    <w:rsid w:val="00AB3634"/>
    <w:rsid w:val="00AB3928"/>
    <w:rsid w:val="00AB398F"/>
    <w:rsid w:val="00AB3AE5"/>
    <w:rsid w:val="00AB3C59"/>
    <w:rsid w:val="00AB3D3D"/>
    <w:rsid w:val="00AB3E4E"/>
    <w:rsid w:val="00AB3FE0"/>
    <w:rsid w:val="00AB412F"/>
    <w:rsid w:val="00AB42C8"/>
    <w:rsid w:val="00AB443C"/>
    <w:rsid w:val="00AB46A5"/>
    <w:rsid w:val="00AB49DD"/>
    <w:rsid w:val="00AB4B1E"/>
    <w:rsid w:val="00AB4B5B"/>
    <w:rsid w:val="00AB4C4F"/>
    <w:rsid w:val="00AB4EDD"/>
    <w:rsid w:val="00AB5169"/>
    <w:rsid w:val="00AB53A8"/>
    <w:rsid w:val="00AB5417"/>
    <w:rsid w:val="00AB5658"/>
    <w:rsid w:val="00AB56C3"/>
    <w:rsid w:val="00AB5805"/>
    <w:rsid w:val="00AB581B"/>
    <w:rsid w:val="00AB58E3"/>
    <w:rsid w:val="00AB5923"/>
    <w:rsid w:val="00AB5A99"/>
    <w:rsid w:val="00AB5BA4"/>
    <w:rsid w:val="00AB5C14"/>
    <w:rsid w:val="00AB5DED"/>
    <w:rsid w:val="00AB5DFF"/>
    <w:rsid w:val="00AB5E6A"/>
    <w:rsid w:val="00AB5ED2"/>
    <w:rsid w:val="00AB5F7B"/>
    <w:rsid w:val="00AB5FEF"/>
    <w:rsid w:val="00AB603B"/>
    <w:rsid w:val="00AB6099"/>
    <w:rsid w:val="00AB650E"/>
    <w:rsid w:val="00AB6623"/>
    <w:rsid w:val="00AB67D9"/>
    <w:rsid w:val="00AB696F"/>
    <w:rsid w:val="00AB69A2"/>
    <w:rsid w:val="00AB6A0C"/>
    <w:rsid w:val="00AB6AC6"/>
    <w:rsid w:val="00AB6ACB"/>
    <w:rsid w:val="00AB6AD3"/>
    <w:rsid w:val="00AB6BFD"/>
    <w:rsid w:val="00AB6F22"/>
    <w:rsid w:val="00AB6FD4"/>
    <w:rsid w:val="00AB726B"/>
    <w:rsid w:val="00AB74A5"/>
    <w:rsid w:val="00AB753A"/>
    <w:rsid w:val="00AB758D"/>
    <w:rsid w:val="00AB79F5"/>
    <w:rsid w:val="00AB7A8D"/>
    <w:rsid w:val="00AB7BEA"/>
    <w:rsid w:val="00AB7D24"/>
    <w:rsid w:val="00AB7DE3"/>
    <w:rsid w:val="00AC0048"/>
    <w:rsid w:val="00AC0051"/>
    <w:rsid w:val="00AC019E"/>
    <w:rsid w:val="00AC0B30"/>
    <w:rsid w:val="00AC0C70"/>
    <w:rsid w:val="00AC0C95"/>
    <w:rsid w:val="00AC0D0C"/>
    <w:rsid w:val="00AC0D0D"/>
    <w:rsid w:val="00AC0E6D"/>
    <w:rsid w:val="00AC0EBA"/>
    <w:rsid w:val="00AC0FDA"/>
    <w:rsid w:val="00AC0FF3"/>
    <w:rsid w:val="00AC10BC"/>
    <w:rsid w:val="00AC147A"/>
    <w:rsid w:val="00AC1553"/>
    <w:rsid w:val="00AC1609"/>
    <w:rsid w:val="00AC1825"/>
    <w:rsid w:val="00AC187D"/>
    <w:rsid w:val="00AC19B5"/>
    <w:rsid w:val="00AC1A54"/>
    <w:rsid w:val="00AC1BAE"/>
    <w:rsid w:val="00AC1E11"/>
    <w:rsid w:val="00AC1EBC"/>
    <w:rsid w:val="00AC2129"/>
    <w:rsid w:val="00AC23F9"/>
    <w:rsid w:val="00AC2963"/>
    <w:rsid w:val="00AC2B0A"/>
    <w:rsid w:val="00AC2B61"/>
    <w:rsid w:val="00AC2C8A"/>
    <w:rsid w:val="00AC2E90"/>
    <w:rsid w:val="00AC2F10"/>
    <w:rsid w:val="00AC2F42"/>
    <w:rsid w:val="00AC2F4E"/>
    <w:rsid w:val="00AC2F5C"/>
    <w:rsid w:val="00AC3315"/>
    <w:rsid w:val="00AC342E"/>
    <w:rsid w:val="00AC3436"/>
    <w:rsid w:val="00AC34CC"/>
    <w:rsid w:val="00AC357B"/>
    <w:rsid w:val="00AC35CF"/>
    <w:rsid w:val="00AC35FC"/>
    <w:rsid w:val="00AC38C8"/>
    <w:rsid w:val="00AC3910"/>
    <w:rsid w:val="00AC3932"/>
    <w:rsid w:val="00AC39FC"/>
    <w:rsid w:val="00AC3B1F"/>
    <w:rsid w:val="00AC3CD5"/>
    <w:rsid w:val="00AC3E7A"/>
    <w:rsid w:val="00AC3FE6"/>
    <w:rsid w:val="00AC4086"/>
    <w:rsid w:val="00AC4105"/>
    <w:rsid w:val="00AC41FF"/>
    <w:rsid w:val="00AC4354"/>
    <w:rsid w:val="00AC46A4"/>
    <w:rsid w:val="00AC46F9"/>
    <w:rsid w:val="00AC48E6"/>
    <w:rsid w:val="00AC4938"/>
    <w:rsid w:val="00AC4AFE"/>
    <w:rsid w:val="00AC4CA5"/>
    <w:rsid w:val="00AC4D2A"/>
    <w:rsid w:val="00AC4FD2"/>
    <w:rsid w:val="00AC51FB"/>
    <w:rsid w:val="00AC5387"/>
    <w:rsid w:val="00AC563B"/>
    <w:rsid w:val="00AC56AA"/>
    <w:rsid w:val="00AC5704"/>
    <w:rsid w:val="00AC58A9"/>
    <w:rsid w:val="00AC5A12"/>
    <w:rsid w:val="00AC5AD6"/>
    <w:rsid w:val="00AC5B49"/>
    <w:rsid w:val="00AC5CD6"/>
    <w:rsid w:val="00AC5DEE"/>
    <w:rsid w:val="00AC5E15"/>
    <w:rsid w:val="00AC5EA2"/>
    <w:rsid w:val="00AC62E0"/>
    <w:rsid w:val="00AC6400"/>
    <w:rsid w:val="00AC656D"/>
    <w:rsid w:val="00AC6682"/>
    <w:rsid w:val="00AC677E"/>
    <w:rsid w:val="00AC6788"/>
    <w:rsid w:val="00AC6B2C"/>
    <w:rsid w:val="00AC6B97"/>
    <w:rsid w:val="00AC6BDC"/>
    <w:rsid w:val="00AC6C1D"/>
    <w:rsid w:val="00AC6D27"/>
    <w:rsid w:val="00AC6DD8"/>
    <w:rsid w:val="00AC6E07"/>
    <w:rsid w:val="00AC6E10"/>
    <w:rsid w:val="00AC7254"/>
    <w:rsid w:val="00AC725D"/>
    <w:rsid w:val="00AC7542"/>
    <w:rsid w:val="00AC7655"/>
    <w:rsid w:val="00AC7740"/>
    <w:rsid w:val="00AC777A"/>
    <w:rsid w:val="00AC7782"/>
    <w:rsid w:val="00AC778E"/>
    <w:rsid w:val="00AC7835"/>
    <w:rsid w:val="00AC7851"/>
    <w:rsid w:val="00AC78E0"/>
    <w:rsid w:val="00AC79B6"/>
    <w:rsid w:val="00AC7B55"/>
    <w:rsid w:val="00AC7EBC"/>
    <w:rsid w:val="00AD010D"/>
    <w:rsid w:val="00AD027C"/>
    <w:rsid w:val="00AD02F8"/>
    <w:rsid w:val="00AD044C"/>
    <w:rsid w:val="00AD04EC"/>
    <w:rsid w:val="00AD05C1"/>
    <w:rsid w:val="00AD0623"/>
    <w:rsid w:val="00AD07F7"/>
    <w:rsid w:val="00AD1204"/>
    <w:rsid w:val="00AD13CD"/>
    <w:rsid w:val="00AD168F"/>
    <w:rsid w:val="00AD16A8"/>
    <w:rsid w:val="00AD1898"/>
    <w:rsid w:val="00AD1B92"/>
    <w:rsid w:val="00AD1C46"/>
    <w:rsid w:val="00AD1DA0"/>
    <w:rsid w:val="00AD1DBB"/>
    <w:rsid w:val="00AD1DBD"/>
    <w:rsid w:val="00AD1DC1"/>
    <w:rsid w:val="00AD1DC6"/>
    <w:rsid w:val="00AD21AB"/>
    <w:rsid w:val="00AD22AE"/>
    <w:rsid w:val="00AD23FF"/>
    <w:rsid w:val="00AD2471"/>
    <w:rsid w:val="00AD24A2"/>
    <w:rsid w:val="00AD2593"/>
    <w:rsid w:val="00AD278D"/>
    <w:rsid w:val="00AD2980"/>
    <w:rsid w:val="00AD29ED"/>
    <w:rsid w:val="00AD2ADB"/>
    <w:rsid w:val="00AD2E2B"/>
    <w:rsid w:val="00AD2F3B"/>
    <w:rsid w:val="00AD3037"/>
    <w:rsid w:val="00AD30A2"/>
    <w:rsid w:val="00AD30EB"/>
    <w:rsid w:val="00AD32E2"/>
    <w:rsid w:val="00AD3328"/>
    <w:rsid w:val="00AD38B1"/>
    <w:rsid w:val="00AD38BF"/>
    <w:rsid w:val="00AD3908"/>
    <w:rsid w:val="00AD3A4C"/>
    <w:rsid w:val="00AD3AF6"/>
    <w:rsid w:val="00AD3C0F"/>
    <w:rsid w:val="00AD3E87"/>
    <w:rsid w:val="00AD4027"/>
    <w:rsid w:val="00AD4138"/>
    <w:rsid w:val="00AD424B"/>
    <w:rsid w:val="00AD4328"/>
    <w:rsid w:val="00AD43D5"/>
    <w:rsid w:val="00AD446C"/>
    <w:rsid w:val="00AD466F"/>
    <w:rsid w:val="00AD4700"/>
    <w:rsid w:val="00AD472A"/>
    <w:rsid w:val="00AD4919"/>
    <w:rsid w:val="00AD4ADA"/>
    <w:rsid w:val="00AD4CAC"/>
    <w:rsid w:val="00AD4CD0"/>
    <w:rsid w:val="00AD4D27"/>
    <w:rsid w:val="00AD50EF"/>
    <w:rsid w:val="00AD520A"/>
    <w:rsid w:val="00AD524A"/>
    <w:rsid w:val="00AD5318"/>
    <w:rsid w:val="00AD537E"/>
    <w:rsid w:val="00AD53F5"/>
    <w:rsid w:val="00AD53F8"/>
    <w:rsid w:val="00AD5576"/>
    <w:rsid w:val="00AD5865"/>
    <w:rsid w:val="00AD598E"/>
    <w:rsid w:val="00AD5999"/>
    <w:rsid w:val="00AD59A3"/>
    <w:rsid w:val="00AD5C58"/>
    <w:rsid w:val="00AD5C5F"/>
    <w:rsid w:val="00AD5FF9"/>
    <w:rsid w:val="00AD625F"/>
    <w:rsid w:val="00AD646B"/>
    <w:rsid w:val="00AD64F5"/>
    <w:rsid w:val="00AD6621"/>
    <w:rsid w:val="00AD66EC"/>
    <w:rsid w:val="00AD675C"/>
    <w:rsid w:val="00AD680F"/>
    <w:rsid w:val="00AD683B"/>
    <w:rsid w:val="00AD6B4E"/>
    <w:rsid w:val="00AD6C1F"/>
    <w:rsid w:val="00AD6D00"/>
    <w:rsid w:val="00AD6DFC"/>
    <w:rsid w:val="00AD6E96"/>
    <w:rsid w:val="00AD6F64"/>
    <w:rsid w:val="00AD6F7C"/>
    <w:rsid w:val="00AD6FB6"/>
    <w:rsid w:val="00AD720E"/>
    <w:rsid w:val="00AD75BE"/>
    <w:rsid w:val="00AD75D4"/>
    <w:rsid w:val="00AD7635"/>
    <w:rsid w:val="00AD7815"/>
    <w:rsid w:val="00AD78E9"/>
    <w:rsid w:val="00AD79F3"/>
    <w:rsid w:val="00AD7A79"/>
    <w:rsid w:val="00AD7AB2"/>
    <w:rsid w:val="00AD7B80"/>
    <w:rsid w:val="00AD7D6A"/>
    <w:rsid w:val="00AD7EC4"/>
    <w:rsid w:val="00AE00AB"/>
    <w:rsid w:val="00AE0148"/>
    <w:rsid w:val="00AE034D"/>
    <w:rsid w:val="00AE0704"/>
    <w:rsid w:val="00AE097E"/>
    <w:rsid w:val="00AE0B74"/>
    <w:rsid w:val="00AE0E27"/>
    <w:rsid w:val="00AE0E47"/>
    <w:rsid w:val="00AE0EF0"/>
    <w:rsid w:val="00AE0FBC"/>
    <w:rsid w:val="00AE10FC"/>
    <w:rsid w:val="00AE111F"/>
    <w:rsid w:val="00AE1251"/>
    <w:rsid w:val="00AE1297"/>
    <w:rsid w:val="00AE1437"/>
    <w:rsid w:val="00AE175E"/>
    <w:rsid w:val="00AE193C"/>
    <w:rsid w:val="00AE196D"/>
    <w:rsid w:val="00AE1AB3"/>
    <w:rsid w:val="00AE1BEF"/>
    <w:rsid w:val="00AE1CE2"/>
    <w:rsid w:val="00AE1E12"/>
    <w:rsid w:val="00AE1E52"/>
    <w:rsid w:val="00AE2174"/>
    <w:rsid w:val="00AE217E"/>
    <w:rsid w:val="00AE2195"/>
    <w:rsid w:val="00AE2207"/>
    <w:rsid w:val="00AE239F"/>
    <w:rsid w:val="00AE23A2"/>
    <w:rsid w:val="00AE256E"/>
    <w:rsid w:val="00AE25C0"/>
    <w:rsid w:val="00AE2697"/>
    <w:rsid w:val="00AE277D"/>
    <w:rsid w:val="00AE2910"/>
    <w:rsid w:val="00AE2ACE"/>
    <w:rsid w:val="00AE2C1B"/>
    <w:rsid w:val="00AE2C9F"/>
    <w:rsid w:val="00AE2CB2"/>
    <w:rsid w:val="00AE2F9D"/>
    <w:rsid w:val="00AE31FA"/>
    <w:rsid w:val="00AE346D"/>
    <w:rsid w:val="00AE34C4"/>
    <w:rsid w:val="00AE34FD"/>
    <w:rsid w:val="00AE35F5"/>
    <w:rsid w:val="00AE3619"/>
    <w:rsid w:val="00AE375C"/>
    <w:rsid w:val="00AE384C"/>
    <w:rsid w:val="00AE39D6"/>
    <w:rsid w:val="00AE3ADE"/>
    <w:rsid w:val="00AE3C07"/>
    <w:rsid w:val="00AE3C7F"/>
    <w:rsid w:val="00AE3D53"/>
    <w:rsid w:val="00AE3D8C"/>
    <w:rsid w:val="00AE3E61"/>
    <w:rsid w:val="00AE3EDC"/>
    <w:rsid w:val="00AE3F33"/>
    <w:rsid w:val="00AE3F38"/>
    <w:rsid w:val="00AE3FC2"/>
    <w:rsid w:val="00AE3FCB"/>
    <w:rsid w:val="00AE3FF2"/>
    <w:rsid w:val="00AE40CF"/>
    <w:rsid w:val="00AE4144"/>
    <w:rsid w:val="00AE4186"/>
    <w:rsid w:val="00AE41FC"/>
    <w:rsid w:val="00AE4464"/>
    <w:rsid w:val="00AE479B"/>
    <w:rsid w:val="00AE48A2"/>
    <w:rsid w:val="00AE49D8"/>
    <w:rsid w:val="00AE4D2B"/>
    <w:rsid w:val="00AE4E4C"/>
    <w:rsid w:val="00AE546F"/>
    <w:rsid w:val="00AE58ED"/>
    <w:rsid w:val="00AE59C6"/>
    <w:rsid w:val="00AE5A4C"/>
    <w:rsid w:val="00AE5B66"/>
    <w:rsid w:val="00AE5D85"/>
    <w:rsid w:val="00AE5DF8"/>
    <w:rsid w:val="00AE5E25"/>
    <w:rsid w:val="00AE5E6E"/>
    <w:rsid w:val="00AE6009"/>
    <w:rsid w:val="00AE61D9"/>
    <w:rsid w:val="00AE626D"/>
    <w:rsid w:val="00AE6429"/>
    <w:rsid w:val="00AE6440"/>
    <w:rsid w:val="00AE65BD"/>
    <w:rsid w:val="00AE6646"/>
    <w:rsid w:val="00AE66A6"/>
    <w:rsid w:val="00AE66E5"/>
    <w:rsid w:val="00AE6891"/>
    <w:rsid w:val="00AE68D9"/>
    <w:rsid w:val="00AE6962"/>
    <w:rsid w:val="00AE6A1E"/>
    <w:rsid w:val="00AE6C9C"/>
    <w:rsid w:val="00AE6CE1"/>
    <w:rsid w:val="00AE6E8F"/>
    <w:rsid w:val="00AE7162"/>
    <w:rsid w:val="00AE741C"/>
    <w:rsid w:val="00AE7545"/>
    <w:rsid w:val="00AE7547"/>
    <w:rsid w:val="00AE76D0"/>
    <w:rsid w:val="00AE7782"/>
    <w:rsid w:val="00AE78A1"/>
    <w:rsid w:val="00AF0076"/>
    <w:rsid w:val="00AF0144"/>
    <w:rsid w:val="00AF0574"/>
    <w:rsid w:val="00AF0616"/>
    <w:rsid w:val="00AF09D6"/>
    <w:rsid w:val="00AF0CBA"/>
    <w:rsid w:val="00AF11D2"/>
    <w:rsid w:val="00AF1291"/>
    <w:rsid w:val="00AF151D"/>
    <w:rsid w:val="00AF153A"/>
    <w:rsid w:val="00AF17B1"/>
    <w:rsid w:val="00AF18AD"/>
    <w:rsid w:val="00AF1A89"/>
    <w:rsid w:val="00AF1C69"/>
    <w:rsid w:val="00AF1D77"/>
    <w:rsid w:val="00AF1E29"/>
    <w:rsid w:val="00AF1E6C"/>
    <w:rsid w:val="00AF1EC7"/>
    <w:rsid w:val="00AF1FD3"/>
    <w:rsid w:val="00AF207E"/>
    <w:rsid w:val="00AF2167"/>
    <w:rsid w:val="00AF228E"/>
    <w:rsid w:val="00AF269E"/>
    <w:rsid w:val="00AF27EC"/>
    <w:rsid w:val="00AF2808"/>
    <w:rsid w:val="00AF2881"/>
    <w:rsid w:val="00AF28B5"/>
    <w:rsid w:val="00AF297D"/>
    <w:rsid w:val="00AF2A5E"/>
    <w:rsid w:val="00AF2B4B"/>
    <w:rsid w:val="00AF2CD7"/>
    <w:rsid w:val="00AF2D4D"/>
    <w:rsid w:val="00AF2EF0"/>
    <w:rsid w:val="00AF2F1B"/>
    <w:rsid w:val="00AF2FB3"/>
    <w:rsid w:val="00AF2FBD"/>
    <w:rsid w:val="00AF301B"/>
    <w:rsid w:val="00AF30B1"/>
    <w:rsid w:val="00AF30C7"/>
    <w:rsid w:val="00AF3345"/>
    <w:rsid w:val="00AF336A"/>
    <w:rsid w:val="00AF35E3"/>
    <w:rsid w:val="00AF3699"/>
    <w:rsid w:val="00AF3766"/>
    <w:rsid w:val="00AF38EF"/>
    <w:rsid w:val="00AF3972"/>
    <w:rsid w:val="00AF39AF"/>
    <w:rsid w:val="00AF3AD1"/>
    <w:rsid w:val="00AF3AE3"/>
    <w:rsid w:val="00AF3D9F"/>
    <w:rsid w:val="00AF3DF1"/>
    <w:rsid w:val="00AF4050"/>
    <w:rsid w:val="00AF4086"/>
    <w:rsid w:val="00AF41ED"/>
    <w:rsid w:val="00AF43C2"/>
    <w:rsid w:val="00AF4426"/>
    <w:rsid w:val="00AF4456"/>
    <w:rsid w:val="00AF44EA"/>
    <w:rsid w:val="00AF4562"/>
    <w:rsid w:val="00AF4613"/>
    <w:rsid w:val="00AF473B"/>
    <w:rsid w:val="00AF48B3"/>
    <w:rsid w:val="00AF499C"/>
    <w:rsid w:val="00AF4AB1"/>
    <w:rsid w:val="00AF4D28"/>
    <w:rsid w:val="00AF4D9D"/>
    <w:rsid w:val="00AF4DD9"/>
    <w:rsid w:val="00AF4F35"/>
    <w:rsid w:val="00AF52B1"/>
    <w:rsid w:val="00AF52C4"/>
    <w:rsid w:val="00AF5350"/>
    <w:rsid w:val="00AF5399"/>
    <w:rsid w:val="00AF53AC"/>
    <w:rsid w:val="00AF54DA"/>
    <w:rsid w:val="00AF5506"/>
    <w:rsid w:val="00AF556A"/>
    <w:rsid w:val="00AF55B9"/>
    <w:rsid w:val="00AF56BA"/>
    <w:rsid w:val="00AF57AD"/>
    <w:rsid w:val="00AF590D"/>
    <w:rsid w:val="00AF596C"/>
    <w:rsid w:val="00AF5A43"/>
    <w:rsid w:val="00AF5BAF"/>
    <w:rsid w:val="00AF5BC0"/>
    <w:rsid w:val="00AF5BC9"/>
    <w:rsid w:val="00AF5C97"/>
    <w:rsid w:val="00AF5F16"/>
    <w:rsid w:val="00AF62EF"/>
    <w:rsid w:val="00AF632C"/>
    <w:rsid w:val="00AF6543"/>
    <w:rsid w:val="00AF67F0"/>
    <w:rsid w:val="00AF68F4"/>
    <w:rsid w:val="00AF6B61"/>
    <w:rsid w:val="00AF6C5A"/>
    <w:rsid w:val="00AF6E9E"/>
    <w:rsid w:val="00AF705B"/>
    <w:rsid w:val="00AF7112"/>
    <w:rsid w:val="00AF740E"/>
    <w:rsid w:val="00AF744A"/>
    <w:rsid w:val="00AF7583"/>
    <w:rsid w:val="00AF76E2"/>
    <w:rsid w:val="00AF77D3"/>
    <w:rsid w:val="00AF7911"/>
    <w:rsid w:val="00AF7967"/>
    <w:rsid w:val="00AF799F"/>
    <w:rsid w:val="00AF7A2C"/>
    <w:rsid w:val="00AF7A6F"/>
    <w:rsid w:val="00AF7B69"/>
    <w:rsid w:val="00AF7E62"/>
    <w:rsid w:val="00AF7FB3"/>
    <w:rsid w:val="00AF7FEA"/>
    <w:rsid w:val="00B00049"/>
    <w:rsid w:val="00B00113"/>
    <w:rsid w:val="00B0015D"/>
    <w:rsid w:val="00B0025E"/>
    <w:rsid w:val="00B002AD"/>
    <w:rsid w:val="00B00391"/>
    <w:rsid w:val="00B00665"/>
    <w:rsid w:val="00B00862"/>
    <w:rsid w:val="00B00C11"/>
    <w:rsid w:val="00B00C57"/>
    <w:rsid w:val="00B00D31"/>
    <w:rsid w:val="00B00F4D"/>
    <w:rsid w:val="00B01021"/>
    <w:rsid w:val="00B0119B"/>
    <w:rsid w:val="00B011B9"/>
    <w:rsid w:val="00B011C3"/>
    <w:rsid w:val="00B0137E"/>
    <w:rsid w:val="00B01555"/>
    <w:rsid w:val="00B015E6"/>
    <w:rsid w:val="00B01660"/>
    <w:rsid w:val="00B0168B"/>
    <w:rsid w:val="00B01812"/>
    <w:rsid w:val="00B01828"/>
    <w:rsid w:val="00B018ED"/>
    <w:rsid w:val="00B0197B"/>
    <w:rsid w:val="00B01A05"/>
    <w:rsid w:val="00B01A4B"/>
    <w:rsid w:val="00B01B32"/>
    <w:rsid w:val="00B01B55"/>
    <w:rsid w:val="00B01BB5"/>
    <w:rsid w:val="00B01D73"/>
    <w:rsid w:val="00B02169"/>
    <w:rsid w:val="00B02267"/>
    <w:rsid w:val="00B02346"/>
    <w:rsid w:val="00B02799"/>
    <w:rsid w:val="00B0294C"/>
    <w:rsid w:val="00B02953"/>
    <w:rsid w:val="00B02C75"/>
    <w:rsid w:val="00B02D3A"/>
    <w:rsid w:val="00B02D8D"/>
    <w:rsid w:val="00B02E07"/>
    <w:rsid w:val="00B02E85"/>
    <w:rsid w:val="00B02EEE"/>
    <w:rsid w:val="00B0305B"/>
    <w:rsid w:val="00B0309F"/>
    <w:rsid w:val="00B0315F"/>
    <w:rsid w:val="00B03198"/>
    <w:rsid w:val="00B03377"/>
    <w:rsid w:val="00B03383"/>
    <w:rsid w:val="00B033A4"/>
    <w:rsid w:val="00B03544"/>
    <w:rsid w:val="00B0371E"/>
    <w:rsid w:val="00B03890"/>
    <w:rsid w:val="00B03A69"/>
    <w:rsid w:val="00B03B89"/>
    <w:rsid w:val="00B03BAF"/>
    <w:rsid w:val="00B03C34"/>
    <w:rsid w:val="00B03C7A"/>
    <w:rsid w:val="00B03CB5"/>
    <w:rsid w:val="00B03CD6"/>
    <w:rsid w:val="00B03D1F"/>
    <w:rsid w:val="00B03D72"/>
    <w:rsid w:val="00B03E9D"/>
    <w:rsid w:val="00B03EBE"/>
    <w:rsid w:val="00B03F0A"/>
    <w:rsid w:val="00B04014"/>
    <w:rsid w:val="00B04173"/>
    <w:rsid w:val="00B04386"/>
    <w:rsid w:val="00B043F5"/>
    <w:rsid w:val="00B04A8A"/>
    <w:rsid w:val="00B04AFC"/>
    <w:rsid w:val="00B04C06"/>
    <w:rsid w:val="00B04CFE"/>
    <w:rsid w:val="00B04D01"/>
    <w:rsid w:val="00B04EC5"/>
    <w:rsid w:val="00B04EFD"/>
    <w:rsid w:val="00B04F87"/>
    <w:rsid w:val="00B05059"/>
    <w:rsid w:val="00B05259"/>
    <w:rsid w:val="00B052AE"/>
    <w:rsid w:val="00B052EB"/>
    <w:rsid w:val="00B0559C"/>
    <w:rsid w:val="00B05628"/>
    <w:rsid w:val="00B05947"/>
    <w:rsid w:val="00B05982"/>
    <w:rsid w:val="00B059FE"/>
    <w:rsid w:val="00B05B53"/>
    <w:rsid w:val="00B05BF0"/>
    <w:rsid w:val="00B05D82"/>
    <w:rsid w:val="00B05D9A"/>
    <w:rsid w:val="00B05DA6"/>
    <w:rsid w:val="00B05EEE"/>
    <w:rsid w:val="00B05FD1"/>
    <w:rsid w:val="00B060F6"/>
    <w:rsid w:val="00B0617B"/>
    <w:rsid w:val="00B0628D"/>
    <w:rsid w:val="00B063C0"/>
    <w:rsid w:val="00B064DA"/>
    <w:rsid w:val="00B067F3"/>
    <w:rsid w:val="00B068F9"/>
    <w:rsid w:val="00B06A16"/>
    <w:rsid w:val="00B06B32"/>
    <w:rsid w:val="00B06E8D"/>
    <w:rsid w:val="00B070AE"/>
    <w:rsid w:val="00B07136"/>
    <w:rsid w:val="00B0726A"/>
    <w:rsid w:val="00B075E3"/>
    <w:rsid w:val="00B075EB"/>
    <w:rsid w:val="00B076B4"/>
    <w:rsid w:val="00B07A31"/>
    <w:rsid w:val="00B07BED"/>
    <w:rsid w:val="00B07C63"/>
    <w:rsid w:val="00B07C98"/>
    <w:rsid w:val="00B07C9C"/>
    <w:rsid w:val="00B07C9D"/>
    <w:rsid w:val="00B07F2B"/>
    <w:rsid w:val="00B10078"/>
    <w:rsid w:val="00B100EF"/>
    <w:rsid w:val="00B101B4"/>
    <w:rsid w:val="00B1042B"/>
    <w:rsid w:val="00B10474"/>
    <w:rsid w:val="00B105FD"/>
    <w:rsid w:val="00B10653"/>
    <w:rsid w:val="00B10711"/>
    <w:rsid w:val="00B10B2D"/>
    <w:rsid w:val="00B10EDD"/>
    <w:rsid w:val="00B10FE5"/>
    <w:rsid w:val="00B11018"/>
    <w:rsid w:val="00B1109A"/>
    <w:rsid w:val="00B11143"/>
    <w:rsid w:val="00B11186"/>
    <w:rsid w:val="00B1118D"/>
    <w:rsid w:val="00B11296"/>
    <w:rsid w:val="00B112F9"/>
    <w:rsid w:val="00B11678"/>
    <w:rsid w:val="00B11730"/>
    <w:rsid w:val="00B11784"/>
    <w:rsid w:val="00B1186C"/>
    <w:rsid w:val="00B11B0E"/>
    <w:rsid w:val="00B11CAC"/>
    <w:rsid w:val="00B11DA4"/>
    <w:rsid w:val="00B11DB9"/>
    <w:rsid w:val="00B11E31"/>
    <w:rsid w:val="00B12002"/>
    <w:rsid w:val="00B1215F"/>
    <w:rsid w:val="00B12239"/>
    <w:rsid w:val="00B123AB"/>
    <w:rsid w:val="00B123FF"/>
    <w:rsid w:val="00B127D4"/>
    <w:rsid w:val="00B1285C"/>
    <w:rsid w:val="00B128A8"/>
    <w:rsid w:val="00B128FA"/>
    <w:rsid w:val="00B12913"/>
    <w:rsid w:val="00B1299D"/>
    <w:rsid w:val="00B12BD9"/>
    <w:rsid w:val="00B12BF5"/>
    <w:rsid w:val="00B12DD9"/>
    <w:rsid w:val="00B12E22"/>
    <w:rsid w:val="00B12F00"/>
    <w:rsid w:val="00B13000"/>
    <w:rsid w:val="00B130CC"/>
    <w:rsid w:val="00B13234"/>
    <w:rsid w:val="00B1351F"/>
    <w:rsid w:val="00B1356D"/>
    <w:rsid w:val="00B138F1"/>
    <w:rsid w:val="00B13B93"/>
    <w:rsid w:val="00B13C8B"/>
    <w:rsid w:val="00B13CFD"/>
    <w:rsid w:val="00B13D12"/>
    <w:rsid w:val="00B13D35"/>
    <w:rsid w:val="00B13D55"/>
    <w:rsid w:val="00B13D57"/>
    <w:rsid w:val="00B13F01"/>
    <w:rsid w:val="00B140E2"/>
    <w:rsid w:val="00B1417E"/>
    <w:rsid w:val="00B141FD"/>
    <w:rsid w:val="00B1428F"/>
    <w:rsid w:val="00B14678"/>
    <w:rsid w:val="00B14711"/>
    <w:rsid w:val="00B1474A"/>
    <w:rsid w:val="00B14947"/>
    <w:rsid w:val="00B14A18"/>
    <w:rsid w:val="00B14B98"/>
    <w:rsid w:val="00B14B99"/>
    <w:rsid w:val="00B14BFA"/>
    <w:rsid w:val="00B14C06"/>
    <w:rsid w:val="00B14D8B"/>
    <w:rsid w:val="00B1521F"/>
    <w:rsid w:val="00B152A8"/>
    <w:rsid w:val="00B152FD"/>
    <w:rsid w:val="00B15773"/>
    <w:rsid w:val="00B15A6E"/>
    <w:rsid w:val="00B15A93"/>
    <w:rsid w:val="00B15A9D"/>
    <w:rsid w:val="00B15B27"/>
    <w:rsid w:val="00B15BAA"/>
    <w:rsid w:val="00B15C0F"/>
    <w:rsid w:val="00B15C21"/>
    <w:rsid w:val="00B15F15"/>
    <w:rsid w:val="00B16311"/>
    <w:rsid w:val="00B16477"/>
    <w:rsid w:val="00B165CB"/>
    <w:rsid w:val="00B16607"/>
    <w:rsid w:val="00B16639"/>
    <w:rsid w:val="00B16731"/>
    <w:rsid w:val="00B1692C"/>
    <w:rsid w:val="00B16991"/>
    <w:rsid w:val="00B16D7E"/>
    <w:rsid w:val="00B170D8"/>
    <w:rsid w:val="00B17132"/>
    <w:rsid w:val="00B173A1"/>
    <w:rsid w:val="00B173A3"/>
    <w:rsid w:val="00B1748D"/>
    <w:rsid w:val="00B177E3"/>
    <w:rsid w:val="00B17857"/>
    <w:rsid w:val="00B179F9"/>
    <w:rsid w:val="00B17B6F"/>
    <w:rsid w:val="00B17C83"/>
    <w:rsid w:val="00B17E69"/>
    <w:rsid w:val="00B17F7E"/>
    <w:rsid w:val="00B201ED"/>
    <w:rsid w:val="00B20374"/>
    <w:rsid w:val="00B20427"/>
    <w:rsid w:val="00B20951"/>
    <w:rsid w:val="00B20ACB"/>
    <w:rsid w:val="00B20C6C"/>
    <w:rsid w:val="00B20CEE"/>
    <w:rsid w:val="00B20FB4"/>
    <w:rsid w:val="00B211EF"/>
    <w:rsid w:val="00B212A9"/>
    <w:rsid w:val="00B2132B"/>
    <w:rsid w:val="00B213E8"/>
    <w:rsid w:val="00B214CD"/>
    <w:rsid w:val="00B216CF"/>
    <w:rsid w:val="00B21793"/>
    <w:rsid w:val="00B21818"/>
    <w:rsid w:val="00B21873"/>
    <w:rsid w:val="00B21AA1"/>
    <w:rsid w:val="00B21BE5"/>
    <w:rsid w:val="00B21E11"/>
    <w:rsid w:val="00B21F95"/>
    <w:rsid w:val="00B21FE4"/>
    <w:rsid w:val="00B21FF6"/>
    <w:rsid w:val="00B22101"/>
    <w:rsid w:val="00B2210B"/>
    <w:rsid w:val="00B2221D"/>
    <w:rsid w:val="00B222E3"/>
    <w:rsid w:val="00B2230F"/>
    <w:rsid w:val="00B2233E"/>
    <w:rsid w:val="00B2259A"/>
    <w:rsid w:val="00B2260D"/>
    <w:rsid w:val="00B2283B"/>
    <w:rsid w:val="00B22A9D"/>
    <w:rsid w:val="00B22AD0"/>
    <w:rsid w:val="00B22C0E"/>
    <w:rsid w:val="00B22C65"/>
    <w:rsid w:val="00B22CA9"/>
    <w:rsid w:val="00B22DD6"/>
    <w:rsid w:val="00B22E02"/>
    <w:rsid w:val="00B22ECC"/>
    <w:rsid w:val="00B23098"/>
    <w:rsid w:val="00B231E6"/>
    <w:rsid w:val="00B23203"/>
    <w:rsid w:val="00B23209"/>
    <w:rsid w:val="00B2325F"/>
    <w:rsid w:val="00B237DF"/>
    <w:rsid w:val="00B23924"/>
    <w:rsid w:val="00B23981"/>
    <w:rsid w:val="00B23E14"/>
    <w:rsid w:val="00B23E4A"/>
    <w:rsid w:val="00B23F3D"/>
    <w:rsid w:val="00B23FC0"/>
    <w:rsid w:val="00B23FC1"/>
    <w:rsid w:val="00B24282"/>
    <w:rsid w:val="00B242EB"/>
    <w:rsid w:val="00B2430E"/>
    <w:rsid w:val="00B24331"/>
    <w:rsid w:val="00B2452D"/>
    <w:rsid w:val="00B2455A"/>
    <w:rsid w:val="00B248DE"/>
    <w:rsid w:val="00B24A53"/>
    <w:rsid w:val="00B24A60"/>
    <w:rsid w:val="00B24DE0"/>
    <w:rsid w:val="00B24F75"/>
    <w:rsid w:val="00B25082"/>
    <w:rsid w:val="00B25133"/>
    <w:rsid w:val="00B2515E"/>
    <w:rsid w:val="00B25392"/>
    <w:rsid w:val="00B259C9"/>
    <w:rsid w:val="00B259DD"/>
    <w:rsid w:val="00B25A7A"/>
    <w:rsid w:val="00B25B70"/>
    <w:rsid w:val="00B25DD9"/>
    <w:rsid w:val="00B25E0A"/>
    <w:rsid w:val="00B262F0"/>
    <w:rsid w:val="00B264BB"/>
    <w:rsid w:val="00B26726"/>
    <w:rsid w:val="00B26883"/>
    <w:rsid w:val="00B26AC0"/>
    <w:rsid w:val="00B26BA2"/>
    <w:rsid w:val="00B26CFB"/>
    <w:rsid w:val="00B26E27"/>
    <w:rsid w:val="00B26FD3"/>
    <w:rsid w:val="00B270CD"/>
    <w:rsid w:val="00B2710A"/>
    <w:rsid w:val="00B27338"/>
    <w:rsid w:val="00B273FD"/>
    <w:rsid w:val="00B2762C"/>
    <w:rsid w:val="00B27716"/>
    <w:rsid w:val="00B278E1"/>
    <w:rsid w:val="00B27901"/>
    <w:rsid w:val="00B27A1A"/>
    <w:rsid w:val="00B27A3B"/>
    <w:rsid w:val="00B27D2F"/>
    <w:rsid w:val="00B3001C"/>
    <w:rsid w:val="00B30029"/>
    <w:rsid w:val="00B30152"/>
    <w:rsid w:val="00B302E2"/>
    <w:rsid w:val="00B302F5"/>
    <w:rsid w:val="00B3049A"/>
    <w:rsid w:val="00B3059C"/>
    <w:rsid w:val="00B305B7"/>
    <w:rsid w:val="00B305D8"/>
    <w:rsid w:val="00B3060B"/>
    <w:rsid w:val="00B30724"/>
    <w:rsid w:val="00B3083E"/>
    <w:rsid w:val="00B30A27"/>
    <w:rsid w:val="00B30B44"/>
    <w:rsid w:val="00B30C37"/>
    <w:rsid w:val="00B30E2F"/>
    <w:rsid w:val="00B30E65"/>
    <w:rsid w:val="00B30EAC"/>
    <w:rsid w:val="00B3115E"/>
    <w:rsid w:val="00B3132D"/>
    <w:rsid w:val="00B31335"/>
    <w:rsid w:val="00B313BC"/>
    <w:rsid w:val="00B315A5"/>
    <w:rsid w:val="00B3168D"/>
    <w:rsid w:val="00B31944"/>
    <w:rsid w:val="00B319D7"/>
    <w:rsid w:val="00B31A52"/>
    <w:rsid w:val="00B31ADD"/>
    <w:rsid w:val="00B31BFC"/>
    <w:rsid w:val="00B31F9F"/>
    <w:rsid w:val="00B3244F"/>
    <w:rsid w:val="00B32605"/>
    <w:rsid w:val="00B326F7"/>
    <w:rsid w:val="00B3282F"/>
    <w:rsid w:val="00B328CE"/>
    <w:rsid w:val="00B328D6"/>
    <w:rsid w:val="00B329EE"/>
    <w:rsid w:val="00B32AB4"/>
    <w:rsid w:val="00B32C2E"/>
    <w:rsid w:val="00B32E19"/>
    <w:rsid w:val="00B32EC9"/>
    <w:rsid w:val="00B32EFC"/>
    <w:rsid w:val="00B3307E"/>
    <w:rsid w:val="00B330B6"/>
    <w:rsid w:val="00B3340F"/>
    <w:rsid w:val="00B33463"/>
    <w:rsid w:val="00B3380C"/>
    <w:rsid w:val="00B33814"/>
    <w:rsid w:val="00B3385D"/>
    <w:rsid w:val="00B33867"/>
    <w:rsid w:val="00B33BAA"/>
    <w:rsid w:val="00B33E3B"/>
    <w:rsid w:val="00B33E4F"/>
    <w:rsid w:val="00B33EBC"/>
    <w:rsid w:val="00B33FC2"/>
    <w:rsid w:val="00B34229"/>
    <w:rsid w:val="00B3423E"/>
    <w:rsid w:val="00B342E4"/>
    <w:rsid w:val="00B34407"/>
    <w:rsid w:val="00B34440"/>
    <w:rsid w:val="00B34529"/>
    <w:rsid w:val="00B34790"/>
    <w:rsid w:val="00B3484A"/>
    <w:rsid w:val="00B3487C"/>
    <w:rsid w:val="00B34909"/>
    <w:rsid w:val="00B34AE2"/>
    <w:rsid w:val="00B34F5E"/>
    <w:rsid w:val="00B3506E"/>
    <w:rsid w:val="00B35072"/>
    <w:rsid w:val="00B350CC"/>
    <w:rsid w:val="00B3524A"/>
    <w:rsid w:val="00B3527C"/>
    <w:rsid w:val="00B353C3"/>
    <w:rsid w:val="00B35592"/>
    <w:rsid w:val="00B35624"/>
    <w:rsid w:val="00B35730"/>
    <w:rsid w:val="00B35838"/>
    <w:rsid w:val="00B35861"/>
    <w:rsid w:val="00B35912"/>
    <w:rsid w:val="00B35999"/>
    <w:rsid w:val="00B35BE1"/>
    <w:rsid w:val="00B35E9E"/>
    <w:rsid w:val="00B36405"/>
    <w:rsid w:val="00B364B2"/>
    <w:rsid w:val="00B366D1"/>
    <w:rsid w:val="00B367A9"/>
    <w:rsid w:val="00B36A02"/>
    <w:rsid w:val="00B36B10"/>
    <w:rsid w:val="00B36CF4"/>
    <w:rsid w:val="00B36D20"/>
    <w:rsid w:val="00B36D41"/>
    <w:rsid w:val="00B36E2E"/>
    <w:rsid w:val="00B36EFA"/>
    <w:rsid w:val="00B36FAB"/>
    <w:rsid w:val="00B371A0"/>
    <w:rsid w:val="00B373D0"/>
    <w:rsid w:val="00B3745A"/>
    <w:rsid w:val="00B37494"/>
    <w:rsid w:val="00B374E9"/>
    <w:rsid w:val="00B3754F"/>
    <w:rsid w:val="00B376B8"/>
    <w:rsid w:val="00B37B11"/>
    <w:rsid w:val="00B37D98"/>
    <w:rsid w:val="00B37E0C"/>
    <w:rsid w:val="00B37F35"/>
    <w:rsid w:val="00B37FBA"/>
    <w:rsid w:val="00B37FFC"/>
    <w:rsid w:val="00B4008C"/>
    <w:rsid w:val="00B40245"/>
    <w:rsid w:val="00B40326"/>
    <w:rsid w:val="00B404AF"/>
    <w:rsid w:val="00B405D5"/>
    <w:rsid w:val="00B406EA"/>
    <w:rsid w:val="00B4072C"/>
    <w:rsid w:val="00B4094D"/>
    <w:rsid w:val="00B40AA3"/>
    <w:rsid w:val="00B40CF5"/>
    <w:rsid w:val="00B40F5F"/>
    <w:rsid w:val="00B41163"/>
    <w:rsid w:val="00B412EC"/>
    <w:rsid w:val="00B413E1"/>
    <w:rsid w:val="00B41437"/>
    <w:rsid w:val="00B4144A"/>
    <w:rsid w:val="00B414F0"/>
    <w:rsid w:val="00B4159D"/>
    <w:rsid w:val="00B41981"/>
    <w:rsid w:val="00B419CD"/>
    <w:rsid w:val="00B41C99"/>
    <w:rsid w:val="00B41CAC"/>
    <w:rsid w:val="00B41D4F"/>
    <w:rsid w:val="00B41D88"/>
    <w:rsid w:val="00B41E66"/>
    <w:rsid w:val="00B4209E"/>
    <w:rsid w:val="00B422DA"/>
    <w:rsid w:val="00B4232D"/>
    <w:rsid w:val="00B4242A"/>
    <w:rsid w:val="00B42677"/>
    <w:rsid w:val="00B426D8"/>
    <w:rsid w:val="00B4273C"/>
    <w:rsid w:val="00B42A3D"/>
    <w:rsid w:val="00B42B80"/>
    <w:rsid w:val="00B42FCE"/>
    <w:rsid w:val="00B43020"/>
    <w:rsid w:val="00B430DB"/>
    <w:rsid w:val="00B43160"/>
    <w:rsid w:val="00B433BB"/>
    <w:rsid w:val="00B43518"/>
    <w:rsid w:val="00B4366C"/>
    <w:rsid w:val="00B43A05"/>
    <w:rsid w:val="00B43A2B"/>
    <w:rsid w:val="00B43A33"/>
    <w:rsid w:val="00B43A38"/>
    <w:rsid w:val="00B43AC6"/>
    <w:rsid w:val="00B43BFF"/>
    <w:rsid w:val="00B43C93"/>
    <w:rsid w:val="00B43E9B"/>
    <w:rsid w:val="00B43F0B"/>
    <w:rsid w:val="00B44269"/>
    <w:rsid w:val="00B44738"/>
    <w:rsid w:val="00B44757"/>
    <w:rsid w:val="00B44B0C"/>
    <w:rsid w:val="00B44BC9"/>
    <w:rsid w:val="00B44C61"/>
    <w:rsid w:val="00B44DC6"/>
    <w:rsid w:val="00B44E80"/>
    <w:rsid w:val="00B44F8A"/>
    <w:rsid w:val="00B45331"/>
    <w:rsid w:val="00B456A3"/>
    <w:rsid w:val="00B45778"/>
    <w:rsid w:val="00B45931"/>
    <w:rsid w:val="00B45A23"/>
    <w:rsid w:val="00B45A99"/>
    <w:rsid w:val="00B45BFF"/>
    <w:rsid w:val="00B45D75"/>
    <w:rsid w:val="00B45E29"/>
    <w:rsid w:val="00B45E60"/>
    <w:rsid w:val="00B4617B"/>
    <w:rsid w:val="00B46538"/>
    <w:rsid w:val="00B46A12"/>
    <w:rsid w:val="00B46C26"/>
    <w:rsid w:val="00B46CC5"/>
    <w:rsid w:val="00B46E1F"/>
    <w:rsid w:val="00B46E95"/>
    <w:rsid w:val="00B46FE3"/>
    <w:rsid w:val="00B470CA"/>
    <w:rsid w:val="00B47231"/>
    <w:rsid w:val="00B47534"/>
    <w:rsid w:val="00B4759B"/>
    <w:rsid w:val="00B476AA"/>
    <w:rsid w:val="00B4774D"/>
    <w:rsid w:val="00B47B6A"/>
    <w:rsid w:val="00B47B75"/>
    <w:rsid w:val="00B47B9D"/>
    <w:rsid w:val="00B47DF1"/>
    <w:rsid w:val="00B47E36"/>
    <w:rsid w:val="00B5005B"/>
    <w:rsid w:val="00B5014B"/>
    <w:rsid w:val="00B501E7"/>
    <w:rsid w:val="00B501EA"/>
    <w:rsid w:val="00B5040D"/>
    <w:rsid w:val="00B50412"/>
    <w:rsid w:val="00B50505"/>
    <w:rsid w:val="00B506EB"/>
    <w:rsid w:val="00B50707"/>
    <w:rsid w:val="00B50B35"/>
    <w:rsid w:val="00B50D66"/>
    <w:rsid w:val="00B50DBF"/>
    <w:rsid w:val="00B50F5E"/>
    <w:rsid w:val="00B51086"/>
    <w:rsid w:val="00B51132"/>
    <w:rsid w:val="00B51236"/>
    <w:rsid w:val="00B51907"/>
    <w:rsid w:val="00B51A8F"/>
    <w:rsid w:val="00B51B81"/>
    <w:rsid w:val="00B51BD4"/>
    <w:rsid w:val="00B51C7E"/>
    <w:rsid w:val="00B521EE"/>
    <w:rsid w:val="00B52239"/>
    <w:rsid w:val="00B524AB"/>
    <w:rsid w:val="00B5281D"/>
    <w:rsid w:val="00B529CC"/>
    <w:rsid w:val="00B52CBE"/>
    <w:rsid w:val="00B52EF4"/>
    <w:rsid w:val="00B531F6"/>
    <w:rsid w:val="00B532D3"/>
    <w:rsid w:val="00B532E9"/>
    <w:rsid w:val="00B53458"/>
    <w:rsid w:val="00B5348B"/>
    <w:rsid w:val="00B53535"/>
    <w:rsid w:val="00B53616"/>
    <w:rsid w:val="00B537AD"/>
    <w:rsid w:val="00B537BA"/>
    <w:rsid w:val="00B538DF"/>
    <w:rsid w:val="00B538E8"/>
    <w:rsid w:val="00B538EA"/>
    <w:rsid w:val="00B53E8E"/>
    <w:rsid w:val="00B53FF0"/>
    <w:rsid w:val="00B5416B"/>
    <w:rsid w:val="00B54398"/>
    <w:rsid w:val="00B54428"/>
    <w:rsid w:val="00B54515"/>
    <w:rsid w:val="00B545CE"/>
    <w:rsid w:val="00B546FF"/>
    <w:rsid w:val="00B5471C"/>
    <w:rsid w:val="00B5475B"/>
    <w:rsid w:val="00B54939"/>
    <w:rsid w:val="00B54996"/>
    <w:rsid w:val="00B54ADA"/>
    <w:rsid w:val="00B54BE8"/>
    <w:rsid w:val="00B54C3E"/>
    <w:rsid w:val="00B54DA0"/>
    <w:rsid w:val="00B551CA"/>
    <w:rsid w:val="00B55485"/>
    <w:rsid w:val="00B559BF"/>
    <w:rsid w:val="00B55A79"/>
    <w:rsid w:val="00B55A7F"/>
    <w:rsid w:val="00B55C65"/>
    <w:rsid w:val="00B560D0"/>
    <w:rsid w:val="00B56172"/>
    <w:rsid w:val="00B56223"/>
    <w:rsid w:val="00B5624E"/>
    <w:rsid w:val="00B56598"/>
    <w:rsid w:val="00B56AF5"/>
    <w:rsid w:val="00B56B03"/>
    <w:rsid w:val="00B56B07"/>
    <w:rsid w:val="00B56C88"/>
    <w:rsid w:val="00B56CD9"/>
    <w:rsid w:val="00B56E7D"/>
    <w:rsid w:val="00B56E82"/>
    <w:rsid w:val="00B56FE3"/>
    <w:rsid w:val="00B57227"/>
    <w:rsid w:val="00B5722C"/>
    <w:rsid w:val="00B5722D"/>
    <w:rsid w:val="00B574F7"/>
    <w:rsid w:val="00B576B4"/>
    <w:rsid w:val="00B57915"/>
    <w:rsid w:val="00B5794D"/>
    <w:rsid w:val="00B57955"/>
    <w:rsid w:val="00B57B2E"/>
    <w:rsid w:val="00B57B9C"/>
    <w:rsid w:val="00B57BF9"/>
    <w:rsid w:val="00B57C02"/>
    <w:rsid w:val="00B57DAF"/>
    <w:rsid w:val="00B57DBB"/>
    <w:rsid w:val="00B57E62"/>
    <w:rsid w:val="00B60107"/>
    <w:rsid w:val="00B602C1"/>
    <w:rsid w:val="00B602C9"/>
    <w:rsid w:val="00B602CD"/>
    <w:rsid w:val="00B6032E"/>
    <w:rsid w:val="00B6071D"/>
    <w:rsid w:val="00B6083E"/>
    <w:rsid w:val="00B6092F"/>
    <w:rsid w:val="00B609A6"/>
    <w:rsid w:val="00B60A19"/>
    <w:rsid w:val="00B60BEF"/>
    <w:rsid w:val="00B60E1F"/>
    <w:rsid w:val="00B612E3"/>
    <w:rsid w:val="00B61354"/>
    <w:rsid w:val="00B613A1"/>
    <w:rsid w:val="00B61464"/>
    <w:rsid w:val="00B61523"/>
    <w:rsid w:val="00B61870"/>
    <w:rsid w:val="00B61964"/>
    <w:rsid w:val="00B61B5A"/>
    <w:rsid w:val="00B61BEA"/>
    <w:rsid w:val="00B61C77"/>
    <w:rsid w:val="00B61EAA"/>
    <w:rsid w:val="00B62002"/>
    <w:rsid w:val="00B620E7"/>
    <w:rsid w:val="00B62742"/>
    <w:rsid w:val="00B628A9"/>
    <w:rsid w:val="00B62945"/>
    <w:rsid w:val="00B629D2"/>
    <w:rsid w:val="00B62A19"/>
    <w:rsid w:val="00B62D2F"/>
    <w:rsid w:val="00B62D84"/>
    <w:rsid w:val="00B63136"/>
    <w:rsid w:val="00B6316D"/>
    <w:rsid w:val="00B63686"/>
    <w:rsid w:val="00B638EF"/>
    <w:rsid w:val="00B63A3F"/>
    <w:rsid w:val="00B63C17"/>
    <w:rsid w:val="00B63D6D"/>
    <w:rsid w:val="00B63EAB"/>
    <w:rsid w:val="00B63F81"/>
    <w:rsid w:val="00B64040"/>
    <w:rsid w:val="00B640AA"/>
    <w:rsid w:val="00B64164"/>
    <w:rsid w:val="00B64274"/>
    <w:rsid w:val="00B6448F"/>
    <w:rsid w:val="00B644A2"/>
    <w:rsid w:val="00B64526"/>
    <w:rsid w:val="00B645D5"/>
    <w:rsid w:val="00B646C8"/>
    <w:rsid w:val="00B647C8"/>
    <w:rsid w:val="00B647FF"/>
    <w:rsid w:val="00B64B2E"/>
    <w:rsid w:val="00B64D62"/>
    <w:rsid w:val="00B64F95"/>
    <w:rsid w:val="00B6501E"/>
    <w:rsid w:val="00B65091"/>
    <w:rsid w:val="00B650E3"/>
    <w:rsid w:val="00B65117"/>
    <w:rsid w:val="00B6525B"/>
    <w:rsid w:val="00B65359"/>
    <w:rsid w:val="00B65429"/>
    <w:rsid w:val="00B655B5"/>
    <w:rsid w:val="00B65752"/>
    <w:rsid w:val="00B6598F"/>
    <w:rsid w:val="00B65ACA"/>
    <w:rsid w:val="00B65B8E"/>
    <w:rsid w:val="00B65DD0"/>
    <w:rsid w:val="00B65DD9"/>
    <w:rsid w:val="00B65F0B"/>
    <w:rsid w:val="00B660C5"/>
    <w:rsid w:val="00B6611C"/>
    <w:rsid w:val="00B66373"/>
    <w:rsid w:val="00B6638C"/>
    <w:rsid w:val="00B66608"/>
    <w:rsid w:val="00B666DA"/>
    <w:rsid w:val="00B6677A"/>
    <w:rsid w:val="00B668B7"/>
    <w:rsid w:val="00B6695E"/>
    <w:rsid w:val="00B669E9"/>
    <w:rsid w:val="00B66A0D"/>
    <w:rsid w:val="00B66AAC"/>
    <w:rsid w:val="00B66BEE"/>
    <w:rsid w:val="00B66BFA"/>
    <w:rsid w:val="00B66C0F"/>
    <w:rsid w:val="00B66CAE"/>
    <w:rsid w:val="00B66D1A"/>
    <w:rsid w:val="00B66DE1"/>
    <w:rsid w:val="00B66E4E"/>
    <w:rsid w:val="00B67096"/>
    <w:rsid w:val="00B67194"/>
    <w:rsid w:val="00B672C3"/>
    <w:rsid w:val="00B674BE"/>
    <w:rsid w:val="00B674D7"/>
    <w:rsid w:val="00B676FC"/>
    <w:rsid w:val="00B677CF"/>
    <w:rsid w:val="00B67AAA"/>
    <w:rsid w:val="00B67AFC"/>
    <w:rsid w:val="00B67B1B"/>
    <w:rsid w:val="00B67B4E"/>
    <w:rsid w:val="00B67CFF"/>
    <w:rsid w:val="00B67D62"/>
    <w:rsid w:val="00B67D88"/>
    <w:rsid w:val="00B70192"/>
    <w:rsid w:val="00B70365"/>
    <w:rsid w:val="00B70552"/>
    <w:rsid w:val="00B7055F"/>
    <w:rsid w:val="00B70663"/>
    <w:rsid w:val="00B7080E"/>
    <w:rsid w:val="00B708FF"/>
    <w:rsid w:val="00B70931"/>
    <w:rsid w:val="00B709C4"/>
    <w:rsid w:val="00B70CAD"/>
    <w:rsid w:val="00B70F2D"/>
    <w:rsid w:val="00B70F99"/>
    <w:rsid w:val="00B71244"/>
    <w:rsid w:val="00B7130D"/>
    <w:rsid w:val="00B71340"/>
    <w:rsid w:val="00B7143C"/>
    <w:rsid w:val="00B7155C"/>
    <w:rsid w:val="00B716E2"/>
    <w:rsid w:val="00B71742"/>
    <w:rsid w:val="00B7188D"/>
    <w:rsid w:val="00B718A7"/>
    <w:rsid w:val="00B71956"/>
    <w:rsid w:val="00B71996"/>
    <w:rsid w:val="00B719D9"/>
    <w:rsid w:val="00B71A40"/>
    <w:rsid w:val="00B71AEE"/>
    <w:rsid w:val="00B71B80"/>
    <w:rsid w:val="00B71C63"/>
    <w:rsid w:val="00B71D45"/>
    <w:rsid w:val="00B71D64"/>
    <w:rsid w:val="00B72049"/>
    <w:rsid w:val="00B720A2"/>
    <w:rsid w:val="00B720F3"/>
    <w:rsid w:val="00B72109"/>
    <w:rsid w:val="00B72324"/>
    <w:rsid w:val="00B723AF"/>
    <w:rsid w:val="00B723E2"/>
    <w:rsid w:val="00B7244B"/>
    <w:rsid w:val="00B72831"/>
    <w:rsid w:val="00B72B84"/>
    <w:rsid w:val="00B72DDA"/>
    <w:rsid w:val="00B72E1B"/>
    <w:rsid w:val="00B72E23"/>
    <w:rsid w:val="00B72E31"/>
    <w:rsid w:val="00B72F1F"/>
    <w:rsid w:val="00B72FA4"/>
    <w:rsid w:val="00B730BF"/>
    <w:rsid w:val="00B73435"/>
    <w:rsid w:val="00B734C2"/>
    <w:rsid w:val="00B735B7"/>
    <w:rsid w:val="00B735E1"/>
    <w:rsid w:val="00B738BF"/>
    <w:rsid w:val="00B73994"/>
    <w:rsid w:val="00B73AEE"/>
    <w:rsid w:val="00B73B8B"/>
    <w:rsid w:val="00B73BA0"/>
    <w:rsid w:val="00B73C96"/>
    <w:rsid w:val="00B73CF3"/>
    <w:rsid w:val="00B73E05"/>
    <w:rsid w:val="00B73F80"/>
    <w:rsid w:val="00B73F82"/>
    <w:rsid w:val="00B74045"/>
    <w:rsid w:val="00B741F0"/>
    <w:rsid w:val="00B7423E"/>
    <w:rsid w:val="00B74458"/>
    <w:rsid w:val="00B744DF"/>
    <w:rsid w:val="00B746A0"/>
    <w:rsid w:val="00B746E2"/>
    <w:rsid w:val="00B747D4"/>
    <w:rsid w:val="00B747EA"/>
    <w:rsid w:val="00B7481C"/>
    <w:rsid w:val="00B7490D"/>
    <w:rsid w:val="00B74960"/>
    <w:rsid w:val="00B749B4"/>
    <w:rsid w:val="00B74A10"/>
    <w:rsid w:val="00B74B48"/>
    <w:rsid w:val="00B74B79"/>
    <w:rsid w:val="00B74B80"/>
    <w:rsid w:val="00B74BF4"/>
    <w:rsid w:val="00B74C43"/>
    <w:rsid w:val="00B74C83"/>
    <w:rsid w:val="00B74E13"/>
    <w:rsid w:val="00B74EB7"/>
    <w:rsid w:val="00B75255"/>
    <w:rsid w:val="00B75330"/>
    <w:rsid w:val="00B75348"/>
    <w:rsid w:val="00B754CE"/>
    <w:rsid w:val="00B75502"/>
    <w:rsid w:val="00B756E8"/>
    <w:rsid w:val="00B7573C"/>
    <w:rsid w:val="00B75821"/>
    <w:rsid w:val="00B7582C"/>
    <w:rsid w:val="00B7587B"/>
    <w:rsid w:val="00B7595B"/>
    <w:rsid w:val="00B759AD"/>
    <w:rsid w:val="00B759B5"/>
    <w:rsid w:val="00B75CBB"/>
    <w:rsid w:val="00B76030"/>
    <w:rsid w:val="00B76065"/>
    <w:rsid w:val="00B7606E"/>
    <w:rsid w:val="00B76235"/>
    <w:rsid w:val="00B76395"/>
    <w:rsid w:val="00B763BD"/>
    <w:rsid w:val="00B763C6"/>
    <w:rsid w:val="00B763F0"/>
    <w:rsid w:val="00B76429"/>
    <w:rsid w:val="00B76541"/>
    <w:rsid w:val="00B76621"/>
    <w:rsid w:val="00B76764"/>
    <w:rsid w:val="00B768DB"/>
    <w:rsid w:val="00B76A9E"/>
    <w:rsid w:val="00B76C82"/>
    <w:rsid w:val="00B76CD6"/>
    <w:rsid w:val="00B7702B"/>
    <w:rsid w:val="00B770A9"/>
    <w:rsid w:val="00B77179"/>
    <w:rsid w:val="00B7736E"/>
    <w:rsid w:val="00B7764F"/>
    <w:rsid w:val="00B7765E"/>
    <w:rsid w:val="00B7778E"/>
    <w:rsid w:val="00B77845"/>
    <w:rsid w:val="00B77B8F"/>
    <w:rsid w:val="00B77EF4"/>
    <w:rsid w:val="00B77EF8"/>
    <w:rsid w:val="00B77F40"/>
    <w:rsid w:val="00B77FAE"/>
    <w:rsid w:val="00B77FDA"/>
    <w:rsid w:val="00B80036"/>
    <w:rsid w:val="00B803B8"/>
    <w:rsid w:val="00B80539"/>
    <w:rsid w:val="00B80685"/>
    <w:rsid w:val="00B80759"/>
    <w:rsid w:val="00B80785"/>
    <w:rsid w:val="00B807F7"/>
    <w:rsid w:val="00B80866"/>
    <w:rsid w:val="00B808C7"/>
    <w:rsid w:val="00B80AC2"/>
    <w:rsid w:val="00B80AD9"/>
    <w:rsid w:val="00B80BC7"/>
    <w:rsid w:val="00B80C7F"/>
    <w:rsid w:val="00B80EDC"/>
    <w:rsid w:val="00B80FED"/>
    <w:rsid w:val="00B81123"/>
    <w:rsid w:val="00B81723"/>
    <w:rsid w:val="00B8172E"/>
    <w:rsid w:val="00B81775"/>
    <w:rsid w:val="00B8192C"/>
    <w:rsid w:val="00B81B45"/>
    <w:rsid w:val="00B81B9E"/>
    <w:rsid w:val="00B81EA2"/>
    <w:rsid w:val="00B81EBD"/>
    <w:rsid w:val="00B820D5"/>
    <w:rsid w:val="00B82241"/>
    <w:rsid w:val="00B82267"/>
    <w:rsid w:val="00B822AC"/>
    <w:rsid w:val="00B8233C"/>
    <w:rsid w:val="00B824FE"/>
    <w:rsid w:val="00B826B9"/>
    <w:rsid w:val="00B826E2"/>
    <w:rsid w:val="00B828CA"/>
    <w:rsid w:val="00B828DF"/>
    <w:rsid w:val="00B82DE7"/>
    <w:rsid w:val="00B8326A"/>
    <w:rsid w:val="00B8343B"/>
    <w:rsid w:val="00B83497"/>
    <w:rsid w:val="00B834AA"/>
    <w:rsid w:val="00B836D6"/>
    <w:rsid w:val="00B83989"/>
    <w:rsid w:val="00B839F6"/>
    <w:rsid w:val="00B83A13"/>
    <w:rsid w:val="00B83A2A"/>
    <w:rsid w:val="00B83A37"/>
    <w:rsid w:val="00B83B58"/>
    <w:rsid w:val="00B83BAC"/>
    <w:rsid w:val="00B83BC2"/>
    <w:rsid w:val="00B83CC9"/>
    <w:rsid w:val="00B83DA2"/>
    <w:rsid w:val="00B83E00"/>
    <w:rsid w:val="00B83FF0"/>
    <w:rsid w:val="00B84135"/>
    <w:rsid w:val="00B84275"/>
    <w:rsid w:val="00B843F8"/>
    <w:rsid w:val="00B847D2"/>
    <w:rsid w:val="00B84871"/>
    <w:rsid w:val="00B84ADD"/>
    <w:rsid w:val="00B84CA2"/>
    <w:rsid w:val="00B84D1D"/>
    <w:rsid w:val="00B8505A"/>
    <w:rsid w:val="00B85082"/>
    <w:rsid w:val="00B85148"/>
    <w:rsid w:val="00B85463"/>
    <w:rsid w:val="00B8547B"/>
    <w:rsid w:val="00B8549D"/>
    <w:rsid w:val="00B85753"/>
    <w:rsid w:val="00B85A3F"/>
    <w:rsid w:val="00B85AB6"/>
    <w:rsid w:val="00B85BC3"/>
    <w:rsid w:val="00B85C72"/>
    <w:rsid w:val="00B85DA5"/>
    <w:rsid w:val="00B86032"/>
    <w:rsid w:val="00B86038"/>
    <w:rsid w:val="00B8606A"/>
    <w:rsid w:val="00B86103"/>
    <w:rsid w:val="00B86109"/>
    <w:rsid w:val="00B8616D"/>
    <w:rsid w:val="00B86268"/>
    <w:rsid w:val="00B862E5"/>
    <w:rsid w:val="00B86763"/>
    <w:rsid w:val="00B869E0"/>
    <w:rsid w:val="00B86B6C"/>
    <w:rsid w:val="00B86BF4"/>
    <w:rsid w:val="00B86C53"/>
    <w:rsid w:val="00B86FD1"/>
    <w:rsid w:val="00B871A0"/>
    <w:rsid w:val="00B8737B"/>
    <w:rsid w:val="00B87454"/>
    <w:rsid w:val="00B87A2D"/>
    <w:rsid w:val="00B87A98"/>
    <w:rsid w:val="00B87B2B"/>
    <w:rsid w:val="00B87D57"/>
    <w:rsid w:val="00B87D60"/>
    <w:rsid w:val="00B87E16"/>
    <w:rsid w:val="00B87E39"/>
    <w:rsid w:val="00B900D2"/>
    <w:rsid w:val="00B9032E"/>
    <w:rsid w:val="00B90913"/>
    <w:rsid w:val="00B90FB1"/>
    <w:rsid w:val="00B911F6"/>
    <w:rsid w:val="00B915BB"/>
    <w:rsid w:val="00B91740"/>
    <w:rsid w:val="00B91758"/>
    <w:rsid w:val="00B91856"/>
    <w:rsid w:val="00B91BB5"/>
    <w:rsid w:val="00B91D2D"/>
    <w:rsid w:val="00B91D92"/>
    <w:rsid w:val="00B91E1D"/>
    <w:rsid w:val="00B91FAA"/>
    <w:rsid w:val="00B92161"/>
    <w:rsid w:val="00B9216B"/>
    <w:rsid w:val="00B921A7"/>
    <w:rsid w:val="00B9220A"/>
    <w:rsid w:val="00B9230B"/>
    <w:rsid w:val="00B92325"/>
    <w:rsid w:val="00B9239C"/>
    <w:rsid w:val="00B92427"/>
    <w:rsid w:val="00B925A5"/>
    <w:rsid w:val="00B925A8"/>
    <w:rsid w:val="00B926FE"/>
    <w:rsid w:val="00B928D0"/>
    <w:rsid w:val="00B92A1D"/>
    <w:rsid w:val="00B92B9A"/>
    <w:rsid w:val="00B92F23"/>
    <w:rsid w:val="00B93641"/>
    <w:rsid w:val="00B9367D"/>
    <w:rsid w:val="00B9373B"/>
    <w:rsid w:val="00B93768"/>
    <w:rsid w:val="00B937C2"/>
    <w:rsid w:val="00B9382E"/>
    <w:rsid w:val="00B93881"/>
    <w:rsid w:val="00B9388F"/>
    <w:rsid w:val="00B93AF1"/>
    <w:rsid w:val="00B93CF9"/>
    <w:rsid w:val="00B93D45"/>
    <w:rsid w:val="00B93D6A"/>
    <w:rsid w:val="00B93E5B"/>
    <w:rsid w:val="00B94110"/>
    <w:rsid w:val="00B94213"/>
    <w:rsid w:val="00B94413"/>
    <w:rsid w:val="00B9441B"/>
    <w:rsid w:val="00B9442C"/>
    <w:rsid w:val="00B94711"/>
    <w:rsid w:val="00B94830"/>
    <w:rsid w:val="00B9495F"/>
    <w:rsid w:val="00B94B52"/>
    <w:rsid w:val="00B94D80"/>
    <w:rsid w:val="00B94EF9"/>
    <w:rsid w:val="00B950A2"/>
    <w:rsid w:val="00B95430"/>
    <w:rsid w:val="00B954D4"/>
    <w:rsid w:val="00B9553F"/>
    <w:rsid w:val="00B95722"/>
    <w:rsid w:val="00B9589D"/>
    <w:rsid w:val="00B95997"/>
    <w:rsid w:val="00B95A37"/>
    <w:rsid w:val="00B95BEC"/>
    <w:rsid w:val="00B95F3E"/>
    <w:rsid w:val="00B95FAE"/>
    <w:rsid w:val="00B960B1"/>
    <w:rsid w:val="00B96128"/>
    <w:rsid w:val="00B96206"/>
    <w:rsid w:val="00B96281"/>
    <w:rsid w:val="00B96543"/>
    <w:rsid w:val="00B966FC"/>
    <w:rsid w:val="00B9686D"/>
    <w:rsid w:val="00B96A25"/>
    <w:rsid w:val="00B96A94"/>
    <w:rsid w:val="00B96A9C"/>
    <w:rsid w:val="00B96ABC"/>
    <w:rsid w:val="00B96AC5"/>
    <w:rsid w:val="00B96C7F"/>
    <w:rsid w:val="00B96DE2"/>
    <w:rsid w:val="00B96E16"/>
    <w:rsid w:val="00B96E4D"/>
    <w:rsid w:val="00B9703A"/>
    <w:rsid w:val="00B970F1"/>
    <w:rsid w:val="00B972B8"/>
    <w:rsid w:val="00B972FA"/>
    <w:rsid w:val="00B973FE"/>
    <w:rsid w:val="00B97455"/>
    <w:rsid w:val="00B9748E"/>
    <w:rsid w:val="00B97537"/>
    <w:rsid w:val="00B9759B"/>
    <w:rsid w:val="00B976AF"/>
    <w:rsid w:val="00B977DE"/>
    <w:rsid w:val="00B97874"/>
    <w:rsid w:val="00B978DC"/>
    <w:rsid w:val="00B979CF"/>
    <w:rsid w:val="00B97A5F"/>
    <w:rsid w:val="00B97B57"/>
    <w:rsid w:val="00B97B7D"/>
    <w:rsid w:val="00B97D70"/>
    <w:rsid w:val="00B97E4F"/>
    <w:rsid w:val="00BA0168"/>
    <w:rsid w:val="00BA0299"/>
    <w:rsid w:val="00BA02B4"/>
    <w:rsid w:val="00BA05DA"/>
    <w:rsid w:val="00BA06F5"/>
    <w:rsid w:val="00BA07BA"/>
    <w:rsid w:val="00BA0881"/>
    <w:rsid w:val="00BA090E"/>
    <w:rsid w:val="00BA0B9E"/>
    <w:rsid w:val="00BA0DA3"/>
    <w:rsid w:val="00BA0E64"/>
    <w:rsid w:val="00BA0E88"/>
    <w:rsid w:val="00BA0E9B"/>
    <w:rsid w:val="00BA10AD"/>
    <w:rsid w:val="00BA1302"/>
    <w:rsid w:val="00BA1690"/>
    <w:rsid w:val="00BA1774"/>
    <w:rsid w:val="00BA1830"/>
    <w:rsid w:val="00BA1878"/>
    <w:rsid w:val="00BA1897"/>
    <w:rsid w:val="00BA1986"/>
    <w:rsid w:val="00BA19F8"/>
    <w:rsid w:val="00BA1A15"/>
    <w:rsid w:val="00BA1B8A"/>
    <w:rsid w:val="00BA1BEE"/>
    <w:rsid w:val="00BA201F"/>
    <w:rsid w:val="00BA2147"/>
    <w:rsid w:val="00BA22CC"/>
    <w:rsid w:val="00BA2398"/>
    <w:rsid w:val="00BA252D"/>
    <w:rsid w:val="00BA2636"/>
    <w:rsid w:val="00BA2674"/>
    <w:rsid w:val="00BA27A9"/>
    <w:rsid w:val="00BA2815"/>
    <w:rsid w:val="00BA2A23"/>
    <w:rsid w:val="00BA2B70"/>
    <w:rsid w:val="00BA2C47"/>
    <w:rsid w:val="00BA2DAC"/>
    <w:rsid w:val="00BA2E78"/>
    <w:rsid w:val="00BA3071"/>
    <w:rsid w:val="00BA30DF"/>
    <w:rsid w:val="00BA30FD"/>
    <w:rsid w:val="00BA33B4"/>
    <w:rsid w:val="00BA341E"/>
    <w:rsid w:val="00BA3500"/>
    <w:rsid w:val="00BA3514"/>
    <w:rsid w:val="00BA379A"/>
    <w:rsid w:val="00BA38E6"/>
    <w:rsid w:val="00BA3CB9"/>
    <w:rsid w:val="00BA41AC"/>
    <w:rsid w:val="00BA42C7"/>
    <w:rsid w:val="00BA4422"/>
    <w:rsid w:val="00BA4442"/>
    <w:rsid w:val="00BA45DE"/>
    <w:rsid w:val="00BA464D"/>
    <w:rsid w:val="00BA488F"/>
    <w:rsid w:val="00BA48F8"/>
    <w:rsid w:val="00BA4932"/>
    <w:rsid w:val="00BA4A9D"/>
    <w:rsid w:val="00BA4F62"/>
    <w:rsid w:val="00BA503E"/>
    <w:rsid w:val="00BA53DD"/>
    <w:rsid w:val="00BA53E4"/>
    <w:rsid w:val="00BA551F"/>
    <w:rsid w:val="00BA5593"/>
    <w:rsid w:val="00BA55CA"/>
    <w:rsid w:val="00BA56DB"/>
    <w:rsid w:val="00BA56EF"/>
    <w:rsid w:val="00BA5883"/>
    <w:rsid w:val="00BA5BC3"/>
    <w:rsid w:val="00BA5D06"/>
    <w:rsid w:val="00BA5D55"/>
    <w:rsid w:val="00BA5F2C"/>
    <w:rsid w:val="00BA6042"/>
    <w:rsid w:val="00BA6056"/>
    <w:rsid w:val="00BA6189"/>
    <w:rsid w:val="00BA6204"/>
    <w:rsid w:val="00BA637F"/>
    <w:rsid w:val="00BA63D9"/>
    <w:rsid w:val="00BA67E4"/>
    <w:rsid w:val="00BA68B0"/>
    <w:rsid w:val="00BA6990"/>
    <w:rsid w:val="00BA6AAC"/>
    <w:rsid w:val="00BA6AFC"/>
    <w:rsid w:val="00BA6B66"/>
    <w:rsid w:val="00BA6C4F"/>
    <w:rsid w:val="00BA6DB7"/>
    <w:rsid w:val="00BA6FDE"/>
    <w:rsid w:val="00BA7019"/>
    <w:rsid w:val="00BA72C5"/>
    <w:rsid w:val="00BA73BC"/>
    <w:rsid w:val="00BA73E5"/>
    <w:rsid w:val="00BA7500"/>
    <w:rsid w:val="00BA75E4"/>
    <w:rsid w:val="00BA7602"/>
    <w:rsid w:val="00BA7811"/>
    <w:rsid w:val="00BA78E3"/>
    <w:rsid w:val="00BA791A"/>
    <w:rsid w:val="00BA796C"/>
    <w:rsid w:val="00BA797F"/>
    <w:rsid w:val="00BA7C52"/>
    <w:rsid w:val="00BA7C88"/>
    <w:rsid w:val="00BA7DC2"/>
    <w:rsid w:val="00BA7EF1"/>
    <w:rsid w:val="00BA7F0D"/>
    <w:rsid w:val="00BB01D6"/>
    <w:rsid w:val="00BB03CD"/>
    <w:rsid w:val="00BB04C3"/>
    <w:rsid w:val="00BB06B4"/>
    <w:rsid w:val="00BB095B"/>
    <w:rsid w:val="00BB0AC3"/>
    <w:rsid w:val="00BB0BA0"/>
    <w:rsid w:val="00BB0CA2"/>
    <w:rsid w:val="00BB0E8A"/>
    <w:rsid w:val="00BB0ECB"/>
    <w:rsid w:val="00BB0F03"/>
    <w:rsid w:val="00BB0FEC"/>
    <w:rsid w:val="00BB11D4"/>
    <w:rsid w:val="00BB1408"/>
    <w:rsid w:val="00BB1653"/>
    <w:rsid w:val="00BB1769"/>
    <w:rsid w:val="00BB1858"/>
    <w:rsid w:val="00BB19A9"/>
    <w:rsid w:val="00BB19BF"/>
    <w:rsid w:val="00BB1CC2"/>
    <w:rsid w:val="00BB1CC4"/>
    <w:rsid w:val="00BB1CF3"/>
    <w:rsid w:val="00BB2290"/>
    <w:rsid w:val="00BB231A"/>
    <w:rsid w:val="00BB2355"/>
    <w:rsid w:val="00BB2554"/>
    <w:rsid w:val="00BB2587"/>
    <w:rsid w:val="00BB25B8"/>
    <w:rsid w:val="00BB281B"/>
    <w:rsid w:val="00BB2854"/>
    <w:rsid w:val="00BB291B"/>
    <w:rsid w:val="00BB2BA3"/>
    <w:rsid w:val="00BB2E07"/>
    <w:rsid w:val="00BB2ED9"/>
    <w:rsid w:val="00BB2F78"/>
    <w:rsid w:val="00BB30CF"/>
    <w:rsid w:val="00BB30D9"/>
    <w:rsid w:val="00BB3159"/>
    <w:rsid w:val="00BB3252"/>
    <w:rsid w:val="00BB32BD"/>
    <w:rsid w:val="00BB32D9"/>
    <w:rsid w:val="00BB32DF"/>
    <w:rsid w:val="00BB33BD"/>
    <w:rsid w:val="00BB350F"/>
    <w:rsid w:val="00BB36AA"/>
    <w:rsid w:val="00BB3928"/>
    <w:rsid w:val="00BB39B2"/>
    <w:rsid w:val="00BB3BB9"/>
    <w:rsid w:val="00BB3C14"/>
    <w:rsid w:val="00BB3CF3"/>
    <w:rsid w:val="00BB3D6E"/>
    <w:rsid w:val="00BB3D9C"/>
    <w:rsid w:val="00BB3E38"/>
    <w:rsid w:val="00BB45BB"/>
    <w:rsid w:val="00BB4602"/>
    <w:rsid w:val="00BB4622"/>
    <w:rsid w:val="00BB4678"/>
    <w:rsid w:val="00BB4867"/>
    <w:rsid w:val="00BB4877"/>
    <w:rsid w:val="00BB49BF"/>
    <w:rsid w:val="00BB4C54"/>
    <w:rsid w:val="00BB4CEF"/>
    <w:rsid w:val="00BB4E36"/>
    <w:rsid w:val="00BB5302"/>
    <w:rsid w:val="00BB532E"/>
    <w:rsid w:val="00BB5621"/>
    <w:rsid w:val="00BB56FD"/>
    <w:rsid w:val="00BB5777"/>
    <w:rsid w:val="00BB577A"/>
    <w:rsid w:val="00BB5919"/>
    <w:rsid w:val="00BB5B79"/>
    <w:rsid w:val="00BB5C7E"/>
    <w:rsid w:val="00BB5D30"/>
    <w:rsid w:val="00BB5E91"/>
    <w:rsid w:val="00BB5EC3"/>
    <w:rsid w:val="00BB5FFC"/>
    <w:rsid w:val="00BB613C"/>
    <w:rsid w:val="00BB616F"/>
    <w:rsid w:val="00BB6217"/>
    <w:rsid w:val="00BB6374"/>
    <w:rsid w:val="00BB6407"/>
    <w:rsid w:val="00BB67DA"/>
    <w:rsid w:val="00BB67FA"/>
    <w:rsid w:val="00BB6882"/>
    <w:rsid w:val="00BB689E"/>
    <w:rsid w:val="00BB6971"/>
    <w:rsid w:val="00BB69A1"/>
    <w:rsid w:val="00BB6A6A"/>
    <w:rsid w:val="00BB6BF5"/>
    <w:rsid w:val="00BB6E89"/>
    <w:rsid w:val="00BB6F9C"/>
    <w:rsid w:val="00BB6FC0"/>
    <w:rsid w:val="00BB73AF"/>
    <w:rsid w:val="00BB7599"/>
    <w:rsid w:val="00BB78EA"/>
    <w:rsid w:val="00BB7927"/>
    <w:rsid w:val="00BB792F"/>
    <w:rsid w:val="00BB7A2E"/>
    <w:rsid w:val="00BB7AD2"/>
    <w:rsid w:val="00BB7B25"/>
    <w:rsid w:val="00BB7EF6"/>
    <w:rsid w:val="00BB7F97"/>
    <w:rsid w:val="00BC016D"/>
    <w:rsid w:val="00BC02BA"/>
    <w:rsid w:val="00BC0323"/>
    <w:rsid w:val="00BC033B"/>
    <w:rsid w:val="00BC0454"/>
    <w:rsid w:val="00BC0484"/>
    <w:rsid w:val="00BC04ED"/>
    <w:rsid w:val="00BC0B94"/>
    <w:rsid w:val="00BC0C0C"/>
    <w:rsid w:val="00BC0C4F"/>
    <w:rsid w:val="00BC0C9C"/>
    <w:rsid w:val="00BC0CD4"/>
    <w:rsid w:val="00BC0D91"/>
    <w:rsid w:val="00BC0E13"/>
    <w:rsid w:val="00BC105D"/>
    <w:rsid w:val="00BC1191"/>
    <w:rsid w:val="00BC1254"/>
    <w:rsid w:val="00BC12A4"/>
    <w:rsid w:val="00BC1A08"/>
    <w:rsid w:val="00BC1A80"/>
    <w:rsid w:val="00BC1C3E"/>
    <w:rsid w:val="00BC1CBC"/>
    <w:rsid w:val="00BC1CC1"/>
    <w:rsid w:val="00BC1D00"/>
    <w:rsid w:val="00BC2093"/>
    <w:rsid w:val="00BC22C0"/>
    <w:rsid w:val="00BC247F"/>
    <w:rsid w:val="00BC25D7"/>
    <w:rsid w:val="00BC25F5"/>
    <w:rsid w:val="00BC2754"/>
    <w:rsid w:val="00BC2760"/>
    <w:rsid w:val="00BC27B0"/>
    <w:rsid w:val="00BC2C94"/>
    <w:rsid w:val="00BC2CC2"/>
    <w:rsid w:val="00BC2D7B"/>
    <w:rsid w:val="00BC2DFE"/>
    <w:rsid w:val="00BC2E3C"/>
    <w:rsid w:val="00BC2EF5"/>
    <w:rsid w:val="00BC30FE"/>
    <w:rsid w:val="00BC3593"/>
    <w:rsid w:val="00BC35D7"/>
    <w:rsid w:val="00BC35F2"/>
    <w:rsid w:val="00BC38EF"/>
    <w:rsid w:val="00BC3907"/>
    <w:rsid w:val="00BC39E7"/>
    <w:rsid w:val="00BC3A89"/>
    <w:rsid w:val="00BC3AC7"/>
    <w:rsid w:val="00BC3C0D"/>
    <w:rsid w:val="00BC3F0F"/>
    <w:rsid w:val="00BC42C6"/>
    <w:rsid w:val="00BC449C"/>
    <w:rsid w:val="00BC45C8"/>
    <w:rsid w:val="00BC46B2"/>
    <w:rsid w:val="00BC46B4"/>
    <w:rsid w:val="00BC473D"/>
    <w:rsid w:val="00BC4A69"/>
    <w:rsid w:val="00BC5029"/>
    <w:rsid w:val="00BC5073"/>
    <w:rsid w:val="00BC519D"/>
    <w:rsid w:val="00BC5335"/>
    <w:rsid w:val="00BC547A"/>
    <w:rsid w:val="00BC5938"/>
    <w:rsid w:val="00BC598E"/>
    <w:rsid w:val="00BC5A60"/>
    <w:rsid w:val="00BC6248"/>
    <w:rsid w:val="00BC62DB"/>
    <w:rsid w:val="00BC6304"/>
    <w:rsid w:val="00BC63AE"/>
    <w:rsid w:val="00BC64A7"/>
    <w:rsid w:val="00BC64AB"/>
    <w:rsid w:val="00BC65AD"/>
    <w:rsid w:val="00BC674E"/>
    <w:rsid w:val="00BC67FD"/>
    <w:rsid w:val="00BC684E"/>
    <w:rsid w:val="00BC6854"/>
    <w:rsid w:val="00BC685D"/>
    <w:rsid w:val="00BC68C0"/>
    <w:rsid w:val="00BC6B09"/>
    <w:rsid w:val="00BC6B59"/>
    <w:rsid w:val="00BC6B91"/>
    <w:rsid w:val="00BC6FAD"/>
    <w:rsid w:val="00BC7053"/>
    <w:rsid w:val="00BC70F6"/>
    <w:rsid w:val="00BC716B"/>
    <w:rsid w:val="00BC7206"/>
    <w:rsid w:val="00BC727F"/>
    <w:rsid w:val="00BC72EE"/>
    <w:rsid w:val="00BC743F"/>
    <w:rsid w:val="00BC752A"/>
    <w:rsid w:val="00BC797E"/>
    <w:rsid w:val="00BC7A3D"/>
    <w:rsid w:val="00BC7DBF"/>
    <w:rsid w:val="00BC7DEE"/>
    <w:rsid w:val="00BC7EF7"/>
    <w:rsid w:val="00BD039A"/>
    <w:rsid w:val="00BD040A"/>
    <w:rsid w:val="00BD069F"/>
    <w:rsid w:val="00BD0859"/>
    <w:rsid w:val="00BD0A3E"/>
    <w:rsid w:val="00BD0A7C"/>
    <w:rsid w:val="00BD0BC2"/>
    <w:rsid w:val="00BD0D28"/>
    <w:rsid w:val="00BD0DF9"/>
    <w:rsid w:val="00BD0EAB"/>
    <w:rsid w:val="00BD1068"/>
    <w:rsid w:val="00BD12CA"/>
    <w:rsid w:val="00BD1414"/>
    <w:rsid w:val="00BD150D"/>
    <w:rsid w:val="00BD15D3"/>
    <w:rsid w:val="00BD15E1"/>
    <w:rsid w:val="00BD1626"/>
    <w:rsid w:val="00BD1867"/>
    <w:rsid w:val="00BD1885"/>
    <w:rsid w:val="00BD18AF"/>
    <w:rsid w:val="00BD1911"/>
    <w:rsid w:val="00BD1C9F"/>
    <w:rsid w:val="00BD1CCD"/>
    <w:rsid w:val="00BD1D03"/>
    <w:rsid w:val="00BD1DD6"/>
    <w:rsid w:val="00BD2036"/>
    <w:rsid w:val="00BD20C6"/>
    <w:rsid w:val="00BD212F"/>
    <w:rsid w:val="00BD21EA"/>
    <w:rsid w:val="00BD222C"/>
    <w:rsid w:val="00BD244C"/>
    <w:rsid w:val="00BD24DE"/>
    <w:rsid w:val="00BD24FB"/>
    <w:rsid w:val="00BD2507"/>
    <w:rsid w:val="00BD2568"/>
    <w:rsid w:val="00BD257F"/>
    <w:rsid w:val="00BD26F8"/>
    <w:rsid w:val="00BD27F5"/>
    <w:rsid w:val="00BD2A44"/>
    <w:rsid w:val="00BD2C0B"/>
    <w:rsid w:val="00BD2CDA"/>
    <w:rsid w:val="00BD2F2A"/>
    <w:rsid w:val="00BD2F81"/>
    <w:rsid w:val="00BD3038"/>
    <w:rsid w:val="00BD312E"/>
    <w:rsid w:val="00BD31CB"/>
    <w:rsid w:val="00BD3211"/>
    <w:rsid w:val="00BD32CE"/>
    <w:rsid w:val="00BD355A"/>
    <w:rsid w:val="00BD35B5"/>
    <w:rsid w:val="00BD3732"/>
    <w:rsid w:val="00BD3787"/>
    <w:rsid w:val="00BD38DA"/>
    <w:rsid w:val="00BD3A7F"/>
    <w:rsid w:val="00BD3AB7"/>
    <w:rsid w:val="00BD3BA9"/>
    <w:rsid w:val="00BD3C39"/>
    <w:rsid w:val="00BD3C71"/>
    <w:rsid w:val="00BD4010"/>
    <w:rsid w:val="00BD4286"/>
    <w:rsid w:val="00BD43A1"/>
    <w:rsid w:val="00BD4491"/>
    <w:rsid w:val="00BD4556"/>
    <w:rsid w:val="00BD472D"/>
    <w:rsid w:val="00BD4773"/>
    <w:rsid w:val="00BD47E2"/>
    <w:rsid w:val="00BD47FA"/>
    <w:rsid w:val="00BD492B"/>
    <w:rsid w:val="00BD4964"/>
    <w:rsid w:val="00BD4A2F"/>
    <w:rsid w:val="00BD4A85"/>
    <w:rsid w:val="00BD4B60"/>
    <w:rsid w:val="00BD4CC4"/>
    <w:rsid w:val="00BD4F06"/>
    <w:rsid w:val="00BD53BB"/>
    <w:rsid w:val="00BD53E5"/>
    <w:rsid w:val="00BD57A4"/>
    <w:rsid w:val="00BD58CC"/>
    <w:rsid w:val="00BD5BE5"/>
    <w:rsid w:val="00BD5C16"/>
    <w:rsid w:val="00BD5C9F"/>
    <w:rsid w:val="00BD5CB5"/>
    <w:rsid w:val="00BD5CF5"/>
    <w:rsid w:val="00BD5D6D"/>
    <w:rsid w:val="00BD5E34"/>
    <w:rsid w:val="00BD624B"/>
    <w:rsid w:val="00BD62BC"/>
    <w:rsid w:val="00BD6554"/>
    <w:rsid w:val="00BD65A0"/>
    <w:rsid w:val="00BD6736"/>
    <w:rsid w:val="00BD694E"/>
    <w:rsid w:val="00BD6A47"/>
    <w:rsid w:val="00BD6A4B"/>
    <w:rsid w:val="00BD6B98"/>
    <w:rsid w:val="00BD6C74"/>
    <w:rsid w:val="00BD6CC6"/>
    <w:rsid w:val="00BD6CE9"/>
    <w:rsid w:val="00BD6DE3"/>
    <w:rsid w:val="00BD6FA0"/>
    <w:rsid w:val="00BD761A"/>
    <w:rsid w:val="00BD776C"/>
    <w:rsid w:val="00BD7B87"/>
    <w:rsid w:val="00BD7C15"/>
    <w:rsid w:val="00BD7E40"/>
    <w:rsid w:val="00BD7EE4"/>
    <w:rsid w:val="00BD7FCA"/>
    <w:rsid w:val="00BE00ED"/>
    <w:rsid w:val="00BE0405"/>
    <w:rsid w:val="00BE0491"/>
    <w:rsid w:val="00BE0520"/>
    <w:rsid w:val="00BE062F"/>
    <w:rsid w:val="00BE07DD"/>
    <w:rsid w:val="00BE0842"/>
    <w:rsid w:val="00BE0CF6"/>
    <w:rsid w:val="00BE0D7A"/>
    <w:rsid w:val="00BE0E7F"/>
    <w:rsid w:val="00BE111F"/>
    <w:rsid w:val="00BE11F3"/>
    <w:rsid w:val="00BE1323"/>
    <w:rsid w:val="00BE132A"/>
    <w:rsid w:val="00BE15AB"/>
    <w:rsid w:val="00BE15DE"/>
    <w:rsid w:val="00BE18CF"/>
    <w:rsid w:val="00BE18F0"/>
    <w:rsid w:val="00BE1B02"/>
    <w:rsid w:val="00BE1BCA"/>
    <w:rsid w:val="00BE1C50"/>
    <w:rsid w:val="00BE1F93"/>
    <w:rsid w:val="00BE2223"/>
    <w:rsid w:val="00BE2332"/>
    <w:rsid w:val="00BE237A"/>
    <w:rsid w:val="00BE2536"/>
    <w:rsid w:val="00BE262B"/>
    <w:rsid w:val="00BE2826"/>
    <w:rsid w:val="00BE289D"/>
    <w:rsid w:val="00BE28CB"/>
    <w:rsid w:val="00BE294E"/>
    <w:rsid w:val="00BE2950"/>
    <w:rsid w:val="00BE2C7E"/>
    <w:rsid w:val="00BE2CB7"/>
    <w:rsid w:val="00BE2F61"/>
    <w:rsid w:val="00BE304E"/>
    <w:rsid w:val="00BE30FB"/>
    <w:rsid w:val="00BE31BC"/>
    <w:rsid w:val="00BE3463"/>
    <w:rsid w:val="00BE353D"/>
    <w:rsid w:val="00BE3569"/>
    <w:rsid w:val="00BE357E"/>
    <w:rsid w:val="00BE3695"/>
    <w:rsid w:val="00BE39C7"/>
    <w:rsid w:val="00BE3AC8"/>
    <w:rsid w:val="00BE3BC5"/>
    <w:rsid w:val="00BE4086"/>
    <w:rsid w:val="00BE439B"/>
    <w:rsid w:val="00BE443E"/>
    <w:rsid w:val="00BE45F5"/>
    <w:rsid w:val="00BE4664"/>
    <w:rsid w:val="00BE47F6"/>
    <w:rsid w:val="00BE4B55"/>
    <w:rsid w:val="00BE4C5A"/>
    <w:rsid w:val="00BE4CC4"/>
    <w:rsid w:val="00BE51D3"/>
    <w:rsid w:val="00BE529C"/>
    <w:rsid w:val="00BE52A1"/>
    <w:rsid w:val="00BE52AF"/>
    <w:rsid w:val="00BE5496"/>
    <w:rsid w:val="00BE556C"/>
    <w:rsid w:val="00BE582F"/>
    <w:rsid w:val="00BE59EF"/>
    <w:rsid w:val="00BE5AA9"/>
    <w:rsid w:val="00BE5B9D"/>
    <w:rsid w:val="00BE5C70"/>
    <w:rsid w:val="00BE607B"/>
    <w:rsid w:val="00BE60C3"/>
    <w:rsid w:val="00BE6331"/>
    <w:rsid w:val="00BE6490"/>
    <w:rsid w:val="00BE6624"/>
    <w:rsid w:val="00BE68AF"/>
    <w:rsid w:val="00BE6C78"/>
    <w:rsid w:val="00BE6EA3"/>
    <w:rsid w:val="00BE6F8F"/>
    <w:rsid w:val="00BE7187"/>
    <w:rsid w:val="00BE72D0"/>
    <w:rsid w:val="00BE7432"/>
    <w:rsid w:val="00BE74BB"/>
    <w:rsid w:val="00BE7AC5"/>
    <w:rsid w:val="00BE7B03"/>
    <w:rsid w:val="00BE7B36"/>
    <w:rsid w:val="00BE7C32"/>
    <w:rsid w:val="00BE7C5F"/>
    <w:rsid w:val="00BE7D6E"/>
    <w:rsid w:val="00BE7FE3"/>
    <w:rsid w:val="00BF0069"/>
    <w:rsid w:val="00BF0124"/>
    <w:rsid w:val="00BF02AE"/>
    <w:rsid w:val="00BF0643"/>
    <w:rsid w:val="00BF069E"/>
    <w:rsid w:val="00BF07F3"/>
    <w:rsid w:val="00BF0875"/>
    <w:rsid w:val="00BF0900"/>
    <w:rsid w:val="00BF09C7"/>
    <w:rsid w:val="00BF0A0C"/>
    <w:rsid w:val="00BF0BA8"/>
    <w:rsid w:val="00BF0C42"/>
    <w:rsid w:val="00BF0D8C"/>
    <w:rsid w:val="00BF1089"/>
    <w:rsid w:val="00BF1313"/>
    <w:rsid w:val="00BF1463"/>
    <w:rsid w:val="00BF150D"/>
    <w:rsid w:val="00BF1610"/>
    <w:rsid w:val="00BF1647"/>
    <w:rsid w:val="00BF18E5"/>
    <w:rsid w:val="00BF1918"/>
    <w:rsid w:val="00BF1A24"/>
    <w:rsid w:val="00BF1A68"/>
    <w:rsid w:val="00BF1C69"/>
    <w:rsid w:val="00BF1DB9"/>
    <w:rsid w:val="00BF1DC8"/>
    <w:rsid w:val="00BF2084"/>
    <w:rsid w:val="00BF208F"/>
    <w:rsid w:val="00BF2213"/>
    <w:rsid w:val="00BF22C0"/>
    <w:rsid w:val="00BF2428"/>
    <w:rsid w:val="00BF2526"/>
    <w:rsid w:val="00BF25BE"/>
    <w:rsid w:val="00BF25CD"/>
    <w:rsid w:val="00BF25F5"/>
    <w:rsid w:val="00BF28CF"/>
    <w:rsid w:val="00BF293F"/>
    <w:rsid w:val="00BF2A70"/>
    <w:rsid w:val="00BF2A88"/>
    <w:rsid w:val="00BF2D94"/>
    <w:rsid w:val="00BF2FEF"/>
    <w:rsid w:val="00BF332A"/>
    <w:rsid w:val="00BF34E3"/>
    <w:rsid w:val="00BF3651"/>
    <w:rsid w:val="00BF3677"/>
    <w:rsid w:val="00BF36B6"/>
    <w:rsid w:val="00BF36D7"/>
    <w:rsid w:val="00BF38AE"/>
    <w:rsid w:val="00BF391E"/>
    <w:rsid w:val="00BF39C8"/>
    <w:rsid w:val="00BF3B12"/>
    <w:rsid w:val="00BF3B66"/>
    <w:rsid w:val="00BF3C26"/>
    <w:rsid w:val="00BF3CCA"/>
    <w:rsid w:val="00BF3EAA"/>
    <w:rsid w:val="00BF3EC7"/>
    <w:rsid w:val="00BF3F96"/>
    <w:rsid w:val="00BF405B"/>
    <w:rsid w:val="00BF42C0"/>
    <w:rsid w:val="00BF4589"/>
    <w:rsid w:val="00BF46B6"/>
    <w:rsid w:val="00BF47A5"/>
    <w:rsid w:val="00BF4965"/>
    <w:rsid w:val="00BF4DBB"/>
    <w:rsid w:val="00BF4EBA"/>
    <w:rsid w:val="00BF4FA5"/>
    <w:rsid w:val="00BF50EE"/>
    <w:rsid w:val="00BF5153"/>
    <w:rsid w:val="00BF5306"/>
    <w:rsid w:val="00BF5395"/>
    <w:rsid w:val="00BF53BC"/>
    <w:rsid w:val="00BF5478"/>
    <w:rsid w:val="00BF5691"/>
    <w:rsid w:val="00BF56A1"/>
    <w:rsid w:val="00BF570A"/>
    <w:rsid w:val="00BF59DB"/>
    <w:rsid w:val="00BF5C0B"/>
    <w:rsid w:val="00BF5DAE"/>
    <w:rsid w:val="00BF5DC4"/>
    <w:rsid w:val="00BF5E1E"/>
    <w:rsid w:val="00BF5EF8"/>
    <w:rsid w:val="00BF609B"/>
    <w:rsid w:val="00BF60B1"/>
    <w:rsid w:val="00BF6225"/>
    <w:rsid w:val="00BF65DD"/>
    <w:rsid w:val="00BF6832"/>
    <w:rsid w:val="00BF6991"/>
    <w:rsid w:val="00BF69F8"/>
    <w:rsid w:val="00BF6D71"/>
    <w:rsid w:val="00BF6EE5"/>
    <w:rsid w:val="00BF6FCC"/>
    <w:rsid w:val="00BF708F"/>
    <w:rsid w:val="00BF7295"/>
    <w:rsid w:val="00BF733D"/>
    <w:rsid w:val="00BF73FB"/>
    <w:rsid w:val="00BF746D"/>
    <w:rsid w:val="00BF7501"/>
    <w:rsid w:val="00BF76FA"/>
    <w:rsid w:val="00BF7714"/>
    <w:rsid w:val="00BF78F4"/>
    <w:rsid w:val="00BF7970"/>
    <w:rsid w:val="00BF7A3D"/>
    <w:rsid w:val="00BF7A51"/>
    <w:rsid w:val="00BF7ACF"/>
    <w:rsid w:val="00BF7AE1"/>
    <w:rsid w:val="00BF7E9D"/>
    <w:rsid w:val="00C00057"/>
    <w:rsid w:val="00C0018F"/>
    <w:rsid w:val="00C00317"/>
    <w:rsid w:val="00C006A6"/>
    <w:rsid w:val="00C006C1"/>
    <w:rsid w:val="00C0083E"/>
    <w:rsid w:val="00C00B73"/>
    <w:rsid w:val="00C00C6E"/>
    <w:rsid w:val="00C00CB9"/>
    <w:rsid w:val="00C00D14"/>
    <w:rsid w:val="00C00E9A"/>
    <w:rsid w:val="00C01238"/>
    <w:rsid w:val="00C012C7"/>
    <w:rsid w:val="00C01462"/>
    <w:rsid w:val="00C017DE"/>
    <w:rsid w:val="00C01B37"/>
    <w:rsid w:val="00C01D8B"/>
    <w:rsid w:val="00C0218F"/>
    <w:rsid w:val="00C0223A"/>
    <w:rsid w:val="00C022FE"/>
    <w:rsid w:val="00C02404"/>
    <w:rsid w:val="00C02647"/>
    <w:rsid w:val="00C02713"/>
    <w:rsid w:val="00C027B3"/>
    <w:rsid w:val="00C027CE"/>
    <w:rsid w:val="00C02966"/>
    <w:rsid w:val="00C02AA7"/>
    <w:rsid w:val="00C02BE8"/>
    <w:rsid w:val="00C02CD5"/>
    <w:rsid w:val="00C02CF8"/>
    <w:rsid w:val="00C02D26"/>
    <w:rsid w:val="00C02D94"/>
    <w:rsid w:val="00C02EA5"/>
    <w:rsid w:val="00C02F1E"/>
    <w:rsid w:val="00C03158"/>
    <w:rsid w:val="00C03272"/>
    <w:rsid w:val="00C0348F"/>
    <w:rsid w:val="00C034A0"/>
    <w:rsid w:val="00C03590"/>
    <w:rsid w:val="00C035CA"/>
    <w:rsid w:val="00C03699"/>
    <w:rsid w:val="00C03AEA"/>
    <w:rsid w:val="00C03BE7"/>
    <w:rsid w:val="00C03C44"/>
    <w:rsid w:val="00C03CD0"/>
    <w:rsid w:val="00C03E36"/>
    <w:rsid w:val="00C040B4"/>
    <w:rsid w:val="00C044D1"/>
    <w:rsid w:val="00C0451C"/>
    <w:rsid w:val="00C04620"/>
    <w:rsid w:val="00C0472B"/>
    <w:rsid w:val="00C04858"/>
    <w:rsid w:val="00C04AA0"/>
    <w:rsid w:val="00C04B1C"/>
    <w:rsid w:val="00C04CA7"/>
    <w:rsid w:val="00C04DE1"/>
    <w:rsid w:val="00C04E19"/>
    <w:rsid w:val="00C04F35"/>
    <w:rsid w:val="00C05123"/>
    <w:rsid w:val="00C05950"/>
    <w:rsid w:val="00C05CEE"/>
    <w:rsid w:val="00C05D66"/>
    <w:rsid w:val="00C05DA2"/>
    <w:rsid w:val="00C05E6A"/>
    <w:rsid w:val="00C05F97"/>
    <w:rsid w:val="00C06295"/>
    <w:rsid w:val="00C06674"/>
    <w:rsid w:val="00C067F7"/>
    <w:rsid w:val="00C06A6A"/>
    <w:rsid w:val="00C06AD8"/>
    <w:rsid w:val="00C06ADE"/>
    <w:rsid w:val="00C06B15"/>
    <w:rsid w:val="00C06D57"/>
    <w:rsid w:val="00C06D65"/>
    <w:rsid w:val="00C06F8C"/>
    <w:rsid w:val="00C07319"/>
    <w:rsid w:val="00C076D2"/>
    <w:rsid w:val="00C077F3"/>
    <w:rsid w:val="00C0789C"/>
    <w:rsid w:val="00C07965"/>
    <w:rsid w:val="00C07A02"/>
    <w:rsid w:val="00C1004C"/>
    <w:rsid w:val="00C10200"/>
    <w:rsid w:val="00C104C0"/>
    <w:rsid w:val="00C1050A"/>
    <w:rsid w:val="00C1059A"/>
    <w:rsid w:val="00C105C7"/>
    <w:rsid w:val="00C106A3"/>
    <w:rsid w:val="00C106F7"/>
    <w:rsid w:val="00C10AF0"/>
    <w:rsid w:val="00C10BCD"/>
    <w:rsid w:val="00C10D67"/>
    <w:rsid w:val="00C11387"/>
    <w:rsid w:val="00C11641"/>
    <w:rsid w:val="00C116D4"/>
    <w:rsid w:val="00C11776"/>
    <w:rsid w:val="00C11869"/>
    <w:rsid w:val="00C11874"/>
    <w:rsid w:val="00C11908"/>
    <w:rsid w:val="00C11971"/>
    <w:rsid w:val="00C11A45"/>
    <w:rsid w:val="00C11E1D"/>
    <w:rsid w:val="00C11F5A"/>
    <w:rsid w:val="00C11FAC"/>
    <w:rsid w:val="00C12008"/>
    <w:rsid w:val="00C1204E"/>
    <w:rsid w:val="00C1220E"/>
    <w:rsid w:val="00C1250B"/>
    <w:rsid w:val="00C1251D"/>
    <w:rsid w:val="00C12694"/>
    <w:rsid w:val="00C12999"/>
    <w:rsid w:val="00C12A5A"/>
    <w:rsid w:val="00C12BFF"/>
    <w:rsid w:val="00C12CD6"/>
    <w:rsid w:val="00C12EFB"/>
    <w:rsid w:val="00C12F73"/>
    <w:rsid w:val="00C13122"/>
    <w:rsid w:val="00C13128"/>
    <w:rsid w:val="00C1347C"/>
    <w:rsid w:val="00C1382B"/>
    <w:rsid w:val="00C139E1"/>
    <w:rsid w:val="00C13AFA"/>
    <w:rsid w:val="00C13FD4"/>
    <w:rsid w:val="00C13FDF"/>
    <w:rsid w:val="00C14049"/>
    <w:rsid w:val="00C1410B"/>
    <w:rsid w:val="00C1416B"/>
    <w:rsid w:val="00C14582"/>
    <w:rsid w:val="00C14843"/>
    <w:rsid w:val="00C148FD"/>
    <w:rsid w:val="00C148FE"/>
    <w:rsid w:val="00C14A8A"/>
    <w:rsid w:val="00C14DDB"/>
    <w:rsid w:val="00C14E3F"/>
    <w:rsid w:val="00C14F17"/>
    <w:rsid w:val="00C14F3A"/>
    <w:rsid w:val="00C15130"/>
    <w:rsid w:val="00C153B5"/>
    <w:rsid w:val="00C1564C"/>
    <w:rsid w:val="00C156C1"/>
    <w:rsid w:val="00C1594F"/>
    <w:rsid w:val="00C159FF"/>
    <w:rsid w:val="00C15AE0"/>
    <w:rsid w:val="00C15E77"/>
    <w:rsid w:val="00C15F1F"/>
    <w:rsid w:val="00C1613A"/>
    <w:rsid w:val="00C16202"/>
    <w:rsid w:val="00C1638B"/>
    <w:rsid w:val="00C163B5"/>
    <w:rsid w:val="00C1644C"/>
    <w:rsid w:val="00C165B9"/>
    <w:rsid w:val="00C16708"/>
    <w:rsid w:val="00C16717"/>
    <w:rsid w:val="00C167DE"/>
    <w:rsid w:val="00C167FA"/>
    <w:rsid w:val="00C1699C"/>
    <w:rsid w:val="00C16A49"/>
    <w:rsid w:val="00C16BDF"/>
    <w:rsid w:val="00C16CC6"/>
    <w:rsid w:val="00C16E50"/>
    <w:rsid w:val="00C16EE1"/>
    <w:rsid w:val="00C16F03"/>
    <w:rsid w:val="00C16FB9"/>
    <w:rsid w:val="00C1707F"/>
    <w:rsid w:val="00C170A6"/>
    <w:rsid w:val="00C171BB"/>
    <w:rsid w:val="00C17281"/>
    <w:rsid w:val="00C172C1"/>
    <w:rsid w:val="00C172E2"/>
    <w:rsid w:val="00C17A3B"/>
    <w:rsid w:val="00C17E2F"/>
    <w:rsid w:val="00C201C7"/>
    <w:rsid w:val="00C201ED"/>
    <w:rsid w:val="00C20339"/>
    <w:rsid w:val="00C20446"/>
    <w:rsid w:val="00C20604"/>
    <w:rsid w:val="00C20953"/>
    <w:rsid w:val="00C2097C"/>
    <w:rsid w:val="00C209CA"/>
    <w:rsid w:val="00C20C81"/>
    <w:rsid w:val="00C20DCC"/>
    <w:rsid w:val="00C20FB8"/>
    <w:rsid w:val="00C20FC3"/>
    <w:rsid w:val="00C21267"/>
    <w:rsid w:val="00C21273"/>
    <w:rsid w:val="00C2127B"/>
    <w:rsid w:val="00C212E1"/>
    <w:rsid w:val="00C2134B"/>
    <w:rsid w:val="00C2143A"/>
    <w:rsid w:val="00C214B5"/>
    <w:rsid w:val="00C21524"/>
    <w:rsid w:val="00C2157C"/>
    <w:rsid w:val="00C21844"/>
    <w:rsid w:val="00C2190F"/>
    <w:rsid w:val="00C219E5"/>
    <w:rsid w:val="00C21A23"/>
    <w:rsid w:val="00C21B28"/>
    <w:rsid w:val="00C21D75"/>
    <w:rsid w:val="00C21FD5"/>
    <w:rsid w:val="00C21FF7"/>
    <w:rsid w:val="00C224B6"/>
    <w:rsid w:val="00C22690"/>
    <w:rsid w:val="00C22A4B"/>
    <w:rsid w:val="00C22B38"/>
    <w:rsid w:val="00C22BA3"/>
    <w:rsid w:val="00C22C49"/>
    <w:rsid w:val="00C22C7C"/>
    <w:rsid w:val="00C22E1F"/>
    <w:rsid w:val="00C22F7C"/>
    <w:rsid w:val="00C23027"/>
    <w:rsid w:val="00C2303C"/>
    <w:rsid w:val="00C230C7"/>
    <w:rsid w:val="00C230F4"/>
    <w:rsid w:val="00C23340"/>
    <w:rsid w:val="00C23363"/>
    <w:rsid w:val="00C234EB"/>
    <w:rsid w:val="00C234EF"/>
    <w:rsid w:val="00C2367D"/>
    <w:rsid w:val="00C236E1"/>
    <w:rsid w:val="00C237E9"/>
    <w:rsid w:val="00C239B3"/>
    <w:rsid w:val="00C23B28"/>
    <w:rsid w:val="00C23CCA"/>
    <w:rsid w:val="00C23E06"/>
    <w:rsid w:val="00C23E53"/>
    <w:rsid w:val="00C24044"/>
    <w:rsid w:val="00C241D9"/>
    <w:rsid w:val="00C242CA"/>
    <w:rsid w:val="00C2449E"/>
    <w:rsid w:val="00C24648"/>
    <w:rsid w:val="00C24738"/>
    <w:rsid w:val="00C2474A"/>
    <w:rsid w:val="00C2483B"/>
    <w:rsid w:val="00C24B86"/>
    <w:rsid w:val="00C24CAE"/>
    <w:rsid w:val="00C24CDC"/>
    <w:rsid w:val="00C24D6F"/>
    <w:rsid w:val="00C24D75"/>
    <w:rsid w:val="00C24DD1"/>
    <w:rsid w:val="00C24FDA"/>
    <w:rsid w:val="00C25113"/>
    <w:rsid w:val="00C25192"/>
    <w:rsid w:val="00C25327"/>
    <w:rsid w:val="00C25329"/>
    <w:rsid w:val="00C2566F"/>
    <w:rsid w:val="00C2583A"/>
    <w:rsid w:val="00C258C8"/>
    <w:rsid w:val="00C25AFB"/>
    <w:rsid w:val="00C25B0F"/>
    <w:rsid w:val="00C25CCE"/>
    <w:rsid w:val="00C25D89"/>
    <w:rsid w:val="00C25E98"/>
    <w:rsid w:val="00C264B0"/>
    <w:rsid w:val="00C26662"/>
    <w:rsid w:val="00C26865"/>
    <w:rsid w:val="00C268AD"/>
    <w:rsid w:val="00C26981"/>
    <w:rsid w:val="00C269A5"/>
    <w:rsid w:val="00C26C28"/>
    <w:rsid w:val="00C26CAB"/>
    <w:rsid w:val="00C27279"/>
    <w:rsid w:val="00C27289"/>
    <w:rsid w:val="00C27347"/>
    <w:rsid w:val="00C274B2"/>
    <w:rsid w:val="00C2759A"/>
    <w:rsid w:val="00C276F1"/>
    <w:rsid w:val="00C277C0"/>
    <w:rsid w:val="00C27866"/>
    <w:rsid w:val="00C2799A"/>
    <w:rsid w:val="00C27ADF"/>
    <w:rsid w:val="00C27B1B"/>
    <w:rsid w:val="00C27C0E"/>
    <w:rsid w:val="00C27C26"/>
    <w:rsid w:val="00C27DF8"/>
    <w:rsid w:val="00C30029"/>
    <w:rsid w:val="00C3015A"/>
    <w:rsid w:val="00C30207"/>
    <w:rsid w:val="00C30327"/>
    <w:rsid w:val="00C3045C"/>
    <w:rsid w:val="00C3089A"/>
    <w:rsid w:val="00C3094F"/>
    <w:rsid w:val="00C30A04"/>
    <w:rsid w:val="00C30AFA"/>
    <w:rsid w:val="00C30E3D"/>
    <w:rsid w:val="00C31031"/>
    <w:rsid w:val="00C310DE"/>
    <w:rsid w:val="00C3113F"/>
    <w:rsid w:val="00C313CB"/>
    <w:rsid w:val="00C31435"/>
    <w:rsid w:val="00C316FA"/>
    <w:rsid w:val="00C31728"/>
    <w:rsid w:val="00C318F9"/>
    <w:rsid w:val="00C3199C"/>
    <w:rsid w:val="00C319DA"/>
    <w:rsid w:val="00C31B19"/>
    <w:rsid w:val="00C31C35"/>
    <w:rsid w:val="00C31D99"/>
    <w:rsid w:val="00C32025"/>
    <w:rsid w:val="00C320CF"/>
    <w:rsid w:val="00C3256B"/>
    <w:rsid w:val="00C325E2"/>
    <w:rsid w:val="00C3264B"/>
    <w:rsid w:val="00C32686"/>
    <w:rsid w:val="00C32783"/>
    <w:rsid w:val="00C327B6"/>
    <w:rsid w:val="00C328C0"/>
    <w:rsid w:val="00C32AAC"/>
    <w:rsid w:val="00C32B93"/>
    <w:rsid w:val="00C32F85"/>
    <w:rsid w:val="00C3319B"/>
    <w:rsid w:val="00C332A7"/>
    <w:rsid w:val="00C33316"/>
    <w:rsid w:val="00C33496"/>
    <w:rsid w:val="00C335EC"/>
    <w:rsid w:val="00C338CE"/>
    <w:rsid w:val="00C33A81"/>
    <w:rsid w:val="00C33C9F"/>
    <w:rsid w:val="00C33DDA"/>
    <w:rsid w:val="00C33EF8"/>
    <w:rsid w:val="00C33F66"/>
    <w:rsid w:val="00C34129"/>
    <w:rsid w:val="00C3414F"/>
    <w:rsid w:val="00C341B0"/>
    <w:rsid w:val="00C3422A"/>
    <w:rsid w:val="00C3438E"/>
    <w:rsid w:val="00C3439C"/>
    <w:rsid w:val="00C343C0"/>
    <w:rsid w:val="00C34616"/>
    <w:rsid w:val="00C3461A"/>
    <w:rsid w:val="00C346B0"/>
    <w:rsid w:val="00C348C7"/>
    <w:rsid w:val="00C34901"/>
    <w:rsid w:val="00C34A03"/>
    <w:rsid w:val="00C34AD6"/>
    <w:rsid w:val="00C34B0D"/>
    <w:rsid w:val="00C34B32"/>
    <w:rsid w:val="00C34C80"/>
    <w:rsid w:val="00C34DB3"/>
    <w:rsid w:val="00C34DDC"/>
    <w:rsid w:val="00C35505"/>
    <w:rsid w:val="00C35514"/>
    <w:rsid w:val="00C3560D"/>
    <w:rsid w:val="00C35785"/>
    <w:rsid w:val="00C358F7"/>
    <w:rsid w:val="00C35CFA"/>
    <w:rsid w:val="00C35FC4"/>
    <w:rsid w:val="00C36251"/>
    <w:rsid w:val="00C36402"/>
    <w:rsid w:val="00C36436"/>
    <w:rsid w:val="00C36475"/>
    <w:rsid w:val="00C365C2"/>
    <w:rsid w:val="00C36606"/>
    <w:rsid w:val="00C36718"/>
    <w:rsid w:val="00C36821"/>
    <w:rsid w:val="00C368A9"/>
    <w:rsid w:val="00C3696E"/>
    <w:rsid w:val="00C36A8A"/>
    <w:rsid w:val="00C36DA5"/>
    <w:rsid w:val="00C36EA4"/>
    <w:rsid w:val="00C3703D"/>
    <w:rsid w:val="00C370E2"/>
    <w:rsid w:val="00C371A5"/>
    <w:rsid w:val="00C37210"/>
    <w:rsid w:val="00C37225"/>
    <w:rsid w:val="00C37362"/>
    <w:rsid w:val="00C37409"/>
    <w:rsid w:val="00C375FF"/>
    <w:rsid w:val="00C3763D"/>
    <w:rsid w:val="00C376B5"/>
    <w:rsid w:val="00C376FC"/>
    <w:rsid w:val="00C3781E"/>
    <w:rsid w:val="00C37899"/>
    <w:rsid w:val="00C37A3C"/>
    <w:rsid w:val="00C37C83"/>
    <w:rsid w:val="00C37D03"/>
    <w:rsid w:val="00C40266"/>
    <w:rsid w:val="00C4037D"/>
    <w:rsid w:val="00C40694"/>
    <w:rsid w:val="00C4097B"/>
    <w:rsid w:val="00C40A45"/>
    <w:rsid w:val="00C40AD9"/>
    <w:rsid w:val="00C40D34"/>
    <w:rsid w:val="00C40D3D"/>
    <w:rsid w:val="00C413A9"/>
    <w:rsid w:val="00C415A6"/>
    <w:rsid w:val="00C41655"/>
    <w:rsid w:val="00C41662"/>
    <w:rsid w:val="00C417EE"/>
    <w:rsid w:val="00C419AD"/>
    <w:rsid w:val="00C41AA3"/>
    <w:rsid w:val="00C41AF3"/>
    <w:rsid w:val="00C41C70"/>
    <w:rsid w:val="00C41C7C"/>
    <w:rsid w:val="00C41DF9"/>
    <w:rsid w:val="00C41F04"/>
    <w:rsid w:val="00C41F0E"/>
    <w:rsid w:val="00C4224E"/>
    <w:rsid w:val="00C422E8"/>
    <w:rsid w:val="00C4232A"/>
    <w:rsid w:val="00C423C6"/>
    <w:rsid w:val="00C425C2"/>
    <w:rsid w:val="00C42886"/>
    <w:rsid w:val="00C42891"/>
    <w:rsid w:val="00C428BD"/>
    <w:rsid w:val="00C428E1"/>
    <w:rsid w:val="00C42941"/>
    <w:rsid w:val="00C42A7A"/>
    <w:rsid w:val="00C42AA4"/>
    <w:rsid w:val="00C42D89"/>
    <w:rsid w:val="00C42EA7"/>
    <w:rsid w:val="00C42F16"/>
    <w:rsid w:val="00C42F52"/>
    <w:rsid w:val="00C43058"/>
    <w:rsid w:val="00C433FD"/>
    <w:rsid w:val="00C4346C"/>
    <w:rsid w:val="00C43741"/>
    <w:rsid w:val="00C43856"/>
    <w:rsid w:val="00C438D5"/>
    <w:rsid w:val="00C43C42"/>
    <w:rsid w:val="00C43DBD"/>
    <w:rsid w:val="00C43E7A"/>
    <w:rsid w:val="00C43FC5"/>
    <w:rsid w:val="00C442FB"/>
    <w:rsid w:val="00C44392"/>
    <w:rsid w:val="00C44521"/>
    <w:rsid w:val="00C44BEA"/>
    <w:rsid w:val="00C44E76"/>
    <w:rsid w:val="00C44EDF"/>
    <w:rsid w:val="00C44FA3"/>
    <w:rsid w:val="00C45038"/>
    <w:rsid w:val="00C45072"/>
    <w:rsid w:val="00C45095"/>
    <w:rsid w:val="00C45311"/>
    <w:rsid w:val="00C45399"/>
    <w:rsid w:val="00C454E9"/>
    <w:rsid w:val="00C455A4"/>
    <w:rsid w:val="00C45709"/>
    <w:rsid w:val="00C45A05"/>
    <w:rsid w:val="00C45CBC"/>
    <w:rsid w:val="00C45CDA"/>
    <w:rsid w:val="00C45D41"/>
    <w:rsid w:val="00C46000"/>
    <w:rsid w:val="00C460BF"/>
    <w:rsid w:val="00C462CA"/>
    <w:rsid w:val="00C4631E"/>
    <w:rsid w:val="00C4646A"/>
    <w:rsid w:val="00C466B9"/>
    <w:rsid w:val="00C46759"/>
    <w:rsid w:val="00C4677B"/>
    <w:rsid w:val="00C46B64"/>
    <w:rsid w:val="00C46BE4"/>
    <w:rsid w:val="00C47044"/>
    <w:rsid w:val="00C4704D"/>
    <w:rsid w:val="00C4717D"/>
    <w:rsid w:val="00C47203"/>
    <w:rsid w:val="00C472E8"/>
    <w:rsid w:val="00C47485"/>
    <w:rsid w:val="00C478E7"/>
    <w:rsid w:val="00C47A39"/>
    <w:rsid w:val="00C47CD1"/>
    <w:rsid w:val="00C47DD5"/>
    <w:rsid w:val="00C47F49"/>
    <w:rsid w:val="00C47F84"/>
    <w:rsid w:val="00C5012A"/>
    <w:rsid w:val="00C50154"/>
    <w:rsid w:val="00C501FC"/>
    <w:rsid w:val="00C50420"/>
    <w:rsid w:val="00C504D2"/>
    <w:rsid w:val="00C50506"/>
    <w:rsid w:val="00C507B2"/>
    <w:rsid w:val="00C50818"/>
    <w:rsid w:val="00C50837"/>
    <w:rsid w:val="00C5097E"/>
    <w:rsid w:val="00C509F2"/>
    <w:rsid w:val="00C50AF6"/>
    <w:rsid w:val="00C50C1A"/>
    <w:rsid w:val="00C50C3F"/>
    <w:rsid w:val="00C50C99"/>
    <w:rsid w:val="00C50D24"/>
    <w:rsid w:val="00C50E93"/>
    <w:rsid w:val="00C50FAC"/>
    <w:rsid w:val="00C5101D"/>
    <w:rsid w:val="00C511D0"/>
    <w:rsid w:val="00C5130B"/>
    <w:rsid w:val="00C51538"/>
    <w:rsid w:val="00C515A8"/>
    <w:rsid w:val="00C515EC"/>
    <w:rsid w:val="00C519FF"/>
    <w:rsid w:val="00C51A1E"/>
    <w:rsid w:val="00C51CA4"/>
    <w:rsid w:val="00C51CD2"/>
    <w:rsid w:val="00C51D5B"/>
    <w:rsid w:val="00C51D7C"/>
    <w:rsid w:val="00C51D91"/>
    <w:rsid w:val="00C52089"/>
    <w:rsid w:val="00C52091"/>
    <w:rsid w:val="00C525A8"/>
    <w:rsid w:val="00C5286A"/>
    <w:rsid w:val="00C52989"/>
    <w:rsid w:val="00C52B7B"/>
    <w:rsid w:val="00C52C98"/>
    <w:rsid w:val="00C52EA6"/>
    <w:rsid w:val="00C53199"/>
    <w:rsid w:val="00C53228"/>
    <w:rsid w:val="00C53236"/>
    <w:rsid w:val="00C532F1"/>
    <w:rsid w:val="00C53448"/>
    <w:rsid w:val="00C535A0"/>
    <w:rsid w:val="00C535B4"/>
    <w:rsid w:val="00C537D1"/>
    <w:rsid w:val="00C5393F"/>
    <w:rsid w:val="00C539BC"/>
    <w:rsid w:val="00C53A77"/>
    <w:rsid w:val="00C53ABB"/>
    <w:rsid w:val="00C53BB4"/>
    <w:rsid w:val="00C53F64"/>
    <w:rsid w:val="00C53FE0"/>
    <w:rsid w:val="00C54186"/>
    <w:rsid w:val="00C54349"/>
    <w:rsid w:val="00C544AE"/>
    <w:rsid w:val="00C544B6"/>
    <w:rsid w:val="00C545E1"/>
    <w:rsid w:val="00C547D2"/>
    <w:rsid w:val="00C548CD"/>
    <w:rsid w:val="00C54919"/>
    <w:rsid w:val="00C5491B"/>
    <w:rsid w:val="00C54DB8"/>
    <w:rsid w:val="00C54DC2"/>
    <w:rsid w:val="00C54DE7"/>
    <w:rsid w:val="00C54DF5"/>
    <w:rsid w:val="00C54FD5"/>
    <w:rsid w:val="00C55074"/>
    <w:rsid w:val="00C55082"/>
    <w:rsid w:val="00C552DB"/>
    <w:rsid w:val="00C5585A"/>
    <w:rsid w:val="00C558C9"/>
    <w:rsid w:val="00C55A16"/>
    <w:rsid w:val="00C55A50"/>
    <w:rsid w:val="00C55A70"/>
    <w:rsid w:val="00C55A8D"/>
    <w:rsid w:val="00C55EF0"/>
    <w:rsid w:val="00C55F6E"/>
    <w:rsid w:val="00C56317"/>
    <w:rsid w:val="00C563C2"/>
    <w:rsid w:val="00C563FA"/>
    <w:rsid w:val="00C56487"/>
    <w:rsid w:val="00C5655F"/>
    <w:rsid w:val="00C566BB"/>
    <w:rsid w:val="00C56847"/>
    <w:rsid w:val="00C56848"/>
    <w:rsid w:val="00C56999"/>
    <w:rsid w:val="00C56C12"/>
    <w:rsid w:val="00C56ECE"/>
    <w:rsid w:val="00C56F30"/>
    <w:rsid w:val="00C5704A"/>
    <w:rsid w:val="00C57070"/>
    <w:rsid w:val="00C571C6"/>
    <w:rsid w:val="00C57453"/>
    <w:rsid w:val="00C576A3"/>
    <w:rsid w:val="00C57844"/>
    <w:rsid w:val="00C57894"/>
    <w:rsid w:val="00C578D9"/>
    <w:rsid w:val="00C57A7F"/>
    <w:rsid w:val="00C57CDD"/>
    <w:rsid w:val="00C601AC"/>
    <w:rsid w:val="00C601F9"/>
    <w:rsid w:val="00C6037E"/>
    <w:rsid w:val="00C60527"/>
    <w:rsid w:val="00C6076F"/>
    <w:rsid w:val="00C608C4"/>
    <w:rsid w:val="00C60AF0"/>
    <w:rsid w:val="00C60B9F"/>
    <w:rsid w:val="00C60D10"/>
    <w:rsid w:val="00C60E80"/>
    <w:rsid w:val="00C60F8A"/>
    <w:rsid w:val="00C61019"/>
    <w:rsid w:val="00C61071"/>
    <w:rsid w:val="00C610D9"/>
    <w:rsid w:val="00C6111A"/>
    <w:rsid w:val="00C61185"/>
    <w:rsid w:val="00C614C8"/>
    <w:rsid w:val="00C615FF"/>
    <w:rsid w:val="00C6179F"/>
    <w:rsid w:val="00C61946"/>
    <w:rsid w:val="00C61D47"/>
    <w:rsid w:val="00C61FDF"/>
    <w:rsid w:val="00C623A2"/>
    <w:rsid w:val="00C623CE"/>
    <w:rsid w:val="00C626B2"/>
    <w:rsid w:val="00C628AF"/>
    <w:rsid w:val="00C62C7C"/>
    <w:rsid w:val="00C62CD3"/>
    <w:rsid w:val="00C630B8"/>
    <w:rsid w:val="00C630C9"/>
    <w:rsid w:val="00C630F8"/>
    <w:rsid w:val="00C632E9"/>
    <w:rsid w:val="00C63610"/>
    <w:rsid w:val="00C637B5"/>
    <w:rsid w:val="00C63A2F"/>
    <w:rsid w:val="00C63B79"/>
    <w:rsid w:val="00C63BD2"/>
    <w:rsid w:val="00C63BD3"/>
    <w:rsid w:val="00C63C8A"/>
    <w:rsid w:val="00C63E00"/>
    <w:rsid w:val="00C63ED0"/>
    <w:rsid w:val="00C63F10"/>
    <w:rsid w:val="00C6400E"/>
    <w:rsid w:val="00C64048"/>
    <w:rsid w:val="00C64251"/>
    <w:rsid w:val="00C64337"/>
    <w:rsid w:val="00C645D2"/>
    <w:rsid w:val="00C64835"/>
    <w:rsid w:val="00C648D2"/>
    <w:rsid w:val="00C64BEA"/>
    <w:rsid w:val="00C64D28"/>
    <w:rsid w:val="00C64E9F"/>
    <w:rsid w:val="00C64ECC"/>
    <w:rsid w:val="00C65159"/>
    <w:rsid w:val="00C65180"/>
    <w:rsid w:val="00C6523A"/>
    <w:rsid w:val="00C652E2"/>
    <w:rsid w:val="00C6538E"/>
    <w:rsid w:val="00C6551D"/>
    <w:rsid w:val="00C659A1"/>
    <w:rsid w:val="00C659F9"/>
    <w:rsid w:val="00C65B3C"/>
    <w:rsid w:val="00C65E09"/>
    <w:rsid w:val="00C65F19"/>
    <w:rsid w:val="00C66075"/>
    <w:rsid w:val="00C6635F"/>
    <w:rsid w:val="00C66497"/>
    <w:rsid w:val="00C66563"/>
    <w:rsid w:val="00C66757"/>
    <w:rsid w:val="00C66842"/>
    <w:rsid w:val="00C6689B"/>
    <w:rsid w:val="00C66951"/>
    <w:rsid w:val="00C66955"/>
    <w:rsid w:val="00C669EE"/>
    <w:rsid w:val="00C66C12"/>
    <w:rsid w:val="00C66D87"/>
    <w:rsid w:val="00C6737C"/>
    <w:rsid w:val="00C6741D"/>
    <w:rsid w:val="00C6744A"/>
    <w:rsid w:val="00C6755D"/>
    <w:rsid w:val="00C675AE"/>
    <w:rsid w:val="00C67616"/>
    <w:rsid w:val="00C676FB"/>
    <w:rsid w:val="00C67796"/>
    <w:rsid w:val="00C67817"/>
    <w:rsid w:val="00C6785B"/>
    <w:rsid w:val="00C679CE"/>
    <w:rsid w:val="00C67A06"/>
    <w:rsid w:val="00C67BC6"/>
    <w:rsid w:val="00C67E2C"/>
    <w:rsid w:val="00C67E4A"/>
    <w:rsid w:val="00C67F29"/>
    <w:rsid w:val="00C70072"/>
    <w:rsid w:val="00C7017D"/>
    <w:rsid w:val="00C7028A"/>
    <w:rsid w:val="00C702B1"/>
    <w:rsid w:val="00C705F4"/>
    <w:rsid w:val="00C70613"/>
    <w:rsid w:val="00C7099C"/>
    <w:rsid w:val="00C70AF0"/>
    <w:rsid w:val="00C70B91"/>
    <w:rsid w:val="00C710E6"/>
    <w:rsid w:val="00C71416"/>
    <w:rsid w:val="00C715A8"/>
    <w:rsid w:val="00C716B5"/>
    <w:rsid w:val="00C71943"/>
    <w:rsid w:val="00C71A74"/>
    <w:rsid w:val="00C72317"/>
    <w:rsid w:val="00C724AC"/>
    <w:rsid w:val="00C7285A"/>
    <w:rsid w:val="00C72AD6"/>
    <w:rsid w:val="00C731EB"/>
    <w:rsid w:val="00C732EB"/>
    <w:rsid w:val="00C73717"/>
    <w:rsid w:val="00C7374F"/>
    <w:rsid w:val="00C737AD"/>
    <w:rsid w:val="00C738F5"/>
    <w:rsid w:val="00C73AA7"/>
    <w:rsid w:val="00C73EDF"/>
    <w:rsid w:val="00C73F29"/>
    <w:rsid w:val="00C73F4F"/>
    <w:rsid w:val="00C73FA5"/>
    <w:rsid w:val="00C7401E"/>
    <w:rsid w:val="00C74156"/>
    <w:rsid w:val="00C74308"/>
    <w:rsid w:val="00C743D4"/>
    <w:rsid w:val="00C7455D"/>
    <w:rsid w:val="00C74718"/>
    <w:rsid w:val="00C74799"/>
    <w:rsid w:val="00C74851"/>
    <w:rsid w:val="00C74AAF"/>
    <w:rsid w:val="00C74BD1"/>
    <w:rsid w:val="00C74C28"/>
    <w:rsid w:val="00C74E19"/>
    <w:rsid w:val="00C7502B"/>
    <w:rsid w:val="00C7513A"/>
    <w:rsid w:val="00C7514D"/>
    <w:rsid w:val="00C7518C"/>
    <w:rsid w:val="00C7544F"/>
    <w:rsid w:val="00C75584"/>
    <w:rsid w:val="00C755CA"/>
    <w:rsid w:val="00C75625"/>
    <w:rsid w:val="00C758D2"/>
    <w:rsid w:val="00C7596D"/>
    <w:rsid w:val="00C75AD1"/>
    <w:rsid w:val="00C75D68"/>
    <w:rsid w:val="00C76152"/>
    <w:rsid w:val="00C76194"/>
    <w:rsid w:val="00C76387"/>
    <w:rsid w:val="00C765D7"/>
    <w:rsid w:val="00C7685C"/>
    <w:rsid w:val="00C76885"/>
    <w:rsid w:val="00C768A3"/>
    <w:rsid w:val="00C76ADE"/>
    <w:rsid w:val="00C76C14"/>
    <w:rsid w:val="00C76DF8"/>
    <w:rsid w:val="00C76E79"/>
    <w:rsid w:val="00C77018"/>
    <w:rsid w:val="00C7703C"/>
    <w:rsid w:val="00C7710A"/>
    <w:rsid w:val="00C771CA"/>
    <w:rsid w:val="00C7735D"/>
    <w:rsid w:val="00C7756B"/>
    <w:rsid w:val="00C7761D"/>
    <w:rsid w:val="00C77668"/>
    <w:rsid w:val="00C779F9"/>
    <w:rsid w:val="00C77A48"/>
    <w:rsid w:val="00C77A83"/>
    <w:rsid w:val="00C77B4C"/>
    <w:rsid w:val="00C77BAB"/>
    <w:rsid w:val="00C77EDF"/>
    <w:rsid w:val="00C77F65"/>
    <w:rsid w:val="00C8008E"/>
    <w:rsid w:val="00C80286"/>
    <w:rsid w:val="00C8029D"/>
    <w:rsid w:val="00C802F4"/>
    <w:rsid w:val="00C804C1"/>
    <w:rsid w:val="00C805F0"/>
    <w:rsid w:val="00C80615"/>
    <w:rsid w:val="00C8082C"/>
    <w:rsid w:val="00C80889"/>
    <w:rsid w:val="00C80FED"/>
    <w:rsid w:val="00C8127F"/>
    <w:rsid w:val="00C812F8"/>
    <w:rsid w:val="00C814F2"/>
    <w:rsid w:val="00C815F6"/>
    <w:rsid w:val="00C817B6"/>
    <w:rsid w:val="00C81830"/>
    <w:rsid w:val="00C81831"/>
    <w:rsid w:val="00C819D3"/>
    <w:rsid w:val="00C81BAA"/>
    <w:rsid w:val="00C81C01"/>
    <w:rsid w:val="00C81CAC"/>
    <w:rsid w:val="00C81CC4"/>
    <w:rsid w:val="00C81E24"/>
    <w:rsid w:val="00C81F7D"/>
    <w:rsid w:val="00C82012"/>
    <w:rsid w:val="00C827B5"/>
    <w:rsid w:val="00C828FF"/>
    <w:rsid w:val="00C82BF8"/>
    <w:rsid w:val="00C832C9"/>
    <w:rsid w:val="00C8337F"/>
    <w:rsid w:val="00C833E9"/>
    <w:rsid w:val="00C8352E"/>
    <w:rsid w:val="00C836BF"/>
    <w:rsid w:val="00C836F7"/>
    <w:rsid w:val="00C8376C"/>
    <w:rsid w:val="00C83980"/>
    <w:rsid w:val="00C839B1"/>
    <w:rsid w:val="00C83C15"/>
    <w:rsid w:val="00C83C88"/>
    <w:rsid w:val="00C83EA4"/>
    <w:rsid w:val="00C83EF2"/>
    <w:rsid w:val="00C83F53"/>
    <w:rsid w:val="00C840C8"/>
    <w:rsid w:val="00C84237"/>
    <w:rsid w:val="00C8423D"/>
    <w:rsid w:val="00C84372"/>
    <w:rsid w:val="00C847C0"/>
    <w:rsid w:val="00C848EE"/>
    <w:rsid w:val="00C84AFC"/>
    <w:rsid w:val="00C84B2A"/>
    <w:rsid w:val="00C84B39"/>
    <w:rsid w:val="00C84D8B"/>
    <w:rsid w:val="00C84E42"/>
    <w:rsid w:val="00C84E9C"/>
    <w:rsid w:val="00C84F37"/>
    <w:rsid w:val="00C84F65"/>
    <w:rsid w:val="00C8548E"/>
    <w:rsid w:val="00C8555C"/>
    <w:rsid w:val="00C85A37"/>
    <w:rsid w:val="00C85AD1"/>
    <w:rsid w:val="00C85B14"/>
    <w:rsid w:val="00C85C47"/>
    <w:rsid w:val="00C85C90"/>
    <w:rsid w:val="00C85D48"/>
    <w:rsid w:val="00C85D8B"/>
    <w:rsid w:val="00C85EAA"/>
    <w:rsid w:val="00C861C5"/>
    <w:rsid w:val="00C86269"/>
    <w:rsid w:val="00C8626B"/>
    <w:rsid w:val="00C86434"/>
    <w:rsid w:val="00C864F5"/>
    <w:rsid w:val="00C86656"/>
    <w:rsid w:val="00C8679C"/>
    <w:rsid w:val="00C8682B"/>
    <w:rsid w:val="00C8683B"/>
    <w:rsid w:val="00C86855"/>
    <w:rsid w:val="00C869C5"/>
    <w:rsid w:val="00C86AA4"/>
    <w:rsid w:val="00C86B02"/>
    <w:rsid w:val="00C86B6C"/>
    <w:rsid w:val="00C86B8A"/>
    <w:rsid w:val="00C86EB9"/>
    <w:rsid w:val="00C86F08"/>
    <w:rsid w:val="00C86F7D"/>
    <w:rsid w:val="00C8703A"/>
    <w:rsid w:val="00C87076"/>
    <w:rsid w:val="00C870B0"/>
    <w:rsid w:val="00C87135"/>
    <w:rsid w:val="00C87201"/>
    <w:rsid w:val="00C87314"/>
    <w:rsid w:val="00C87521"/>
    <w:rsid w:val="00C876D3"/>
    <w:rsid w:val="00C8778E"/>
    <w:rsid w:val="00C87B89"/>
    <w:rsid w:val="00C87E2A"/>
    <w:rsid w:val="00C90014"/>
    <w:rsid w:val="00C9003A"/>
    <w:rsid w:val="00C90086"/>
    <w:rsid w:val="00C90175"/>
    <w:rsid w:val="00C90195"/>
    <w:rsid w:val="00C905FC"/>
    <w:rsid w:val="00C9076A"/>
    <w:rsid w:val="00C90A62"/>
    <w:rsid w:val="00C90E53"/>
    <w:rsid w:val="00C911CF"/>
    <w:rsid w:val="00C91278"/>
    <w:rsid w:val="00C914F1"/>
    <w:rsid w:val="00C9175A"/>
    <w:rsid w:val="00C91782"/>
    <w:rsid w:val="00C91B51"/>
    <w:rsid w:val="00C91F87"/>
    <w:rsid w:val="00C91FB2"/>
    <w:rsid w:val="00C92007"/>
    <w:rsid w:val="00C92021"/>
    <w:rsid w:val="00C9215D"/>
    <w:rsid w:val="00C92188"/>
    <w:rsid w:val="00C9240A"/>
    <w:rsid w:val="00C92735"/>
    <w:rsid w:val="00C92774"/>
    <w:rsid w:val="00C9278F"/>
    <w:rsid w:val="00C927E7"/>
    <w:rsid w:val="00C929B3"/>
    <w:rsid w:val="00C92AB9"/>
    <w:rsid w:val="00C93290"/>
    <w:rsid w:val="00C932D3"/>
    <w:rsid w:val="00C934A6"/>
    <w:rsid w:val="00C936F0"/>
    <w:rsid w:val="00C9389A"/>
    <w:rsid w:val="00C93ADD"/>
    <w:rsid w:val="00C93BBB"/>
    <w:rsid w:val="00C93C52"/>
    <w:rsid w:val="00C93D5E"/>
    <w:rsid w:val="00C93E6D"/>
    <w:rsid w:val="00C93EB4"/>
    <w:rsid w:val="00C93ED6"/>
    <w:rsid w:val="00C93F80"/>
    <w:rsid w:val="00C9401B"/>
    <w:rsid w:val="00C941D0"/>
    <w:rsid w:val="00C94301"/>
    <w:rsid w:val="00C94335"/>
    <w:rsid w:val="00C94474"/>
    <w:rsid w:val="00C945D2"/>
    <w:rsid w:val="00C945D4"/>
    <w:rsid w:val="00C946D5"/>
    <w:rsid w:val="00C94857"/>
    <w:rsid w:val="00C94999"/>
    <w:rsid w:val="00C94BBD"/>
    <w:rsid w:val="00C94E24"/>
    <w:rsid w:val="00C9520D"/>
    <w:rsid w:val="00C954BC"/>
    <w:rsid w:val="00C954DF"/>
    <w:rsid w:val="00C95794"/>
    <w:rsid w:val="00C958B1"/>
    <w:rsid w:val="00C95C12"/>
    <w:rsid w:val="00C95C4C"/>
    <w:rsid w:val="00C95C5E"/>
    <w:rsid w:val="00C95DEF"/>
    <w:rsid w:val="00C95E4B"/>
    <w:rsid w:val="00C95E5F"/>
    <w:rsid w:val="00C95EE9"/>
    <w:rsid w:val="00C95F9D"/>
    <w:rsid w:val="00C9602E"/>
    <w:rsid w:val="00C96066"/>
    <w:rsid w:val="00C96135"/>
    <w:rsid w:val="00C964D7"/>
    <w:rsid w:val="00C9656F"/>
    <w:rsid w:val="00C967E1"/>
    <w:rsid w:val="00C96915"/>
    <w:rsid w:val="00C96B75"/>
    <w:rsid w:val="00C96D59"/>
    <w:rsid w:val="00C96EAE"/>
    <w:rsid w:val="00C96EF7"/>
    <w:rsid w:val="00C96F37"/>
    <w:rsid w:val="00C97120"/>
    <w:rsid w:val="00C97171"/>
    <w:rsid w:val="00C973B3"/>
    <w:rsid w:val="00C9755C"/>
    <w:rsid w:val="00C9775B"/>
    <w:rsid w:val="00C9786F"/>
    <w:rsid w:val="00C978D1"/>
    <w:rsid w:val="00C97995"/>
    <w:rsid w:val="00C97A35"/>
    <w:rsid w:val="00C97A3D"/>
    <w:rsid w:val="00C97ACB"/>
    <w:rsid w:val="00C97AD6"/>
    <w:rsid w:val="00C97B3C"/>
    <w:rsid w:val="00C97D04"/>
    <w:rsid w:val="00C97F49"/>
    <w:rsid w:val="00C97FE2"/>
    <w:rsid w:val="00CA0042"/>
    <w:rsid w:val="00CA03AA"/>
    <w:rsid w:val="00CA03FB"/>
    <w:rsid w:val="00CA0402"/>
    <w:rsid w:val="00CA0523"/>
    <w:rsid w:val="00CA0552"/>
    <w:rsid w:val="00CA06F5"/>
    <w:rsid w:val="00CA06FB"/>
    <w:rsid w:val="00CA0B81"/>
    <w:rsid w:val="00CA0DB7"/>
    <w:rsid w:val="00CA0EF0"/>
    <w:rsid w:val="00CA12AD"/>
    <w:rsid w:val="00CA12DD"/>
    <w:rsid w:val="00CA1320"/>
    <w:rsid w:val="00CA13F5"/>
    <w:rsid w:val="00CA142C"/>
    <w:rsid w:val="00CA16E2"/>
    <w:rsid w:val="00CA1801"/>
    <w:rsid w:val="00CA1820"/>
    <w:rsid w:val="00CA18BE"/>
    <w:rsid w:val="00CA1A19"/>
    <w:rsid w:val="00CA1B6B"/>
    <w:rsid w:val="00CA1D27"/>
    <w:rsid w:val="00CA1DE3"/>
    <w:rsid w:val="00CA20FD"/>
    <w:rsid w:val="00CA2170"/>
    <w:rsid w:val="00CA217C"/>
    <w:rsid w:val="00CA25B5"/>
    <w:rsid w:val="00CA25E3"/>
    <w:rsid w:val="00CA2600"/>
    <w:rsid w:val="00CA264D"/>
    <w:rsid w:val="00CA26FE"/>
    <w:rsid w:val="00CA2846"/>
    <w:rsid w:val="00CA2C4B"/>
    <w:rsid w:val="00CA2D9F"/>
    <w:rsid w:val="00CA2E35"/>
    <w:rsid w:val="00CA2E65"/>
    <w:rsid w:val="00CA2E97"/>
    <w:rsid w:val="00CA2F39"/>
    <w:rsid w:val="00CA3095"/>
    <w:rsid w:val="00CA3104"/>
    <w:rsid w:val="00CA327C"/>
    <w:rsid w:val="00CA37B3"/>
    <w:rsid w:val="00CA3917"/>
    <w:rsid w:val="00CA3ABA"/>
    <w:rsid w:val="00CA3BDC"/>
    <w:rsid w:val="00CA3C8C"/>
    <w:rsid w:val="00CA3F6D"/>
    <w:rsid w:val="00CA40B7"/>
    <w:rsid w:val="00CA40C3"/>
    <w:rsid w:val="00CA4167"/>
    <w:rsid w:val="00CA42A2"/>
    <w:rsid w:val="00CA4424"/>
    <w:rsid w:val="00CA47BE"/>
    <w:rsid w:val="00CA49C2"/>
    <w:rsid w:val="00CA4D5C"/>
    <w:rsid w:val="00CA4DD7"/>
    <w:rsid w:val="00CA4FD3"/>
    <w:rsid w:val="00CA5022"/>
    <w:rsid w:val="00CA5073"/>
    <w:rsid w:val="00CA5174"/>
    <w:rsid w:val="00CA5215"/>
    <w:rsid w:val="00CA5557"/>
    <w:rsid w:val="00CA555E"/>
    <w:rsid w:val="00CA55C2"/>
    <w:rsid w:val="00CA5C46"/>
    <w:rsid w:val="00CA5D1D"/>
    <w:rsid w:val="00CA5D6E"/>
    <w:rsid w:val="00CA60AD"/>
    <w:rsid w:val="00CA611A"/>
    <w:rsid w:val="00CA61B3"/>
    <w:rsid w:val="00CA6237"/>
    <w:rsid w:val="00CA632D"/>
    <w:rsid w:val="00CA637C"/>
    <w:rsid w:val="00CA63BE"/>
    <w:rsid w:val="00CA644F"/>
    <w:rsid w:val="00CA64AF"/>
    <w:rsid w:val="00CA66FC"/>
    <w:rsid w:val="00CA6A87"/>
    <w:rsid w:val="00CA6BFE"/>
    <w:rsid w:val="00CA6C70"/>
    <w:rsid w:val="00CA6CD0"/>
    <w:rsid w:val="00CA6D20"/>
    <w:rsid w:val="00CA6FE9"/>
    <w:rsid w:val="00CA70B5"/>
    <w:rsid w:val="00CA7138"/>
    <w:rsid w:val="00CA72B3"/>
    <w:rsid w:val="00CA72CC"/>
    <w:rsid w:val="00CA7410"/>
    <w:rsid w:val="00CA7479"/>
    <w:rsid w:val="00CA77D7"/>
    <w:rsid w:val="00CA79D6"/>
    <w:rsid w:val="00CA7C5E"/>
    <w:rsid w:val="00CB00FC"/>
    <w:rsid w:val="00CB01CE"/>
    <w:rsid w:val="00CB01D7"/>
    <w:rsid w:val="00CB037F"/>
    <w:rsid w:val="00CB0481"/>
    <w:rsid w:val="00CB0767"/>
    <w:rsid w:val="00CB08E8"/>
    <w:rsid w:val="00CB0D34"/>
    <w:rsid w:val="00CB0D52"/>
    <w:rsid w:val="00CB0E5C"/>
    <w:rsid w:val="00CB0F5F"/>
    <w:rsid w:val="00CB10D9"/>
    <w:rsid w:val="00CB11C0"/>
    <w:rsid w:val="00CB1337"/>
    <w:rsid w:val="00CB157B"/>
    <w:rsid w:val="00CB1605"/>
    <w:rsid w:val="00CB16C1"/>
    <w:rsid w:val="00CB1880"/>
    <w:rsid w:val="00CB1A0B"/>
    <w:rsid w:val="00CB1A1B"/>
    <w:rsid w:val="00CB1C1D"/>
    <w:rsid w:val="00CB1D52"/>
    <w:rsid w:val="00CB1EB1"/>
    <w:rsid w:val="00CB1F6F"/>
    <w:rsid w:val="00CB2046"/>
    <w:rsid w:val="00CB22B3"/>
    <w:rsid w:val="00CB22D7"/>
    <w:rsid w:val="00CB2385"/>
    <w:rsid w:val="00CB2489"/>
    <w:rsid w:val="00CB251E"/>
    <w:rsid w:val="00CB2531"/>
    <w:rsid w:val="00CB2710"/>
    <w:rsid w:val="00CB2859"/>
    <w:rsid w:val="00CB2923"/>
    <w:rsid w:val="00CB2978"/>
    <w:rsid w:val="00CB2B06"/>
    <w:rsid w:val="00CB2B96"/>
    <w:rsid w:val="00CB2BA9"/>
    <w:rsid w:val="00CB2CDD"/>
    <w:rsid w:val="00CB2EB6"/>
    <w:rsid w:val="00CB2EDF"/>
    <w:rsid w:val="00CB31F5"/>
    <w:rsid w:val="00CB3578"/>
    <w:rsid w:val="00CB35E9"/>
    <w:rsid w:val="00CB366C"/>
    <w:rsid w:val="00CB3695"/>
    <w:rsid w:val="00CB379F"/>
    <w:rsid w:val="00CB37E6"/>
    <w:rsid w:val="00CB380D"/>
    <w:rsid w:val="00CB389D"/>
    <w:rsid w:val="00CB39BF"/>
    <w:rsid w:val="00CB3B04"/>
    <w:rsid w:val="00CB3F0D"/>
    <w:rsid w:val="00CB3FDF"/>
    <w:rsid w:val="00CB4079"/>
    <w:rsid w:val="00CB412E"/>
    <w:rsid w:val="00CB41E3"/>
    <w:rsid w:val="00CB44BD"/>
    <w:rsid w:val="00CB455D"/>
    <w:rsid w:val="00CB4652"/>
    <w:rsid w:val="00CB482C"/>
    <w:rsid w:val="00CB48D6"/>
    <w:rsid w:val="00CB49E3"/>
    <w:rsid w:val="00CB4A69"/>
    <w:rsid w:val="00CB4D6E"/>
    <w:rsid w:val="00CB4D7E"/>
    <w:rsid w:val="00CB5231"/>
    <w:rsid w:val="00CB526C"/>
    <w:rsid w:val="00CB54C0"/>
    <w:rsid w:val="00CB556E"/>
    <w:rsid w:val="00CB55D6"/>
    <w:rsid w:val="00CB5607"/>
    <w:rsid w:val="00CB56C2"/>
    <w:rsid w:val="00CB5841"/>
    <w:rsid w:val="00CB585F"/>
    <w:rsid w:val="00CB58EF"/>
    <w:rsid w:val="00CB5BD2"/>
    <w:rsid w:val="00CB5C19"/>
    <w:rsid w:val="00CB5C22"/>
    <w:rsid w:val="00CB5C6E"/>
    <w:rsid w:val="00CB63F4"/>
    <w:rsid w:val="00CB67D2"/>
    <w:rsid w:val="00CB68D1"/>
    <w:rsid w:val="00CB69AF"/>
    <w:rsid w:val="00CB6BFD"/>
    <w:rsid w:val="00CB6DD6"/>
    <w:rsid w:val="00CB6F6E"/>
    <w:rsid w:val="00CB6FC7"/>
    <w:rsid w:val="00CB7478"/>
    <w:rsid w:val="00CB77D3"/>
    <w:rsid w:val="00CB7AFB"/>
    <w:rsid w:val="00CB7B6A"/>
    <w:rsid w:val="00CB7C25"/>
    <w:rsid w:val="00CB7DC8"/>
    <w:rsid w:val="00CC07D6"/>
    <w:rsid w:val="00CC094A"/>
    <w:rsid w:val="00CC0A09"/>
    <w:rsid w:val="00CC0A67"/>
    <w:rsid w:val="00CC0B5A"/>
    <w:rsid w:val="00CC0C0C"/>
    <w:rsid w:val="00CC0C3D"/>
    <w:rsid w:val="00CC0F34"/>
    <w:rsid w:val="00CC1044"/>
    <w:rsid w:val="00CC10B9"/>
    <w:rsid w:val="00CC10FA"/>
    <w:rsid w:val="00CC1107"/>
    <w:rsid w:val="00CC119C"/>
    <w:rsid w:val="00CC1243"/>
    <w:rsid w:val="00CC13CA"/>
    <w:rsid w:val="00CC143D"/>
    <w:rsid w:val="00CC1440"/>
    <w:rsid w:val="00CC144D"/>
    <w:rsid w:val="00CC1451"/>
    <w:rsid w:val="00CC14BF"/>
    <w:rsid w:val="00CC155D"/>
    <w:rsid w:val="00CC1776"/>
    <w:rsid w:val="00CC1A82"/>
    <w:rsid w:val="00CC20D8"/>
    <w:rsid w:val="00CC2143"/>
    <w:rsid w:val="00CC2206"/>
    <w:rsid w:val="00CC23DE"/>
    <w:rsid w:val="00CC263C"/>
    <w:rsid w:val="00CC2750"/>
    <w:rsid w:val="00CC27FD"/>
    <w:rsid w:val="00CC29EE"/>
    <w:rsid w:val="00CC31AA"/>
    <w:rsid w:val="00CC3472"/>
    <w:rsid w:val="00CC3499"/>
    <w:rsid w:val="00CC34C5"/>
    <w:rsid w:val="00CC3A43"/>
    <w:rsid w:val="00CC3B43"/>
    <w:rsid w:val="00CC3D64"/>
    <w:rsid w:val="00CC3DFB"/>
    <w:rsid w:val="00CC3F85"/>
    <w:rsid w:val="00CC4344"/>
    <w:rsid w:val="00CC43D6"/>
    <w:rsid w:val="00CC4479"/>
    <w:rsid w:val="00CC4596"/>
    <w:rsid w:val="00CC46AD"/>
    <w:rsid w:val="00CC497A"/>
    <w:rsid w:val="00CC4C1E"/>
    <w:rsid w:val="00CC4C56"/>
    <w:rsid w:val="00CC4EB4"/>
    <w:rsid w:val="00CC502F"/>
    <w:rsid w:val="00CC50E2"/>
    <w:rsid w:val="00CC5287"/>
    <w:rsid w:val="00CC52CB"/>
    <w:rsid w:val="00CC5362"/>
    <w:rsid w:val="00CC540D"/>
    <w:rsid w:val="00CC54C4"/>
    <w:rsid w:val="00CC5584"/>
    <w:rsid w:val="00CC574F"/>
    <w:rsid w:val="00CC57ED"/>
    <w:rsid w:val="00CC5B65"/>
    <w:rsid w:val="00CC5D3E"/>
    <w:rsid w:val="00CC5D6C"/>
    <w:rsid w:val="00CC5E50"/>
    <w:rsid w:val="00CC6003"/>
    <w:rsid w:val="00CC6060"/>
    <w:rsid w:val="00CC6190"/>
    <w:rsid w:val="00CC6230"/>
    <w:rsid w:val="00CC6244"/>
    <w:rsid w:val="00CC65B4"/>
    <w:rsid w:val="00CC65B7"/>
    <w:rsid w:val="00CC6684"/>
    <w:rsid w:val="00CC6723"/>
    <w:rsid w:val="00CC6917"/>
    <w:rsid w:val="00CC6979"/>
    <w:rsid w:val="00CC697B"/>
    <w:rsid w:val="00CC6AAF"/>
    <w:rsid w:val="00CC6B1C"/>
    <w:rsid w:val="00CC6BB3"/>
    <w:rsid w:val="00CC6BDE"/>
    <w:rsid w:val="00CC6CB8"/>
    <w:rsid w:val="00CC6CFD"/>
    <w:rsid w:val="00CC6E77"/>
    <w:rsid w:val="00CC6F77"/>
    <w:rsid w:val="00CC719F"/>
    <w:rsid w:val="00CC720D"/>
    <w:rsid w:val="00CC730F"/>
    <w:rsid w:val="00CC7427"/>
    <w:rsid w:val="00CC77AD"/>
    <w:rsid w:val="00CC77FD"/>
    <w:rsid w:val="00CC784E"/>
    <w:rsid w:val="00CC78D7"/>
    <w:rsid w:val="00CC7972"/>
    <w:rsid w:val="00CC79E7"/>
    <w:rsid w:val="00CC7C9C"/>
    <w:rsid w:val="00CC7DFD"/>
    <w:rsid w:val="00CC7E7E"/>
    <w:rsid w:val="00CC7ECD"/>
    <w:rsid w:val="00CC7F37"/>
    <w:rsid w:val="00CD0072"/>
    <w:rsid w:val="00CD021C"/>
    <w:rsid w:val="00CD0543"/>
    <w:rsid w:val="00CD055C"/>
    <w:rsid w:val="00CD0567"/>
    <w:rsid w:val="00CD061F"/>
    <w:rsid w:val="00CD0774"/>
    <w:rsid w:val="00CD0941"/>
    <w:rsid w:val="00CD0A9A"/>
    <w:rsid w:val="00CD0B4E"/>
    <w:rsid w:val="00CD0BD8"/>
    <w:rsid w:val="00CD119E"/>
    <w:rsid w:val="00CD11B5"/>
    <w:rsid w:val="00CD11F9"/>
    <w:rsid w:val="00CD1818"/>
    <w:rsid w:val="00CD1C1A"/>
    <w:rsid w:val="00CD1F57"/>
    <w:rsid w:val="00CD2100"/>
    <w:rsid w:val="00CD216D"/>
    <w:rsid w:val="00CD2360"/>
    <w:rsid w:val="00CD243C"/>
    <w:rsid w:val="00CD2472"/>
    <w:rsid w:val="00CD24A3"/>
    <w:rsid w:val="00CD25F0"/>
    <w:rsid w:val="00CD26A2"/>
    <w:rsid w:val="00CD270B"/>
    <w:rsid w:val="00CD2753"/>
    <w:rsid w:val="00CD27F7"/>
    <w:rsid w:val="00CD2A03"/>
    <w:rsid w:val="00CD2C34"/>
    <w:rsid w:val="00CD2C3F"/>
    <w:rsid w:val="00CD2E0B"/>
    <w:rsid w:val="00CD303A"/>
    <w:rsid w:val="00CD33E9"/>
    <w:rsid w:val="00CD34A1"/>
    <w:rsid w:val="00CD3553"/>
    <w:rsid w:val="00CD3627"/>
    <w:rsid w:val="00CD3644"/>
    <w:rsid w:val="00CD3870"/>
    <w:rsid w:val="00CD38BF"/>
    <w:rsid w:val="00CD3925"/>
    <w:rsid w:val="00CD39C4"/>
    <w:rsid w:val="00CD3A0C"/>
    <w:rsid w:val="00CD3BF4"/>
    <w:rsid w:val="00CD3F7D"/>
    <w:rsid w:val="00CD3FEF"/>
    <w:rsid w:val="00CD408C"/>
    <w:rsid w:val="00CD430F"/>
    <w:rsid w:val="00CD49F1"/>
    <w:rsid w:val="00CD49F7"/>
    <w:rsid w:val="00CD4B19"/>
    <w:rsid w:val="00CD4B21"/>
    <w:rsid w:val="00CD4C98"/>
    <w:rsid w:val="00CD4CFA"/>
    <w:rsid w:val="00CD4F90"/>
    <w:rsid w:val="00CD502B"/>
    <w:rsid w:val="00CD52A0"/>
    <w:rsid w:val="00CD55EC"/>
    <w:rsid w:val="00CD57C3"/>
    <w:rsid w:val="00CD5B70"/>
    <w:rsid w:val="00CD5D75"/>
    <w:rsid w:val="00CD6057"/>
    <w:rsid w:val="00CD6252"/>
    <w:rsid w:val="00CD62B8"/>
    <w:rsid w:val="00CD62EF"/>
    <w:rsid w:val="00CD6310"/>
    <w:rsid w:val="00CD63CD"/>
    <w:rsid w:val="00CD6474"/>
    <w:rsid w:val="00CD65CE"/>
    <w:rsid w:val="00CD665D"/>
    <w:rsid w:val="00CD66B5"/>
    <w:rsid w:val="00CD673D"/>
    <w:rsid w:val="00CD67AE"/>
    <w:rsid w:val="00CD682A"/>
    <w:rsid w:val="00CD6865"/>
    <w:rsid w:val="00CD68F1"/>
    <w:rsid w:val="00CD6C48"/>
    <w:rsid w:val="00CD6CA0"/>
    <w:rsid w:val="00CD6DA3"/>
    <w:rsid w:val="00CD6EAC"/>
    <w:rsid w:val="00CD71A6"/>
    <w:rsid w:val="00CD7347"/>
    <w:rsid w:val="00CD73AC"/>
    <w:rsid w:val="00CD73EC"/>
    <w:rsid w:val="00CD745A"/>
    <w:rsid w:val="00CD7538"/>
    <w:rsid w:val="00CD767B"/>
    <w:rsid w:val="00CD76D1"/>
    <w:rsid w:val="00CD794C"/>
    <w:rsid w:val="00CD7D2A"/>
    <w:rsid w:val="00CD7E4B"/>
    <w:rsid w:val="00CD7F50"/>
    <w:rsid w:val="00CE009E"/>
    <w:rsid w:val="00CE0103"/>
    <w:rsid w:val="00CE013C"/>
    <w:rsid w:val="00CE0357"/>
    <w:rsid w:val="00CE035C"/>
    <w:rsid w:val="00CE0467"/>
    <w:rsid w:val="00CE0598"/>
    <w:rsid w:val="00CE0654"/>
    <w:rsid w:val="00CE06DC"/>
    <w:rsid w:val="00CE0856"/>
    <w:rsid w:val="00CE0862"/>
    <w:rsid w:val="00CE0891"/>
    <w:rsid w:val="00CE08BB"/>
    <w:rsid w:val="00CE0952"/>
    <w:rsid w:val="00CE0A83"/>
    <w:rsid w:val="00CE0AB2"/>
    <w:rsid w:val="00CE0B26"/>
    <w:rsid w:val="00CE0C23"/>
    <w:rsid w:val="00CE0C31"/>
    <w:rsid w:val="00CE0E26"/>
    <w:rsid w:val="00CE0E41"/>
    <w:rsid w:val="00CE0FCE"/>
    <w:rsid w:val="00CE0FDF"/>
    <w:rsid w:val="00CE121F"/>
    <w:rsid w:val="00CE12BC"/>
    <w:rsid w:val="00CE12C4"/>
    <w:rsid w:val="00CE1551"/>
    <w:rsid w:val="00CE16BE"/>
    <w:rsid w:val="00CE1790"/>
    <w:rsid w:val="00CE17E2"/>
    <w:rsid w:val="00CE1B54"/>
    <w:rsid w:val="00CE1B68"/>
    <w:rsid w:val="00CE1CC9"/>
    <w:rsid w:val="00CE1E78"/>
    <w:rsid w:val="00CE1F1E"/>
    <w:rsid w:val="00CE20E2"/>
    <w:rsid w:val="00CE2305"/>
    <w:rsid w:val="00CE230F"/>
    <w:rsid w:val="00CE246B"/>
    <w:rsid w:val="00CE2642"/>
    <w:rsid w:val="00CE27F7"/>
    <w:rsid w:val="00CE2923"/>
    <w:rsid w:val="00CE29A0"/>
    <w:rsid w:val="00CE2A68"/>
    <w:rsid w:val="00CE2B92"/>
    <w:rsid w:val="00CE2D2B"/>
    <w:rsid w:val="00CE2EB6"/>
    <w:rsid w:val="00CE309C"/>
    <w:rsid w:val="00CE32B4"/>
    <w:rsid w:val="00CE32C1"/>
    <w:rsid w:val="00CE32E1"/>
    <w:rsid w:val="00CE33F3"/>
    <w:rsid w:val="00CE33FD"/>
    <w:rsid w:val="00CE347B"/>
    <w:rsid w:val="00CE34BB"/>
    <w:rsid w:val="00CE34FB"/>
    <w:rsid w:val="00CE370F"/>
    <w:rsid w:val="00CE3A08"/>
    <w:rsid w:val="00CE3AD3"/>
    <w:rsid w:val="00CE3CD5"/>
    <w:rsid w:val="00CE3CE4"/>
    <w:rsid w:val="00CE3EAF"/>
    <w:rsid w:val="00CE3F8D"/>
    <w:rsid w:val="00CE4071"/>
    <w:rsid w:val="00CE42AF"/>
    <w:rsid w:val="00CE4380"/>
    <w:rsid w:val="00CE43D8"/>
    <w:rsid w:val="00CE444D"/>
    <w:rsid w:val="00CE44D4"/>
    <w:rsid w:val="00CE4702"/>
    <w:rsid w:val="00CE47CF"/>
    <w:rsid w:val="00CE48E0"/>
    <w:rsid w:val="00CE4BDC"/>
    <w:rsid w:val="00CE4E37"/>
    <w:rsid w:val="00CE5020"/>
    <w:rsid w:val="00CE5230"/>
    <w:rsid w:val="00CE52EA"/>
    <w:rsid w:val="00CE5428"/>
    <w:rsid w:val="00CE54C2"/>
    <w:rsid w:val="00CE5503"/>
    <w:rsid w:val="00CE55AC"/>
    <w:rsid w:val="00CE5896"/>
    <w:rsid w:val="00CE5908"/>
    <w:rsid w:val="00CE5BFD"/>
    <w:rsid w:val="00CE5CA3"/>
    <w:rsid w:val="00CE5D20"/>
    <w:rsid w:val="00CE5E4D"/>
    <w:rsid w:val="00CE5EA7"/>
    <w:rsid w:val="00CE6140"/>
    <w:rsid w:val="00CE6161"/>
    <w:rsid w:val="00CE6241"/>
    <w:rsid w:val="00CE62A4"/>
    <w:rsid w:val="00CE68C9"/>
    <w:rsid w:val="00CE691F"/>
    <w:rsid w:val="00CE6921"/>
    <w:rsid w:val="00CE6A44"/>
    <w:rsid w:val="00CE6A64"/>
    <w:rsid w:val="00CE6A8A"/>
    <w:rsid w:val="00CE6B29"/>
    <w:rsid w:val="00CE6BE7"/>
    <w:rsid w:val="00CE6C1D"/>
    <w:rsid w:val="00CE6CC2"/>
    <w:rsid w:val="00CE6D36"/>
    <w:rsid w:val="00CE6EF7"/>
    <w:rsid w:val="00CE6F80"/>
    <w:rsid w:val="00CE70A6"/>
    <w:rsid w:val="00CE70E9"/>
    <w:rsid w:val="00CE7175"/>
    <w:rsid w:val="00CE71E6"/>
    <w:rsid w:val="00CE72B5"/>
    <w:rsid w:val="00CE73E3"/>
    <w:rsid w:val="00CE73F6"/>
    <w:rsid w:val="00CE74E5"/>
    <w:rsid w:val="00CE74F5"/>
    <w:rsid w:val="00CE7A7C"/>
    <w:rsid w:val="00CE7B66"/>
    <w:rsid w:val="00CE7E8D"/>
    <w:rsid w:val="00CE7F58"/>
    <w:rsid w:val="00CF0150"/>
    <w:rsid w:val="00CF053E"/>
    <w:rsid w:val="00CF0581"/>
    <w:rsid w:val="00CF0781"/>
    <w:rsid w:val="00CF08C6"/>
    <w:rsid w:val="00CF0A03"/>
    <w:rsid w:val="00CF0B91"/>
    <w:rsid w:val="00CF0C86"/>
    <w:rsid w:val="00CF0F8D"/>
    <w:rsid w:val="00CF1024"/>
    <w:rsid w:val="00CF10FF"/>
    <w:rsid w:val="00CF1188"/>
    <w:rsid w:val="00CF12EF"/>
    <w:rsid w:val="00CF1435"/>
    <w:rsid w:val="00CF1488"/>
    <w:rsid w:val="00CF14E4"/>
    <w:rsid w:val="00CF159E"/>
    <w:rsid w:val="00CF16F6"/>
    <w:rsid w:val="00CF184D"/>
    <w:rsid w:val="00CF1933"/>
    <w:rsid w:val="00CF19DD"/>
    <w:rsid w:val="00CF1D2E"/>
    <w:rsid w:val="00CF1DA6"/>
    <w:rsid w:val="00CF1EC1"/>
    <w:rsid w:val="00CF1F2E"/>
    <w:rsid w:val="00CF1FDC"/>
    <w:rsid w:val="00CF201F"/>
    <w:rsid w:val="00CF202B"/>
    <w:rsid w:val="00CF20A4"/>
    <w:rsid w:val="00CF23BD"/>
    <w:rsid w:val="00CF2414"/>
    <w:rsid w:val="00CF26DF"/>
    <w:rsid w:val="00CF28D4"/>
    <w:rsid w:val="00CF29A8"/>
    <w:rsid w:val="00CF2A6B"/>
    <w:rsid w:val="00CF2C12"/>
    <w:rsid w:val="00CF2C85"/>
    <w:rsid w:val="00CF2E09"/>
    <w:rsid w:val="00CF2F3A"/>
    <w:rsid w:val="00CF2FAD"/>
    <w:rsid w:val="00CF3691"/>
    <w:rsid w:val="00CF3800"/>
    <w:rsid w:val="00CF3899"/>
    <w:rsid w:val="00CF3A53"/>
    <w:rsid w:val="00CF3B7C"/>
    <w:rsid w:val="00CF3CFC"/>
    <w:rsid w:val="00CF3D08"/>
    <w:rsid w:val="00CF3F0D"/>
    <w:rsid w:val="00CF4094"/>
    <w:rsid w:val="00CF40BE"/>
    <w:rsid w:val="00CF41F0"/>
    <w:rsid w:val="00CF453B"/>
    <w:rsid w:val="00CF4644"/>
    <w:rsid w:val="00CF48EC"/>
    <w:rsid w:val="00CF48ED"/>
    <w:rsid w:val="00CF491A"/>
    <w:rsid w:val="00CF493B"/>
    <w:rsid w:val="00CF4940"/>
    <w:rsid w:val="00CF4A3D"/>
    <w:rsid w:val="00CF4A62"/>
    <w:rsid w:val="00CF4C3E"/>
    <w:rsid w:val="00CF4DDE"/>
    <w:rsid w:val="00CF5068"/>
    <w:rsid w:val="00CF5142"/>
    <w:rsid w:val="00CF52D2"/>
    <w:rsid w:val="00CF54FD"/>
    <w:rsid w:val="00CF550A"/>
    <w:rsid w:val="00CF5666"/>
    <w:rsid w:val="00CF56D2"/>
    <w:rsid w:val="00CF59A9"/>
    <w:rsid w:val="00CF5A95"/>
    <w:rsid w:val="00CF5C90"/>
    <w:rsid w:val="00CF5D71"/>
    <w:rsid w:val="00CF6034"/>
    <w:rsid w:val="00CF6324"/>
    <w:rsid w:val="00CF65C2"/>
    <w:rsid w:val="00CF6B7B"/>
    <w:rsid w:val="00CF6C75"/>
    <w:rsid w:val="00CF6CC5"/>
    <w:rsid w:val="00CF6DCC"/>
    <w:rsid w:val="00CF6F07"/>
    <w:rsid w:val="00CF70C8"/>
    <w:rsid w:val="00CF7156"/>
    <w:rsid w:val="00CF725B"/>
    <w:rsid w:val="00CF7333"/>
    <w:rsid w:val="00CF7372"/>
    <w:rsid w:val="00CF75C6"/>
    <w:rsid w:val="00CF76DC"/>
    <w:rsid w:val="00CF7A14"/>
    <w:rsid w:val="00CF7A40"/>
    <w:rsid w:val="00CF7CA4"/>
    <w:rsid w:val="00CF7F00"/>
    <w:rsid w:val="00D00009"/>
    <w:rsid w:val="00D0050B"/>
    <w:rsid w:val="00D0057A"/>
    <w:rsid w:val="00D00724"/>
    <w:rsid w:val="00D00912"/>
    <w:rsid w:val="00D00B91"/>
    <w:rsid w:val="00D00BBA"/>
    <w:rsid w:val="00D00BFB"/>
    <w:rsid w:val="00D00E68"/>
    <w:rsid w:val="00D00FD3"/>
    <w:rsid w:val="00D0100B"/>
    <w:rsid w:val="00D0109E"/>
    <w:rsid w:val="00D011D8"/>
    <w:rsid w:val="00D0139B"/>
    <w:rsid w:val="00D014D7"/>
    <w:rsid w:val="00D014EE"/>
    <w:rsid w:val="00D0150B"/>
    <w:rsid w:val="00D015FC"/>
    <w:rsid w:val="00D01753"/>
    <w:rsid w:val="00D019EE"/>
    <w:rsid w:val="00D01B3A"/>
    <w:rsid w:val="00D01BCD"/>
    <w:rsid w:val="00D01CB7"/>
    <w:rsid w:val="00D02031"/>
    <w:rsid w:val="00D02057"/>
    <w:rsid w:val="00D02380"/>
    <w:rsid w:val="00D0248D"/>
    <w:rsid w:val="00D0250F"/>
    <w:rsid w:val="00D02654"/>
    <w:rsid w:val="00D028B6"/>
    <w:rsid w:val="00D02B3B"/>
    <w:rsid w:val="00D02CB7"/>
    <w:rsid w:val="00D02EAC"/>
    <w:rsid w:val="00D02ECE"/>
    <w:rsid w:val="00D0303E"/>
    <w:rsid w:val="00D0307D"/>
    <w:rsid w:val="00D0329A"/>
    <w:rsid w:val="00D03450"/>
    <w:rsid w:val="00D03548"/>
    <w:rsid w:val="00D03915"/>
    <w:rsid w:val="00D0393A"/>
    <w:rsid w:val="00D03AEB"/>
    <w:rsid w:val="00D03BA6"/>
    <w:rsid w:val="00D03CD0"/>
    <w:rsid w:val="00D03E7B"/>
    <w:rsid w:val="00D03ED0"/>
    <w:rsid w:val="00D03F62"/>
    <w:rsid w:val="00D0410C"/>
    <w:rsid w:val="00D041B2"/>
    <w:rsid w:val="00D04267"/>
    <w:rsid w:val="00D04505"/>
    <w:rsid w:val="00D0459D"/>
    <w:rsid w:val="00D0477F"/>
    <w:rsid w:val="00D047DA"/>
    <w:rsid w:val="00D048CF"/>
    <w:rsid w:val="00D049E8"/>
    <w:rsid w:val="00D04A3A"/>
    <w:rsid w:val="00D04ACF"/>
    <w:rsid w:val="00D04C59"/>
    <w:rsid w:val="00D04C64"/>
    <w:rsid w:val="00D04C76"/>
    <w:rsid w:val="00D0500E"/>
    <w:rsid w:val="00D057C9"/>
    <w:rsid w:val="00D059AC"/>
    <w:rsid w:val="00D05A7C"/>
    <w:rsid w:val="00D05AC6"/>
    <w:rsid w:val="00D05AD3"/>
    <w:rsid w:val="00D05BF1"/>
    <w:rsid w:val="00D05D9F"/>
    <w:rsid w:val="00D05FE7"/>
    <w:rsid w:val="00D06003"/>
    <w:rsid w:val="00D06068"/>
    <w:rsid w:val="00D060C6"/>
    <w:rsid w:val="00D0618F"/>
    <w:rsid w:val="00D063B5"/>
    <w:rsid w:val="00D063D3"/>
    <w:rsid w:val="00D064B9"/>
    <w:rsid w:val="00D064CC"/>
    <w:rsid w:val="00D064F1"/>
    <w:rsid w:val="00D06506"/>
    <w:rsid w:val="00D065C6"/>
    <w:rsid w:val="00D0668E"/>
    <w:rsid w:val="00D06695"/>
    <w:rsid w:val="00D067AF"/>
    <w:rsid w:val="00D06901"/>
    <w:rsid w:val="00D069B6"/>
    <w:rsid w:val="00D06B9C"/>
    <w:rsid w:val="00D06C64"/>
    <w:rsid w:val="00D06D9D"/>
    <w:rsid w:val="00D06F28"/>
    <w:rsid w:val="00D06F5B"/>
    <w:rsid w:val="00D07073"/>
    <w:rsid w:val="00D070FF"/>
    <w:rsid w:val="00D0717E"/>
    <w:rsid w:val="00D073A1"/>
    <w:rsid w:val="00D07492"/>
    <w:rsid w:val="00D074A6"/>
    <w:rsid w:val="00D074B1"/>
    <w:rsid w:val="00D074D6"/>
    <w:rsid w:val="00D07579"/>
    <w:rsid w:val="00D07917"/>
    <w:rsid w:val="00D07D2B"/>
    <w:rsid w:val="00D10018"/>
    <w:rsid w:val="00D102B6"/>
    <w:rsid w:val="00D102F7"/>
    <w:rsid w:val="00D106FE"/>
    <w:rsid w:val="00D107B2"/>
    <w:rsid w:val="00D107FF"/>
    <w:rsid w:val="00D10825"/>
    <w:rsid w:val="00D10853"/>
    <w:rsid w:val="00D1093D"/>
    <w:rsid w:val="00D10A58"/>
    <w:rsid w:val="00D10A7A"/>
    <w:rsid w:val="00D10F52"/>
    <w:rsid w:val="00D10FA9"/>
    <w:rsid w:val="00D11017"/>
    <w:rsid w:val="00D11297"/>
    <w:rsid w:val="00D11733"/>
    <w:rsid w:val="00D11925"/>
    <w:rsid w:val="00D11956"/>
    <w:rsid w:val="00D119A9"/>
    <w:rsid w:val="00D11A5A"/>
    <w:rsid w:val="00D11BF0"/>
    <w:rsid w:val="00D11D6E"/>
    <w:rsid w:val="00D11D7E"/>
    <w:rsid w:val="00D11DAA"/>
    <w:rsid w:val="00D1229C"/>
    <w:rsid w:val="00D12367"/>
    <w:rsid w:val="00D12469"/>
    <w:rsid w:val="00D124D9"/>
    <w:rsid w:val="00D1286A"/>
    <w:rsid w:val="00D12B0E"/>
    <w:rsid w:val="00D12C23"/>
    <w:rsid w:val="00D12C6D"/>
    <w:rsid w:val="00D12D6E"/>
    <w:rsid w:val="00D12D71"/>
    <w:rsid w:val="00D12DFB"/>
    <w:rsid w:val="00D12E02"/>
    <w:rsid w:val="00D12F4B"/>
    <w:rsid w:val="00D13122"/>
    <w:rsid w:val="00D131F6"/>
    <w:rsid w:val="00D13396"/>
    <w:rsid w:val="00D134B9"/>
    <w:rsid w:val="00D135B4"/>
    <w:rsid w:val="00D1361C"/>
    <w:rsid w:val="00D137D0"/>
    <w:rsid w:val="00D137F3"/>
    <w:rsid w:val="00D13870"/>
    <w:rsid w:val="00D139F7"/>
    <w:rsid w:val="00D13A11"/>
    <w:rsid w:val="00D13A51"/>
    <w:rsid w:val="00D13EC1"/>
    <w:rsid w:val="00D13FB6"/>
    <w:rsid w:val="00D14240"/>
    <w:rsid w:val="00D1434A"/>
    <w:rsid w:val="00D14369"/>
    <w:rsid w:val="00D144E4"/>
    <w:rsid w:val="00D1461B"/>
    <w:rsid w:val="00D146C4"/>
    <w:rsid w:val="00D14767"/>
    <w:rsid w:val="00D14A3D"/>
    <w:rsid w:val="00D14CA3"/>
    <w:rsid w:val="00D14CBA"/>
    <w:rsid w:val="00D14D17"/>
    <w:rsid w:val="00D14E34"/>
    <w:rsid w:val="00D14EB2"/>
    <w:rsid w:val="00D153CD"/>
    <w:rsid w:val="00D15465"/>
    <w:rsid w:val="00D154E6"/>
    <w:rsid w:val="00D154FA"/>
    <w:rsid w:val="00D15796"/>
    <w:rsid w:val="00D157C3"/>
    <w:rsid w:val="00D15894"/>
    <w:rsid w:val="00D158D7"/>
    <w:rsid w:val="00D15A03"/>
    <w:rsid w:val="00D16030"/>
    <w:rsid w:val="00D16070"/>
    <w:rsid w:val="00D1662E"/>
    <w:rsid w:val="00D16652"/>
    <w:rsid w:val="00D16691"/>
    <w:rsid w:val="00D16764"/>
    <w:rsid w:val="00D16882"/>
    <w:rsid w:val="00D16886"/>
    <w:rsid w:val="00D16AEA"/>
    <w:rsid w:val="00D16C3F"/>
    <w:rsid w:val="00D16CA7"/>
    <w:rsid w:val="00D16EBC"/>
    <w:rsid w:val="00D16F08"/>
    <w:rsid w:val="00D1702F"/>
    <w:rsid w:val="00D173A3"/>
    <w:rsid w:val="00D17585"/>
    <w:rsid w:val="00D17BA9"/>
    <w:rsid w:val="00D17C54"/>
    <w:rsid w:val="00D17C89"/>
    <w:rsid w:val="00D17E1B"/>
    <w:rsid w:val="00D17EB9"/>
    <w:rsid w:val="00D20053"/>
    <w:rsid w:val="00D2008C"/>
    <w:rsid w:val="00D204EF"/>
    <w:rsid w:val="00D204F8"/>
    <w:rsid w:val="00D20562"/>
    <w:rsid w:val="00D205CB"/>
    <w:rsid w:val="00D205F3"/>
    <w:rsid w:val="00D20612"/>
    <w:rsid w:val="00D2066C"/>
    <w:rsid w:val="00D20A4E"/>
    <w:rsid w:val="00D20F86"/>
    <w:rsid w:val="00D2102A"/>
    <w:rsid w:val="00D21170"/>
    <w:rsid w:val="00D212DB"/>
    <w:rsid w:val="00D2132D"/>
    <w:rsid w:val="00D21504"/>
    <w:rsid w:val="00D2150C"/>
    <w:rsid w:val="00D21593"/>
    <w:rsid w:val="00D21608"/>
    <w:rsid w:val="00D2184F"/>
    <w:rsid w:val="00D21851"/>
    <w:rsid w:val="00D2188E"/>
    <w:rsid w:val="00D218D5"/>
    <w:rsid w:val="00D21A09"/>
    <w:rsid w:val="00D21E45"/>
    <w:rsid w:val="00D21E55"/>
    <w:rsid w:val="00D21FC7"/>
    <w:rsid w:val="00D2201E"/>
    <w:rsid w:val="00D220B2"/>
    <w:rsid w:val="00D223BB"/>
    <w:rsid w:val="00D22431"/>
    <w:rsid w:val="00D2254D"/>
    <w:rsid w:val="00D22600"/>
    <w:rsid w:val="00D22760"/>
    <w:rsid w:val="00D227B9"/>
    <w:rsid w:val="00D2297E"/>
    <w:rsid w:val="00D22A74"/>
    <w:rsid w:val="00D22B9B"/>
    <w:rsid w:val="00D22BB8"/>
    <w:rsid w:val="00D22E36"/>
    <w:rsid w:val="00D22EA5"/>
    <w:rsid w:val="00D22F48"/>
    <w:rsid w:val="00D22FDC"/>
    <w:rsid w:val="00D2307C"/>
    <w:rsid w:val="00D23088"/>
    <w:rsid w:val="00D23152"/>
    <w:rsid w:val="00D23491"/>
    <w:rsid w:val="00D23532"/>
    <w:rsid w:val="00D23614"/>
    <w:rsid w:val="00D23667"/>
    <w:rsid w:val="00D23726"/>
    <w:rsid w:val="00D2373A"/>
    <w:rsid w:val="00D2379D"/>
    <w:rsid w:val="00D237CB"/>
    <w:rsid w:val="00D237FF"/>
    <w:rsid w:val="00D23870"/>
    <w:rsid w:val="00D238AC"/>
    <w:rsid w:val="00D23D27"/>
    <w:rsid w:val="00D23DA4"/>
    <w:rsid w:val="00D23E90"/>
    <w:rsid w:val="00D240BC"/>
    <w:rsid w:val="00D242D7"/>
    <w:rsid w:val="00D24362"/>
    <w:rsid w:val="00D24371"/>
    <w:rsid w:val="00D2439C"/>
    <w:rsid w:val="00D244EF"/>
    <w:rsid w:val="00D245E5"/>
    <w:rsid w:val="00D246BB"/>
    <w:rsid w:val="00D246E3"/>
    <w:rsid w:val="00D248BB"/>
    <w:rsid w:val="00D24AB3"/>
    <w:rsid w:val="00D24AF5"/>
    <w:rsid w:val="00D24B16"/>
    <w:rsid w:val="00D24B78"/>
    <w:rsid w:val="00D24E76"/>
    <w:rsid w:val="00D24F6D"/>
    <w:rsid w:val="00D2503D"/>
    <w:rsid w:val="00D254E0"/>
    <w:rsid w:val="00D255CE"/>
    <w:rsid w:val="00D25730"/>
    <w:rsid w:val="00D25816"/>
    <w:rsid w:val="00D2582B"/>
    <w:rsid w:val="00D25AF7"/>
    <w:rsid w:val="00D25AFB"/>
    <w:rsid w:val="00D25B3A"/>
    <w:rsid w:val="00D25B4C"/>
    <w:rsid w:val="00D25BBC"/>
    <w:rsid w:val="00D25C91"/>
    <w:rsid w:val="00D25D76"/>
    <w:rsid w:val="00D26085"/>
    <w:rsid w:val="00D26096"/>
    <w:rsid w:val="00D261CB"/>
    <w:rsid w:val="00D26308"/>
    <w:rsid w:val="00D2639E"/>
    <w:rsid w:val="00D2668B"/>
    <w:rsid w:val="00D26783"/>
    <w:rsid w:val="00D26CCB"/>
    <w:rsid w:val="00D26FA2"/>
    <w:rsid w:val="00D27105"/>
    <w:rsid w:val="00D27233"/>
    <w:rsid w:val="00D276E1"/>
    <w:rsid w:val="00D277C7"/>
    <w:rsid w:val="00D2784B"/>
    <w:rsid w:val="00D279F1"/>
    <w:rsid w:val="00D27A16"/>
    <w:rsid w:val="00D27D3A"/>
    <w:rsid w:val="00D27E2A"/>
    <w:rsid w:val="00D27E60"/>
    <w:rsid w:val="00D27EDC"/>
    <w:rsid w:val="00D27EEE"/>
    <w:rsid w:val="00D27EF5"/>
    <w:rsid w:val="00D27FF8"/>
    <w:rsid w:val="00D3002D"/>
    <w:rsid w:val="00D302F8"/>
    <w:rsid w:val="00D305B6"/>
    <w:rsid w:val="00D305BF"/>
    <w:rsid w:val="00D30665"/>
    <w:rsid w:val="00D3073A"/>
    <w:rsid w:val="00D30791"/>
    <w:rsid w:val="00D308E2"/>
    <w:rsid w:val="00D309C0"/>
    <w:rsid w:val="00D30BC7"/>
    <w:rsid w:val="00D30EB5"/>
    <w:rsid w:val="00D30F67"/>
    <w:rsid w:val="00D311AD"/>
    <w:rsid w:val="00D311AF"/>
    <w:rsid w:val="00D312DF"/>
    <w:rsid w:val="00D3146F"/>
    <w:rsid w:val="00D31734"/>
    <w:rsid w:val="00D3179A"/>
    <w:rsid w:val="00D31909"/>
    <w:rsid w:val="00D3195C"/>
    <w:rsid w:val="00D31A5F"/>
    <w:rsid w:val="00D31B3D"/>
    <w:rsid w:val="00D31E39"/>
    <w:rsid w:val="00D31EF4"/>
    <w:rsid w:val="00D3217A"/>
    <w:rsid w:val="00D321D1"/>
    <w:rsid w:val="00D322C3"/>
    <w:rsid w:val="00D32406"/>
    <w:rsid w:val="00D32417"/>
    <w:rsid w:val="00D3267A"/>
    <w:rsid w:val="00D327BE"/>
    <w:rsid w:val="00D327E8"/>
    <w:rsid w:val="00D3282F"/>
    <w:rsid w:val="00D328F5"/>
    <w:rsid w:val="00D32B4B"/>
    <w:rsid w:val="00D32B8B"/>
    <w:rsid w:val="00D32C7A"/>
    <w:rsid w:val="00D32D85"/>
    <w:rsid w:val="00D32F77"/>
    <w:rsid w:val="00D32FEA"/>
    <w:rsid w:val="00D330D9"/>
    <w:rsid w:val="00D332EF"/>
    <w:rsid w:val="00D333B9"/>
    <w:rsid w:val="00D333C9"/>
    <w:rsid w:val="00D335BC"/>
    <w:rsid w:val="00D3367A"/>
    <w:rsid w:val="00D337F7"/>
    <w:rsid w:val="00D33B44"/>
    <w:rsid w:val="00D33BBC"/>
    <w:rsid w:val="00D33BC5"/>
    <w:rsid w:val="00D33C5E"/>
    <w:rsid w:val="00D33FE8"/>
    <w:rsid w:val="00D340F9"/>
    <w:rsid w:val="00D34113"/>
    <w:rsid w:val="00D34185"/>
    <w:rsid w:val="00D34191"/>
    <w:rsid w:val="00D341CF"/>
    <w:rsid w:val="00D34289"/>
    <w:rsid w:val="00D34406"/>
    <w:rsid w:val="00D344A5"/>
    <w:rsid w:val="00D346C3"/>
    <w:rsid w:val="00D34712"/>
    <w:rsid w:val="00D3486C"/>
    <w:rsid w:val="00D34A23"/>
    <w:rsid w:val="00D34B81"/>
    <w:rsid w:val="00D34BF4"/>
    <w:rsid w:val="00D34C0F"/>
    <w:rsid w:val="00D34D5E"/>
    <w:rsid w:val="00D34DAA"/>
    <w:rsid w:val="00D34E5F"/>
    <w:rsid w:val="00D35021"/>
    <w:rsid w:val="00D3509F"/>
    <w:rsid w:val="00D3516D"/>
    <w:rsid w:val="00D3524E"/>
    <w:rsid w:val="00D3536A"/>
    <w:rsid w:val="00D3548F"/>
    <w:rsid w:val="00D3555F"/>
    <w:rsid w:val="00D3559F"/>
    <w:rsid w:val="00D35685"/>
    <w:rsid w:val="00D356F5"/>
    <w:rsid w:val="00D35820"/>
    <w:rsid w:val="00D35895"/>
    <w:rsid w:val="00D35B78"/>
    <w:rsid w:val="00D35BEE"/>
    <w:rsid w:val="00D35C8A"/>
    <w:rsid w:val="00D35E7B"/>
    <w:rsid w:val="00D35F84"/>
    <w:rsid w:val="00D3624D"/>
    <w:rsid w:val="00D3630A"/>
    <w:rsid w:val="00D3658C"/>
    <w:rsid w:val="00D365D4"/>
    <w:rsid w:val="00D3663B"/>
    <w:rsid w:val="00D3669A"/>
    <w:rsid w:val="00D36712"/>
    <w:rsid w:val="00D3676C"/>
    <w:rsid w:val="00D3690B"/>
    <w:rsid w:val="00D36926"/>
    <w:rsid w:val="00D369A5"/>
    <w:rsid w:val="00D36A08"/>
    <w:rsid w:val="00D36AE3"/>
    <w:rsid w:val="00D36C06"/>
    <w:rsid w:val="00D36F89"/>
    <w:rsid w:val="00D3705F"/>
    <w:rsid w:val="00D370D6"/>
    <w:rsid w:val="00D370EB"/>
    <w:rsid w:val="00D372C0"/>
    <w:rsid w:val="00D373A0"/>
    <w:rsid w:val="00D37555"/>
    <w:rsid w:val="00D37719"/>
    <w:rsid w:val="00D37759"/>
    <w:rsid w:val="00D377A2"/>
    <w:rsid w:val="00D378B9"/>
    <w:rsid w:val="00D379A7"/>
    <w:rsid w:val="00D37AF2"/>
    <w:rsid w:val="00D37B3C"/>
    <w:rsid w:val="00D37CF9"/>
    <w:rsid w:val="00D37F05"/>
    <w:rsid w:val="00D402EE"/>
    <w:rsid w:val="00D40415"/>
    <w:rsid w:val="00D40444"/>
    <w:rsid w:val="00D404AD"/>
    <w:rsid w:val="00D406A6"/>
    <w:rsid w:val="00D40703"/>
    <w:rsid w:val="00D40781"/>
    <w:rsid w:val="00D407B4"/>
    <w:rsid w:val="00D40808"/>
    <w:rsid w:val="00D408F6"/>
    <w:rsid w:val="00D40921"/>
    <w:rsid w:val="00D40992"/>
    <w:rsid w:val="00D40B43"/>
    <w:rsid w:val="00D40C92"/>
    <w:rsid w:val="00D40D57"/>
    <w:rsid w:val="00D40FF4"/>
    <w:rsid w:val="00D4177B"/>
    <w:rsid w:val="00D41833"/>
    <w:rsid w:val="00D41964"/>
    <w:rsid w:val="00D41C2A"/>
    <w:rsid w:val="00D41D41"/>
    <w:rsid w:val="00D41DC3"/>
    <w:rsid w:val="00D41DD5"/>
    <w:rsid w:val="00D420B0"/>
    <w:rsid w:val="00D42118"/>
    <w:rsid w:val="00D4211F"/>
    <w:rsid w:val="00D4222F"/>
    <w:rsid w:val="00D422A6"/>
    <w:rsid w:val="00D422D1"/>
    <w:rsid w:val="00D422FD"/>
    <w:rsid w:val="00D42351"/>
    <w:rsid w:val="00D42508"/>
    <w:rsid w:val="00D427A2"/>
    <w:rsid w:val="00D42938"/>
    <w:rsid w:val="00D42960"/>
    <w:rsid w:val="00D42EB8"/>
    <w:rsid w:val="00D42F12"/>
    <w:rsid w:val="00D42F45"/>
    <w:rsid w:val="00D42FEA"/>
    <w:rsid w:val="00D42FF9"/>
    <w:rsid w:val="00D43333"/>
    <w:rsid w:val="00D4335F"/>
    <w:rsid w:val="00D4340F"/>
    <w:rsid w:val="00D43477"/>
    <w:rsid w:val="00D435E3"/>
    <w:rsid w:val="00D4388B"/>
    <w:rsid w:val="00D43ADC"/>
    <w:rsid w:val="00D43B66"/>
    <w:rsid w:val="00D43E33"/>
    <w:rsid w:val="00D43ED4"/>
    <w:rsid w:val="00D43EF6"/>
    <w:rsid w:val="00D43F2D"/>
    <w:rsid w:val="00D43FCB"/>
    <w:rsid w:val="00D44066"/>
    <w:rsid w:val="00D442A6"/>
    <w:rsid w:val="00D44371"/>
    <w:rsid w:val="00D4489D"/>
    <w:rsid w:val="00D448A4"/>
    <w:rsid w:val="00D4492F"/>
    <w:rsid w:val="00D44965"/>
    <w:rsid w:val="00D44B8C"/>
    <w:rsid w:val="00D44D64"/>
    <w:rsid w:val="00D44F08"/>
    <w:rsid w:val="00D45030"/>
    <w:rsid w:val="00D451A4"/>
    <w:rsid w:val="00D45360"/>
    <w:rsid w:val="00D45754"/>
    <w:rsid w:val="00D457CE"/>
    <w:rsid w:val="00D45A04"/>
    <w:rsid w:val="00D45F89"/>
    <w:rsid w:val="00D46202"/>
    <w:rsid w:val="00D465A7"/>
    <w:rsid w:val="00D4660A"/>
    <w:rsid w:val="00D46669"/>
    <w:rsid w:val="00D4666B"/>
    <w:rsid w:val="00D46778"/>
    <w:rsid w:val="00D467CC"/>
    <w:rsid w:val="00D468EE"/>
    <w:rsid w:val="00D46937"/>
    <w:rsid w:val="00D469E6"/>
    <w:rsid w:val="00D46A50"/>
    <w:rsid w:val="00D46A88"/>
    <w:rsid w:val="00D46CDF"/>
    <w:rsid w:val="00D46D7A"/>
    <w:rsid w:val="00D46E0C"/>
    <w:rsid w:val="00D46E4F"/>
    <w:rsid w:val="00D46E7D"/>
    <w:rsid w:val="00D46EEE"/>
    <w:rsid w:val="00D46FE6"/>
    <w:rsid w:val="00D46FF9"/>
    <w:rsid w:val="00D47091"/>
    <w:rsid w:val="00D4721C"/>
    <w:rsid w:val="00D4722C"/>
    <w:rsid w:val="00D47425"/>
    <w:rsid w:val="00D474FF"/>
    <w:rsid w:val="00D475E7"/>
    <w:rsid w:val="00D47604"/>
    <w:rsid w:val="00D47778"/>
    <w:rsid w:val="00D47944"/>
    <w:rsid w:val="00D47AF3"/>
    <w:rsid w:val="00D47B48"/>
    <w:rsid w:val="00D47B5D"/>
    <w:rsid w:val="00D47C51"/>
    <w:rsid w:val="00D47D81"/>
    <w:rsid w:val="00D47E39"/>
    <w:rsid w:val="00D47F48"/>
    <w:rsid w:val="00D501FE"/>
    <w:rsid w:val="00D5026A"/>
    <w:rsid w:val="00D502FC"/>
    <w:rsid w:val="00D50570"/>
    <w:rsid w:val="00D5057D"/>
    <w:rsid w:val="00D50829"/>
    <w:rsid w:val="00D50844"/>
    <w:rsid w:val="00D50894"/>
    <w:rsid w:val="00D508B5"/>
    <w:rsid w:val="00D50B12"/>
    <w:rsid w:val="00D50B13"/>
    <w:rsid w:val="00D50BAB"/>
    <w:rsid w:val="00D50CA0"/>
    <w:rsid w:val="00D50CBF"/>
    <w:rsid w:val="00D50D7A"/>
    <w:rsid w:val="00D50F7C"/>
    <w:rsid w:val="00D510C1"/>
    <w:rsid w:val="00D5138A"/>
    <w:rsid w:val="00D513BB"/>
    <w:rsid w:val="00D51576"/>
    <w:rsid w:val="00D51930"/>
    <w:rsid w:val="00D51989"/>
    <w:rsid w:val="00D51A72"/>
    <w:rsid w:val="00D51A82"/>
    <w:rsid w:val="00D51AC2"/>
    <w:rsid w:val="00D51ADA"/>
    <w:rsid w:val="00D51AFA"/>
    <w:rsid w:val="00D51C09"/>
    <w:rsid w:val="00D51C72"/>
    <w:rsid w:val="00D51C89"/>
    <w:rsid w:val="00D51DAC"/>
    <w:rsid w:val="00D51DBB"/>
    <w:rsid w:val="00D51E55"/>
    <w:rsid w:val="00D51FED"/>
    <w:rsid w:val="00D52148"/>
    <w:rsid w:val="00D521E2"/>
    <w:rsid w:val="00D5233B"/>
    <w:rsid w:val="00D52424"/>
    <w:rsid w:val="00D5242B"/>
    <w:rsid w:val="00D52447"/>
    <w:rsid w:val="00D5255E"/>
    <w:rsid w:val="00D5286C"/>
    <w:rsid w:val="00D52B5D"/>
    <w:rsid w:val="00D52C19"/>
    <w:rsid w:val="00D52DDD"/>
    <w:rsid w:val="00D52E47"/>
    <w:rsid w:val="00D52EB0"/>
    <w:rsid w:val="00D52F72"/>
    <w:rsid w:val="00D530BA"/>
    <w:rsid w:val="00D53145"/>
    <w:rsid w:val="00D5323D"/>
    <w:rsid w:val="00D532DB"/>
    <w:rsid w:val="00D533D4"/>
    <w:rsid w:val="00D53479"/>
    <w:rsid w:val="00D534F8"/>
    <w:rsid w:val="00D535AD"/>
    <w:rsid w:val="00D537B3"/>
    <w:rsid w:val="00D539E3"/>
    <w:rsid w:val="00D53AA6"/>
    <w:rsid w:val="00D53AD4"/>
    <w:rsid w:val="00D53C77"/>
    <w:rsid w:val="00D53CC4"/>
    <w:rsid w:val="00D53D48"/>
    <w:rsid w:val="00D53D6F"/>
    <w:rsid w:val="00D53F31"/>
    <w:rsid w:val="00D5401F"/>
    <w:rsid w:val="00D5410B"/>
    <w:rsid w:val="00D54185"/>
    <w:rsid w:val="00D54330"/>
    <w:rsid w:val="00D543D1"/>
    <w:rsid w:val="00D543D5"/>
    <w:rsid w:val="00D54685"/>
    <w:rsid w:val="00D54A04"/>
    <w:rsid w:val="00D54AC0"/>
    <w:rsid w:val="00D54C2A"/>
    <w:rsid w:val="00D54C37"/>
    <w:rsid w:val="00D54C49"/>
    <w:rsid w:val="00D54CB4"/>
    <w:rsid w:val="00D54E10"/>
    <w:rsid w:val="00D54E54"/>
    <w:rsid w:val="00D5505C"/>
    <w:rsid w:val="00D552BF"/>
    <w:rsid w:val="00D55375"/>
    <w:rsid w:val="00D555AB"/>
    <w:rsid w:val="00D556B2"/>
    <w:rsid w:val="00D557AA"/>
    <w:rsid w:val="00D557C8"/>
    <w:rsid w:val="00D5583D"/>
    <w:rsid w:val="00D55897"/>
    <w:rsid w:val="00D559E0"/>
    <w:rsid w:val="00D55AA0"/>
    <w:rsid w:val="00D55AD5"/>
    <w:rsid w:val="00D55B53"/>
    <w:rsid w:val="00D55D0B"/>
    <w:rsid w:val="00D55DFC"/>
    <w:rsid w:val="00D55F50"/>
    <w:rsid w:val="00D561CD"/>
    <w:rsid w:val="00D562DD"/>
    <w:rsid w:val="00D563AC"/>
    <w:rsid w:val="00D56524"/>
    <w:rsid w:val="00D56582"/>
    <w:rsid w:val="00D566B5"/>
    <w:rsid w:val="00D56728"/>
    <w:rsid w:val="00D56742"/>
    <w:rsid w:val="00D5675C"/>
    <w:rsid w:val="00D5688E"/>
    <w:rsid w:val="00D56944"/>
    <w:rsid w:val="00D5697B"/>
    <w:rsid w:val="00D56995"/>
    <w:rsid w:val="00D56BF6"/>
    <w:rsid w:val="00D5743B"/>
    <w:rsid w:val="00D574D3"/>
    <w:rsid w:val="00D57521"/>
    <w:rsid w:val="00D57780"/>
    <w:rsid w:val="00D5792B"/>
    <w:rsid w:val="00D579C8"/>
    <w:rsid w:val="00D579CA"/>
    <w:rsid w:val="00D57A8A"/>
    <w:rsid w:val="00D57C02"/>
    <w:rsid w:val="00D60093"/>
    <w:rsid w:val="00D600E0"/>
    <w:rsid w:val="00D6011D"/>
    <w:rsid w:val="00D60199"/>
    <w:rsid w:val="00D602E7"/>
    <w:rsid w:val="00D602F4"/>
    <w:rsid w:val="00D604AF"/>
    <w:rsid w:val="00D60856"/>
    <w:rsid w:val="00D60CD4"/>
    <w:rsid w:val="00D60D63"/>
    <w:rsid w:val="00D60E26"/>
    <w:rsid w:val="00D60E97"/>
    <w:rsid w:val="00D61526"/>
    <w:rsid w:val="00D6153E"/>
    <w:rsid w:val="00D61744"/>
    <w:rsid w:val="00D617D0"/>
    <w:rsid w:val="00D6184C"/>
    <w:rsid w:val="00D619E9"/>
    <w:rsid w:val="00D61AFB"/>
    <w:rsid w:val="00D61C4D"/>
    <w:rsid w:val="00D61EE2"/>
    <w:rsid w:val="00D62119"/>
    <w:rsid w:val="00D6229B"/>
    <w:rsid w:val="00D622E5"/>
    <w:rsid w:val="00D622F3"/>
    <w:rsid w:val="00D62357"/>
    <w:rsid w:val="00D623BF"/>
    <w:rsid w:val="00D6250E"/>
    <w:rsid w:val="00D62547"/>
    <w:rsid w:val="00D62552"/>
    <w:rsid w:val="00D625DC"/>
    <w:rsid w:val="00D626A3"/>
    <w:rsid w:val="00D62809"/>
    <w:rsid w:val="00D6294C"/>
    <w:rsid w:val="00D629E8"/>
    <w:rsid w:val="00D62AEB"/>
    <w:rsid w:val="00D62DDC"/>
    <w:rsid w:val="00D62F47"/>
    <w:rsid w:val="00D630C7"/>
    <w:rsid w:val="00D63102"/>
    <w:rsid w:val="00D63373"/>
    <w:rsid w:val="00D634D2"/>
    <w:rsid w:val="00D635E5"/>
    <w:rsid w:val="00D63611"/>
    <w:rsid w:val="00D6365C"/>
    <w:rsid w:val="00D637D9"/>
    <w:rsid w:val="00D63834"/>
    <w:rsid w:val="00D63907"/>
    <w:rsid w:val="00D63954"/>
    <w:rsid w:val="00D63D7E"/>
    <w:rsid w:val="00D63E14"/>
    <w:rsid w:val="00D63E6A"/>
    <w:rsid w:val="00D63FF5"/>
    <w:rsid w:val="00D64002"/>
    <w:rsid w:val="00D64005"/>
    <w:rsid w:val="00D64038"/>
    <w:rsid w:val="00D641A8"/>
    <w:rsid w:val="00D641DB"/>
    <w:rsid w:val="00D642BD"/>
    <w:rsid w:val="00D64678"/>
    <w:rsid w:val="00D646D6"/>
    <w:rsid w:val="00D64AA5"/>
    <w:rsid w:val="00D64B2E"/>
    <w:rsid w:val="00D64B9C"/>
    <w:rsid w:val="00D64E37"/>
    <w:rsid w:val="00D64F45"/>
    <w:rsid w:val="00D651CD"/>
    <w:rsid w:val="00D651E4"/>
    <w:rsid w:val="00D653DF"/>
    <w:rsid w:val="00D65449"/>
    <w:rsid w:val="00D6555F"/>
    <w:rsid w:val="00D655FA"/>
    <w:rsid w:val="00D65814"/>
    <w:rsid w:val="00D65884"/>
    <w:rsid w:val="00D65908"/>
    <w:rsid w:val="00D65969"/>
    <w:rsid w:val="00D659A4"/>
    <w:rsid w:val="00D65ABF"/>
    <w:rsid w:val="00D65BEE"/>
    <w:rsid w:val="00D6603A"/>
    <w:rsid w:val="00D660D0"/>
    <w:rsid w:val="00D66327"/>
    <w:rsid w:val="00D66623"/>
    <w:rsid w:val="00D666E1"/>
    <w:rsid w:val="00D66923"/>
    <w:rsid w:val="00D66AEA"/>
    <w:rsid w:val="00D66B7C"/>
    <w:rsid w:val="00D66C85"/>
    <w:rsid w:val="00D6703D"/>
    <w:rsid w:val="00D670C3"/>
    <w:rsid w:val="00D67104"/>
    <w:rsid w:val="00D674E4"/>
    <w:rsid w:val="00D675B9"/>
    <w:rsid w:val="00D675D0"/>
    <w:rsid w:val="00D676D8"/>
    <w:rsid w:val="00D67757"/>
    <w:rsid w:val="00D67762"/>
    <w:rsid w:val="00D6778B"/>
    <w:rsid w:val="00D67929"/>
    <w:rsid w:val="00D67976"/>
    <w:rsid w:val="00D67A9F"/>
    <w:rsid w:val="00D67CB8"/>
    <w:rsid w:val="00D67E7C"/>
    <w:rsid w:val="00D70036"/>
    <w:rsid w:val="00D700A7"/>
    <w:rsid w:val="00D700CE"/>
    <w:rsid w:val="00D70292"/>
    <w:rsid w:val="00D70327"/>
    <w:rsid w:val="00D7079A"/>
    <w:rsid w:val="00D707E3"/>
    <w:rsid w:val="00D70A11"/>
    <w:rsid w:val="00D70A47"/>
    <w:rsid w:val="00D70BB0"/>
    <w:rsid w:val="00D70DD9"/>
    <w:rsid w:val="00D70F39"/>
    <w:rsid w:val="00D713CA"/>
    <w:rsid w:val="00D714B1"/>
    <w:rsid w:val="00D714CF"/>
    <w:rsid w:val="00D7156B"/>
    <w:rsid w:val="00D715D7"/>
    <w:rsid w:val="00D717BE"/>
    <w:rsid w:val="00D71ACE"/>
    <w:rsid w:val="00D71BC9"/>
    <w:rsid w:val="00D71C48"/>
    <w:rsid w:val="00D71DD3"/>
    <w:rsid w:val="00D71E4A"/>
    <w:rsid w:val="00D71E7D"/>
    <w:rsid w:val="00D71EE1"/>
    <w:rsid w:val="00D71EF4"/>
    <w:rsid w:val="00D71F7B"/>
    <w:rsid w:val="00D71FF3"/>
    <w:rsid w:val="00D72618"/>
    <w:rsid w:val="00D726A3"/>
    <w:rsid w:val="00D726F7"/>
    <w:rsid w:val="00D728D1"/>
    <w:rsid w:val="00D72BED"/>
    <w:rsid w:val="00D72CE3"/>
    <w:rsid w:val="00D72F17"/>
    <w:rsid w:val="00D73238"/>
    <w:rsid w:val="00D73246"/>
    <w:rsid w:val="00D73273"/>
    <w:rsid w:val="00D7332C"/>
    <w:rsid w:val="00D733A9"/>
    <w:rsid w:val="00D734FC"/>
    <w:rsid w:val="00D735E3"/>
    <w:rsid w:val="00D736A6"/>
    <w:rsid w:val="00D73888"/>
    <w:rsid w:val="00D73A7D"/>
    <w:rsid w:val="00D73AB9"/>
    <w:rsid w:val="00D73B6E"/>
    <w:rsid w:val="00D73DC0"/>
    <w:rsid w:val="00D73E77"/>
    <w:rsid w:val="00D73F68"/>
    <w:rsid w:val="00D73F8C"/>
    <w:rsid w:val="00D74206"/>
    <w:rsid w:val="00D742A2"/>
    <w:rsid w:val="00D7433F"/>
    <w:rsid w:val="00D74360"/>
    <w:rsid w:val="00D74546"/>
    <w:rsid w:val="00D745C6"/>
    <w:rsid w:val="00D746F4"/>
    <w:rsid w:val="00D74A25"/>
    <w:rsid w:val="00D74B5D"/>
    <w:rsid w:val="00D74C4F"/>
    <w:rsid w:val="00D74CB8"/>
    <w:rsid w:val="00D74D03"/>
    <w:rsid w:val="00D74D59"/>
    <w:rsid w:val="00D74DE3"/>
    <w:rsid w:val="00D74EFC"/>
    <w:rsid w:val="00D74F53"/>
    <w:rsid w:val="00D74F83"/>
    <w:rsid w:val="00D750FB"/>
    <w:rsid w:val="00D75286"/>
    <w:rsid w:val="00D75572"/>
    <w:rsid w:val="00D75751"/>
    <w:rsid w:val="00D758B7"/>
    <w:rsid w:val="00D75942"/>
    <w:rsid w:val="00D75A22"/>
    <w:rsid w:val="00D75AC1"/>
    <w:rsid w:val="00D75BB9"/>
    <w:rsid w:val="00D75BC1"/>
    <w:rsid w:val="00D75C9F"/>
    <w:rsid w:val="00D75D07"/>
    <w:rsid w:val="00D75E21"/>
    <w:rsid w:val="00D75FAA"/>
    <w:rsid w:val="00D75FBC"/>
    <w:rsid w:val="00D760C6"/>
    <w:rsid w:val="00D760F3"/>
    <w:rsid w:val="00D761A4"/>
    <w:rsid w:val="00D76401"/>
    <w:rsid w:val="00D765DA"/>
    <w:rsid w:val="00D769BF"/>
    <w:rsid w:val="00D76A0F"/>
    <w:rsid w:val="00D76D10"/>
    <w:rsid w:val="00D76FC0"/>
    <w:rsid w:val="00D77124"/>
    <w:rsid w:val="00D7721C"/>
    <w:rsid w:val="00D7731D"/>
    <w:rsid w:val="00D773A3"/>
    <w:rsid w:val="00D773BC"/>
    <w:rsid w:val="00D77471"/>
    <w:rsid w:val="00D775A5"/>
    <w:rsid w:val="00D775BD"/>
    <w:rsid w:val="00D775EF"/>
    <w:rsid w:val="00D775F3"/>
    <w:rsid w:val="00D776D7"/>
    <w:rsid w:val="00D777EA"/>
    <w:rsid w:val="00D779CA"/>
    <w:rsid w:val="00D77B45"/>
    <w:rsid w:val="00D77C8B"/>
    <w:rsid w:val="00D77CBC"/>
    <w:rsid w:val="00D77D48"/>
    <w:rsid w:val="00D77DCA"/>
    <w:rsid w:val="00D77EF7"/>
    <w:rsid w:val="00D77FBF"/>
    <w:rsid w:val="00D8011F"/>
    <w:rsid w:val="00D801C2"/>
    <w:rsid w:val="00D801F6"/>
    <w:rsid w:val="00D803E9"/>
    <w:rsid w:val="00D8046B"/>
    <w:rsid w:val="00D80792"/>
    <w:rsid w:val="00D807C0"/>
    <w:rsid w:val="00D808D9"/>
    <w:rsid w:val="00D80BD2"/>
    <w:rsid w:val="00D80C59"/>
    <w:rsid w:val="00D80D23"/>
    <w:rsid w:val="00D80E56"/>
    <w:rsid w:val="00D810DD"/>
    <w:rsid w:val="00D81113"/>
    <w:rsid w:val="00D812E0"/>
    <w:rsid w:val="00D81446"/>
    <w:rsid w:val="00D8152D"/>
    <w:rsid w:val="00D815D2"/>
    <w:rsid w:val="00D8162C"/>
    <w:rsid w:val="00D8186C"/>
    <w:rsid w:val="00D818ED"/>
    <w:rsid w:val="00D81A4B"/>
    <w:rsid w:val="00D81C25"/>
    <w:rsid w:val="00D81CF9"/>
    <w:rsid w:val="00D81D63"/>
    <w:rsid w:val="00D81D66"/>
    <w:rsid w:val="00D820DC"/>
    <w:rsid w:val="00D8211D"/>
    <w:rsid w:val="00D82158"/>
    <w:rsid w:val="00D823F0"/>
    <w:rsid w:val="00D82772"/>
    <w:rsid w:val="00D82923"/>
    <w:rsid w:val="00D82A8C"/>
    <w:rsid w:val="00D82AE0"/>
    <w:rsid w:val="00D82C16"/>
    <w:rsid w:val="00D82F9F"/>
    <w:rsid w:val="00D82FD0"/>
    <w:rsid w:val="00D8303A"/>
    <w:rsid w:val="00D83318"/>
    <w:rsid w:val="00D833EE"/>
    <w:rsid w:val="00D8341C"/>
    <w:rsid w:val="00D83474"/>
    <w:rsid w:val="00D83495"/>
    <w:rsid w:val="00D83575"/>
    <w:rsid w:val="00D835B2"/>
    <w:rsid w:val="00D8364E"/>
    <w:rsid w:val="00D8365F"/>
    <w:rsid w:val="00D83775"/>
    <w:rsid w:val="00D83871"/>
    <w:rsid w:val="00D839D1"/>
    <w:rsid w:val="00D83CD9"/>
    <w:rsid w:val="00D83CE2"/>
    <w:rsid w:val="00D8402A"/>
    <w:rsid w:val="00D84162"/>
    <w:rsid w:val="00D84166"/>
    <w:rsid w:val="00D84212"/>
    <w:rsid w:val="00D84230"/>
    <w:rsid w:val="00D843F9"/>
    <w:rsid w:val="00D84558"/>
    <w:rsid w:val="00D84650"/>
    <w:rsid w:val="00D8483C"/>
    <w:rsid w:val="00D8498C"/>
    <w:rsid w:val="00D84A49"/>
    <w:rsid w:val="00D84B8E"/>
    <w:rsid w:val="00D84C7D"/>
    <w:rsid w:val="00D84DAB"/>
    <w:rsid w:val="00D84DDF"/>
    <w:rsid w:val="00D84EDF"/>
    <w:rsid w:val="00D85214"/>
    <w:rsid w:val="00D8527B"/>
    <w:rsid w:val="00D85293"/>
    <w:rsid w:val="00D8533C"/>
    <w:rsid w:val="00D853BA"/>
    <w:rsid w:val="00D8545F"/>
    <w:rsid w:val="00D8572C"/>
    <w:rsid w:val="00D8583A"/>
    <w:rsid w:val="00D85869"/>
    <w:rsid w:val="00D85A30"/>
    <w:rsid w:val="00D85A5E"/>
    <w:rsid w:val="00D85BC3"/>
    <w:rsid w:val="00D85DAB"/>
    <w:rsid w:val="00D85F4C"/>
    <w:rsid w:val="00D86044"/>
    <w:rsid w:val="00D8609E"/>
    <w:rsid w:val="00D86124"/>
    <w:rsid w:val="00D861A8"/>
    <w:rsid w:val="00D86526"/>
    <w:rsid w:val="00D865E2"/>
    <w:rsid w:val="00D86A35"/>
    <w:rsid w:val="00D86B1C"/>
    <w:rsid w:val="00D86BFF"/>
    <w:rsid w:val="00D86C9A"/>
    <w:rsid w:val="00D86D44"/>
    <w:rsid w:val="00D870F2"/>
    <w:rsid w:val="00D871A3"/>
    <w:rsid w:val="00D87262"/>
    <w:rsid w:val="00D87289"/>
    <w:rsid w:val="00D87AC0"/>
    <w:rsid w:val="00D90008"/>
    <w:rsid w:val="00D9003A"/>
    <w:rsid w:val="00D9031D"/>
    <w:rsid w:val="00D903CE"/>
    <w:rsid w:val="00D906AA"/>
    <w:rsid w:val="00D9070C"/>
    <w:rsid w:val="00D9081B"/>
    <w:rsid w:val="00D909F6"/>
    <w:rsid w:val="00D90B2F"/>
    <w:rsid w:val="00D90C10"/>
    <w:rsid w:val="00D90D0B"/>
    <w:rsid w:val="00D90DF3"/>
    <w:rsid w:val="00D91079"/>
    <w:rsid w:val="00D911BF"/>
    <w:rsid w:val="00D911CB"/>
    <w:rsid w:val="00D9123D"/>
    <w:rsid w:val="00D912FB"/>
    <w:rsid w:val="00D917EB"/>
    <w:rsid w:val="00D91842"/>
    <w:rsid w:val="00D91B9A"/>
    <w:rsid w:val="00D91C1D"/>
    <w:rsid w:val="00D91DFD"/>
    <w:rsid w:val="00D91E03"/>
    <w:rsid w:val="00D91E4C"/>
    <w:rsid w:val="00D921BC"/>
    <w:rsid w:val="00D924E8"/>
    <w:rsid w:val="00D9254C"/>
    <w:rsid w:val="00D925F6"/>
    <w:rsid w:val="00D9264F"/>
    <w:rsid w:val="00D92691"/>
    <w:rsid w:val="00D926AC"/>
    <w:rsid w:val="00D926B1"/>
    <w:rsid w:val="00D92966"/>
    <w:rsid w:val="00D92A70"/>
    <w:rsid w:val="00D92AAA"/>
    <w:rsid w:val="00D92B9C"/>
    <w:rsid w:val="00D92BD1"/>
    <w:rsid w:val="00D92D24"/>
    <w:rsid w:val="00D93029"/>
    <w:rsid w:val="00D93353"/>
    <w:rsid w:val="00D93373"/>
    <w:rsid w:val="00D93404"/>
    <w:rsid w:val="00D93450"/>
    <w:rsid w:val="00D9345A"/>
    <w:rsid w:val="00D934A2"/>
    <w:rsid w:val="00D93590"/>
    <w:rsid w:val="00D935A1"/>
    <w:rsid w:val="00D935BD"/>
    <w:rsid w:val="00D936FE"/>
    <w:rsid w:val="00D93BFB"/>
    <w:rsid w:val="00D93DD9"/>
    <w:rsid w:val="00D93E14"/>
    <w:rsid w:val="00D93E1D"/>
    <w:rsid w:val="00D93E81"/>
    <w:rsid w:val="00D93EEC"/>
    <w:rsid w:val="00D940D5"/>
    <w:rsid w:val="00D94195"/>
    <w:rsid w:val="00D9437A"/>
    <w:rsid w:val="00D943F0"/>
    <w:rsid w:val="00D945B8"/>
    <w:rsid w:val="00D945F0"/>
    <w:rsid w:val="00D94648"/>
    <w:rsid w:val="00D9475F"/>
    <w:rsid w:val="00D9481B"/>
    <w:rsid w:val="00D949DC"/>
    <w:rsid w:val="00D94A6C"/>
    <w:rsid w:val="00D94B30"/>
    <w:rsid w:val="00D94B69"/>
    <w:rsid w:val="00D94C2C"/>
    <w:rsid w:val="00D94C58"/>
    <w:rsid w:val="00D94CD6"/>
    <w:rsid w:val="00D94D6E"/>
    <w:rsid w:val="00D94DEC"/>
    <w:rsid w:val="00D94ECF"/>
    <w:rsid w:val="00D9508F"/>
    <w:rsid w:val="00D952A8"/>
    <w:rsid w:val="00D957A2"/>
    <w:rsid w:val="00D9583E"/>
    <w:rsid w:val="00D95877"/>
    <w:rsid w:val="00D9597D"/>
    <w:rsid w:val="00D95BC6"/>
    <w:rsid w:val="00D95C36"/>
    <w:rsid w:val="00D95EE4"/>
    <w:rsid w:val="00D95F96"/>
    <w:rsid w:val="00D9605E"/>
    <w:rsid w:val="00D962AA"/>
    <w:rsid w:val="00D96D13"/>
    <w:rsid w:val="00D96F5A"/>
    <w:rsid w:val="00D9734C"/>
    <w:rsid w:val="00D97400"/>
    <w:rsid w:val="00D97454"/>
    <w:rsid w:val="00D97558"/>
    <w:rsid w:val="00D97750"/>
    <w:rsid w:val="00D977FA"/>
    <w:rsid w:val="00D978F5"/>
    <w:rsid w:val="00D9798F"/>
    <w:rsid w:val="00D97AE8"/>
    <w:rsid w:val="00D97DE5"/>
    <w:rsid w:val="00D97DE6"/>
    <w:rsid w:val="00D97DF7"/>
    <w:rsid w:val="00D97E16"/>
    <w:rsid w:val="00DA003A"/>
    <w:rsid w:val="00DA0122"/>
    <w:rsid w:val="00DA0163"/>
    <w:rsid w:val="00DA0228"/>
    <w:rsid w:val="00DA038D"/>
    <w:rsid w:val="00DA0788"/>
    <w:rsid w:val="00DA09EA"/>
    <w:rsid w:val="00DA0A07"/>
    <w:rsid w:val="00DA0B23"/>
    <w:rsid w:val="00DA0C01"/>
    <w:rsid w:val="00DA0DB4"/>
    <w:rsid w:val="00DA0EE8"/>
    <w:rsid w:val="00DA0EED"/>
    <w:rsid w:val="00DA1140"/>
    <w:rsid w:val="00DA1217"/>
    <w:rsid w:val="00DA14B3"/>
    <w:rsid w:val="00DA1535"/>
    <w:rsid w:val="00DA16E4"/>
    <w:rsid w:val="00DA174F"/>
    <w:rsid w:val="00DA17B3"/>
    <w:rsid w:val="00DA1818"/>
    <w:rsid w:val="00DA1A22"/>
    <w:rsid w:val="00DA1CB6"/>
    <w:rsid w:val="00DA1D29"/>
    <w:rsid w:val="00DA1F38"/>
    <w:rsid w:val="00DA1FE6"/>
    <w:rsid w:val="00DA207E"/>
    <w:rsid w:val="00DA209F"/>
    <w:rsid w:val="00DA20D2"/>
    <w:rsid w:val="00DA220D"/>
    <w:rsid w:val="00DA2352"/>
    <w:rsid w:val="00DA24CB"/>
    <w:rsid w:val="00DA26D6"/>
    <w:rsid w:val="00DA2A5E"/>
    <w:rsid w:val="00DA2CBF"/>
    <w:rsid w:val="00DA2D8A"/>
    <w:rsid w:val="00DA2E13"/>
    <w:rsid w:val="00DA2EFF"/>
    <w:rsid w:val="00DA2F5B"/>
    <w:rsid w:val="00DA3207"/>
    <w:rsid w:val="00DA3348"/>
    <w:rsid w:val="00DA36A1"/>
    <w:rsid w:val="00DA36F0"/>
    <w:rsid w:val="00DA371E"/>
    <w:rsid w:val="00DA390F"/>
    <w:rsid w:val="00DA396B"/>
    <w:rsid w:val="00DA3B3E"/>
    <w:rsid w:val="00DA3B96"/>
    <w:rsid w:val="00DA3E9C"/>
    <w:rsid w:val="00DA41B4"/>
    <w:rsid w:val="00DA4224"/>
    <w:rsid w:val="00DA42EA"/>
    <w:rsid w:val="00DA440D"/>
    <w:rsid w:val="00DA4601"/>
    <w:rsid w:val="00DA46FE"/>
    <w:rsid w:val="00DA48CE"/>
    <w:rsid w:val="00DA4A5A"/>
    <w:rsid w:val="00DA4A69"/>
    <w:rsid w:val="00DA4B0C"/>
    <w:rsid w:val="00DA507C"/>
    <w:rsid w:val="00DA5536"/>
    <w:rsid w:val="00DA55F6"/>
    <w:rsid w:val="00DA561C"/>
    <w:rsid w:val="00DA56BD"/>
    <w:rsid w:val="00DA57BA"/>
    <w:rsid w:val="00DA595F"/>
    <w:rsid w:val="00DA5982"/>
    <w:rsid w:val="00DA59CD"/>
    <w:rsid w:val="00DA5A76"/>
    <w:rsid w:val="00DA5B4F"/>
    <w:rsid w:val="00DA5CED"/>
    <w:rsid w:val="00DA5E1B"/>
    <w:rsid w:val="00DA5EB6"/>
    <w:rsid w:val="00DA6054"/>
    <w:rsid w:val="00DA6335"/>
    <w:rsid w:val="00DA6402"/>
    <w:rsid w:val="00DA645A"/>
    <w:rsid w:val="00DA650F"/>
    <w:rsid w:val="00DA66C6"/>
    <w:rsid w:val="00DA6819"/>
    <w:rsid w:val="00DA6863"/>
    <w:rsid w:val="00DA6992"/>
    <w:rsid w:val="00DA6B24"/>
    <w:rsid w:val="00DA6EC3"/>
    <w:rsid w:val="00DA7299"/>
    <w:rsid w:val="00DA7477"/>
    <w:rsid w:val="00DA76F7"/>
    <w:rsid w:val="00DA779A"/>
    <w:rsid w:val="00DA77A9"/>
    <w:rsid w:val="00DA7957"/>
    <w:rsid w:val="00DA7B60"/>
    <w:rsid w:val="00DA7BCB"/>
    <w:rsid w:val="00DA7C02"/>
    <w:rsid w:val="00DA7C21"/>
    <w:rsid w:val="00DA7C2C"/>
    <w:rsid w:val="00DA7CD8"/>
    <w:rsid w:val="00DA7E93"/>
    <w:rsid w:val="00DA7FC6"/>
    <w:rsid w:val="00DB011B"/>
    <w:rsid w:val="00DB0429"/>
    <w:rsid w:val="00DB05DC"/>
    <w:rsid w:val="00DB06CE"/>
    <w:rsid w:val="00DB06EA"/>
    <w:rsid w:val="00DB0A2F"/>
    <w:rsid w:val="00DB0A30"/>
    <w:rsid w:val="00DB0AD7"/>
    <w:rsid w:val="00DB0BE1"/>
    <w:rsid w:val="00DB0C50"/>
    <w:rsid w:val="00DB0CC4"/>
    <w:rsid w:val="00DB0D65"/>
    <w:rsid w:val="00DB0D9A"/>
    <w:rsid w:val="00DB0EFA"/>
    <w:rsid w:val="00DB10F1"/>
    <w:rsid w:val="00DB13C7"/>
    <w:rsid w:val="00DB14FA"/>
    <w:rsid w:val="00DB169A"/>
    <w:rsid w:val="00DB175D"/>
    <w:rsid w:val="00DB1779"/>
    <w:rsid w:val="00DB1924"/>
    <w:rsid w:val="00DB1CF0"/>
    <w:rsid w:val="00DB1D4B"/>
    <w:rsid w:val="00DB1E61"/>
    <w:rsid w:val="00DB1EA1"/>
    <w:rsid w:val="00DB1FB6"/>
    <w:rsid w:val="00DB21FD"/>
    <w:rsid w:val="00DB2337"/>
    <w:rsid w:val="00DB2488"/>
    <w:rsid w:val="00DB2854"/>
    <w:rsid w:val="00DB292A"/>
    <w:rsid w:val="00DB2BCC"/>
    <w:rsid w:val="00DB2D17"/>
    <w:rsid w:val="00DB2D45"/>
    <w:rsid w:val="00DB2FE8"/>
    <w:rsid w:val="00DB301B"/>
    <w:rsid w:val="00DB32A9"/>
    <w:rsid w:val="00DB32C0"/>
    <w:rsid w:val="00DB3434"/>
    <w:rsid w:val="00DB3488"/>
    <w:rsid w:val="00DB34A0"/>
    <w:rsid w:val="00DB355B"/>
    <w:rsid w:val="00DB35DC"/>
    <w:rsid w:val="00DB362B"/>
    <w:rsid w:val="00DB390A"/>
    <w:rsid w:val="00DB3A16"/>
    <w:rsid w:val="00DB3C19"/>
    <w:rsid w:val="00DB3E3C"/>
    <w:rsid w:val="00DB3E5D"/>
    <w:rsid w:val="00DB3FBD"/>
    <w:rsid w:val="00DB4097"/>
    <w:rsid w:val="00DB412F"/>
    <w:rsid w:val="00DB4208"/>
    <w:rsid w:val="00DB442E"/>
    <w:rsid w:val="00DB4442"/>
    <w:rsid w:val="00DB449F"/>
    <w:rsid w:val="00DB44D3"/>
    <w:rsid w:val="00DB4530"/>
    <w:rsid w:val="00DB4538"/>
    <w:rsid w:val="00DB45A7"/>
    <w:rsid w:val="00DB45B0"/>
    <w:rsid w:val="00DB46CB"/>
    <w:rsid w:val="00DB48DF"/>
    <w:rsid w:val="00DB4C44"/>
    <w:rsid w:val="00DB4C73"/>
    <w:rsid w:val="00DB4E61"/>
    <w:rsid w:val="00DB4E75"/>
    <w:rsid w:val="00DB51C2"/>
    <w:rsid w:val="00DB5228"/>
    <w:rsid w:val="00DB5385"/>
    <w:rsid w:val="00DB546B"/>
    <w:rsid w:val="00DB5767"/>
    <w:rsid w:val="00DB5864"/>
    <w:rsid w:val="00DB597F"/>
    <w:rsid w:val="00DB5BD5"/>
    <w:rsid w:val="00DB5C80"/>
    <w:rsid w:val="00DB5CD2"/>
    <w:rsid w:val="00DB5ECE"/>
    <w:rsid w:val="00DB608B"/>
    <w:rsid w:val="00DB6313"/>
    <w:rsid w:val="00DB638D"/>
    <w:rsid w:val="00DB68BF"/>
    <w:rsid w:val="00DB68DD"/>
    <w:rsid w:val="00DB69A7"/>
    <w:rsid w:val="00DB69B6"/>
    <w:rsid w:val="00DB6C25"/>
    <w:rsid w:val="00DB6C38"/>
    <w:rsid w:val="00DB702D"/>
    <w:rsid w:val="00DB70E2"/>
    <w:rsid w:val="00DB741A"/>
    <w:rsid w:val="00DB74BE"/>
    <w:rsid w:val="00DB750B"/>
    <w:rsid w:val="00DB76A5"/>
    <w:rsid w:val="00DB76E5"/>
    <w:rsid w:val="00DB7765"/>
    <w:rsid w:val="00DB77C2"/>
    <w:rsid w:val="00DB784D"/>
    <w:rsid w:val="00DB7B6F"/>
    <w:rsid w:val="00DB7DDC"/>
    <w:rsid w:val="00DC0095"/>
    <w:rsid w:val="00DC0652"/>
    <w:rsid w:val="00DC075C"/>
    <w:rsid w:val="00DC09B6"/>
    <w:rsid w:val="00DC0B76"/>
    <w:rsid w:val="00DC0D87"/>
    <w:rsid w:val="00DC0DE2"/>
    <w:rsid w:val="00DC0EC9"/>
    <w:rsid w:val="00DC1097"/>
    <w:rsid w:val="00DC1171"/>
    <w:rsid w:val="00DC119E"/>
    <w:rsid w:val="00DC143A"/>
    <w:rsid w:val="00DC1519"/>
    <w:rsid w:val="00DC168E"/>
    <w:rsid w:val="00DC16F7"/>
    <w:rsid w:val="00DC1915"/>
    <w:rsid w:val="00DC19F6"/>
    <w:rsid w:val="00DC1D06"/>
    <w:rsid w:val="00DC1D71"/>
    <w:rsid w:val="00DC1E20"/>
    <w:rsid w:val="00DC1FAB"/>
    <w:rsid w:val="00DC2050"/>
    <w:rsid w:val="00DC223C"/>
    <w:rsid w:val="00DC25A3"/>
    <w:rsid w:val="00DC267A"/>
    <w:rsid w:val="00DC2747"/>
    <w:rsid w:val="00DC28E8"/>
    <w:rsid w:val="00DC296F"/>
    <w:rsid w:val="00DC2BB1"/>
    <w:rsid w:val="00DC2E30"/>
    <w:rsid w:val="00DC2EBE"/>
    <w:rsid w:val="00DC3104"/>
    <w:rsid w:val="00DC31B0"/>
    <w:rsid w:val="00DC3226"/>
    <w:rsid w:val="00DC3338"/>
    <w:rsid w:val="00DC3370"/>
    <w:rsid w:val="00DC3499"/>
    <w:rsid w:val="00DC349E"/>
    <w:rsid w:val="00DC36A1"/>
    <w:rsid w:val="00DC38FA"/>
    <w:rsid w:val="00DC3A6D"/>
    <w:rsid w:val="00DC3B06"/>
    <w:rsid w:val="00DC3FEC"/>
    <w:rsid w:val="00DC4036"/>
    <w:rsid w:val="00DC44C2"/>
    <w:rsid w:val="00DC4744"/>
    <w:rsid w:val="00DC4909"/>
    <w:rsid w:val="00DC4B0D"/>
    <w:rsid w:val="00DC4D0E"/>
    <w:rsid w:val="00DC4D7E"/>
    <w:rsid w:val="00DC4EC1"/>
    <w:rsid w:val="00DC50E0"/>
    <w:rsid w:val="00DC51AF"/>
    <w:rsid w:val="00DC53EC"/>
    <w:rsid w:val="00DC5986"/>
    <w:rsid w:val="00DC5C67"/>
    <w:rsid w:val="00DC5D17"/>
    <w:rsid w:val="00DC5E54"/>
    <w:rsid w:val="00DC5E9D"/>
    <w:rsid w:val="00DC610C"/>
    <w:rsid w:val="00DC616C"/>
    <w:rsid w:val="00DC62B5"/>
    <w:rsid w:val="00DC6497"/>
    <w:rsid w:val="00DC650D"/>
    <w:rsid w:val="00DC667C"/>
    <w:rsid w:val="00DC68D4"/>
    <w:rsid w:val="00DC68D6"/>
    <w:rsid w:val="00DC68F5"/>
    <w:rsid w:val="00DC6BF1"/>
    <w:rsid w:val="00DC6D45"/>
    <w:rsid w:val="00DC6DBF"/>
    <w:rsid w:val="00DC6DC5"/>
    <w:rsid w:val="00DC71E3"/>
    <w:rsid w:val="00DC76C8"/>
    <w:rsid w:val="00DC783B"/>
    <w:rsid w:val="00DC784F"/>
    <w:rsid w:val="00DC7AE4"/>
    <w:rsid w:val="00DC7B69"/>
    <w:rsid w:val="00DC7D60"/>
    <w:rsid w:val="00DC7FF2"/>
    <w:rsid w:val="00DD0025"/>
    <w:rsid w:val="00DD019A"/>
    <w:rsid w:val="00DD01F8"/>
    <w:rsid w:val="00DD024E"/>
    <w:rsid w:val="00DD0625"/>
    <w:rsid w:val="00DD0919"/>
    <w:rsid w:val="00DD09EA"/>
    <w:rsid w:val="00DD0A19"/>
    <w:rsid w:val="00DD0B00"/>
    <w:rsid w:val="00DD0B9D"/>
    <w:rsid w:val="00DD0C23"/>
    <w:rsid w:val="00DD10FE"/>
    <w:rsid w:val="00DD1448"/>
    <w:rsid w:val="00DD15DD"/>
    <w:rsid w:val="00DD1887"/>
    <w:rsid w:val="00DD1A55"/>
    <w:rsid w:val="00DD1CBE"/>
    <w:rsid w:val="00DD1DE9"/>
    <w:rsid w:val="00DD1EBC"/>
    <w:rsid w:val="00DD1EF9"/>
    <w:rsid w:val="00DD20E9"/>
    <w:rsid w:val="00DD20F8"/>
    <w:rsid w:val="00DD21E6"/>
    <w:rsid w:val="00DD23EE"/>
    <w:rsid w:val="00DD2488"/>
    <w:rsid w:val="00DD2564"/>
    <w:rsid w:val="00DD27C6"/>
    <w:rsid w:val="00DD2ADF"/>
    <w:rsid w:val="00DD2B04"/>
    <w:rsid w:val="00DD2BD3"/>
    <w:rsid w:val="00DD2E77"/>
    <w:rsid w:val="00DD2F1D"/>
    <w:rsid w:val="00DD3034"/>
    <w:rsid w:val="00DD30A0"/>
    <w:rsid w:val="00DD30CF"/>
    <w:rsid w:val="00DD321F"/>
    <w:rsid w:val="00DD3229"/>
    <w:rsid w:val="00DD33A2"/>
    <w:rsid w:val="00DD3423"/>
    <w:rsid w:val="00DD344D"/>
    <w:rsid w:val="00DD3918"/>
    <w:rsid w:val="00DD3984"/>
    <w:rsid w:val="00DD3CFE"/>
    <w:rsid w:val="00DD3DA2"/>
    <w:rsid w:val="00DD3E0E"/>
    <w:rsid w:val="00DD409E"/>
    <w:rsid w:val="00DD47A6"/>
    <w:rsid w:val="00DD49E5"/>
    <w:rsid w:val="00DD4A74"/>
    <w:rsid w:val="00DD4AB3"/>
    <w:rsid w:val="00DD4CEF"/>
    <w:rsid w:val="00DD4D9D"/>
    <w:rsid w:val="00DD4E57"/>
    <w:rsid w:val="00DD4ECB"/>
    <w:rsid w:val="00DD4F01"/>
    <w:rsid w:val="00DD4F37"/>
    <w:rsid w:val="00DD4F74"/>
    <w:rsid w:val="00DD5071"/>
    <w:rsid w:val="00DD51F4"/>
    <w:rsid w:val="00DD51FE"/>
    <w:rsid w:val="00DD52F1"/>
    <w:rsid w:val="00DD5524"/>
    <w:rsid w:val="00DD56D9"/>
    <w:rsid w:val="00DD56F9"/>
    <w:rsid w:val="00DD5F34"/>
    <w:rsid w:val="00DD5F63"/>
    <w:rsid w:val="00DD602D"/>
    <w:rsid w:val="00DD6172"/>
    <w:rsid w:val="00DD62C7"/>
    <w:rsid w:val="00DD62E7"/>
    <w:rsid w:val="00DD6471"/>
    <w:rsid w:val="00DD64BF"/>
    <w:rsid w:val="00DD67D8"/>
    <w:rsid w:val="00DD67DA"/>
    <w:rsid w:val="00DD68F7"/>
    <w:rsid w:val="00DD695A"/>
    <w:rsid w:val="00DD69B5"/>
    <w:rsid w:val="00DD6AA1"/>
    <w:rsid w:val="00DD6B89"/>
    <w:rsid w:val="00DD6C0A"/>
    <w:rsid w:val="00DD6F93"/>
    <w:rsid w:val="00DD7054"/>
    <w:rsid w:val="00DD70A8"/>
    <w:rsid w:val="00DD7188"/>
    <w:rsid w:val="00DD71EC"/>
    <w:rsid w:val="00DD7278"/>
    <w:rsid w:val="00DD72A1"/>
    <w:rsid w:val="00DD72CB"/>
    <w:rsid w:val="00DD73D6"/>
    <w:rsid w:val="00DD7459"/>
    <w:rsid w:val="00DD76A5"/>
    <w:rsid w:val="00DD76E6"/>
    <w:rsid w:val="00DD77AB"/>
    <w:rsid w:val="00DD77C8"/>
    <w:rsid w:val="00DD7A16"/>
    <w:rsid w:val="00DD7AC8"/>
    <w:rsid w:val="00DD7B9C"/>
    <w:rsid w:val="00DE029D"/>
    <w:rsid w:val="00DE0470"/>
    <w:rsid w:val="00DE0615"/>
    <w:rsid w:val="00DE07E9"/>
    <w:rsid w:val="00DE08B4"/>
    <w:rsid w:val="00DE08E4"/>
    <w:rsid w:val="00DE09C6"/>
    <w:rsid w:val="00DE0BB5"/>
    <w:rsid w:val="00DE0C39"/>
    <w:rsid w:val="00DE0F09"/>
    <w:rsid w:val="00DE0FC7"/>
    <w:rsid w:val="00DE104A"/>
    <w:rsid w:val="00DE11C3"/>
    <w:rsid w:val="00DE14B1"/>
    <w:rsid w:val="00DE1584"/>
    <w:rsid w:val="00DE1771"/>
    <w:rsid w:val="00DE19A5"/>
    <w:rsid w:val="00DE1AD4"/>
    <w:rsid w:val="00DE1B63"/>
    <w:rsid w:val="00DE1BA3"/>
    <w:rsid w:val="00DE1FA2"/>
    <w:rsid w:val="00DE21A0"/>
    <w:rsid w:val="00DE22F0"/>
    <w:rsid w:val="00DE287D"/>
    <w:rsid w:val="00DE28FB"/>
    <w:rsid w:val="00DE2A44"/>
    <w:rsid w:val="00DE2B41"/>
    <w:rsid w:val="00DE2B98"/>
    <w:rsid w:val="00DE2D0C"/>
    <w:rsid w:val="00DE2E62"/>
    <w:rsid w:val="00DE2F78"/>
    <w:rsid w:val="00DE3143"/>
    <w:rsid w:val="00DE3352"/>
    <w:rsid w:val="00DE33A3"/>
    <w:rsid w:val="00DE347F"/>
    <w:rsid w:val="00DE34AD"/>
    <w:rsid w:val="00DE36D7"/>
    <w:rsid w:val="00DE393A"/>
    <w:rsid w:val="00DE3A45"/>
    <w:rsid w:val="00DE3ADD"/>
    <w:rsid w:val="00DE3C8A"/>
    <w:rsid w:val="00DE3DBF"/>
    <w:rsid w:val="00DE3F79"/>
    <w:rsid w:val="00DE404C"/>
    <w:rsid w:val="00DE4216"/>
    <w:rsid w:val="00DE4425"/>
    <w:rsid w:val="00DE446B"/>
    <w:rsid w:val="00DE4518"/>
    <w:rsid w:val="00DE463B"/>
    <w:rsid w:val="00DE4712"/>
    <w:rsid w:val="00DE47E1"/>
    <w:rsid w:val="00DE499D"/>
    <w:rsid w:val="00DE4CE5"/>
    <w:rsid w:val="00DE4EAB"/>
    <w:rsid w:val="00DE4F05"/>
    <w:rsid w:val="00DE4FB8"/>
    <w:rsid w:val="00DE512D"/>
    <w:rsid w:val="00DE51EB"/>
    <w:rsid w:val="00DE53B0"/>
    <w:rsid w:val="00DE53EF"/>
    <w:rsid w:val="00DE564B"/>
    <w:rsid w:val="00DE5657"/>
    <w:rsid w:val="00DE56C2"/>
    <w:rsid w:val="00DE57B1"/>
    <w:rsid w:val="00DE57B8"/>
    <w:rsid w:val="00DE58E3"/>
    <w:rsid w:val="00DE58E7"/>
    <w:rsid w:val="00DE5987"/>
    <w:rsid w:val="00DE5C2B"/>
    <w:rsid w:val="00DE5D4D"/>
    <w:rsid w:val="00DE5D91"/>
    <w:rsid w:val="00DE5EA8"/>
    <w:rsid w:val="00DE5FD3"/>
    <w:rsid w:val="00DE60AA"/>
    <w:rsid w:val="00DE624C"/>
    <w:rsid w:val="00DE630B"/>
    <w:rsid w:val="00DE6336"/>
    <w:rsid w:val="00DE63F7"/>
    <w:rsid w:val="00DE6490"/>
    <w:rsid w:val="00DE64FB"/>
    <w:rsid w:val="00DE64FD"/>
    <w:rsid w:val="00DE670F"/>
    <w:rsid w:val="00DE682F"/>
    <w:rsid w:val="00DE68D2"/>
    <w:rsid w:val="00DE68D8"/>
    <w:rsid w:val="00DE68EA"/>
    <w:rsid w:val="00DE69FE"/>
    <w:rsid w:val="00DE6B74"/>
    <w:rsid w:val="00DE6BAD"/>
    <w:rsid w:val="00DE6C1B"/>
    <w:rsid w:val="00DE6D75"/>
    <w:rsid w:val="00DE6DB1"/>
    <w:rsid w:val="00DE6E3A"/>
    <w:rsid w:val="00DE6EF8"/>
    <w:rsid w:val="00DE708A"/>
    <w:rsid w:val="00DE70CC"/>
    <w:rsid w:val="00DE728A"/>
    <w:rsid w:val="00DE7432"/>
    <w:rsid w:val="00DE763B"/>
    <w:rsid w:val="00DE7641"/>
    <w:rsid w:val="00DE7734"/>
    <w:rsid w:val="00DE79CB"/>
    <w:rsid w:val="00DE7B00"/>
    <w:rsid w:val="00DE7C1E"/>
    <w:rsid w:val="00DE7EBC"/>
    <w:rsid w:val="00DE7EDC"/>
    <w:rsid w:val="00DE7EE7"/>
    <w:rsid w:val="00DE7F37"/>
    <w:rsid w:val="00DE7FAD"/>
    <w:rsid w:val="00DF004D"/>
    <w:rsid w:val="00DF00BB"/>
    <w:rsid w:val="00DF0209"/>
    <w:rsid w:val="00DF0238"/>
    <w:rsid w:val="00DF0507"/>
    <w:rsid w:val="00DF0889"/>
    <w:rsid w:val="00DF0935"/>
    <w:rsid w:val="00DF0A76"/>
    <w:rsid w:val="00DF0FC3"/>
    <w:rsid w:val="00DF1137"/>
    <w:rsid w:val="00DF11DB"/>
    <w:rsid w:val="00DF13AF"/>
    <w:rsid w:val="00DF14B2"/>
    <w:rsid w:val="00DF14CA"/>
    <w:rsid w:val="00DF14F6"/>
    <w:rsid w:val="00DF150D"/>
    <w:rsid w:val="00DF181A"/>
    <w:rsid w:val="00DF1AB7"/>
    <w:rsid w:val="00DF1B00"/>
    <w:rsid w:val="00DF1DEA"/>
    <w:rsid w:val="00DF1EDB"/>
    <w:rsid w:val="00DF1FF5"/>
    <w:rsid w:val="00DF2067"/>
    <w:rsid w:val="00DF20CE"/>
    <w:rsid w:val="00DF22A8"/>
    <w:rsid w:val="00DF22B2"/>
    <w:rsid w:val="00DF259D"/>
    <w:rsid w:val="00DF26F0"/>
    <w:rsid w:val="00DF28E1"/>
    <w:rsid w:val="00DF2D29"/>
    <w:rsid w:val="00DF2DA8"/>
    <w:rsid w:val="00DF2E9C"/>
    <w:rsid w:val="00DF2EEA"/>
    <w:rsid w:val="00DF3031"/>
    <w:rsid w:val="00DF3186"/>
    <w:rsid w:val="00DF33B1"/>
    <w:rsid w:val="00DF33EC"/>
    <w:rsid w:val="00DF36C6"/>
    <w:rsid w:val="00DF3701"/>
    <w:rsid w:val="00DF3703"/>
    <w:rsid w:val="00DF38AA"/>
    <w:rsid w:val="00DF3C1F"/>
    <w:rsid w:val="00DF3C91"/>
    <w:rsid w:val="00DF3E19"/>
    <w:rsid w:val="00DF3EDB"/>
    <w:rsid w:val="00DF401B"/>
    <w:rsid w:val="00DF404A"/>
    <w:rsid w:val="00DF4203"/>
    <w:rsid w:val="00DF4282"/>
    <w:rsid w:val="00DF4369"/>
    <w:rsid w:val="00DF4438"/>
    <w:rsid w:val="00DF4502"/>
    <w:rsid w:val="00DF467D"/>
    <w:rsid w:val="00DF4B84"/>
    <w:rsid w:val="00DF4C80"/>
    <w:rsid w:val="00DF4CC0"/>
    <w:rsid w:val="00DF4FA1"/>
    <w:rsid w:val="00DF4FD5"/>
    <w:rsid w:val="00DF4FE2"/>
    <w:rsid w:val="00DF50A1"/>
    <w:rsid w:val="00DF52D2"/>
    <w:rsid w:val="00DF5353"/>
    <w:rsid w:val="00DF5826"/>
    <w:rsid w:val="00DF59B2"/>
    <w:rsid w:val="00DF5BE4"/>
    <w:rsid w:val="00DF6080"/>
    <w:rsid w:val="00DF61A1"/>
    <w:rsid w:val="00DF6310"/>
    <w:rsid w:val="00DF663A"/>
    <w:rsid w:val="00DF66CB"/>
    <w:rsid w:val="00DF6723"/>
    <w:rsid w:val="00DF6C9A"/>
    <w:rsid w:val="00DF6CF7"/>
    <w:rsid w:val="00DF6EAC"/>
    <w:rsid w:val="00DF6F01"/>
    <w:rsid w:val="00DF72B4"/>
    <w:rsid w:val="00DF7333"/>
    <w:rsid w:val="00DF74DF"/>
    <w:rsid w:val="00DF772D"/>
    <w:rsid w:val="00DF77E8"/>
    <w:rsid w:val="00DF7984"/>
    <w:rsid w:val="00DF7986"/>
    <w:rsid w:val="00DF7B04"/>
    <w:rsid w:val="00DF7C79"/>
    <w:rsid w:val="00DF7CE6"/>
    <w:rsid w:val="00DF7F31"/>
    <w:rsid w:val="00DF7F4C"/>
    <w:rsid w:val="00DF7F83"/>
    <w:rsid w:val="00E00148"/>
    <w:rsid w:val="00E00259"/>
    <w:rsid w:val="00E00512"/>
    <w:rsid w:val="00E00899"/>
    <w:rsid w:val="00E00D74"/>
    <w:rsid w:val="00E00EDE"/>
    <w:rsid w:val="00E00FC4"/>
    <w:rsid w:val="00E01039"/>
    <w:rsid w:val="00E01177"/>
    <w:rsid w:val="00E011DE"/>
    <w:rsid w:val="00E014DB"/>
    <w:rsid w:val="00E014E2"/>
    <w:rsid w:val="00E016E5"/>
    <w:rsid w:val="00E01CAC"/>
    <w:rsid w:val="00E01E19"/>
    <w:rsid w:val="00E01E4C"/>
    <w:rsid w:val="00E01EFB"/>
    <w:rsid w:val="00E02059"/>
    <w:rsid w:val="00E02184"/>
    <w:rsid w:val="00E022FB"/>
    <w:rsid w:val="00E025F3"/>
    <w:rsid w:val="00E0297E"/>
    <w:rsid w:val="00E02AC1"/>
    <w:rsid w:val="00E02ACF"/>
    <w:rsid w:val="00E02D41"/>
    <w:rsid w:val="00E03433"/>
    <w:rsid w:val="00E03647"/>
    <w:rsid w:val="00E03857"/>
    <w:rsid w:val="00E038BE"/>
    <w:rsid w:val="00E03917"/>
    <w:rsid w:val="00E03D9F"/>
    <w:rsid w:val="00E03F7B"/>
    <w:rsid w:val="00E03FB3"/>
    <w:rsid w:val="00E04295"/>
    <w:rsid w:val="00E042AD"/>
    <w:rsid w:val="00E043C3"/>
    <w:rsid w:val="00E04481"/>
    <w:rsid w:val="00E04593"/>
    <w:rsid w:val="00E04632"/>
    <w:rsid w:val="00E0478F"/>
    <w:rsid w:val="00E04851"/>
    <w:rsid w:val="00E04945"/>
    <w:rsid w:val="00E049E0"/>
    <w:rsid w:val="00E04AF6"/>
    <w:rsid w:val="00E04C86"/>
    <w:rsid w:val="00E04CF1"/>
    <w:rsid w:val="00E05088"/>
    <w:rsid w:val="00E0512F"/>
    <w:rsid w:val="00E053BF"/>
    <w:rsid w:val="00E05596"/>
    <w:rsid w:val="00E05652"/>
    <w:rsid w:val="00E05A7A"/>
    <w:rsid w:val="00E05B34"/>
    <w:rsid w:val="00E05E1E"/>
    <w:rsid w:val="00E05E28"/>
    <w:rsid w:val="00E05F97"/>
    <w:rsid w:val="00E0603F"/>
    <w:rsid w:val="00E0604D"/>
    <w:rsid w:val="00E0615B"/>
    <w:rsid w:val="00E06264"/>
    <w:rsid w:val="00E062E2"/>
    <w:rsid w:val="00E06365"/>
    <w:rsid w:val="00E06409"/>
    <w:rsid w:val="00E065D2"/>
    <w:rsid w:val="00E065DC"/>
    <w:rsid w:val="00E066C4"/>
    <w:rsid w:val="00E06946"/>
    <w:rsid w:val="00E06A33"/>
    <w:rsid w:val="00E06B13"/>
    <w:rsid w:val="00E06DBC"/>
    <w:rsid w:val="00E07047"/>
    <w:rsid w:val="00E070A9"/>
    <w:rsid w:val="00E070CC"/>
    <w:rsid w:val="00E070CF"/>
    <w:rsid w:val="00E070F8"/>
    <w:rsid w:val="00E0714D"/>
    <w:rsid w:val="00E07515"/>
    <w:rsid w:val="00E07707"/>
    <w:rsid w:val="00E07730"/>
    <w:rsid w:val="00E07A03"/>
    <w:rsid w:val="00E07A0F"/>
    <w:rsid w:val="00E07A7A"/>
    <w:rsid w:val="00E07C88"/>
    <w:rsid w:val="00E07D19"/>
    <w:rsid w:val="00E07D5A"/>
    <w:rsid w:val="00E07DCF"/>
    <w:rsid w:val="00E07E36"/>
    <w:rsid w:val="00E07E83"/>
    <w:rsid w:val="00E07F9B"/>
    <w:rsid w:val="00E1007E"/>
    <w:rsid w:val="00E10195"/>
    <w:rsid w:val="00E101C7"/>
    <w:rsid w:val="00E101EF"/>
    <w:rsid w:val="00E1035E"/>
    <w:rsid w:val="00E103DD"/>
    <w:rsid w:val="00E10B52"/>
    <w:rsid w:val="00E10BA1"/>
    <w:rsid w:val="00E10C59"/>
    <w:rsid w:val="00E10F1F"/>
    <w:rsid w:val="00E11219"/>
    <w:rsid w:val="00E11286"/>
    <w:rsid w:val="00E112FA"/>
    <w:rsid w:val="00E11316"/>
    <w:rsid w:val="00E114C2"/>
    <w:rsid w:val="00E114EE"/>
    <w:rsid w:val="00E1168B"/>
    <w:rsid w:val="00E119EA"/>
    <w:rsid w:val="00E11A4A"/>
    <w:rsid w:val="00E11E73"/>
    <w:rsid w:val="00E11E8F"/>
    <w:rsid w:val="00E11EBD"/>
    <w:rsid w:val="00E120E8"/>
    <w:rsid w:val="00E12199"/>
    <w:rsid w:val="00E1219E"/>
    <w:rsid w:val="00E121C7"/>
    <w:rsid w:val="00E121DE"/>
    <w:rsid w:val="00E1221C"/>
    <w:rsid w:val="00E12393"/>
    <w:rsid w:val="00E12604"/>
    <w:rsid w:val="00E1280F"/>
    <w:rsid w:val="00E12943"/>
    <w:rsid w:val="00E12A27"/>
    <w:rsid w:val="00E12A8C"/>
    <w:rsid w:val="00E12B01"/>
    <w:rsid w:val="00E12D4A"/>
    <w:rsid w:val="00E12DE6"/>
    <w:rsid w:val="00E1307A"/>
    <w:rsid w:val="00E13162"/>
    <w:rsid w:val="00E13352"/>
    <w:rsid w:val="00E137F2"/>
    <w:rsid w:val="00E13826"/>
    <w:rsid w:val="00E138EE"/>
    <w:rsid w:val="00E13A25"/>
    <w:rsid w:val="00E13B09"/>
    <w:rsid w:val="00E13D4A"/>
    <w:rsid w:val="00E13E4A"/>
    <w:rsid w:val="00E13FBE"/>
    <w:rsid w:val="00E141F0"/>
    <w:rsid w:val="00E14202"/>
    <w:rsid w:val="00E1421A"/>
    <w:rsid w:val="00E142EC"/>
    <w:rsid w:val="00E1467E"/>
    <w:rsid w:val="00E14A02"/>
    <w:rsid w:val="00E14B97"/>
    <w:rsid w:val="00E14BBA"/>
    <w:rsid w:val="00E14BD6"/>
    <w:rsid w:val="00E14EFC"/>
    <w:rsid w:val="00E15134"/>
    <w:rsid w:val="00E15674"/>
    <w:rsid w:val="00E156DB"/>
    <w:rsid w:val="00E1582C"/>
    <w:rsid w:val="00E15AFE"/>
    <w:rsid w:val="00E15DA7"/>
    <w:rsid w:val="00E16080"/>
    <w:rsid w:val="00E1611C"/>
    <w:rsid w:val="00E16183"/>
    <w:rsid w:val="00E16195"/>
    <w:rsid w:val="00E16201"/>
    <w:rsid w:val="00E16268"/>
    <w:rsid w:val="00E1638F"/>
    <w:rsid w:val="00E1640E"/>
    <w:rsid w:val="00E167CF"/>
    <w:rsid w:val="00E16822"/>
    <w:rsid w:val="00E168EE"/>
    <w:rsid w:val="00E16AB6"/>
    <w:rsid w:val="00E16C9B"/>
    <w:rsid w:val="00E16E74"/>
    <w:rsid w:val="00E16F2A"/>
    <w:rsid w:val="00E16FEE"/>
    <w:rsid w:val="00E170F0"/>
    <w:rsid w:val="00E17332"/>
    <w:rsid w:val="00E1769E"/>
    <w:rsid w:val="00E1783B"/>
    <w:rsid w:val="00E178BA"/>
    <w:rsid w:val="00E17916"/>
    <w:rsid w:val="00E179FC"/>
    <w:rsid w:val="00E17B4F"/>
    <w:rsid w:val="00E17C64"/>
    <w:rsid w:val="00E17EB6"/>
    <w:rsid w:val="00E200CA"/>
    <w:rsid w:val="00E202E9"/>
    <w:rsid w:val="00E2038C"/>
    <w:rsid w:val="00E20509"/>
    <w:rsid w:val="00E20A81"/>
    <w:rsid w:val="00E20B8F"/>
    <w:rsid w:val="00E20BD1"/>
    <w:rsid w:val="00E20D17"/>
    <w:rsid w:val="00E20DF0"/>
    <w:rsid w:val="00E2107C"/>
    <w:rsid w:val="00E21098"/>
    <w:rsid w:val="00E2110E"/>
    <w:rsid w:val="00E2118D"/>
    <w:rsid w:val="00E21192"/>
    <w:rsid w:val="00E21205"/>
    <w:rsid w:val="00E21330"/>
    <w:rsid w:val="00E214B8"/>
    <w:rsid w:val="00E21667"/>
    <w:rsid w:val="00E21ED7"/>
    <w:rsid w:val="00E21F29"/>
    <w:rsid w:val="00E220A8"/>
    <w:rsid w:val="00E22253"/>
    <w:rsid w:val="00E22628"/>
    <w:rsid w:val="00E22683"/>
    <w:rsid w:val="00E22751"/>
    <w:rsid w:val="00E22780"/>
    <w:rsid w:val="00E22C61"/>
    <w:rsid w:val="00E22C9A"/>
    <w:rsid w:val="00E22F35"/>
    <w:rsid w:val="00E230F5"/>
    <w:rsid w:val="00E23108"/>
    <w:rsid w:val="00E231EB"/>
    <w:rsid w:val="00E23247"/>
    <w:rsid w:val="00E23285"/>
    <w:rsid w:val="00E232F7"/>
    <w:rsid w:val="00E23554"/>
    <w:rsid w:val="00E23591"/>
    <w:rsid w:val="00E2386F"/>
    <w:rsid w:val="00E2389A"/>
    <w:rsid w:val="00E23AAE"/>
    <w:rsid w:val="00E23D94"/>
    <w:rsid w:val="00E23EE4"/>
    <w:rsid w:val="00E23F50"/>
    <w:rsid w:val="00E2428B"/>
    <w:rsid w:val="00E2431A"/>
    <w:rsid w:val="00E244C4"/>
    <w:rsid w:val="00E247B4"/>
    <w:rsid w:val="00E247F6"/>
    <w:rsid w:val="00E24891"/>
    <w:rsid w:val="00E24DDD"/>
    <w:rsid w:val="00E24E41"/>
    <w:rsid w:val="00E24EF1"/>
    <w:rsid w:val="00E25034"/>
    <w:rsid w:val="00E25193"/>
    <w:rsid w:val="00E252BF"/>
    <w:rsid w:val="00E25386"/>
    <w:rsid w:val="00E253C7"/>
    <w:rsid w:val="00E2544F"/>
    <w:rsid w:val="00E25548"/>
    <w:rsid w:val="00E255ED"/>
    <w:rsid w:val="00E257B9"/>
    <w:rsid w:val="00E258B7"/>
    <w:rsid w:val="00E259D5"/>
    <w:rsid w:val="00E25A45"/>
    <w:rsid w:val="00E25B53"/>
    <w:rsid w:val="00E25B97"/>
    <w:rsid w:val="00E25F90"/>
    <w:rsid w:val="00E25FE2"/>
    <w:rsid w:val="00E2602D"/>
    <w:rsid w:val="00E2610C"/>
    <w:rsid w:val="00E263BC"/>
    <w:rsid w:val="00E266B8"/>
    <w:rsid w:val="00E2672E"/>
    <w:rsid w:val="00E2679F"/>
    <w:rsid w:val="00E267D4"/>
    <w:rsid w:val="00E26925"/>
    <w:rsid w:val="00E26ADC"/>
    <w:rsid w:val="00E26E74"/>
    <w:rsid w:val="00E26F18"/>
    <w:rsid w:val="00E26FAC"/>
    <w:rsid w:val="00E27037"/>
    <w:rsid w:val="00E27074"/>
    <w:rsid w:val="00E2726D"/>
    <w:rsid w:val="00E272DD"/>
    <w:rsid w:val="00E27347"/>
    <w:rsid w:val="00E27453"/>
    <w:rsid w:val="00E274E1"/>
    <w:rsid w:val="00E27558"/>
    <w:rsid w:val="00E275CB"/>
    <w:rsid w:val="00E276CA"/>
    <w:rsid w:val="00E2785D"/>
    <w:rsid w:val="00E2786A"/>
    <w:rsid w:val="00E278C2"/>
    <w:rsid w:val="00E279A2"/>
    <w:rsid w:val="00E27AD5"/>
    <w:rsid w:val="00E27B0B"/>
    <w:rsid w:val="00E27BA1"/>
    <w:rsid w:val="00E27E95"/>
    <w:rsid w:val="00E27FF0"/>
    <w:rsid w:val="00E301CD"/>
    <w:rsid w:val="00E3025B"/>
    <w:rsid w:val="00E308A4"/>
    <w:rsid w:val="00E30960"/>
    <w:rsid w:val="00E30B2F"/>
    <w:rsid w:val="00E30BA1"/>
    <w:rsid w:val="00E30BCF"/>
    <w:rsid w:val="00E30C78"/>
    <w:rsid w:val="00E30DB7"/>
    <w:rsid w:val="00E30E19"/>
    <w:rsid w:val="00E30ED8"/>
    <w:rsid w:val="00E3109F"/>
    <w:rsid w:val="00E3116D"/>
    <w:rsid w:val="00E3117A"/>
    <w:rsid w:val="00E311D5"/>
    <w:rsid w:val="00E3123A"/>
    <w:rsid w:val="00E31377"/>
    <w:rsid w:val="00E31599"/>
    <w:rsid w:val="00E315B3"/>
    <w:rsid w:val="00E315CF"/>
    <w:rsid w:val="00E3161D"/>
    <w:rsid w:val="00E316E9"/>
    <w:rsid w:val="00E317A4"/>
    <w:rsid w:val="00E31807"/>
    <w:rsid w:val="00E31B26"/>
    <w:rsid w:val="00E31B33"/>
    <w:rsid w:val="00E31B7A"/>
    <w:rsid w:val="00E31F50"/>
    <w:rsid w:val="00E32318"/>
    <w:rsid w:val="00E3232D"/>
    <w:rsid w:val="00E3234C"/>
    <w:rsid w:val="00E324FA"/>
    <w:rsid w:val="00E325E7"/>
    <w:rsid w:val="00E327CE"/>
    <w:rsid w:val="00E3299B"/>
    <w:rsid w:val="00E32A99"/>
    <w:rsid w:val="00E32ABD"/>
    <w:rsid w:val="00E3310B"/>
    <w:rsid w:val="00E331ED"/>
    <w:rsid w:val="00E3328A"/>
    <w:rsid w:val="00E33295"/>
    <w:rsid w:val="00E333AE"/>
    <w:rsid w:val="00E33580"/>
    <w:rsid w:val="00E335A2"/>
    <w:rsid w:val="00E336E3"/>
    <w:rsid w:val="00E33AC4"/>
    <w:rsid w:val="00E33BD3"/>
    <w:rsid w:val="00E33D33"/>
    <w:rsid w:val="00E33D9E"/>
    <w:rsid w:val="00E34034"/>
    <w:rsid w:val="00E340C2"/>
    <w:rsid w:val="00E34326"/>
    <w:rsid w:val="00E34814"/>
    <w:rsid w:val="00E34847"/>
    <w:rsid w:val="00E3489A"/>
    <w:rsid w:val="00E34CFA"/>
    <w:rsid w:val="00E34D0B"/>
    <w:rsid w:val="00E34D35"/>
    <w:rsid w:val="00E34E00"/>
    <w:rsid w:val="00E3502D"/>
    <w:rsid w:val="00E35487"/>
    <w:rsid w:val="00E35551"/>
    <w:rsid w:val="00E3559C"/>
    <w:rsid w:val="00E356DA"/>
    <w:rsid w:val="00E357D1"/>
    <w:rsid w:val="00E35AF9"/>
    <w:rsid w:val="00E35BB7"/>
    <w:rsid w:val="00E35BF0"/>
    <w:rsid w:val="00E35CAF"/>
    <w:rsid w:val="00E35E49"/>
    <w:rsid w:val="00E35E4F"/>
    <w:rsid w:val="00E35E8C"/>
    <w:rsid w:val="00E36133"/>
    <w:rsid w:val="00E36220"/>
    <w:rsid w:val="00E36363"/>
    <w:rsid w:val="00E36425"/>
    <w:rsid w:val="00E364CB"/>
    <w:rsid w:val="00E3661E"/>
    <w:rsid w:val="00E36639"/>
    <w:rsid w:val="00E368F6"/>
    <w:rsid w:val="00E36910"/>
    <w:rsid w:val="00E369A8"/>
    <w:rsid w:val="00E36A3A"/>
    <w:rsid w:val="00E36BCB"/>
    <w:rsid w:val="00E36BFF"/>
    <w:rsid w:val="00E36C28"/>
    <w:rsid w:val="00E36D98"/>
    <w:rsid w:val="00E36E0B"/>
    <w:rsid w:val="00E36E1A"/>
    <w:rsid w:val="00E36E81"/>
    <w:rsid w:val="00E37137"/>
    <w:rsid w:val="00E3732D"/>
    <w:rsid w:val="00E37420"/>
    <w:rsid w:val="00E37472"/>
    <w:rsid w:val="00E37662"/>
    <w:rsid w:val="00E3774F"/>
    <w:rsid w:val="00E377A7"/>
    <w:rsid w:val="00E37872"/>
    <w:rsid w:val="00E37C2C"/>
    <w:rsid w:val="00E37C36"/>
    <w:rsid w:val="00E37DDB"/>
    <w:rsid w:val="00E40015"/>
    <w:rsid w:val="00E401B8"/>
    <w:rsid w:val="00E401D7"/>
    <w:rsid w:val="00E40400"/>
    <w:rsid w:val="00E40449"/>
    <w:rsid w:val="00E404E3"/>
    <w:rsid w:val="00E408C5"/>
    <w:rsid w:val="00E40939"/>
    <w:rsid w:val="00E409AA"/>
    <w:rsid w:val="00E40C35"/>
    <w:rsid w:val="00E41377"/>
    <w:rsid w:val="00E41398"/>
    <w:rsid w:val="00E416A2"/>
    <w:rsid w:val="00E416A6"/>
    <w:rsid w:val="00E416DD"/>
    <w:rsid w:val="00E41718"/>
    <w:rsid w:val="00E41AE6"/>
    <w:rsid w:val="00E41E52"/>
    <w:rsid w:val="00E41E6A"/>
    <w:rsid w:val="00E41E90"/>
    <w:rsid w:val="00E41FDE"/>
    <w:rsid w:val="00E42160"/>
    <w:rsid w:val="00E4235A"/>
    <w:rsid w:val="00E423A3"/>
    <w:rsid w:val="00E4253F"/>
    <w:rsid w:val="00E4257E"/>
    <w:rsid w:val="00E42705"/>
    <w:rsid w:val="00E42757"/>
    <w:rsid w:val="00E42841"/>
    <w:rsid w:val="00E428CB"/>
    <w:rsid w:val="00E429CE"/>
    <w:rsid w:val="00E42B70"/>
    <w:rsid w:val="00E42BBA"/>
    <w:rsid w:val="00E42CF6"/>
    <w:rsid w:val="00E42D58"/>
    <w:rsid w:val="00E42F4B"/>
    <w:rsid w:val="00E42FAB"/>
    <w:rsid w:val="00E43131"/>
    <w:rsid w:val="00E4316E"/>
    <w:rsid w:val="00E437CF"/>
    <w:rsid w:val="00E43A18"/>
    <w:rsid w:val="00E43C94"/>
    <w:rsid w:val="00E43CE8"/>
    <w:rsid w:val="00E44205"/>
    <w:rsid w:val="00E442C4"/>
    <w:rsid w:val="00E443E9"/>
    <w:rsid w:val="00E4440B"/>
    <w:rsid w:val="00E44548"/>
    <w:rsid w:val="00E44B01"/>
    <w:rsid w:val="00E44BB5"/>
    <w:rsid w:val="00E44C42"/>
    <w:rsid w:val="00E450BF"/>
    <w:rsid w:val="00E453E2"/>
    <w:rsid w:val="00E454CF"/>
    <w:rsid w:val="00E45560"/>
    <w:rsid w:val="00E455B3"/>
    <w:rsid w:val="00E455EC"/>
    <w:rsid w:val="00E455F2"/>
    <w:rsid w:val="00E455F8"/>
    <w:rsid w:val="00E456F5"/>
    <w:rsid w:val="00E45739"/>
    <w:rsid w:val="00E458AB"/>
    <w:rsid w:val="00E458F6"/>
    <w:rsid w:val="00E459EA"/>
    <w:rsid w:val="00E45AE7"/>
    <w:rsid w:val="00E45C25"/>
    <w:rsid w:val="00E45CC0"/>
    <w:rsid w:val="00E4609F"/>
    <w:rsid w:val="00E4620D"/>
    <w:rsid w:val="00E46888"/>
    <w:rsid w:val="00E469D8"/>
    <w:rsid w:val="00E46A11"/>
    <w:rsid w:val="00E46A7F"/>
    <w:rsid w:val="00E46CF3"/>
    <w:rsid w:val="00E472FB"/>
    <w:rsid w:val="00E4730A"/>
    <w:rsid w:val="00E47514"/>
    <w:rsid w:val="00E4761F"/>
    <w:rsid w:val="00E4767E"/>
    <w:rsid w:val="00E4790F"/>
    <w:rsid w:val="00E47AD1"/>
    <w:rsid w:val="00E47C8A"/>
    <w:rsid w:val="00E47D21"/>
    <w:rsid w:val="00E50175"/>
    <w:rsid w:val="00E504A3"/>
    <w:rsid w:val="00E50778"/>
    <w:rsid w:val="00E508C1"/>
    <w:rsid w:val="00E50A41"/>
    <w:rsid w:val="00E50A74"/>
    <w:rsid w:val="00E50A7E"/>
    <w:rsid w:val="00E50B55"/>
    <w:rsid w:val="00E50CD1"/>
    <w:rsid w:val="00E50D6C"/>
    <w:rsid w:val="00E50EB0"/>
    <w:rsid w:val="00E50F6F"/>
    <w:rsid w:val="00E510E8"/>
    <w:rsid w:val="00E510F4"/>
    <w:rsid w:val="00E5111C"/>
    <w:rsid w:val="00E51280"/>
    <w:rsid w:val="00E5136C"/>
    <w:rsid w:val="00E51377"/>
    <w:rsid w:val="00E5138F"/>
    <w:rsid w:val="00E514C6"/>
    <w:rsid w:val="00E514FB"/>
    <w:rsid w:val="00E51507"/>
    <w:rsid w:val="00E518C3"/>
    <w:rsid w:val="00E51980"/>
    <w:rsid w:val="00E519AA"/>
    <w:rsid w:val="00E51C6A"/>
    <w:rsid w:val="00E51CD0"/>
    <w:rsid w:val="00E51CF3"/>
    <w:rsid w:val="00E51D6E"/>
    <w:rsid w:val="00E51EBE"/>
    <w:rsid w:val="00E51F68"/>
    <w:rsid w:val="00E51FA2"/>
    <w:rsid w:val="00E52039"/>
    <w:rsid w:val="00E5222F"/>
    <w:rsid w:val="00E524E0"/>
    <w:rsid w:val="00E52628"/>
    <w:rsid w:val="00E526F4"/>
    <w:rsid w:val="00E52936"/>
    <w:rsid w:val="00E529BC"/>
    <w:rsid w:val="00E52B2D"/>
    <w:rsid w:val="00E52BB4"/>
    <w:rsid w:val="00E52C56"/>
    <w:rsid w:val="00E52D45"/>
    <w:rsid w:val="00E530BD"/>
    <w:rsid w:val="00E5338F"/>
    <w:rsid w:val="00E53496"/>
    <w:rsid w:val="00E534AA"/>
    <w:rsid w:val="00E535D4"/>
    <w:rsid w:val="00E5361C"/>
    <w:rsid w:val="00E537A9"/>
    <w:rsid w:val="00E5381F"/>
    <w:rsid w:val="00E53AE1"/>
    <w:rsid w:val="00E53CB5"/>
    <w:rsid w:val="00E53D04"/>
    <w:rsid w:val="00E53E3C"/>
    <w:rsid w:val="00E53FFF"/>
    <w:rsid w:val="00E54214"/>
    <w:rsid w:val="00E54381"/>
    <w:rsid w:val="00E5438A"/>
    <w:rsid w:val="00E543D7"/>
    <w:rsid w:val="00E543E6"/>
    <w:rsid w:val="00E54416"/>
    <w:rsid w:val="00E5441E"/>
    <w:rsid w:val="00E54433"/>
    <w:rsid w:val="00E544BD"/>
    <w:rsid w:val="00E54650"/>
    <w:rsid w:val="00E54797"/>
    <w:rsid w:val="00E547E2"/>
    <w:rsid w:val="00E5485D"/>
    <w:rsid w:val="00E54937"/>
    <w:rsid w:val="00E549CF"/>
    <w:rsid w:val="00E54AC2"/>
    <w:rsid w:val="00E54C57"/>
    <w:rsid w:val="00E54DD9"/>
    <w:rsid w:val="00E54EAA"/>
    <w:rsid w:val="00E54EDE"/>
    <w:rsid w:val="00E54F13"/>
    <w:rsid w:val="00E54F34"/>
    <w:rsid w:val="00E550BB"/>
    <w:rsid w:val="00E554D2"/>
    <w:rsid w:val="00E5577B"/>
    <w:rsid w:val="00E55859"/>
    <w:rsid w:val="00E558E9"/>
    <w:rsid w:val="00E55A5D"/>
    <w:rsid w:val="00E55A8B"/>
    <w:rsid w:val="00E55BFA"/>
    <w:rsid w:val="00E55F97"/>
    <w:rsid w:val="00E561FC"/>
    <w:rsid w:val="00E562EF"/>
    <w:rsid w:val="00E56509"/>
    <w:rsid w:val="00E56559"/>
    <w:rsid w:val="00E56592"/>
    <w:rsid w:val="00E56649"/>
    <w:rsid w:val="00E56749"/>
    <w:rsid w:val="00E56775"/>
    <w:rsid w:val="00E568EE"/>
    <w:rsid w:val="00E5695A"/>
    <w:rsid w:val="00E569F6"/>
    <w:rsid w:val="00E56AF4"/>
    <w:rsid w:val="00E56CA1"/>
    <w:rsid w:val="00E57017"/>
    <w:rsid w:val="00E5705A"/>
    <w:rsid w:val="00E571D9"/>
    <w:rsid w:val="00E57502"/>
    <w:rsid w:val="00E575BF"/>
    <w:rsid w:val="00E5773E"/>
    <w:rsid w:val="00E579AB"/>
    <w:rsid w:val="00E579AE"/>
    <w:rsid w:val="00E57AB6"/>
    <w:rsid w:val="00E57BC4"/>
    <w:rsid w:val="00E57EE3"/>
    <w:rsid w:val="00E6001D"/>
    <w:rsid w:val="00E600AF"/>
    <w:rsid w:val="00E6020C"/>
    <w:rsid w:val="00E602BF"/>
    <w:rsid w:val="00E60427"/>
    <w:rsid w:val="00E60638"/>
    <w:rsid w:val="00E6089E"/>
    <w:rsid w:val="00E60AE1"/>
    <w:rsid w:val="00E60B34"/>
    <w:rsid w:val="00E60F7B"/>
    <w:rsid w:val="00E61145"/>
    <w:rsid w:val="00E611CB"/>
    <w:rsid w:val="00E611F3"/>
    <w:rsid w:val="00E61251"/>
    <w:rsid w:val="00E61276"/>
    <w:rsid w:val="00E614D4"/>
    <w:rsid w:val="00E615C1"/>
    <w:rsid w:val="00E61D0A"/>
    <w:rsid w:val="00E61ED4"/>
    <w:rsid w:val="00E61F36"/>
    <w:rsid w:val="00E62056"/>
    <w:rsid w:val="00E62257"/>
    <w:rsid w:val="00E6233E"/>
    <w:rsid w:val="00E62535"/>
    <w:rsid w:val="00E62576"/>
    <w:rsid w:val="00E626FE"/>
    <w:rsid w:val="00E6280D"/>
    <w:rsid w:val="00E6296E"/>
    <w:rsid w:val="00E629D8"/>
    <w:rsid w:val="00E62E23"/>
    <w:rsid w:val="00E62F5A"/>
    <w:rsid w:val="00E63054"/>
    <w:rsid w:val="00E63057"/>
    <w:rsid w:val="00E630DF"/>
    <w:rsid w:val="00E632BC"/>
    <w:rsid w:val="00E632EA"/>
    <w:rsid w:val="00E63328"/>
    <w:rsid w:val="00E6358D"/>
    <w:rsid w:val="00E635BC"/>
    <w:rsid w:val="00E636BA"/>
    <w:rsid w:val="00E636BF"/>
    <w:rsid w:val="00E636CA"/>
    <w:rsid w:val="00E638D8"/>
    <w:rsid w:val="00E639BC"/>
    <w:rsid w:val="00E63B0C"/>
    <w:rsid w:val="00E63B10"/>
    <w:rsid w:val="00E63DB9"/>
    <w:rsid w:val="00E63DE1"/>
    <w:rsid w:val="00E63EF2"/>
    <w:rsid w:val="00E640A1"/>
    <w:rsid w:val="00E64261"/>
    <w:rsid w:val="00E642D8"/>
    <w:rsid w:val="00E642EA"/>
    <w:rsid w:val="00E64305"/>
    <w:rsid w:val="00E6453D"/>
    <w:rsid w:val="00E64653"/>
    <w:rsid w:val="00E64BAC"/>
    <w:rsid w:val="00E64EA9"/>
    <w:rsid w:val="00E65220"/>
    <w:rsid w:val="00E6523B"/>
    <w:rsid w:val="00E65329"/>
    <w:rsid w:val="00E65478"/>
    <w:rsid w:val="00E65491"/>
    <w:rsid w:val="00E654CA"/>
    <w:rsid w:val="00E6551C"/>
    <w:rsid w:val="00E6562C"/>
    <w:rsid w:val="00E656E8"/>
    <w:rsid w:val="00E65719"/>
    <w:rsid w:val="00E6588E"/>
    <w:rsid w:val="00E658B1"/>
    <w:rsid w:val="00E658E2"/>
    <w:rsid w:val="00E65C1D"/>
    <w:rsid w:val="00E65CC9"/>
    <w:rsid w:val="00E65F6C"/>
    <w:rsid w:val="00E65FF4"/>
    <w:rsid w:val="00E66011"/>
    <w:rsid w:val="00E66114"/>
    <w:rsid w:val="00E66354"/>
    <w:rsid w:val="00E66374"/>
    <w:rsid w:val="00E6639F"/>
    <w:rsid w:val="00E66637"/>
    <w:rsid w:val="00E6668F"/>
    <w:rsid w:val="00E66779"/>
    <w:rsid w:val="00E66829"/>
    <w:rsid w:val="00E668D1"/>
    <w:rsid w:val="00E6693E"/>
    <w:rsid w:val="00E66970"/>
    <w:rsid w:val="00E66ADE"/>
    <w:rsid w:val="00E66B4D"/>
    <w:rsid w:val="00E66F03"/>
    <w:rsid w:val="00E66FE2"/>
    <w:rsid w:val="00E67158"/>
    <w:rsid w:val="00E67159"/>
    <w:rsid w:val="00E6740C"/>
    <w:rsid w:val="00E67602"/>
    <w:rsid w:val="00E67607"/>
    <w:rsid w:val="00E677BE"/>
    <w:rsid w:val="00E67802"/>
    <w:rsid w:val="00E67954"/>
    <w:rsid w:val="00E67C92"/>
    <w:rsid w:val="00E67D26"/>
    <w:rsid w:val="00E70014"/>
    <w:rsid w:val="00E700E8"/>
    <w:rsid w:val="00E702D7"/>
    <w:rsid w:val="00E703DD"/>
    <w:rsid w:val="00E70597"/>
    <w:rsid w:val="00E7059C"/>
    <w:rsid w:val="00E707E2"/>
    <w:rsid w:val="00E709E5"/>
    <w:rsid w:val="00E70B27"/>
    <w:rsid w:val="00E70D44"/>
    <w:rsid w:val="00E70ECB"/>
    <w:rsid w:val="00E711D4"/>
    <w:rsid w:val="00E7124C"/>
    <w:rsid w:val="00E712CE"/>
    <w:rsid w:val="00E71313"/>
    <w:rsid w:val="00E7131B"/>
    <w:rsid w:val="00E71480"/>
    <w:rsid w:val="00E7187B"/>
    <w:rsid w:val="00E7198E"/>
    <w:rsid w:val="00E71AC8"/>
    <w:rsid w:val="00E71B98"/>
    <w:rsid w:val="00E71DF9"/>
    <w:rsid w:val="00E71E6F"/>
    <w:rsid w:val="00E720C0"/>
    <w:rsid w:val="00E72136"/>
    <w:rsid w:val="00E723E8"/>
    <w:rsid w:val="00E7257D"/>
    <w:rsid w:val="00E7270A"/>
    <w:rsid w:val="00E7286F"/>
    <w:rsid w:val="00E728D3"/>
    <w:rsid w:val="00E729B5"/>
    <w:rsid w:val="00E729F4"/>
    <w:rsid w:val="00E72B2F"/>
    <w:rsid w:val="00E72B94"/>
    <w:rsid w:val="00E72FBC"/>
    <w:rsid w:val="00E731D5"/>
    <w:rsid w:val="00E73291"/>
    <w:rsid w:val="00E733FD"/>
    <w:rsid w:val="00E73437"/>
    <w:rsid w:val="00E73524"/>
    <w:rsid w:val="00E736F4"/>
    <w:rsid w:val="00E73B8E"/>
    <w:rsid w:val="00E73BE3"/>
    <w:rsid w:val="00E73C65"/>
    <w:rsid w:val="00E73D3F"/>
    <w:rsid w:val="00E73DD4"/>
    <w:rsid w:val="00E73E3F"/>
    <w:rsid w:val="00E73FC2"/>
    <w:rsid w:val="00E7419D"/>
    <w:rsid w:val="00E744A3"/>
    <w:rsid w:val="00E74573"/>
    <w:rsid w:val="00E746C3"/>
    <w:rsid w:val="00E746CD"/>
    <w:rsid w:val="00E74878"/>
    <w:rsid w:val="00E748C4"/>
    <w:rsid w:val="00E748DE"/>
    <w:rsid w:val="00E7495C"/>
    <w:rsid w:val="00E749FC"/>
    <w:rsid w:val="00E74AD1"/>
    <w:rsid w:val="00E74D89"/>
    <w:rsid w:val="00E74DBF"/>
    <w:rsid w:val="00E74E01"/>
    <w:rsid w:val="00E74E41"/>
    <w:rsid w:val="00E74F59"/>
    <w:rsid w:val="00E74F6C"/>
    <w:rsid w:val="00E74FF4"/>
    <w:rsid w:val="00E7514D"/>
    <w:rsid w:val="00E752D4"/>
    <w:rsid w:val="00E7534C"/>
    <w:rsid w:val="00E75358"/>
    <w:rsid w:val="00E75437"/>
    <w:rsid w:val="00E7561A"/>
    <w:rsid w:val="00E75902"/>
    <w:rsid w:val="00E75B13"/>
    <w:rsid w:val="00E75C08"/>
    <w:rsid w:val="00E75D5F"/>
    <w:rsid w:val="00E75E31"/>
    <w:rsid w:val="00E75FCE"/>
    <w:rsid w:val="00E76103"/>
    <w:rsid w:val="00E7626A"/>
    <w:rsid w:val="00E76501"/>
    <w:rsid w:val="00E76572"/>
    <w:rsid w:val="00E765C0"/>
    <w:rsid w:val="00E76762"/>
    <w:rsid w:val="00E76B5F"/>
    <w:rsid w:val="00E76D1C"/>
    <w:rsid w:val="00E76E17"/>
    <w:rsid w:val="00E76E89"/>
    <w:rsid w:val="00E76E98"/>
    <w:rsid w:val="00E76EAD"/>
    <w:rsid w:val="00E76F12"/>
    <w:rsid w:val="00E76FE8"/>
    <w:rsid w:val="00E76FFD"/>
    <w:rsid w:val="00E77192"/>
    <w:rsid w:val="00E771C5"/>
    <w:rsid w:val="00E7741D"/>
    <w:rsid w:val="00E77442"/>
    <w:rsid w:val="00E77454"/>
    <w:rsid w:val="00E7790D"/>
    <w:rsid w:val="00E7798D"/>
    <w:rsid w:val="00E77AF9"/>
    <w:rsid w:val="00E77C66"/>
    <w:rsid w:val="00E77EFE"/>
    <w:rsid w:val="00E803FE"/>
    <w:rsid w:val="00E80512"/>
    <w:rsid w:val="00E8083E"/>
    <w:rsid w:val="00E809CB"/>
    <w:rsid w:val="00E809D3"/>
    <w:rsid w:val="00E80A3A"/>
    <w:rsid w:val="00E80AD2"/>
    <w:rsid w:val="00E80B26"/>
    <w:rsid w:val="00E80C1E"/>
    <w:rsid w:val="00E80F43"/>
    <w:rsid w:val="00E810BE"/>
    <w:rsid w:val="00E81101"/>
    <w:rsid w:val="00E81251"/>
    <w:rsid w:val="00E81287"/>
    <w:rsid w:val="00E812E7"/>
    <w:rsid w:val="00E81590"/>
    <w:rsid w:val="00E817F7"/>
    <w:rsid w:val="00E818D8"/>
    <w:rsid w:val="00E818EB"/>
    <w:rsid w:val="00E819D1"/>
    <w:rsid w:val="00E81C60"/>
    <w:rsid w:val="00E81D20"/>
    <w:rsid w:val="00E81D83"/>
    <w:rsid w:val="00E81F17"/>
    <w:rsid w:val="00E81F3F"/>
    <w:rsid w:val="00E81F99"/>
    <w:rsid w:val="00E82036"/>
    <w:rsid w:val="00E82118"/>
    <w:rsid w:val="00E822CF"/>
    <w:rsid w:val="00E82442"/>
    <w:rsid w:val="00E8247F"/>
    <w:rsid w:val="00E82B03"/>
    <w:rsid w:val="00E82CAF"/>
    <w:rsid w:val="00E82D03"/>
    <w:rsid w:val="00E82D66"/>
    <w:rsid w:val="00E82D77"/>
    <w:rsid w:val="00E82EF6"/>
    <w:rsid w:val="00E8327D"/>
    <w:rsid w:val="00E835ED"/>
    <w:rsid w:val="00E8360B"/>
    <w:rsid w:val="00E83757"/>
    <w:rsid w:val="00E838FA"/>
    <w:rsid w:val="00E83916"/>
    <w:rsid w:val="00E83920"/>
    <w:rsid w:val="00E83956"/>
    <w:rsid w:val="00E8395B"/>
    <w:rsid w:val="00E839D8"/>
    <w:rsid w:val="00E83AC8"/>
    <w:rsid w:val="00E83C33"/>
    <w:rsid w:val="00E83CA3"/>
    <w:rsid w:val="00E83D0B"/>
    <w:rsid w:val="00E83D79"/>
    <w:rsid w:val="00E83E56"/>
    <w:rsid w:val="00E83E8E"/>
    <w:rsid w:val="00E83F47"/>
    <w:rsid w:val="00E841C3"/>
    <w:rsid w:val="00E84292"/>
    <w:rsid w:val="00E84414"/>
    <w:rsid w:val="00E84435"/>
    <w:rsid w:val="00E8453B"/>
    <w:rsid w:val="00E845A5"/>
    <w:rsid w:val="00E845C1"/>
    <w:rsid w:val="00E8476D"/>
    <w:rsid w:val="00E849F9"/>
    <w:rsid w:val="00E849FD"/>
    <w:rsid w:val="00E84BA1"/>
    <w:rsid w:val="00E84F9A"/>
    <w:rsid w:val="00E8505D"/>
    <w:rsid w:val="00E85084"/>
    <w:rsid w:val="00E85108"/>
    <w:rsid w:val="00E8521F"/>
    <w:rsid w:val="00E8534E"/>
    <w:rsid w:val="00E8541D"/>
    <w:rsid w:val="00E8545F"/>
    <w:rsid w:val="00E855A9"/>
    <w:rsid w:val="00E8569B"/>
    <w:rsid w:val="00E858AC"/>
    <w:rsid w:val="00E8592C"/>
    <w:rsid w:val="00E8593A"/>
    <w:rsid w:val="00E85A79"/>
    <w:rsid w:val="00E85A99"/>
    <w:rsid w:val="00E85ABE"/>
    <w:rsid w:val="00E85C1B"/>
    <w:rsid w:val="00E85DDD"/>
    <w:rsid w:val="00E86267"/>
    <w:rsid w:val="00E8645E"/>
    <w:rsid w:val="00E86480"/>
    <w:rsid w:val="00E864B5"/>
    <w:rsid w:val="00E86519"/>
    <w:rsid w:val="00E86566"/>
    <w:rsid w:val="00E86649"/>
    <w:rsid w:val="00E86699"/>
    <w:rsid w:val="00E866ED"/>
    <w:rsid w:val="00E86786"/>
    <w:rsid w:val="00E867CC"/>
    <w:rsid w:val="00E8680C"/>
    <w:rsid w:val="00E86A57"/>
    <w:rsid w:val="00E86BCC"/>
    <w:rsid w:val="00E86D40"/>
    <w:rsid w:val="00E86EDE"/>
    <w:rsid w:val="00E86F06"/>
    <w:rsid w:val="00E870BD"/>
    <w:rsid w:val="00E87137"/>
    <w:rsid w:val="00E87195"/>
    <w:rsid w:val="00E87280"/>
    <w:rsid w:val="00E872CA"/>
    <w:rsid w:val="00E872CD"/>
    <w:rsid w:val="00E872DB"/>
    <w:rsid w:val="00E8752F"/>
    <w:rsid w:val="00E87633"/>
    <w:rsid w:val="00E8763D"/>
    <w:rsid w:val="00E8783D"/>
    <w:rsid w:val="00E87856"/>
    <w:rsid w:val="00E8796E"/>
    <w:rsid w:val="00E87A71"/>
    <w:rsid w:val="00E87AEF"/>
    <w:rsid w:val="00E87BE7"/>
    <w:rsid w:val="00E87C8D"/>
    <w:rsid w:val="00E87D11"/>
    <w:rsid w:val="00E9007E"/>
    <w:rsid w:val="00E900E1"/>
    <w:rsid w:val="00E90347"/>
    <w:rsid w:val="00E903B1"/>
    <w:rsid w:val="00E90520"/>
    <w:rsid w:val="00E905EA"/>
    <w:rsid w:val="00E906C0"/>
    <w:rsid w:val="00E9097F"/>
    <w:rsid w:val="00E90980"/>
    <w:rsid w:val="00E90C4C"/>
    <w:rsid w:val="00E90F2C"/>
    <w:rsid w:val="00E9120A"/>
    <w:rsid w:val="00E9123A"/>
    <w:rsid w:val="00E91394"/>
    <w:rsid w:val="00E9142C"/>
    <w:rsid w:val="00E9146F"/>
    <w:rsid w:val="00E91509"/>
    <w:rsid w:val="00E9162D"/>
    <w:rsid w:val="00E917F0"/>
    <w:rsid w:val="00E91869"/>
    <w:rsid w:val="00E91883"/>
    <w:rsid w:val="00E91A60"/>
    <w:rsid w:val="00E91B1E"/>
    <w:rsid w:val="00E91C93"/>
    <w:rsid w:val="00E91E94"/>
    <w:rsid w:val="00E923C2"/>
    <w:rsid w:val="00E92486"/>
    <w:rsid w:val="00E927B6"/>
    <w:rsid w:val="00E92958"/>
    <w:rsid w:val="00E92BC9"/>
    <w:rsid w:val="00E92C8F"/>
    <w:rsid w:val="00E93158"/>
    <w:rsid w:val="00E932B4"/>
    <w:rsid w:val="00E932B7"/>
    <w:rsid w:val="00E93549"/>
    <w:rsid w:val="00E935FD"/>
    <w:rsid w:val="00E93619"/>
    <w:rsid w:val="00E939C6"/>
    <w:rsid w:val="00E939FC"/>
    <w:rsid w:val="00E93C00"/>
    <w:rsid w:val="00E93C17"/>
    <w:rsid w:val="00E93C6A"/>
    <w:rsid w:val="00E93E7D"/>
    <w:rsid w:val="00E9407D"/>
    <w:rsid w:val="00E940BC"/>
    <w:rsid w:val="00E940DC"/>
    <w:rsid w:val="00E94202"/>
    <w:rsid w:val="00E9444F"/>
    <w:rsid w:val="00E944E3"/>
    <w:rsid w:val="00E945D8"/>
    <w:rsid w:val="00E945F3"/>
    <w:rsid w:val="00E94747"/>
    <w:rsid w:val="00E94907"/>
    <w:rsid w:val="00E949BB"/>
    <w:rsid w:val="00E94CBE"/>
    <w:rsid w:val="00E94DFA"/>
    <w:rsid w:val="00E95076"/>
    <w:rsid w:val="00E950A8"/>
    <w:rsid w:val="00E95264"/>
    <w:rsid w:val="00E953DC"/>
    <w:rsid w:val="00E954A0"/>
    <w:rsid w:val="00E954B6"/>
    <w:rsid w:val="00E955AF"/>
    <w:rsid w:val="00E9567C"/>
    <w:rsid w:val="00E9575E"/>
    <w:rsid w:val="00E9591B"/>
    <w:rsid w:val="00E95D4A"/>
    <w:rsid w:val="00E95DA6"/>
    <w:rsid w:val="00E95FA4"/>
    <w:rsid w:val="00E95FCF"/>
    <w:rsid w:val="00E960D0"/>
    <w:rsid w:val="00E960F4"/>
    <w:rsid w:val="00E96374"/>
    <w:rsid w:val="00E9638D"/>
    <w:rsid w:val="00E963DB"/>
    <w:rsid w:val="00E96660"/>
    <w:rsid w:val="00E968C1"/>
    <w:rsid w:val="00E969FA"/>
    <w:rsid w:val="00E96B9B"/>
    <w:rsid w:val="00E96DAB"/>
    <w:rsid w:val="00E96E7B"/>
    <w:rsid w:val="00E96F75"/>
    <w:rsid w:val="00E970E1"/>
    <w:rsid w:val="00E971D6"/>
    <w:rsid w:val="00E97578"/>
    <w:rsid w:val="00E975B8"/>
    <w:rsid w:val="00E97613"/>
    <w:rsid w:val="00E97784"/>
    <w:rsid w:val="00E97803"/>
    <w:rsid w:val="00E97831"/>
    <w:rsid w:val="00E97E83"/>
    <w:rsid w:val="00E97F58"/>
    <w:rsid w:val="00E97F5A"/>
    <w:rsid w:val="00EA028C"/>
    <w:rsid w:val="00EA0345"/>
    <w:rsid w:val="00EA05FB"/>
    <w:rsid w:val="00EA06B9"/>
    <w:rsid w:val="00EA0723"/>
    <w:rsid w:val="00EA074A"/>
    <w:rsid w:val="00EA08E9"/>
    <w:rsid w:val="00EA0A8A"/>
    <w:rsid w:val="00EA0B24"/>
    <w:rsid w:val="00EA0C7B"/>
    <w:rsid w:val="00EA0D61"/>
    <w:rsid w:val="00EA10F4"/>
    <w:rsid w:val="00EA124A"/>
    <w:rsid w:val="00EA14C5"/>
    <w:rsid w:val="00EA15BD"/>
    <w:rsid w:val="00EA1624"/>
    <w:rsid w:val="00EA19BC"/>
    <w:rsid w:val="00EA1A9D"/>
    <w:rsid w:val="00EA1CD9"/>
    <w:rsid w:val="00EA1CF1"/>
    <w:rsid w:val="00EA1DCC"/>
    <w:rsid w:val="00EA1E58"/>
    <w:rsid w:val="00EA1E61"/>
    <w:rsid w:val="00EA20A5"/>
    <w:rsid w:val="00EA221B"/>
    <w:rsid w:val="00EA238C"/>
    <w:rsid w:val="00EA238E"/>
    <w:rsid w:val="00EA2622"/>
    <w:rsid w:val="00EA26EC"/>
    <w:rsid w:val="00EA2863"/>
    <w:rsid w:val="00EA290F"/>
    <w:rsid w:val="00EA2A1D"/>
    <w:rsid w:val="00EA2B19"/>
    <w:rsid w:val="00EA3214"/>
    <w:rsid w:val="00EA3229"/>
    <w:rsid w:val="00EA326C"/>
    <w:rsid w:val="00EA33F9"/>
    <w:rsid w:val="00EA37D5"/>
    <w:rsid w:val="00EA3CF8"/>
    <w:rsid w:val="00EA3EB8"/>
    <w:rsid w:val="00EA4076"/>
    <w:rsid w:val="00EA40BB"/>
    <w:rsid w:val="00EA411A"/>
    <w:rsid w:val="00EA4124"/>
    <w:rsid w:val="00EA41E7"/>
    <w:rsid w:val="00EA430B"/>
    <w:rsid w:val="00EA4736"/>
    <w:rsid w:val="00EA4778"/>
    <w:rsid w:val="00EA4C81"/>
    <w:rsid w:val="00EA4C9B"/>
    <w:rsid w:val="00EA4CB7"/>
    <w:rsid w:val="00EA4EF9"/>
    <w:rsid w:val="00EA4F96"/>
    <w:rsid w:val="00EA50A8"/>
    <w:rsid w:val="00EA50B1"/>
    <w:rsid w:val="00EA530E"/>
    <w:rsid w:val="00EA5332"/>
    <w:rsid w:val="00EA5692"/>
    <w:rsid w:val="00EA5A34"/>
    <w:rsid w:val="00EA5B91"/>
    <w:rsid w:val="00EA5CAA"/>
    <w:rsid w:val="00EA5E3F"/>
    <w:rsid w:val="00EA6002"/>
    <w:rsid w:val="00EA6552"/>
    <w:rsid w:val="00EA668E"/>
    <w:rsid w:val="00EA669E"/>
    <w:rsid w:val="00EA6918"/>
    <w:rsid w:val="00EA69D2"/>
    <w:rsid w:val="00EA6AE0"/>
    <w:rsid w:val="00EA6B84"/>
    <w:rsid w:val="00EA6C1E"/>
    <w:rsid w:val="00EA6CAB"/>
    <w:rsid w:val="00EA6D8E"/>
    <w:rsid w:val="00EA7076"/>
    <w:rsid w:val="00EA7189"/>
    <w:rsid w:val="00EA71FB"/>
    <w:rsid w:val="00EA7257"/>
    <w:rsid w:val="00EA7339"/>
    <w:rsid w:val="00EA7372"/>
    <w:rsid w:val="00EA7398"/>
    <w:rsid w:val="00EA74CC"/>
    <w:rsid w:val="00EA758C"/>
    <w:rsid w:val="00EA7699"/>
    <w:rsid w:val="00EA76FB"/>
    <w:rsid w:val="00EA78D0"/>
    <w:rsid w:val="00EA7979"/>
    <w:rsid w:val="00EA7A81"/>
    <w:rsid w:val="00EA7EB9"/>
    <w:rsid w:val="00EB007E"/>
    <w:rsid w:val="00EB01C6"/>
    <w:rsid w:val="00EB0220"/>
    <w:rsid w:val="00EB044E"/>
    <w:rsid w:val="00EB05CC"/>
    <w:rsid w:val="00EB0842"/>
    <w:rsid w:val="00EB08A4"/>
    <w:rsid w:val="00EB09A9"/>
    <w:rsid w:val="00EB0A02"/>
    <w:rsid w:val="00EB0A10"/>
    <w:rsid w:val="00EB0AC4"/>
    <w:rsid w:val="00EB0AE8"/>
    <w:rsid w:val="00EB0C29"/>
    <w:rsid w:val="00EB0E18"/>
    <w:rsid w:val="00EB1203"/>
    <w:rsid w:val="00EB138F"/>
    <w:rsid w:val="00EB15E5"/>
    <w:rsid w:val="00EB174F"/>
    <w:rsid w:val="00EB18FD"/>
    <w:rsid w:val="00EB19F8"/>
    <w:rsid w:val="00EB1A95"/>
    <w:rsid w:val="00EB1DC2"/>
    <w:rsid w:val="00EB1FD6"/>
    <w:rsid w:val="00EB208F"/>
    <w:rsid w:val="00EB214D"/>
    <w:rsid w:val="00EB2384"/>
    <w:rsid w:val="00EB23F3"/>
    <w:rsid w:val="00EB240C"/>
    <w:rsid w:val="00EB248A"/>
    <w:rsid w:val="00EB27E5"/>
    <w:rsid w:val="00EB2B39"/>
    <w:rsid w:val="00EB2C0A"/>
    <w:rsid w:val="00EB2D5A"/>
    <w:rsid w:val="00EB2D60"/>
    <w:rsid w:val="00EB2DF4"/>
    <w:rsid w:val="00EB3088"/>
    <w:rsid w:val="00EB31F0"/>
    <w:rsid w:val="00EB329F"/>
    <w:rsid w:val="00EB32B6"/>
    <w:rsid w:val="00EB33F5"/>
    <w:rsid w:val="00EB3446"/>
    <w:rsid w:val="00EB36CE"/>
    <w:rsid w:val="00EB37D6"/>
    <w:rsid w:val="00EB3BE2"/>
    <w:rsid w:val="00EB3E0A"/>
    <w:rsid w:val="00EB4028"/>
    <w:rsid w:val="00EB41E3"/>
    <w:rsid w:val="00EB44E8"/>
    <w:rsid w:val="00EB4585"/>
    <w:rsid w:val="00EB458C"/>
    <w:rsid w:val="00EB45E2"/>
    <w:rsid w:val="00EB497F"/>
    <w:rsid w:val="00EB5181"/>
    <w:rsid w:val="00EB51BE"/>
    <w:rsid w:val="00EB5264"/>
    <w:rsid w:val="00EB52CD"/>
    <w:rsid w:val="00EB554E"/>
    <w:rsid w:val="00EB5608"/>
    <w:rsid w:val="00EB599A"/>
    <w:rsid w:val="00EB5A34"/>
    <w:rsid w:val="00EB5A87"/>
    <w:rsid w:val="00EB5B67"/>
    <w:rsid w:val="00EB5CB5"/>
    <w:rsid w:val="00EB5CF3"/>
    <w:rsid w:val="00EB5DD8"/>
    <w:rsid w:val="00EB5DDE"/>
    <w:rsid w:val="00EB5E5D"/>
    <w:rsid w:val="00EB6213"/>
    <w:rsid w:val="00EB6235"/>
    <w:rsid w:val="00EB65B6"/>
    <w:rsid w:val="00EB6636"/>
    <w:rsid w:val="00EB6812"/>
    <w:rsid w:val="00EB6B71"/>
    <w:rsid w:val="00EB6B89"/>
    <w:rsid w:val="00EB6C77"/>
    <w:rsid w:val="00EB7184"/>
    <w:rsid w:val="00EB722E"/>
    <w:rsid w:val="00EB737B"/>
    <w:rsid w:val="00EB788E"/>
    <w:rsid w:val="00EB792C"/>
    <w:rsid w:val="00EB7930"/>
    <w:rsid w:val="00EB7A03"/>
    <w:rsid w:val="00EB7D3E"/>
    <w:rsid w:val="00EB7E7E"/>
    <w:rsid w:val="00EC014B"/>
    <w:rsid w:val="00EC0215"/>
    <w:rsid w:val="00EC0568"/>
    <w:rsid w:val="00EC06FF"/>
    <w:rsid w:val="00EC0944"/>
    <w:rsid w:val="00EC096A"/>
    <w:rsid w:val="00EC0A0F"/>
    <w:rsid w:val="00EC0AE6"/>
    <w:rsid w:val="00EC0D1E"/>
    <w:rsid w:val="00EC0DFB"/>
    <w:rsid w:val="00EC0EF8"/>
    <w:rsid w:val="00EC1152"/>
    <w:rsid w:val="00EC1210"/>
    <w:rsid w:val="00EC122A"/>
    <w:rsid w:val="00EC13DC"/>
    <w:rsid w:val="00EC1406"/>
    <w:rsid w:val="00EC155D"/>
    <w:rsid w:val="00EC15D1"/>
    <w:rsid w:val="00EC15E1"/>
    <w:rsid w:val="00EC16E4"/>
    <w:rsid w:val="00EC17A7"/>
    <w:rsid w:val="00EC17D5"/>
    <w:rsid w:val="00EC19D4"/>
    <w:rsid w:val="00EC19F8"/>
    <w:rsid w:val="00EC1AE1"/>
    <w:rsid w:val="00EC1AFC"/>
    <w:rsid w:val="00EC1F05"/>
    <w:rsid w:val="00EC1F32"/>
    <w:rsid w:val="00EC1FCF"/>
    <w:rsid w:val="00EC2447"/>
    <w:rsid w:val="00EC24A2"/>
    <w:rsid w:val="00EC2545"/>
    <w:rsid w:val="00EC2648"/>
    <w:rsid w:val="00EC2A5B"/>
    <w:rsid w:val="00EC2B90"/>
    <w:rsid w:val="00EC2C34"/>
    <w:rsid w:val="00EC2D34"/>
    <w:rsid w:val="00EC2EEE"/>
    <w:rsid w:val="00EC320A"/>
    <w:rsid w:val="00EC377B"/>
    <w:rsid w:val="00EC3950"/>
    <w:rsid w:val="00EC39BD"/>
    <w:rsid w:val="00EC3A1C"/>
    <w:rsid w:val="00EC3AFD"/>
    <w:rsid w:val="00EC3B08"/>
    <w:rsid w:val="00EC408D"/>
    <w:rsid w:val="00EC40AB"/>
    <w:rsid w:val="00EC43E9"/>
    <w:rsid w:val="00EC443A"/>
    <w:rsid w:val="00EC461A"/>
    <w:rsid w:val="00EC4628"/>
    <w:rsid w:val="00EC4859"/>
    <w:rsid w:val="00EC495D"/>
    <w:rsid w:val="00EC49E6"/>
    <w:rsid w:val="00EC4AAF"/>
    <w:rsid w:val="00EC4B1F"/>
    <w:rsid w:val="00EC4C3F"/>
    <w:rsid w:val="00EC4E5E"/>
    <w:rsid w:val="00EC507B"/>
    <w:rsid w:val="00EC529A"/>
    <w:rsid w:val="00EC5327"/>
    <w:rsid w:val="00EC5330"/>
    <w:rsid w:val="00EC5492"/>
    <w:rsid w:val="00EC55FD"/>
    <w:rsid w:val="00EC5921"/>
    <w:rsid w:val="00EC5AA4"/>
    <w:rsid w:val="00EC5CA4"/>
    <w:rsid w:val="00EC5D73"/>
    <w:rsid w:val="00EC5F08"/>
    <w:rsid w:val="00EC5FA6"/>
    <w:rsid w:val="00EC615E"/>
    <w:rsid w:val="00EC6294"/>
    <w:rsid w:val="00EC6589"/>
    <w:rsid w:val="00EC6711"/>
    <w:rsid w:val="00EC6839"/>
    <w:rsid w:val="00EC68E6"/>
    <w:rsid w:val="00EC68F3"/>
    <w:rsid w:val="00EC6907"/>
    <w:rsid w:val="00EC6ED8"/>
    <w:rsid w:val="00EC704B"/>
    <w:rsid w:val="00EC70A4"/>
    <w:rsid w:val="00EC75BD"/>
    <w:rsid w:val="00EC76E9"/>
    <w:rsid w:val="00EC7A6A"/>
    <w:rsid w:val="00EC7B6F"/>
    <w:rsid w:val="00EC7C24"/>
    <w:rsid w:val="00EC7CA8"/>
    <w:rsid w:val="00EC7CAC"/>
    <w:rsid w:val="00EC7D16"/>
    <w:rsid w:val="00EC7D51"/>
    <w:rsid w:val="00EC7EC6"/>
    <w:rsid w:val="00ED00DC"/>
    <w:rsid w:val="00ED02DF"/>
    <w:rsid w:val="00ED0311"/>
    <w:rsid w:val="00ED0383"/>
    <w:rsid w:val="00ED0837"/>
    <w:rsid w:val="00ED0933"/>
    <w:rsid w:val="00ED0AE0"/>
    <w:rsid w:val="00ED0B3A"/>
    <w:rsid w:val="00ED0C6C"/>
    <w:rsid w:val="00ED0D9E"/>
    <w:rsid w:val="00ED0ED6"/>
    <w:rsid w:val="00ED0F18"/>
    <w:rsid w:val="00ED0FA1"/>
    <w:rsid w:val="00ED10EB"/>
    <w:rsid w:val="00ED10F0"/>
    <w:rsid w:val="00ED1226"/>
    <w:rsid w:val="00ED123E"/>
    <w:rsid w:val="00ED1427"/>
    <w:rsid w:val="00ED1488"/>
    <w:rsid w:val="00ED150D"/>
    <w:rsid w:val="00ED15DD"/>
    <w:rsid w:val="00ED1732"/>
    <w:rsid w:val="00ED1ACC"/>
    <w:rsid w:val="00ED1B5D"/>
    <w:rsid w:val="00ED1CAA"/>
    <w:rsid w:val="00ED1DE7"/>
    <w:rsid w:val="00ED20B9"/>
    <w:rsid w:val="00ED22F8"/>
    <w:rsid w:val="00ED25EE"/>
    <w:rsid w:val="00ED26E2"/>
    <w:rsid w:val="00ED2766"/>
    <w:rsid w:val="00ED2A9A"/>
    <w:rsid w:val="00ED2B2F"/>
    <w:rsid w:val="00ED2B92"/>
    <w:rsid w:val="00ED2CCF"/>
    <w:rsid w:val="00ED2CD0"/>
    <w:rsid w:val="00ED2DC0"/>
    <w:rsid w:val="00ED2E0E"/>
    <w:rsid w:val="00ED2FAE"/>
    <w:rsid w:val="00ED2FEF"/>
    <w:rsid w:val="00ED31AC"/>
    <w:rsid w:val="00ED323E"/>
    <w:rsid w:val="00ED33A4"/>
    <w:rsid w:val="00ED33CF"/>
    <w:rsid w:val="00ED34A6"/>
    <w:rsid w:val="00ED355A"/>
    <w:rsid w:val="00ED3571"/>
    <w:rsid w:val="00ED36C4"/>
    <w:rsid w:val="00ED372E"/>
    <w:rsid w:val="00ED383E"/>
    <w:rsid w:val="00ED388A"/>
    <w:rsid w:val="00ED3CC8"/>
    <w:rsid w:val="00ED3CFC"/>
    <w:rsid w:val="00ED3D72"/>
    <w:rsid w:val="00ED3EEF"/>
    <w:rsid w:val="00ED3F0C"/>
    <w:rsid w:val="00ED4022"/>
    <w:rsid w:val="00ED4026"/>
    <w:rsid w:val="00ED41EE"/>
    <w:rsid w:val="00ED430C"/>
    <w:rsid w:val="00ED437A"/>
    <w:rsid w:val="00ED438E"/>
    <w:rsid w:val="00ED45DF"/>
    <w:rsid w:val="00ED47CA"/>
    <w:rsid w:val="00ED498F"/>
    <w:rsid w:val="00ED4A56"/>
    <w:rsid w:val="00ED4BED"/>
    <w:rsid w:val="00ED4CDF"/>
    <w:rsid w:val="00ED4D4A"/>
    <w:rsid w:val="00ED4E8D"/>
    <w:rsid w:val="00ED4E9E"/>
    <w:rsid w:val="00ED4EEE"/>
    <w:rsid w:val="00ED50EF"/>
    <w:rsid w:val="00ED54F3"/>
    <w:rsid w:val="00ED5510"/>
    <w:rsid w:val="00ED5528"/>
    <w:rsid w:val="00ED562C"/>
    <w:rsid w:val="00ED562F"/>
    <w:rsid w:val="00ED563C"/>
    <w:rsid w:val="00ED5700"/>
    <w:rsid w:val="00ED58BA"/>
    <w:rsid w:val="00ED5961"/>
    <w:rsid w:val="00ED5A15"/>
    <w:rsid w:val="00ED5B9D"/>
    <w:rsid w:val="00ED5C3E"/>
    <w:rsid w:val="00ED5D52"/>
    <w:rsid w:val="00ED5E1A"/>
    <w:rsid w:val="00ED5E49"/>
    <w:rsid w:val="00ED5F29"/>
    <w:rsid w:val="00ED5F5A"/>
    <w:rsid w:val="00ED5F9E"/>
    <w:rsid w:val="00ED5FE0"/>
    <w:rsid w:val="00ED603E"/>
    <w:rsid w:val="00ED60CC"/>
    <w:rsid w:val="00ED6198"/>
    <w:rsid w:val="00ED61EA"/>
    <w:rsid w:val="00ED641A"/>
    <w:rsid w:val="00ED65D9"/>
    <w:rsid w:val="00ED663E"/>
    <w:rsid w:val="00ED6996"/>
    <w:rsid w:val="00ED6AEC"/>
    <w:rsid w:val="00ED71AF"/>
    <w:rsid w:val="00ED73B8"/>
    <w:rsid w:val="00ED7424"/>
    <w:rsid w:val="00ED77BC"/>
    <w:rsid w:val="00ED77BE"/>
    <w:rsid w:val="00ED796A"/>
    <w:rsid w:val="00ED7AAD"/>
    <w:rsid w:val="00ED7CE3"/>
    <w:rsid w:val="00ED7D07"/>
    <w:rsid w:val="00ED7EB1"/>
    <w:rsid w:val="00ED7EBC"/>
    <w:rsid w:val="00ED7F73"/>
    <w:rsid w:val="00ED7F9B"/>
    <w:rsid w:val="00ED7FC0"/>
    <w:rsid w:val="00EE010B"/>
    <w:rsid w:val="00EE0289"/>
    <w:rsid w:val="00EE0365"/>
    <w:rsid w:val="00EE0459"/>
    <w:rsid w:val="00EE0504"/>
    <w:rsid w:val="00EE050D"/>
    <w:rsid w:val="00EE08A8"/>
    <w:rsid w:val="00EE0C33"/>
    <w:rsid w:val="00EE0CED"/>
    <w:rsid w:val="00EE0DBC"/>
    <w:rsid w:val="00EE0DFE"/>
    <w:rsid w:val="00EE0F47"/>
    <w:rsid w:val="00EE0F8D"/>
    <w:rsid w:val="00EE1006"/>
    <w:rsid w:val="00EE1181"/>
    <w:rsid w:val="00EE126D"/>
    <w:rsid w:val="00EE1333"/>
    <w:rsid w:val="00EE135F"/>
    <w:rsid w:val="00EE1538"/>
    <w:rsid w:val="00EE1933"/>
    <w:rsid w:val="00EE1A58"/>
    <w:rsid w:val="00EE1A9F"/>
    <w:rsid w:val="00EE1BC9"/>
    <w:rsid w:val="00EE1F69"/>
    <w:rsid w:val="00EE20D1"/>
    <w:rsid w:val="00EE2285"/>
    <w:rsid w:val="00EE23C0"/>
    <w:rsid w:val="00EE241A"/>
    <w:rsid w:val="00EE244B"/>
    <w:rsid w:val="00EE2500"/>
    <w:rsid w:val="00EE260D"/>
    <w:rsid w:val="00EE2673"/>
    <w:rsid w:val="00EE26E8"/>
    <w:rsid w:val="00EE2904"/>
    <w:rsid w:val="00EE294F"/>
    <w:rsid w:val="00EE2A7F"/>
    <w:rsid w:val="00EE2C88"/>
    <w:rsid w:val="00EE2DE5"/>
    <w:rsid w:val="00EE343B"/>
    <w:rsid w:val="00EE34C4"/>
    <w:rsid w:val="00EE3507"/>
    <w:rsid w:val="00EE368F"/>
    <w:rsid w:val="00EE3D00"/>
    <w:rsid w:val="00EE3D04"/>
    <w:rsid w:val="00EE3E03"/>
    <w:rsid w:val="00EE3FDD"/>
    <w:rsid w:val="00EE4019"/>
    <w:rsid w:val="00EE41F3"/>
    <w:rsid w:val="00EE4884"/>
    <w:rsid w:val="00EE4A3A"/>
    <w:rsid w:val="00EE4B0F"/>
    <w:rsid w:val="00EE4B42"/>
    <w:rsid w:val="00EE4CF3"/>
    <w:rsid w:val="00EE4ECD"/>
    <w:rsid w:val="00EE501E"/>
    <w:rsid w:val="00EE5148"/>
    <w:rsid w:val="00EE514E"/>
    <w:rsid w:val="00EE52CB"/>
    <w:rsid w:val="00EE53AC"/>
    <w:rsid w:val="00EE5492"/>
    <w:rsid w:val="00EE55A2"/>
    <w:rsid w:val="00EE561D"/>
    <w:rsid w:val="00EE593D"/>
    <w:rsid w:val="00EE5A63"/>
    <w:rsid w:val="00EE5D94"/>
    <w:rsid w:val="00EE5EE2"/>
    <w:rsid w:val="00EE61AC"/>
    <w:rsid w:val="00EE6227"/>
    <w:rsid w:val="00EE6393"/>
    <w:rsid w:val="00EE639C"/>
    <w:rsid w:val="00EE63F8"/>
    <w:rsid w:val="00EE662C"/>
    <w:rsid w:val="00EE6650"/>
    <w:rsid w:val="00EE68BB"/>
    <w:rsid w:val="00EE69BA"/>
    <w:rsid w:val="00EE6A8E"/>
    <w:rsid w:val="00EE6B3E"/>
    <w:rsid w:val="00EE6B4E"/>
    <w:rsid w:val="00EE6B6E"/>
    <w:rsid w:val="00EE6BD9"/>
    <w:rsid w:val="00EE6D23"/>
    <w:rsid w:val="00EE6DCD"/>
    <w:rsid w:val="00EE6DF3"/>
    <w:rsid w:val="00EE7096"/>
    <w:rsid w:val="00EE710A"/>
    <w:rsid w:val="00EE71C4"/>
    <w:rsid w:val="00EE7225"/>
    <w:rsid w:val="00EE73EA"/>
    <w:rsid w:val="00EE7443"/>
    <w:rsid w:val="00EE744E"/>
    <w:rsid w:val="00EE76B9"/>
    <w:rsid w:val="00EE77D9"/>
    <w:rsid w:val="00EE78A7"/>
    <w:rsid w:val="00EE7B3F"/>
    <w:rsid w:val="00EE7F97"/>
    <w:rsid w:val="00EF0118"/>
    <w:rsid w:val="00EF0271"/>
    <w:rsid w:val="00EF0357"/>
    <w:rsid w:val="00EF04A6"/>
    <w:rsid w:val="00EF04DE"/>
    <w:rsid w:val="00EF0613"/>
    <w:rsid w:val="00EF0633"/>
    <w:rsid w:val="00EF0705"/>
    <w:rsid w:val="00EF0886"/>
    <w:rsid w:val="00EF08E9"/>
    <w:rsid w:val="00EF0A2E"/>
    <w:rsid w:val="00EF0BB3"/>
    <w:rsid w:val="00EF0BBF"/>
    <w:rsid w:val="00EF0DA8"/>
    <w:rsid w:val="00EF0FA3"/>
    <w:rsid w:val="00EF10B1"/>
    <w:rsid w:val="00EF10CD"/>
    <w:rsid w:val="00EF133A"/>
    <w:rsid w:val="00EF1580"/>
    <w:rsid w:val="00EF192B"/>
    <w:rsid w:val="00EF1AE3"/>
    <w:rsid w:val="00EF1B76"/>
    <w:rsid w:val="00EF1CBA"/>
    <w:rsid w:val="00EF1DCB"/>
    <w:rsid w:val="00EF1EE7"/>
    <w:rsid w:val="00EF244D"/>
    <w:rsid w:val="00EF24DF"/>
    <w:rsid w:val="00EF2541"/>
    <w:rsid w:val="00EF2546"/>
    <w:rsid w:val="00EF2588"/>
    <w:rsid w:val="00EF259A"/>
    <w:rsid w:val="00EF25D9"/>
    <w:rsid w:val="00EF262B"/>
    <w:rsid w:val="00EF2876"/>
    <w:rsid w:val="00EF29CD"/>
    <w:rsid w:val="00EF2AE2"/>
    <w:rsid w:val="00EF2B46"/>
    <w:rsid w:val="00EF2D2E"/>
    <w:rsid w:val="00EF2EAE"/>
    <w:rsid w:val="00EF2F36"/>
    <w:rsid w:val="00EF30BB"/>
    <w:rsid w:val="00EF30E6"/>
    <w:rsid w:val="00EF3117"/>
    <w:rsid w:val="00EF3373"/>
    <w:rsid w:val="00EF3385"/>
    <w:rsid w:val="00EF3464"/>
    <w:rsid w:val="00EF34C2"/>
    <w:rsid w:val="00EF356F"/>
    <w:rsid w:val="00EF35AB"/>
    <w:rsid w:val="00EF35D2"/>
    <w:rsid w:val="00EF3656"/>
    <w:rsid w:val="00EF3754"/>
    <w:rsid w:val="00EF375B"/>
    <w:rsid w:val="00EF377A"/>
    <w:rsid w:val="00EF383B"/>
    <w:rsid w:val="00EF3B74"/>
    <w:rsid w:val="00EF3BE5"/>
    <w:rsid w:val="00EF3C6A"/>
    <w:rsid w:val="00EF3D09"/>
    <w:rsid w:val="00EF3E72"/>
    <w:rsid w:val="00EF3F52"/>
    <w:rsid w:val="00EF41DE"/>
    <w:rsid w:val="00EF42EC"/>
    <w:rsid w:val="00EF4508"/>
    <w:rsid w:val="00EF453B"/>
    <w:rsid w:val="00EF456E"/>
    <w:rsid w:val="00EF45B7"/>
    <w:rsid w:val="00EF4985"/>
    <w:rsid w:val="00EF4997"/>
    <w:rsid w:val="00EF4AA8"/>
    <w:rsid w:val="00EF4B04"/>
    <w:rsid w:val="00EF4D28"/>
    <w:rsid w:val="00EF4DF2"/>
    <w:rsid w:val="00EF4F1A"/>
    <w:rsid w:val="00EF5112"/>
    <w:rsid w:val="00EF53C1"/>
    <w:rsid w:val="00EF5807"/>
    <w:rsid w:val="00EF58E2"/>
    <w:rsid w:val="00EF5A7A"/>
    <w:rsid w:val="00EF5B1A"/>
    <w:rsid w:val="00EF5C6B"/>
    <w:rsid w:val="00EF5C6C"/>
    <w:rsid w:val="00EF5CCA"/>
    <w:rsid w:val="00EF5DD4"/>
    <w:rsid w:val="00EF5E15"/>
    <w:rsid w:val="00EF614C"/>
    <w:rsid w:val="00EF61FD"/>
    <w:rsid w:val="00EF64CC"/>
    <w:rsid w:val="00EF6554"/>
    <w:rsid w:val="00EF6600"/>
    <w:rsid w:val="00EF68C9"/>
    <w:rsid w:val="00EF6AF3"/>
    <w:rsid w:val="00EF6E7E"/>
    <w:rsid w:val="00EF6ED6"/>
    <w:rsid w:val="00EF6F9E"/>
    <w:rsid w:val="00EF7001"/>
    <w:rsid w:val="00EF7072"/>
    <w:rsid w:val="00EF719B"/>
    <w:rsid w:val="00EF71A5"/>
    <w:rsid w:val="00EF71BF"/>
    <w:rsid w:val="00EF7223"/>
    <w:rsid w:val="00EF72F4"/>
    <w:rsid w:val="00EF7379"/>
    <w:rsid w:val="00EF758F"/>
    <w:rsid w:val="00EF759F"/>
    <w:rsid w:val="00EF7619"/>
    <w:rsid w:val="00EF7745"/>
    <w:rsid w:val="00EF7763"/>
    <w:rsid w:val="00EF77AA"/>
    <w:rsid w:val="00EF77EE"/>
    <w:rsid w:val="00EF7969"/>
    <w:rsid w:val="00EF7975"/>
    <w:rsid w:val="00EF7A63"/>
    <w:rsid w:val="00EF7D7F"/>
    <w:rsid w:val="00EF7D83"/>
    <w:rsid w:val="00EF7E7E"/>
    <w:rsid w:val="00EF7EC9"/>
    <w:rsid w:val="00EF7F46"/>
    <w:rsid w:val="00EF7F7F"/>
    <w:rsid w:val="00F0018A"/>
    <w:rsid w:val="00F00600"/>
    <w:rsid w:val="00F006DB"/>
    <w:rsid w:val="00F009A8"/>
    <w:rsid w:val="00F00A57"/>
    <w:rsid w:val="00F00B64"/>
    <w:rsid w:val="00F00C32"/>
    <w:rsid w:val="00F00D04"/>
    <w:rsid w:val="00F01063"/>
    <w:rsid w:val="00F01172"/>
    <w:rsid w:val="00F01177"/>
    <w:rsid w:val="00F0132A"/>
    <w:rsid w:val="00F01484"/>
    <w:rsid w:val="00F014DE"/>
    <w:rsid w:val="00F015B6"/>
    <w:rsid w:val="00F016B3"/>
    <w:rsid w:val="00F01950"/>
    <w:rsid w:val="00F01BDB"/>
    <w:rsid w:val="00F01ECA"/>
    <w:rsid w:val="00F020C2"/>
    <w:rsid w:val="00F02299"/>
    <w:rsid w:val="00F0250A"/>
    <w:rsid w:val="00F02639"/>
    <w:rsid w:val="00F027FE"/>
    <w:rsid w:val="00F02850"/>
    <w:rsid w:val="00F02B2E"/>
    <w:rsid w:val="00F02C60"/>
    <w:rsid w:val="00F02EC7"/>
    <w:rsid w:val="00F02FF1"/>
    <w:rsid w:val="00F030D4"/>
    <w:rsid w:val="00F030F8"/>
    <w:rsid w:val="00F03168"/>
    <w:rsid w:val="00F03630"/>
    <w:rsid w:val="00F0372C"/>
    <w:rsid w:val="00F03AFA"/>
    <w:rsid w:val="00F03D49"/>
    <w:rsid w:val="00F03D55"/>
    <w:rsid w:val="00F0412A"/>
    <w:rsid w:val="00F041C1"/>
    <w:rsid w:val="00F041E2"/>
    <w:rsid w:val="00F04296"/>
    <w:rsid w:val="00F04392"/>
    <w:rsid w:val="00F04439"/>
    <w:rsid w:val="00F0451A"/>
    <w:rsid w:val="00F04851"/>
    <w:rsid w:val="00F04873"/>
    <w:rsid w:val="00F048F2"/>
    <w:rsid w:val="00F04AF0"/>
    <w:rsid w:val="00F04B70"/>
    <w:rsid w:val="00F04B78"/>
    <w:rsid w:val="00F04D5D"/>
    <w:rsid w:val="00F04D60"/>
    <w:rsid w:val="00F04DAD"/>
    <w:rsid w:val="00F04E57"/>
    <w:rsid w:val="00F04EA2"/>
    <w:rsid w:val="00F04EAE"/>
    <w:rsid w:val="00F050E8"/>
    <w:rsid w:val="00F05457"/>
    <w:rsid w:val="00F0549B"/>
    <w:rsid w:val="00F05580"/>
    <w:rsid w:val="00F05723"/>
    <w:rsid w:val="00F05A9D"/>
    <w:rsid w:val="00F05C76"/>
    <w:rsid w:val="00F05D7B"/>
    <w:rsid w:val="00F05E7E"/>
    <w:rsid w:val="00F0600F"/>
    <w:rsid w:val="00F06010"/>
    <w:rsid w:val="00F061E5"/>
    <w:rsid w:val="00F062F1"/>
    <w:rsid w:val="00F064F2"/>
    <w:rsid w:val="00F066D5"/>
    <w:rsid w:val="00F068BC"/>
    <w:rsid w:val="00F069FD"/>
    <w:rsid w:val="00F06B81"/>
    <w:rsid w:val="00F06BA6"/>
    <w:rsid w:val="00F06CB6"/>
    <w:rsid w:val="00F06D69"/>
    <w:rsid w:val="00F06E20"/>
    <w:rsid w:val="00F06E35"/>
    <w:rsid w:val="00F06ED9"/>
    <w:rsid w:val="00F07279"/>
    <w:rsid w:val="00F0733D"/>
    <w:rsid w:val="00F0765E"/>
    <w:rsid w:val="00F0775B"/>
    <w:rsid w:val="00F078AA"/>
    <w:rsid w:val="00F07A40"/>
    <w:rsid w:val="00F07B64"/>
    <w:rsid w:val="00F07C5D"/>
    <w:rsid w:val="00F07ED8"/>
    <w:rsid w:val="00F07F9E"/>
    <w:rsid w:val="00F07FCF"/>
    <w:rsid w:val="00F100B3"/>
    <w:rsid w:val="00F101E5"/>
    <w:rsid w:val="00F101FE"/>
    <w:rsid w:val="00F1036B"/>
    <w:rsid w:val="00F1037C"/>
    <w:rsid w:val="00F103C1"/>
    <w:rsid w:val="00F1049F"/>
    <w:rsid w:val="00F1080F"/>
    <w:rsid w:val="00F10C12"/>
    <w:rsid w:val="00F10C48"/>
    <w:rsid w:val="00F10D04"/>
    <w:rsid w:val="00F10D50"/>
    <w:rsid w:val="00F10D60"/>
    <w:rsid w:val="00F10F50"/>
    <w:rsid w:val="00F11128"/>
    <w:rsid w:val="00F111D4"/>
    <w:rsid w:val="00F113E9"/>
    <w:rsid w:val="00F11404"/>
    <w:rsid w:val="00F115BE"/>
    <w:rsid w:val="00F116C2"/>
    <w:rsid w:val="00F118C1"/>
    <w:rsid w:val="00F11AB9"/>
    <w:rsid w:val="00F11B03"/>
    <w:rsid w:val="00F12266"/>
    <w:rsid w:val="00F1239A"/>
    <w:rsid w:val="00F12555"/>
    <w:rsid w:val="00F1258B"/>
    <w:rsid w:val="00F12621"/>
    <w:rsid w:val="00F1284F"/>
    <w:rsid w:val="00F128AA"/>
    <w:rsid w:val="00F12A01"/>
    <w:rsid w:val="00F12B23"/>
    <w:rsid w:val="00F12D3F"/>
    <w:rsid w:val="00F12FC7"/>
    <w:rsid w:val="00F13237"/>
    <w:rsid w:val="00F132EE"/>
    <w:rsid w:val="00F137F7"/>
    <w:rsid w:val="00F13A23"/>
    <w:rsid w:val="00F13D8A"/>
    <w:rsid w:val="00F13DAA"/>
    <w:rsid w:val="00F140B5"/>
    <w:rsid w:val="00F14216"/>
    <w:rsid w:val="00F143A8"/>
    <w:rsid w:val="00F14550"/>
    <w:rsid w:val="00F14572"/>
    <w:rsid w:val="00F14743"/>
    <w:rsid w:val="00F14923"/>
    <w:rsid w:val="00F1499F"/>
    <w:rsid w:val="00F14D0C"/>
    <w:rsid w:val="00F151DE"/>
    <w:rsid w:val="00F1526B"/>
    <w:rsid w:val="00F15718"/>
    <w:rsid w:val="00F15894"/>
    <w:rsid w:val="00F15907"/>
    <w:rsid w:val="00F15BFC"/>
    <w:rsid w:val="00F15D37"/>
    <w:rsid w:val="00F15D52"/>
    <w:rsid w:val="00F15DC8"/>
    <w:rsid w:val="00F15E59"/>
    <w:rsid w:val="00F15FAA"/>
    <w:rsid w:val="00F162DD"/>
    <w:rsid w:val="00F166F1"/>
    <w:rsid w:val="00F168D4"/>
    <w:rsid w:val="00F16932"/>
    <w:rsid w:val="00F169D1"/>
    <w:rsid w:val="00F16ADA"/>
    <w:rsid w:val="00F16B7F"/>
    <w:rsid w:val="00F16DB0"/>
    <w:rsid w:val="00F16E8B"/>
    <w:rsid w:val="00F17009"/>
    <w:rsid w:val="00F1707B"/>
    <w:rsid w:val="00F1752B"/>
    <w:rsid w:val="00F1763C"/>
    <w:rsid w:val="00F17898"/>
    <w:rsid w:val="00F17991"/>
    <w:rsid w:val="00F17AA7"/>
    <w:rsid w:val="00F17B25"/>
    <w:rsid w:val="00F17E52"/>
    <w:rsid w:val="00F17F55"/>
    <w:rsid w:val="00F20279"/>
    <w:rsid w:val="00F2030E"/>
    <w:rsid w:val="00F2045C"/>
    <w:rsid w:val="00F205F4"/>
    <w:rsid w:val="00F20661"/>
    <w:rsid w:val="00F207E2"/>
    <w:rsid w:val="00F2083A"/>
    <w:rsid w:val="00F208FA"/>
    <w:rsid w:val="00F209D9"/>
    <w:rsid w:val="00F209DC"/>
    <w:rsid w:val="00F20A2B"/>
    <w:rsid w:val="00F20B00"/>
    <w:rsid w:val="00F20B3E"/>
    <w:rsid w:val="00F20CA4"/>
    <w:rsid w:val="00F20D75"/>
    <w:rsid w:val="00F20FFB"/>
    <w:rsid w:val="00F21109"/>
    <w:rsid w:val="00F211B0"/>
    <w:rsid w:val="00F21354"/>
    <w:rsid w:val="00F2155F"/>
    <w:rsid w:val="00F215EB"/>
    <w:rsid w:val="00F2166B"/>
    <w:rsid w:val="00F2172F"/>
    <w:rsid w:val="00F21788"/>
    <w:rsid w:val="00F2199B"/>
    <w:rsid w:val="00F21BFF"/>
    <w:rsid w:val="00F21CD8"/>
    <w:rsid w:val="00F21F16"/>
    <w:rsid w:val="00F22060"/>
    <w:rsid w:val="00F22072"/>
    <w:rsid w:val="00F22295"/>
    <w:rsid w:val="00F222A7"/>
    <w:rsid w:val="00F222C6"/>
    <w:rsid w:val="00F223C5"/>
    <w:rsid w:val="00F223E1"/>
    <w:rsid w:val="00F226BB"/>
    <w:rsid w:val="00F22A87"/>
    <w:rsid w:val="00F22A93"/>
    <w:rsid w:val="00F22B28"/>
    <w:rsid w:val="00F22E2F"/>
    <w:rsid w:val="00F22EDE"/>
    <w:rsid w:val="00F2313E"/>
    <w:rsid w:val="00F231C9"/>
    <w:rsid w:val="00F2327C"/>
    <w:rsid w:val="00F233B3"/>
    <w:rsid w:val="00F233B6"/>
    <w:rsid w:val="00F23415"/>
    <w:rsid w:val="00F2385D"/>
    <w:rsid w:val="00F2395B"/>
    <w:rsid w:val="00F23A37"/>
    <w:rsid w:val="00F23ADD"/>
    <w:rsid w:val="00F23B1D"/>
    <w:rsid w:val="00F23B82"/>
    <w:rsid w:val="00F23EE8"/>
    <w:rsid w:val="00F23F6C"/>
    <w:rsid w:val="00F240D7"/>
    <w:rsid w:val="00F2426B"/>
    <w:rsid w:val="00F24395"/>
    <w:rsid w:val="00F243AA"/>
    <w:rsid w:val="00F243B9"/>
    <w:rsid w:val="00F243BE"/>
    <w:rsid w:val="00F243F3"/>
    <w:rsid w:val="00F245F3"/>
    <w:rsid w:val="00F24710"/>
    <w:rsid w:val="00F248F9"/>
    <w:rsid w:val="00F24943"/>
    <w:rsid w:val="00F24991"/>
    <w:rsid w:val="00F24B68"/>
    <w:rsid w:val="00F24C69"/>
    <w:rsid w:val="00F24C6B"/>
    <w:rsid w:val="00F24D86"/>
    <w:rsid w:val="00F24EBB"/>
    <w:rsid w:val="00F252DC"/>
    <w:rsid w:val="00F25326"/>
    <w:rsid w:val="00F25552"/>
    <w:rsid w:val="00F255BC"/>
    <w:rsid w:val="00F2574D"/>
    <w:rsid w:val="00F258FF"/>
    <w:rsid w:val="00F25A27"/>
    <w:rsid w:val="00F25B5B"/>
    <w:rsid w:val="00F25BBA"/>
    <w:rsid w:val="00F25E37"/>
    <w:rsid w:val="00F2610D"/>
    <w:rsid w:val="00F2614B"/>
    <w:rsid w:val="00F261D3"/>
    <w:rsid w:val="00F26202"/>
    <w:rsid w:val="00F26232"/>
    <w:rsid w:val="00F263C6"/>
    <w:rsid w:val="00F26562"/>
    <w:rsid w:val="00F265AC"/>
    <w:rsid w:val="00F26821"/>
    <w:rsid w:val="00F26852"/>
    <w:rsid w:val="00F269E6"/>
    <w:rsid w:val="00F26BDE"/>
    <w:rsid w:val="00F26D3C"/>
    <w:rsid w:val="00F26DA5"/>
    <w:rsid w:val="00F26E54"/>
    <w:rsid w:val="00F2700D"/>
    <w:rsid w:val="00F27702"/>
    <w:rsid w:val="00F277A7"/>
    <w:rsid w:val="00F277F3"/>
    <w:rsid w:val="00F27ACD"/>
    <w:rsid w:val="00F27B24"/>
    <w:rsid w:val="00F27BB2"/>
    <w:rsid w:val="00F27CF1"/>
    <w:rsid w:val="00F27D80"/>
    <w:rsid w:val="00F27DB1"/>
    <w:rsid w:val="00F27FB1"/>
    <w:rsid w:val="00F3007F"/>
    <w:rsid w:val="00F3032E"/>
    <w:rsid w:val="00F30391"/>
    <w:rsid w:val="00F303E4"/>
    <w:rsid w:val="00F30434"/>
    <w:rsid w:val="00F304EA"/>
    <w:rsid w:val="00F305F1"/>
    <w:rsid w:val="00F307A8"/>
    <w:rsid w:val="00F307BC"/>
    <w:rsid w:val="00F30C59"/>
    <w:rsid w:val="00F30CE7"/>
    <w:rsid w:val="00F30CEC"/>
    <w:rsid w:val="00F30D28"/>
    <w:rsid w:val="00F312DF"/>
    <w:rsid w:val="00F31303"/>
    <w:rsid w:val="00F31630"/>
    <w:rsid w:val="00F316C8"/>
    <w:rsid w:val="00F31A72"/>
    <w:rsid w:val="00F31A97"/>
    <w:rsid w:val="00F31AC0"/>
    <w:rsid w:val="00F31D0F"/>
    <w:rsid w:val="00F31EE4"/>
    <w:rsid w:val="00F31F6C"/>
    <w:rsid w:val="00F31FB8"/>
    <w:rsid w:val="00F3207F"/>
    <w:rsid w:val="00F3223D"/>
    <w:rsid w:val="00F323A0"/>
    <w:rsid w:val="00F323C7"/>
    <w:rsid w:val="00F324AD"/>
    <w:rsid w:val="00F324C4"/>
    <w:rsid w:val="00F32610"/>
    <w:rsid w:val="00F329E1"/>
    <w:rsid w:val="00F32A4B"/>
    <w:rsid w:val="00F32BC8"/>
    <w:rsid w:val="00F32DF4"/>
    <w:rsid w:val="00F32EA2"/>
    <w:rsid w:val="00F32EE0"/>
    <w:rsid w:val="00F330B3"/>
    <w:rsid w:val="00F33282"/>
    <w:rsid w:val="00F3343D"/>
    <w:rsid w:val="00F334D2"/>
    <w:rsid w:val="00F336B4"/>
    <w:rsid w:val="00F33723"/>
    <w:rsid w:val="00F33846"/>
    <w:rsid w:val="00F33849"/>
    <w:rsid w:val="00F33AB1"/>
    <w:rsid w:val="00F33AB7"/>
    <w:rsid w:val="00F33E29"/>
    <w:rsid w:val="00F33E2E"/>
    <w:rsid w:val="00F33E65"/>
    <w:rsid w:val="00F34002"/>
    <w:rsid w:val="00F3400E"/>
    <w:rsid w:val="00F340DC"/>
    <w:rsid w:val="00F340EF"/>
    <w:rsid w:val="00F34200"/>
    <w:rsid w:val="00F3427B"/>
    <w:rsid w:val="00F3451E"/>
    <w:rsid w:val="00F348B9"/>
    <w:rsid w:val="00F348F6"/>
    <w:rsid w:val="00F34AB8"/>
    <w:rsid w:val="00F34BD4"/>
    <w:rsid w:val="00F34D3E"/>
    <w:rsid w:val="00F34FDB"/>
    <w:rsid w:val="00F351E9"/>
    <w:rsid w:val="00F35280"/>
    <w:rsid w:val="00F352A5"/>
    <w:rsid w:val="00F3539C"/>
    <w:rsid w:val="00F35412"/>
    <w:rsid w:val="00F35581"/>
    <w:rsid w:val="00F35602"/>
    <w:rsid w:val="00F3589A"/>
    <w:rsid w:val="00F35A8B"/>
    <w:rsid w:val="00F35ADE"/>
    <w:rsid w:val="00F35B62"/>
    <w:rsid w:val="00F35BB0"/>
    <w:rsid w:val="00F35CFC"/>
    <w:rsid w:val="00F35D88"/>
    <w:rsid w:val="00F35E92"/>
    <w:rsid w:val="00F35F90"/>
    <w:rsid w:val="00F36113"/>
    <w:rsid w:val="00F361AA"/>
    <w:rsid w:val="00F3639C"/>
    <w:rsid w:val="00F363CE"/>
    <w:rsid w:val="00F36426"/>
    <w:rsid w:val="00F3642F"/>
    <w:rsid w:val="00F364A1"/>
    <w:rsid w:val="00F365C1"/>
    <w:rsid w:val="00F36658"/>
    <w:rsid w:val="00F367CB"/>
    <w:rsid w:val="00F367F3"/>
    <w:rsid w:val="00F36968"/>
    <w:rsid w:val="00F369B8"/>
    <w:rsid w:val="00F36C0C"/>
    <w:rsid w:val="00F36CE3"/>
    <w:rsid w:val="00F36D96"/>
    <w:rsid w:val="00F3710D"/>
    <w:rsid w:val="00F371E8"/>
    <w:rsid w:val="00F3738B"/>
    <w:rsid w:val="00F373EA"/>
    <w:rsid w:val="00F37471"/>
    <w:rsid w:val="00F37581"/>
    <w:rsid w:val="00F37661"/>
    <w:rsid w:val="00F37674"/>
    <w:rsid w:val="00F37958"/>
    <w:rsid w:val="00F37BF1"/>
    <w:rsid w:val="00F37C37"/>
    <w:rsid w:val="00F400A9"/>
    <w:rsid w:val="00F401C8"/>
    <w:rsid w:val="00F402F6"/>
    <w:rsid w:val="00F40377"/>
    <w:rsid w:val="00F40457"/>
    <w:rsid w:val="00F4050E"/>
    <w:rsid w:val="00F4057E"/>
    <w:rsid w:val="00F4064F"/>
    <w:rsid w:val="00F40675"/>
    <w:rsid w:val="00F4071B"/>
    <w:rsid w:val="00F40874"/>
    <w:rsid w:val="00F40987"/>
    <w:rsid w:val="00F409CF"/>
    <w:rsid w:val="00F40ADF"/>
    <w:rsid w:val="00F40DE2"/>
    <w:rsid w:val="00F40E53"/>
    <w:rsid w:val="00F410C8"/>
    <w:rsid w:val="00F4149B"/>
    <w:rsid w:val="00F4155C"/>
    <w:rsid w:val="00F4161A"/>
    <w:rsid w:val="00F41697"/>
    <w:rsid w:val="00F41746"/>
    <w:rsid w:val="00F41A37"/>
    <w:rsid w:val="00F41A3D"/>
    <w:rsid w:val="00F41AB2"/>
    <w:rsid w:val="00F41BCD"/>
    <w:rsid w:val="00F41D0F"/>
    <w:rsid w:val="00F41F45"/>
    <w:rsid w:val="00F41FE1"/>
    <w:rsid w:val="00F421CA"/>
    <w:rsid w:val="00F42260"/>
    <w:rsid w:val="00F42263"/>
    <w:rsid w:val="00F423A3"/>
    <w:rsid w:val="00F425A5"/>
    <w:rsid w:val="00F4291C"/>
    <w:rsid w:val="00F42939"/>
    <w:rsid w:val="00F4294F"/>
    <w:rsid w:val="00F429FF"/>
    <w:rsid w:val="00F42CEF"/>
    <w:rsid w:val="00F42D8A"/>
    <w:rsid w:val="00F42F50"/>
    <w:rsid w:val="00F43071"/>
    <w:rsid w:val="00F4309E"/>
    <w:rsid w:val="00F430C8"/>
    <w:rsid w:val="00F430CB"/>
    <w:rsid w:val="00F432B4"/>
    <w:rsid w:val="00F43350"/>
    <w:rsid w:val="00F43612"/>
    <w:rsid w:val="00F4362B"/>
    <w:rsid w:val="00F43771"/>
    <w:rsid w:val="00F43853"/>
    <w:rsid w:val="00F43DD8"/>
    <w:rsid w:val="00F43E67"/>
    <w:rsid w:val="00F43EA0"/>
    <w:rsid w:val="00F4407E"/>
    <w:rsid w:val="00F441C3"/>
    <w:rsid w:val="00F4428F"/>
    <w:rsid w:val="00F44352"/>
    <w:rsid w:val="00F44614"/>
    <w:rsid w:val="00F4490C"/>
    <w:rsid w:val="00F44923"/>
    <w:rsid w:val="00F44A34"/>
    <w:rsid w:val="00F44BE4"/>
    <w:rsid w:val="00F44D61"/>
    <w:rsid w:val="00F44F90"/>
    <w:rsid w:val="00F44FBE"/>
    <w:rsid w:val="00F45133"/>
    <w:rsid w:val="00F4515E"/>
    <w:rsid w:val="00F452DD"/>
    <w:rsid w:val="00F45347"/>
    <w:rsid w:val="00F4549E"/>
    <w:rsid w:val="00F45682"/>
    <w:rsid w:val="00F456CB"/>
    <w:rsid w:val="00F456F4"/>
    <w:rsid w:val="00F4570E"/>
    <w:rsid w:val="00F45714"/>
    <w:rsid w:val="00F4586A"/>
    <w:rsid w:val="00F4586E"/>
    <w:rsid w:val="00F45A03"/>
    <w:rsid w:val="00F45A56"/>
    <w:rsid w:val="00F45AEA"/>
    <w:rsid w:val="00F45D04"/>
    <w:rsid w:val="00F45D21"/>
    <w:rsid w:val="00F45E21"/>
    <w:rsid w:val="00F45E45"/>
    <w:rsid w:val="00F45E70"/>
    <w:rsid w:val="00F45E95"/>
    <w:rsid w:val="00F45E9F"/>
    <w:rsid w:val="00F460BC"/>
    <w:rsid w:val="00F46330"/>
    <w:rsid w:val="00F467DD"/>
    <w:rsid w:val="00F46A2F"/>
    <w:rsid w:val="00F46AE1"/>
    <w:rsid w:val="00F46B67"/>
    <w:rsid w:val="00F46C44"/>
    <w:rsid w:val="00F46DFF"/>
    <w:rsid w:val="00F46E23"/>
    <w:rsid w:val="00F46E94"/>
    <w:rsid w:val="00F46E9A"/>
    <w:rsid w:val="00F47161"/>
    <w:rsid w:val="00F4729A"/>
    <w:rsid w:val="00F473BD"/>
    <w:rsid w:val="00F4763B"/>
    <w:rsid w:val="00F47641"/>
    <w:rsid w:val="00F476B0"/>
    <w:rsid w:val="00F476FE"/>
    <w:rsid w:val="00F47872"/>
    <w:rsid w:val="00F47916"/>
    <w:rsid w:val="00F4792E"/>
    <w:rsid w:val="00F47A0C"/>
    <w:rsid w:val="00F47A18"/>
    <w:rsid w:val="00F47A1F"/>
    <w:rsid w:val="00F47A23"/>
    <w:rsid w:val="00F47B71"/>
    <w:rsid w:val="00F47B8A"/>
    <w:rsid w:val="00F47C3B"/>
    <w:rsid w:val="00F47D98"/>
    <w:rsid w:val="00F47FA7"/>
    <w:rsid w:val="00F5021D"/>
    <w:rsid w:val="00F50341"/>
    <w:rsid w:val="00F503B8"/>
    <w:rsid w:val="00F50462"/>
    <w:rsid w:val="00F50713"/>
    <w:rsid w:val="00F507BB"/>
    <w:rsid w:val="00F50842"/>
    <w:rsid w:val="00F50AB4"/>
    <w:rsid w:val="00F50C9B"/>
    <w:rsid w:val="00F50D12"/>
    <w:rsid w:val="00F50D8A"/>
    <w:rsid w:val="00F50D8E"/>
    <w:rsid w:val="00F50FCE"/>
    <w:rsid w:val="00F51002"/>
    <w:rsid w:val="00F510DC"/>
    <w:rsid w:val="00F51103"/>
    <w:rsid w:val="00F51410"/>
    <w:rsid w:val="00F51744"/>
    <w:rsid w:val="00F51790"/>
    <w:rsid w:val="00F51793"/>
    <w:rsid w:val="00F51A35"/>
    <w:rsid w:val="00F51A58"/>
    <w:rsid w:val="00F51AA7"/>
    <w:rsid w:val="00F51B65"/>
    <w:rsid w:val="00F51B93"/>
    <w:rsid w:val="00F51C00"/>
    <w:rsid w:val="00F51CD6"/>
    <w:rsid w:val="00F51D76"/>
    <w:rsid w:val="00F51E1A"/>
    <w:rsid w:val="00F51E63"/>
    <w:rsid w:val="00F51F3B"/>
    <w:rsid w:val="00F52043"/>
    <w:rsid w:val="00F5213D"/>
    <w:rsid w:val="00F522D1"/>
    <w:rsid w:val="00F523C4"/>
    <w:rsid w:val="00F52446"/>
    <w:rsid w:val="00F52486"/>
    <w:rsid w:val="00F527F0"/>
    <w:rsid w:val="00F5298A"/>
    <w:rsid w:val="00F529A9"/>
    <w:rsid w:val="00F52E0D"/>
    <w:rsid w:val="00F52F4E"/>
    <w:rsid w:val="00F53004"/>
    <w:rsid w:val="00F5305F"/>
    <w:rsid w:val="00F5313A"/>
    <w:rsid w:val="00F531E1"/>
    <w:rsid w:val="00F53229"/>
    <w:rsid w:val="00F5334F"/>
    <w:rsid w:val="00F5349A"/>
    <w:rsid w:val="00F534CB"/>
    <w:rsid w:val="00F536D3"/>
    <w:rsid w:val="00F539DB"/>
    <w:rsid w:val="00F53A5B"/>
    <w:rsid w:val="00F53C5A"/>
    <w:rsid w:val="00F53F82"/>
    <w:rsid w:val="00F53FE7"/>
    <w:rsid w:val="00F5426F"/>
    <w:rsid w:val="00F5427C"/>
    <w:rsid w:val="00F5435B"/>
    <w:rsid w:val="00F543C0"/>
    <w:rsid w:val="00F54421"/>
    <w:rsid w:val="00F544D4"/>
    <w:rsid w:val="00F546A7"/>
    <w:rsid w:val="00F547B8"/>
    <w:rsid w:val="00F54941"/>
    <w:rsid w:val="00F549BF"/>
    <w:rsid w:val="00F54AE1"/>
    <w:rsid w:val="00F54B77"/>
    <w:rsid w:val="00F54C02"/>
    <w:rsid w:val="00F54D4E"/>
    <w:rsid w:val="00F54D69"/>
    <w:rsid w:val="00F54EEC"/>
    <w:rsid w:val="00F551D4"/>
    <w:rsid w:val="00F55217"/>
    <w:rsid w:val="00F55452"/>
    <w:rsid w:val="00F555CA"/>
    <w:rsid w:val="00F556FD"/>
    <w:rsid w:val="00F55805"/>
    <w:rsid w:val="00F5598E"/>
    <w:rsid w:val="00F55BFF"/>
    <w:rsid w:val="00F55DA7"/>
    <w:rsid w:val="00F55E86"/>
    <w:rsid w:val="00F55FB5"/>
    <w:rsid w:val="00F5611A"/>
    <w:rsid w:val="00F5624E"/>
    <w:rsid w:val="00F562BE"/>
    <w:rsid w:val="00F56324"/>
    <w:rsid w:val="00F56471"/>
    <w:rsid w:val="00F56677"/>
    <w:rsid w:val="00F567B1"/>
    <w:rsid w:val="00F56997"/>
    <w:rsid w:val="00F569DC"/>
    <w:rsid w:val="00F56A41"/>
    <w:rsid w:val="00F56AEA"/>
    <w:rsid w:val="00F56D2B"/>
    <w:rsid w:val="00F56DA5"/>
    <w:rsid w:val="00F56DC5"/>
    <w:rsid w:val="00F57001"/>
    <w:rsid w:val="00F5700C"/>
    <w:rsid w:val="00F57092"/>
    <w:rsid w:val="00F570A5"/>
    <w:rsid w:val="00F5711E"/>
    <w:rsid w:val="00F57266"/>
    <w:rsid w:val="00F572A4"/>
    <w:rsid w:val="00F57317"/>
    <w:rsid w:val="00F5735A"/>
    <w:rsid w:val="00F576D0"/>
    <w:rsid w:val="00F576FA"/>
    <w:rsid w:val="00F579DA"/>
    <w:rsid w:val="00F57B2D"/>
    <w:rsid w:val="00F57C35"/>
    <w:rsid w:val="00F57D0F"/>
    <w:rsid w:val="00F57DE4"/>
    <w:rsid w:val="00F57F8F"/>
    <w:rsid w:val="00F60093"/>
    <w:rsid w:val="00F605C3"/>
    <w:rsid w:val="00F6061B"/>
    <w:rsid w:val="00F60668"/>
    <w:rsid w:val="00F6091D"/>
    <w:rsid w:val="00F60AE8"/>
    <w:rsid w:val="00F60D3E"/>
    <w:rsid w:val="00F60E37"/>
    <w:rsid w:val="00F60F2C"/>
    <w:rsid w:val="00F6111A"/>
    <w:rsid w:val="00F6129A"/>
    <w:rsid w:val="00F6153B"/>
    <w:rsid w:val="00F61578"/>
    <w:rsid w:val="00F61601"/>
    <w:rsid w:val="00F61660"/>
    <w:rsid w:val="00F616BE"/>
    <w:rsid w:val="00F61722"/>
    <w:rsid w:val="00F617BF"/>
    <w:rsid w:val="00F61BE1"/>
    <w:rsid w:val="00F61C16"/>
    <w:rsid w:val="00F61D71"/>
    <w:rsid w:val="00F61E4E"/>
    <w:rsid w:val="00F61E51"/>
    <w:rsid w:val="00F61FB1"/>
    <w:rsid w:val="00F620B7"/>
    <w:rsid w:val="00F62244"/>
    <w:rsid w:val="00F622FC"/>
    <w:rsid w:val="00F624ED"/>
    <w:rsid w:val="00F62649"/>
    <w:rsid w:val="00F62691"/>
    <w:rsid w:val="00F6274F"/>
    <w:rsid w:val="00F628FC"/>
    <w:rsid w:val="00F62E24"/>
    <w:rsid w:val="00F62FDE"/>
    <w:rsid w:val="00F630A7"/>
    <w:rsid w:val="00F63405"/>
    <w:rsid w:val="00F637B2"/>
    <w:rsid w:val="00F6382E"/>
    <w:rsid w:val="00F638A7"/>
    <w:rsid w:val="00F6394B"/>
    <w:rsid w:val="00F63AE5"/>
    <w:rsid w:val="00F63B46"/>
    <w:rsid w:val="00F63BC8"/>
    <w:rsid w:val="00F63C9C"/>
    <w:rsid w:val="00F63E16"/>
    <w:rsid w:val="00F63E64"/>
    <w:rsid w:val="00F63EFE"/>
    <w:rsid w:val="00F64149"/>
    <w:rsid w:val="00F64457"/>
    <w:rsid w:val="00F64612"/>
    <w:rsid w:val="00F646CA"/>
    <w:rsid w:val="00F64818"/>
    <w:rsid w:val="00F6490C"/>
    <w:rsid w:val="00F6498C"/>
    <w:rsid w:val="00F64CFA"/>
    <w:rsid w:val="00F64F26"/>
    <w:rsid w:val="00F64F57"/>
    <w:rsid w:val="00F65016"/>
    <w:rsid w:val="00F65075"/>
    <w:rsid w:val="00F650E2"/>
    <w:rsid w:val="00F6514A"/>
    <w:rsid w:val="00F65405"/>
    <w:rsid w:val="00F656CA"/>
    <w:rsid w:val="00F65877"/>
    <w:rsid w:val="00F658B9"/>
    <w:rsid w:val="00F65B09"/>
    <w:rsid w:val="00F65B1B"/>
    <w:rsid w:val="00F65C69"/>
    <w:rsid w:val="00F65DB6"/>
    <w:rsid w:val="00F65DF3"/>
    <w:rsid w:val="00F65E40"/>
    <w:rsid w:val="00F65F3C"/>
    <w:rsid w:val="00F66104"/>
    <w:rsid w:val="00F66108"/>
    <w:rsid w:val="00F6612E"/>
    <w:rsid w:val="00F661D2"/>
    <w:rsid w:val="00F66411"/>
    <w:rsid w:val="00F664C8"/>
    <w:rsid w:val="00F666DF"/>
    <w:rsid w:val="00F666E8"/>
    <w:rsid w:val="00F6674E"/>
    <w:rsid w:val="00F667E7"/>
    <w:rsid w:val="00F66818"/>
    <w:rsid w:val="00F66C99"/>
    <w:rsid w:val="00F66E4A"/>
    <w:rsid w:val="00F67192"/>
    <w:rsid w:val="00F673B0"/>
    <w:rsid w:val="00F673E5"/>
    <w:rsid w:val="00F67446"/>
    <w:rsid w:val="00F674E8"/>
    <w:rsid w:val="00F675E0"/>
    <w:rsid w:val="00F678C8"/>
    <w:rsid w:val="00F67A15"/>
    <w:rsid w:val="00F67A95"/>
    <w:rsid w:val="00F67E05"/>
    <w:rsid w:val="00F67E70"/>
    <w:rsid w:val="00F67E99"/>
    <w:rsid w:val="00F67EA8"/>
    <w:rsid w:val="00F67F13"/>
    <w:rsid w:val="00F702CC"/>
    <w:rsid w:val="00F703B2"/>
    <w:rsid w:val="00F703D1"/>
    <w:rsid w:val="00F705D6"/>
    <w:rsid w:val="00F70636"/>
    <w:rsid w:val="00F706F3"/>
    <w:rsid w:val="00F7083D"/>
    <w:rsid w:val="00F708F9"/>
    <w:rsid w:val="00F70B44"/>
    <w:rsid w:val="00F70D65"/>
    <w:rsid w:val="00F70E41"/>
    <w:rsid w:val="00F7101E"/>
    <w:rsid w:val="00F713A2"/>
    <w:rsid w:val="00F714C3"/>
    <w:rsid w:val="00F7172C"/>
    <w:rsid w:val="00F7176D"/>
    <w:rsid w:val="00F71802"/>
    <w:rsid w:val="00F71C12"/>
    <w:rsid w:val="00F71C17"/>
    <w:rsid w:val="00F71CC6"/>
    <w:rsid w:val="00F71FE0"/>
    <w:rsid w:val="00F72073"/>
    <w:rsid w:val="00F72158"/>
    <w:rsid w:val="00F72205"/>
    <w:rsid w:val="00F722D4"/>
    <w:rsid w:val="00F72382"/>
    <w:rsid w:val="00F723F3"/>
    <w:rsid w:val="00F72515"/>
    <w:rsid w:val="00F72935"/>
    <w:rsid w:val="00F7295F"/>
    <w:rsid w:val="00F72B51"/>
    <w:rsid w:val="00F72B65"/>
    <w:rsid w:val="00F72C15"/>
    <w:rsid w:val="00F72C62"/>
    <w:rsid w:val="00F72C77"/>
    <w:rsid w:val="00F72D6F"/>
    <w:rsid w:val="00F72D91"/>
    <w:rsid w:val="00F73001"/>
    <w:rsid w:val="00F731A1"/>
    <w:rsid w:val="00F73301"/>
    <w:rsid w:val="00F73404"/>
    <w:rsid w:val="00F7357F"/>
    <w:rsid w:val="00F73B9F"/>
    <w:rsid w:val="00F73C1E"/>
    <w:rsid w:val="00F73C9A"/>
    <w:rsid w:val="00F73D10"/>
    <w:rsid w:val="00F73F19"/>
    <w:rsid w:val="00F740E1"/>
    <w:rsid w:val="00F7418B"/>
    <w:rsid w:val="00F741A0"/>
    <w:rsid w:val="00F7430D"/>
    <w:rsid w:val="00F7444F"/>
    <w:rsid w:val="00F74460"/>
    <w:rsid w:val="00F744FD"/>
    <w:rsid w:val="00F746A2"/>
    <w:rsid w:val="00F7472A"/>
    <w:rsid w:val="00F74793"/>
    <w:rsid w:val="00F74ADB"/>
    <w:rsid w:val="00F74AF3"/>
    <w:rsid w:val="00F74B89"/>
    <w:rsid w:val="00F74B8E"/>
    <w:rsid w:val="00F74C3B"/>
    <w:rsid w:val="00F74D4E"/>
    <w:rsid w:val="00F74D78"/>
    <w:rsid w:val="00F74E22"/>
    <w:rsid w:val="00F74F56"/>
    <w:rsid w:val="00F74F59"/>
    <w:rsid w:val="00F75059"/>
    <w:rsid w:val="00F7506F"/>
    <w:rsid w:val="00F75089"/>
    <w:rsid w:val="00F75188"/>
    <w:rsid w:val="00F75307"/>
    <w:rsid w:val="00F7534C"/>
    <w:rsid w:val="00F755A2"/>
    <w:rsid w:val="00F75659"/>
    <w:rsid w:val="00F75742"/>
    <w:rsid w:val="00F75AD0"/>
    <w:rsid w:val="00F75D74"/>
    <w:rsid w:val="00F75F25"/>
    <w:rsid w:val="00F75FDC"/>
    <w:rsid w:val="00F761B4"/>
    <w:rsid w:val="00F762F7"/>
    <w:rsid w:val="00F76366"/>
    <w:rsid w:val="00F7639D"/>
    <w:rsid w:val="00F763FD"/>
    <w:rsid w:val="00F76479"/>
    <w:rsid w:val="00F7670C"/>
    <w:rsid w:val="00F76871"/>
    <w:rsid w:val="00F76957"/>
    <w:rsid w:val="00F769E0"/>
    <w:rsid w:val="00F76EF5"/>
    <w:rsid w:val="00F76F9E"/>
    <w:rsid w:val="00F77194"/>
    <w:rsid w:val="00F77411"/>
    <w:rsid w:val="00F7775E"/>
    <w:rsid w:val="00F777B8"/>
    <w:rsid w:val="00F777DA"/>
    <w:rsid w:val="00F777FA"/>
    <w:rsid w:val="00F778BF"/>
    <w:rsid w:val="00F77B4D"/>
    <w:rsid w:val="00F77DB1"/>
    <w:rsid w:val="00F77DED"/>
    <w:rsid w:val="00F803BB"/>
    <w:rsid w:val="00F80416"/>
    <w:rsid w:val="00F807FE"/>
    <w:rsid w:val="00F8081D"/>
    <w:rsid w:val="00F80D2D"/>
    <w:rsid w:val="00F80D3E"/>
    <w:rsid w:val="00F80D5C"/>
    <w:rsid w:val="00F80EB4"/>
    <w:rsid w:val="00F80F21"/>
    <w:rsid w:val="00F8101D"/>
    <w:rsid w:val="00F810B5"/>
    <w:rsid w:val="00F81240"/>
    <w:rsid w:val="00F81282"/>
    <w:rsid w:val="00F8128B"/>
    <w:rsid w:val="00F81361"/>
    <w:rsid w:val="00F8136E"/>
    <w:rsid w:val="00F819B1"/>
    <w:rsid w:val="00F819C3"/>
    <w:rsid w:val="00F81AE8"/>
    <w:rsid w:val="00F81B4B"/>
    <w:rsid w:val="00F81BE4"/>
    <w:rsid w:val="00F81D8B"/>
    <w:rsid w:val="00F81DC3"/>
    <w:rsid w:val="00F81DED"/>
    <w:rsid w:val="00F81F22"/>
    <w:rsid w:val="00F81FA4"/>
    <w:rsid w:val="00F81FC8"/>
    <w:rsid w:val="00F820AE"/>
    <w:rsid w:val="00F82240"/>
    <w:rsid w:val="00F8224A"/>
    <w:rsid w:val="00F82280"/>
    <w:rsid w:val="00F82447"/>
    <w:rsid w:val="00F8257F"/>
    <w:rsid w:val="00F825BE"/>
    <w:rsid w:val="00F826AF"/>
    <w:rsid w:val="00F8274D"/>
    <w:rsid w:val="00F8288C"/>
    <w:rsid w:val="00F82A2C"/>
    <w:rsid w:val="00F82BBA"/>
    <w:rsid w:val="00F82C24"/>
    <w:rsid w:val="00F82E04"/>
    <w:rsid w:val="00F83099"/>
    <w:rsid w:val="00F831A5"/>
    <w:rsid w:val="00F83291"/>
    <w:rsid w:val="00F83AC2"/>
    <w:rsid w:val="00F83CF5"/>
    <w:rsid w:val="00F83DAF"/>
    <w:rsid w:val="00F83F12"/>
    <w:rsid w:val="00F83F80"/>
    <w:rsid w:val="00F8408A"/>
    <w:rsid w:val="00F8425C"/>
    <w:rsid w:val="00F8429B"/>
    <w:rsid w:val="00F842B1"/>
    <w:rsid w:val="00F845BF"/>
    <w:rsid w:val="00F8486B"/>
    <w:rsid w:val="00F84B4B"/>
    <w:rsid w:val="00F84DA8"/>
    <w:rsid w:val="00F84F00"/>
    <w:rsid w:val="00F8516E"/>
    <w:rsid w:val="00F85200"/>
    <w:rsid w:val="00F8522F"/>
    <w:rsid w:val="00F85288"/>
    <w:rsid w:val="00F85621"/>
    <w:rsid w:val="00F85920"/>
    <w:rsid w:val="00F85B90"/>
    <w:rsid w:val="00F85B94"/>
    <w:rsid w:val="00F85C9C"/>
    <w:rsid w:val="00F85DC3"/>
    <w:rsid w:val="00F861E8"/>
    <w:rsid w:val="00F86204"/>
    <w:rsid w:val="00F8674F"/>
    <w:rsid w:val="00F8681B"/>
    <w:rsid w:val="00F86A4D"/>
    <w:rsid w:val="00F86B26"/>
    <w:rsid w:val="00F86B45"/>
    <w:rsid w:val="00F86BE5"/>
    <w:rsid w:val="00F86C30"/>
    <w:rsid w:val="00F8702B"/>
    <w:rsid w:val="00F87370"/>
    <w:rsid w:val="00F87729"/>
    <w:rsid w:val="00F87A48"/>
    <w:rsid w:val="00F87AC4"/>
    <w:rsid w:val="00F87B44"/>
    <w:rsid w:val="00F87DCC"/>
    <w:rsid w:val="00F87EE7"/>
    <w:rsid w:val="00F87FF0"/>
    <w:rsid w:val="00F900D3"/>
    <w:rsid w:val="00F9038E"/>
    <w:rsid w:val="00F903F6"/>
    <w:rsid w:val="00F905F5"/>
    <w:rsid w:val="00F90849"/>
    <w:rsid w:val="00F9097D"/>
    <w:rsid w:val="00F90ABC"/>
    <w:rsid w:val="00F90B7A"/>
    <w:rsid w:val="00F90BCE"/>
    <w:rsid w:val="00F90F7C"/>
    <w:rsid w:val="00F9125B"/>
    <w:rsid w:val="00F91288"/>
    <w:rsid w:val="00F912E0"/>
    <w:rsid w:val="00F9156A"/>
    <w:rsid w:val="00F91773"/>
    <w:rsid w:val="00F91868"/>
    <w:rsid w:val="00F91EE1"/>
    <w:rsid w:val="00F91F57"/>
    <w:rsid w:val="00F91F73"/>
    <w:rsid w:val="00F922F1"/>
    <w:rsid w:val="00F92302"/>
    <w:rsid w:val="00F92783"/>
    <w:rsid w:val="00F92A16"/>
    <w:rsid w:val="00F92A68"/>
    <w:rsid w:val="00F92CA1"/>
    <w:rsid w:val="00F92F0F"/>
    <w:rsid w:val="00F92F3E"/>
    <w:rsid w:val="00F92FEE"/>
    <w:rsid w:val="00F93739"/>
    <w:rsid w:val="00F938C9"/>
    <w:rsid w:val="00F939B2"/>
    <w:rsid w:val="00F93BAE"/>
    <w:rsid w:val="00F93C98"/>
    <w:rsid w:val="00F93EA6"/>
    <w:rsid w:val="00F93F69"/>
    <w:rsid w:val="00F93FBE"/>
    <w:rsid w:val="00F940E6"/>
    <w:rsid w:val="00F94169"/>
    <w:rsid w:val="00F9443F"/>
    <w:rsid w:val="00F944D5"/>
    <w:rsid w:val="00F944FA"/>
    <w:rsid w:val="00F94504"/>
    <w:rsid w:val="00F9473B"/>
    <w:rsid w:val="00F94902"/>
    <w:rsid w:val="00F949ED"/>
    <w:rsid w:val="00F94EB2"/>
    <w:rsid w:val="00F94F39"/>
    <w:rsid w:val="00F950A9"/>
    <w:rsid w:val="00F950CF"/>
    <w:rsid w:val="00F951DB"/>
    <w:rsid w:val="00F9552D"/>
    <w:rsid w:val="00F95566"/>
    <w:rsid w:val="00F955D2"/>
    <w:rsid w:val="00F956BA"/>
    <w:rsid w:val="00F956D3"/>
    <w:rsid w:val="00F95A7F"/>
    <w:rsid w:val="00F95A9C"/>
    <w:rsid w:val="00F95AF9"/>
    <w:rsid w:val="00F95B8D"/>
    <w:rsid w:val="00F95D5C"/>
    <w:rsid w:val="00F960BC"/>
    <w:rsid w:val="00F96143"/>
    <w:rsid w:val="00F962F2"/>
    <w:rsid w:val="00F96397"/>
    <w:rsid w:val="00F963CE"/>
    <w:rsid w:val="00F96406"/>
    <w:rsid w:val="00F96471"/>
    <w:rsid w:val="00F964EB"/>
    <w:rsid w:val="00F9652E"/>
    <w:rsid w:val="00F9676C"/>
    <w:rsid w:val="00F96868"/>
    <w:rsid w:val="00F96BF4"/>
    <w:rsid w:val="00F96C13"/>
    <w:rsid w:val="00F96E80"/>
    <w:rsid w:val="00F96FDA"/>
    <w:rsid w:val="00F971F5"/>
    <w:rsid w:val="00F9732A"/>
    <w:rsid w:val="00F97445"/>
    <w:rsid w:val="00F974D0"/>
    <w:rsid w:val="00F975E8"/>
    <w:rsid w:val="00F9766A"/>
    <w:rsid w:val="00F97682"/>
    <w:rsid w:val="00F976BD"/>
    <w:rsid w:val="00F97A01"/>
    <w:rsid w:val="00F97A84"/>
    <w:rsid w:val="00FA010D"/>
    <w:rsid w:val="00FA0137"/>
    <w:rsid w:val="00FA01A6"/>
    <w:rsid w:val="00FA0223"/>
    <w:rsid w:val="00FA041B"/>
    <w:rsid w:val="00FA045F"/>
    <w:rsid w:val="00FA0520"/>
    <w:rsid w:val="00FA052F"/>
    <w:rsid w:val="00FA054B"/>
    <w:rsid w:val="00FA05A5"/>
    <w:rsid w:val="00FA069C"/>
    <w:rsid w:val="00FA073F"/>
    <w:rsid w:val="00FA077B"/>
    <w:rsid w:val="00FA0794"/>
    <w:rsid w:val="00FA0998"/>
    <w:rsid w:val="00FA09FD"/>
    <w:rsid w:val="00FA0C70"/>
    <w:rsid w:val="00FA0CE7"/>
    <w:rsid w:val="00FA0E61"/>
    <w:rsid w:val="00FA10D3"/>
    <w:rsid w:val="00FA116E"/>
    <w:rsid w:val="00FA1388"/>
    <w:rsid w:val="00FA150D"/>
    <w:rsid w:val="00FA1547"/>
    <w:rsid w:val="00FA1B57"/>
    <w:rsid w:val="00FA1EB9"/>
    <w:rsid w:val="00FA1EC8"/>
    <w:rsid w:val="00FA1F38"/>
    <w:rsid w:val="00FA1FDE"/>
    <w:rsid w:val="00FA1FE7"/>
    <w:rsid w:val="00FA2086"/>
    <w:rsid w:val="00FA20EA"/>
    <w:rsid w:val="00FA2123"/>
    <w:rsid w:val="00FA22AA"/>
    <w:rsid w:val="00FA22AC"/>
    <w:rsid w:val="00FA22CF"/>
    <w:rsid w:val="00FA23A1"/>
    <w:rsid w:val="00FA2448"/>
    <w:rsid w:val="00FA244C"/>
    <w:rsid w:val="00FA24D9"/>
    <w:rsid w:val="00FA24FA"/>
    <w:rsid w:val="00FA25A4"/>
    <w:rsid w:val="00FA25AF"/>
    <w:rsid w:val="00FA2609"/>
    <w:rsid w:val="00FA26D5"/>
    <w:rsid w:val="00FA28AC"/>
    <w:rsid w:val="00FA2A46"/>
    <w:rsid w:val="00FA2BA7"/>
    <w:rsid w:val="00FA2C7C"/>
    <w:rsid w:val="00FA2C9D"/>
    <w:rsid w:val="00FA2CD2"/>
    <w:rsid w:val="00FA3155"/>
    <w:rsid w:val="00FA33C3"/>
    <w:rsid w:val="00FA33C5"/>
    <w:rsid w:val="00FA3447"/>
    <w:rsid w:val="00FA34CE"/>
    <w:rsid w:val="00FA3791"/>
    <w:rsid w:val="00FA394E"/>
    <w:rsid w:val="00FA39B7"/>
    <w:rsid w:val="00FA3A9C"/>
    <w:rsid w:val="00FA3AE9"/>
    <w:rsid w:val="00FA3BDD"/>
    <w:rsid w:val="00FA3C62"/>
    <w:rsid w:val="00FA3E4E"/>
    <w:rsid w:val="00FA3F03"/>
    <w:rsid w:val="00FA3F17"/>
    <w:rsid w:val="00FA3F44"/>
    <w:rsid w:val="00FA40C9"/>
    <w:rsid w:val="00FA40DE"/>
    <w:rsid w:val="00FA4101"/>
    <w:rsid w:val="00FA421B"/>
    <w:rsid w:val="00FA4559"/>
    <w:rsid w:val="00FA47BD"/>
    <w:rsid w:val="00FA4AD4"/>
    <w:rsid w:val="00FA4BC2"/>
    <w:rsid w:val="00FA4CE1"/>
    <w:rsid w:val="00FA4D65"/>
    <w:rsid w:val="00FA50ED"/>
    <w:rsid w:val="00FA52E2"/>
    <w:rsid w:val="00FA533F"/>
    <w:rsid w:val="00FA562A"/>
    <w:rsid w:val="00FA573E"/>
    <w:rsid w:val="00FA57C8"/>
    <w:rsid w:val="00FA57D0"/>
    <w:rsid w:val="00FA5AFC"/>
    <w:rsid w:val="00FA5B5B"/>
    <w:rsid w:val="00FA5BA6"/>
    <w:rsid w:val="00FA5DA9"/>
    <w:rsid w:val="00FA5DC4"/>
    <w:rsid w:val="00FA5F19"/>
    <w:rsid w:val="00FA5F46"/>
    <w:rsid w:val="00FA6190"/>
    <w:rsid w:val="00FA620A"/>
    <w:rsid w:val="00FA6234"/>
    <w:rsid w:val="00FA62B4"/>
    <w:rsid w:val="00FA6603"/>
    <w:rsid w:val="00FA6830"/>
    <w:rsid w:val="00FA688F"/>
    <w:rsid w:val="00FA69B3"/>
    <w:rsid w:val="00FA6CE1"/>
    <w:rsid w:val="00FA6F53"/>
    <w:rsid w:val="00FA6FA4"/>
    <w:rsid w:val="00FA6FF7"/>
    <w:rsid w:val="00FA71DD"/>
    <w:rsid w:val="00FA7410"/>
    <w:rsid w:val="00FA762B"/>
    <w:rsid w:val="00FA7722"/>
    <w:rsid w:val="00FA7A62"/>
    <w:rsid w:val="00FA7A93"/>
    <w:rsid w:val="00FA7AA1"/>
    <w:rsid w:val="00FA7B0F"/>
    <w:rsid w:val="00FA7B1C"/>
    <w:rsid w:val="00FA7CDE"/>
    <w:rsid w:val="00FA7D3D"/>
    <w:rsid w:val="00FB01F8"/>
    <w:rsid w:val="00FB0223"/>
    <w:rsid w:val="00FB05B0"/>
    <w:rsid w:val="00FB0718"/>
    <w:rsid w:val="00FB07D2"/>
    <w:rsid w:val="00FB0829"/>
    <w:rsid w:val="00FB0906"/>
    <w:rsid w:val="00FB0967"/>
    <w:rsid w:val="00FB0AC9"/>
    <w:rsid w:val="00FB0CE4"/>
    <w:rsid w:val="00FB0F45"/>
    <w:rsid w:val="00FB0F89"/>
    <w:rsid w:val="00FB11BF"/>
    <w:rsid w:val="00FB1417"/>
    <w:rsid w:val="00FB14D6"/>
    <w:rsid w:val="00FB183B"/>
    <w:rsid w:val="00FB1BCD"/>
    <w:rsid w:val="00FB1BCE"/>
    <w:rsid w:val="00FB1D2A"/>
    <w:rsid w:val="00FB1DA5"/>
    <w:rsid w:val="00FB1EDC"/>
    <w:rsid w:val="00FB204C"/>
    <w:rsid w:val="00FB2222"/>
    <w:rsid w:val="00FB255F"/>
    <w:rsid w:val="00FB25CB"/>
    <w:rsid w:val="00FB271D"/>
    <w:rsid w:val="00FB280A"/>
    <w:rsid w:val="00FB284B"/>
    <w:rsid w:val="00FB2943"/>
    <w:rsid w:val="00FB2BD1"/>
    <w:rsid w:val="00FB2C6F"/>
    <w:rsid w:val="00FB2C80"/>
    <w:rsid w:val="00FB2CB7"/>
    <w:rsid w:val="00FB2CF8"/>
    <w:rsid w:val="00FB2D43"/>
    <w:rsid w:val="00FB3069"/>
    <w:rsid w:val="00FB307A"/>
    <w:rsid w:val="00FB30AF"/>
    <w:rsid w:val="00FB3538"/>
    <w:rsid w:val="00FB356B"/>
    <w:rsid w:val="00FB3592"/>
    <w:rsid w:val="00FB36C2"/>
    <w:rsid w:val="00FB3787"/>
    <w:rsid w:val="00FB38D6"/>
    <w:rsid w:val="00FB3AD3"/>
    <w:rsid w:val="00FB3B0A"/>
    <w:rsid w:val="00FB3C9D"/>
    <w:rsid w:val="00FB3CFB"/>
    <w:rsid w:val="00FB3D05"/>
    <w:rsid w:val="00FB40A5"/>
    <w:rsid w:val="00FB41B5"/>
    <w:rsid w:val="00FB43D1"/>
    <w:rsid w:val="00FB43F3"/>
    <w:rsid w:val="00FB4405"/>
    <w:rsid w:val="00FB4647"/>
    <w:rsid w:val="00FB47CE"/>
    <w:rsid w:val="00FB4A23"/>
    <w:rsid w:val="00FB4BE3"/>
    <w:rsid w:val="00FB5064"/>
    <w:rsid w:val="00FB5115"/>
    <w:rsid w:val="00FB514A"/>
    <w:rsid w:val="00FB5161"/>
    <w:rsid w:val="00FB53B5"/>
    <w:rsid w:val="00FB5493"/>
    <w:rsid w:val="00FB54A6"/>
    <w:rsid w:val="00FB55DB"/>
    <w:rsid w:val="00FB570E"/>
    <w:rsid w:val="00FB587F"/>
    <w:rsid w:val="00FB5A87"/>
    <w:rsid w:val="00FB5AC1"/>
    <w:rsid w:val="00FB5D21"/>
    <w:rsid w:val="00FB5DFD"/>
    <w:rsid w:val="00FB5E66"/>
    <w:rsid w:val="00FB60BA"/>
    <w:rsid w:val="00FB61CD"/>
    <w:rsid w:val="00FB63ED"/>
    <w:rsid w:val="00FB65E6"/>
    <w:rsid w:val="00FB6635"/>
    <w:rsid w:val="00FB66E5"/>
    <w:rsid w:val="00FB6760"/>
    <w:rsid w:val="00FB6796"/>
    <w:rsid w:val="00FB68D1"/>
    <w:rsid w:val="00FB69DA"/>
    <w:rsid w:val="00FB6B2A"/>
    <w:rsid w:val="00FB6B70"/>
    <w:rsid w:val="00FB6BB7"/>
    <w:rsid w:val="00FB6F95"/>
    <w:rsid w:val="00FB705F"/>
    <w:rsid w:val="00FB70BE"/>
    <w:rsid w:val="00FB72CD"/>
    <w:rsid w:val="00FB7451"/>
    <w:rsid w:val="00FB76ED"/>
    <w:rsid w:val="00FB7715"/>
    <w:rsid w:val="00FB7818"/>
    <w:rsid w:val="00FB7888"/>
    <w:rsid w:val="00FB797B"/>
    <w:rsid w:val="00FB7B23"/>
    <w:rsid w:val="00FB7C30"/>
    <w:rsid w:val="00FB7E46"/>
    <w:rsid w:val="00FB7E6F"/>
    <w:rsid w:val="00FB7F9F"/>
    <w:rsid w:val="00FC04AE"/>
    <w:rsid w:val="00FC0526"/>
    <w:rsid w:val="00FC05B0"/>
    <w:rsid w:val="00FC0618"/>
    <w:rsid w:val="00FC07F7"/>
    <w:rsid w:val="00FC08B5"/>
    <w:rsid w:val="00FC094B"/>
    <w:rsid w:val="00FC0A35"/>
    <w:rsid w:val="00FC0AC5"/>
    <w:rsid w:val="00FC0BC1"/>
    <w:rsid w:val="00FC0BC6"/>
    <w:rsid w:val="00FC0D85"/>
    <w:rsid w:val="00FC0E52"/>
    <w:rsid w:val="00FC0E86"/>
    <w:rsid w:val="00FC0EA9"/>
    <w:rsid w:val="00FC114D"/>
    <w:rsid w:val="00FC124D"/>
    <w:rsid w:val="00FC1365"/>
    <w:rsid w:val="00FC139F"/>
    <w:rsid w:val="00FC13BC"/>
    <w:rsid w:val="00FC1547"/>
    <w:rsid w:val="00FC155E"/>
    <w:rsid w:val="00FC1579"/>
    <w:rsid w:val="00FC1770"/>
    <w:rsid w:val="00FC1781"/>
    <w:rsid w:val="00FC1914"/>
    <w:rsid w:val="00FC1B2F"/>
    <w:rsid w:val="00FC1F78"/>
    <w:rsid w:val="00FC24E7"/>
    <w:rsid w:val="00FC26D9"/>
    <w:rsid w:val="00FC27A0"/>
    <w:rsid w:val="00FC2856"/>
    <w:rsid w:val="00FC2A03"/>
    <w:rsid w:val="00FC2B2F"/>
    <w:rsid w:val="00FC2B9C"/>
    <w:rsid w:val="00FC2E1F"/>
    <w:rsid w:val="00FC2E59"/>
    <w:rsid w:val="00FC2F0B"/>
    <w:rsid w:val="00FC2FEB"/>
    <w:rsid w:val="00FC336F"/>
    <w:rsid w:val="00FC3416"/>
    <w:rsid w:val="00FC3578"/>
    <w:rsid w:val="00FC37AB"/>
    <w:rsid w:val="00FC3A14"/>
    <w:rsid w:val="00FC3C6F"/>
    <w:rsid w:val="00FC3ED7"/>
    <w:rsid w:val="00FC4076"/>
    <w:rsid w:val="00FC443C"/>
    <w:rsid w:val="00FC449F"/>
    <w:rsid w:val="00FC45D9"/>
    <w:rsid w:val="00FC464D"/>
    <w:rsid w:val="00FC46C9"/>
    <w:rsid w:val="00FC4760"/>
    <w:rsid w:val="00FC498B"/>
    <w:rsid w:val="00FC4A58"/>
    <w:rsid w:val="00FC4A94"/>
    <w:rsid w:val="00FC4B4B"/>
    <w:rsid w:val="00FC4C8F"/>
    <w:rsid w:val="00FC4EEA"/>
    <w:rsid w:val="00FC5054"/>
    <w:rsid w:val="00FC5263"/>
    <w:rsid w:val="00FC5441"/>
    <w:rsid w:val="00FC5640"/>
    <w:rsid w:val="00FC56C0"/>
    <w:rsid w:val="00FC5785"/>
    <w:rsid w:val="00FC57A0"/>
    <w:rsid w:val="00FC5817"/>
    <w:rsid w:val="00FC58B9"/>
    <w:rsid w:val="00FC5A9D"/>
    <w:rsid w:val="00FC5B6C"/>
    <w:rsid w:val="00FC5C60"/>
    <w:rsid w:val="00FC5F06"/>
    <w:rsid w:val="00FC5FC6"/>
    <w:rsid w:val="00FC605A"/>
    <w:rsid w:val="00FC60D2"/>
    <w:rsid w:val="00FC6118"/>
    <w:rsid w:val="00FC6178"/>
    <w:rsid w:val="00FC6205"/>
    <w:rsid w:val="00FC641F"/>
    <w:rsid w:val="00FC6435"/>
    <w:rsid w:val="00FC64E4"/>
    <w:rsid w:val="00FC64F1"/>
    <w:rsid w:val="00FC67B4"/>
    <w:rsid w:val="00FC695E"/>
    <w:rsid w:val="00FC6B34"/>
    <w:rsid w:val="00FC6E71"/>
    <w:rsid w:val="00FC712C"/>
    <w:rsid w:val="00FC7278"/>
    <w:rsid w:val="00FC7565"/>
    <w:rsid w:val="00FC768B"/>
    <w:rsid w:val="00FC77B4"/>
    <w:rsid w:val="00FC77DD"/>
    <w:rsid w:val="00FC7A00"/>
    <w:rsid w:val="00FC7A86"/>
    <w:rsid w:val="00FC7ACA"/>
    <w:rsid w:val="00FC7D90"/>
    <w:rsid w:val="00FC7DFD"/>
    <w:rsid w:val="00FC7E83"/>
    <w:rsid w:val="00FD001C"/>
    <w:rsid w:val="00FD0141"/>
    <w:rsid w:val="00FD0226"/>
    <w:rsid w:val="00FD0357"/>
    <w:rsid w:val="00FD03BC"/>
    <w:rsid w:val="00FD0566"/>
    <w:rsid w:val="00FD0642"/>
    <w:rsid w:val="00FD06B3"/>
    <w:rsid w:val="00FD07A2"/>
    <w:rsid w:val="00FD0806"/>
    <w:rsid w:val="00FD0871"/>
    <w:rsid w:val="00FD0A10"/>
    <w:rsid w:val="00FD0D03"/>
    <w:rsid w:val="00FD0E69"/>
    <w:rsid w:val="00FD0FC6"/>
    <w:rsid w:val="00FD11D6"/>
    <w:rsid w:val="00FD123B"/>
    <w:rsid w:val="00FD1358"/>
    <w:rsid w:val="00FD13AB"/>
    <w:rsid w:val="00FD13B9"/>
    <w:rsid w:val="00FD141C"/>
    <w:rsid w:val="00FD177A"/>
    <w:rsid w:val="00FD1A04"/>
    <w:rsid w:val="00FD1C74"/>
    <w:rsid w:val="00FD1D4B"/>
    <w:rsid w:val="00FD1D9C"/>
    <w:rsid w:val="00FD1DBB"/>
    <w:rsid w:val="00FD1DBF"/>
    <w:rsid w:val="00FD1FE1"/>
    <w:rsid w:val="00FD2054"/>
    <w:rsid w:val="00FD2135"/>
    <w:rsid w:val="00FD222E"/>
    <w:rsid w:val="00FD22C3"/>
    <w:rsid w:val="00FD2300"/>
    <w:rsid w:val="00FD2415"/>
    <w:rsid w:val="00FD2472"/>
    <w:rsid w:val="00FD2635"/>
    <w:rsid w:val="00FD271D"/>
    <w:rsid w:val="00FD2BFE"/>
    <w:rsid w:val="00FD2C9E"/>
    <w:rsid w:val="00FD2E0B"/>
    <w:rsid w:val="00FD2FA0"/>
    <w:rsid w:val="00FD3202"/>
    <w:rsid w:val="00FD3275"/>
    <w:rsid w:val="00FD376B"/>
    <w:rsid w:val="00FD396A"/>
    <w:rsid w:val="00FD3B34"/>
    <w:rsid w:val="00FD3D1C"/>
    <w:rsid w:val="00FD3D95"/>
    <w:rsid w:val="00FD3E46"/>
    <w:rsid w:val="00FD3FE5"/>
    <w:rsid w:val="00FD41D8"/>
    <w:rsid w:val="00FD42CD"/>
    <w:rsid w:val="00FD4328"/>
    <w:rsid w:val="00FD4820"/>
    <w:rsid w:val="00FD48F8"/>
    <w:rsid w:val="00FD491A"/>
    <w:rsid w:val="00FD4B74"/>
    <w:rsid w:val="00FD4BC2"/>
    <w:rsid w:val="00FD4EAB"/>
    <w:rsid w:val="00FD4F21"/>
    <w:rsid w:val="00FD50D7"/>
    <w:rsid w:val="00FD5176"/>
    <w:rsid w:val="00FD5177"/>
    <w:rsid w:val="00FD5208"/>
    <w:rsid w:val="00FD5278"/>
    <w:rsid w:val="00FD52AD"/>
    <w:rsid w:val="00FD536E"/>
    <w:rsid w:val="00FD53A9"/>
    <w:rsid w:val="00FD55A9"/>
    <w:rsid w:val="00FD55D6"/>
    <w:rsid w:val="00FD5707"/>
    <w:rsid w:val="00FD5811"/>
    <w:rsid w:val="00FD59BB"/>
    <w:rsid w:val="00FD5AD8"/>
    <w:rsid w:val="00FD5B9C"/>
    <w:rsid w:val="00FD5BB6"/>
    <w:rsid w:val="00FD5CA0"/>
    <w:rsid w:val="00FD5D63"/>
    <w:rsid w:val="00FD5E2F"/>
    <w:rsid w:val="00FD609F"/>
    <w:rsid w:val="00FD62C1"/>
    <w:rsid w:val="00FD62F4"/>
    <w:rsid w:val="00FD63BB"/>
    <w:rsid w:val="00FD6435"/>
    <w:rsid w:val="00FD663F"/>
    <w:rsid w:val="00FD666C"/>
    <w:rsid w:val="00FD6897"/>
    <w:rsid w:val="00FD6921"/>
    <w:rsid w:val="00FD6A87"/>
    <w:rsid w:val="00FD6BFB"/>
    <w:rsid w:val="00FD6D19"/>
    <w:rsid w:val="00FD6D3E"/>
    <w:rsid w:val="00FD6DB2"/>
    <w:rsid w:val="00FD6DC3"/>
    <w:rsid w:val="00FD6DEA"/>
    <w:rsid w:val="00FD6FF8"/>
    <w:rsid w:val="00FD72D2"/>
    <w:rsid w:val="00FD72E6"/>
    <w:rsid w:val="00FD73E8"/>
    <w:rsid w:val="00FD7565"/>
    <w:rsid w:val="00FD7597"/>
    <w:rsid w:val="00FD79BC"/>
    <w:rsid w:val="00FD7A48"/>
    <w:rsid w:val="00FD7CE0"/>
    <w:rsid w:val="00FD7D6E"/>
    <w:rsid w:val="00FD7EFD"/>
    <w:rsid w:val="00FE0007"/>
    <w:rsid w:val="00FE00EA"/>
    <w:rsid w:val="00FE0100"/>
    <w:rsid w:val="00FE0167"/>
    <w:rsid w:val="00FE018C"/>
    <w:rsid w:val="00FE01FF"/>
    <w:rsid w:val="00FE0475"/>
    <w:rsid w:val="00FE04AB"/>
    <w:rsid w:val="00FE0570"/>
    <w:rsid w:val="00FE05DD"/>
    <w:rsid w:val="00FE0A8E"/>
    <w:rsid w:val="00FE0C11"/>
    <w:rsid w:val="00FE1091"/>
    <w:rsid w:val="00FE10BD"/>
    <w:rsid w:val="00FE14D2"/>
    <w:rsid w:val="00FE15AF"/>
    <w:rsid w:val="00FE15B4"/>
    <w:rsid w:val="00FE1673"/>
    <w:rsid w:val="00FE16F2"/>
    <w:rsid w:val="00FE17C0"/>
    <w:rsid w:val="00FE17CC"/>
    <w:rsid w:val="00FE18BA"/>
    <w:rsid w:val="00FE18D7"/>
    <w:rsid w:val="00FE18FB"/>
    <w:rsid w:val="00FE1991"/>
    <w:rsid w:val="00FE1A19"/>
    <w:rsid w:val="00FE1B94"/>
    <w:rsid w:val="00FE1BFE"/>
    <w:rsid w:val="00FE1DB7"/>
    <w:rsid w:val="00FE21F7"/>
    <w:rsid w:val="00FE26C8"/>
    <w:rsid w:val="00FE289F"/>
    <w:rsid w:val="00FE292C"/>
    <w:rsid w:val="00FE2931"/>
    <w:rsid w:val="00FE2AB7"/>
    <w:rsid w:val="00FE2DA8"/>
    <w:rsid w:val="00FE2DBF"/>
    <w:rsid w:val="00FE2EB0"/>
    <w:rsid w:val="00FE319E"/>
    <w:rsid w:val="00FE334E"/>
    <w:rsid w:val="00FE3514"/>
    <w:rsid w:val="00FE3602"/>
    <w:rsid w:val="00FE3709"/>
    <w:rsid w:val="00FE38A4"/>
    <w:rsid w:val="00FE3B1A"/>
    <w:rsid w:val="00FE3EF0"/>
    <w:rsid w:val="00FE41B1"/>
    <w:rsid w:val="00FE41D3"/>
    <w:rsid w:val="00FE4303"/>
    <w:rsid w:val="00FE438E"/>
    <w:rsid w:val="00FE4393"/>
    <w:rsid w:val="00FE442B"/>
    <w:rsid w:val="00FE448A"/>
    <w:rsid w:val="00FE45FA"/>
    <w:rsid w:val="00FE46B8"/>
    <w:rsid w:val="00FE478B"/>
    <w:rsid w:val="00FE4891"/>
    <w:rsid w:val="00FE4896"/>
    <w:rsid w:val="00FE4993"/>
    <w:rsid w:val="00FE4A69"/>
    <w:rsid w:val="00FE4B8E"/>
    <w:rsid w:val="00FE4BAE"/>
    <w:rsid w:val="00FE4BC9"/>
    <w:rsid w:val="00FE4C7C"/>
    <w:rsid w:val="00FE4D2B"/>
    <w:rsid w:val="00FE5032"/>
    <w:rsid w:val="00FE5043"/>
    <w:rsid w:val="00FE5245"/>
    <w:rsid w:val="00FE5640"/>
    <w:rsid w:val="00FE587E"/>
    <w:rsid w:val="00FE58D4"/>
    <w:rsid w:val="00FE5AC8"/>
    <w:rsid w:val="00FE5AF0"/>
    <w:rsid w:val="00FE5BC0"/>
    <w:rsid w:val="00FE5C9B"/>
    <w:rsid w:val="00FE5EC2"/>
    <w:rsid w:val="00FE60A1"/>
    <w:rsid w:val="00FE60CB"/>
    <w:rsid w:val="00FE6108"/>
    <w:rsid w:val="00FE6148"/>
    <w:rsid w:val="00FE6590"/>
    <w:rsid w:val="00FE66E9"/>
    <w:rsid w:val="00FE6815"/>
    <w:rsid w:val="00FE698C"/>
    <w:rsid w:val="00FE6CED"/>
    <w:rsid w:val="00FE6EDC"/>
    <w:rsid w:val="00FE6EEC"/>
    <w:rsid w:val="00FE6F22"/>
    <w:rsid w:val="00FE71B4"/>
    <w:rsid w:val="00FE71EE"/>
    <w:rsid w:val="00FE72BD"/>
    <w:rsid w:val="00FE7398"/>
    <w:rsid w:val="00FE79EE"/>
    <w:rsid w:val="00FE7A92"/>
    <w:rsid w:val="00FE7DDB"/>
    <w:rsid w:val="00FE7E1D"/>
    <w:rsid w:val="00FF02D4"/>
    <w:rsid w:val="00FF085C"/>
    <w:rsid w:val="00FF0A40"/>
    <w:rsid w:val="00FF0A43"/>
    <w:rsid w:val="00FF0CEE"/>
    <w:rsid w:val="00FF0E1E"/>
    <w:rsid w:val="00FF0E4A"/>
    <w:rsid w:val="00FF0E70"/>
    <w:rsid w:val="00FF1133"/>
    <w:rsid w:val="00FF12D0"/>
    <w:rsid w:val="00FF138E"/>
    <w:rsid w:val="00FF1584"/>
    <w:rsid w:val="00FF176A"/>
    <w:rsid w:val="00FF1848"/>
    <w:rsid w:val="00FF18E4"/>
    <w:rsid w:val="00FF19FD"/>
    <w:rsid w:val="00FF1A41"/>
    <w:rsid w:val="00FF1A62"/>
    <w:rsid w:val="00FF1A88"/>
    <w:rsid w:val="00FF1BBB"/>
    <w:rsid w:val="00FF1C2C"/>
    <w:rsid w:val="00FF1C83"/>
    <w:rsid w:val="00FF1F62"/>
    <w:rsid w:val="00FF2030"/>
    <w:rsid w:val="00FF228A"/>
    <w:rsid w:val="00FF24BC"/>
    <w:rsid w:val="00FF253E"/>
    <w:rsid w:val="00FF261D"/>
    <w:rsid w:val="00FF2886"/>
    <w:rsid w:val="00FF2B4B"/>
    <w:rsid w:val="00FF2BAA"/>
    <w:rsid w:val="00FF2BB4"/>
    <w:rsid w:val="00FF3082"/>
    <w:rsid w:val="00FF319D"/>
    <w:rsid w:val="00FF31FD"/>
    <w:rsid w:val="00FF3294"/>
    <w:rsid w:val="00FF329F"/>
    <w:rsid w:val="00FF32BA"/>
    <w:rsid w:val="00FF3327"/>
    <w:rsid w:val="00FF3517"/>
    <w:rsid w:val="00FF3536"/>
    <w:rsid w:val="00FF3670"/>
    <w:rsid w:val="00FF3713"/>
    <w:rsid w:val="00FF38A1"/>
    <w:rsid w:val="00FF3AAC"/>
    <w:rsid w:val="00FF3F75"/>
    <w:rsid w:val="00FF3F83"/>
    <w:rsid w:val="00FF4238"/>
    <w:rsid w:val="00FF42A9"/>
    <w:rsid w:val="00FF4306"/>
    <w:rsid w:val="00FF4636"/>
    <w:rsid w:val="00FF465B"/>
    <w:rsid w:val="00FF46E3"/>
    <w:rsid w:val="00FF48CD"/>
    <w:rsid w:val="00FF48DD"/>
    <w:rsid w:val="00FF49D6"/>
    <w:rsid w:val="00FF4A60"/>
    <w:rsid w:val="00FF4ACD"/>
    <w:rsid w:val="00FF4BE7"/>
    <w:rsid w:val="00FF50BD"/>
    <w:rsid w:val="00FF5470"/>
    <w:rsid w:val="00FF5482"/>
    <w:rsid w:val="00FF54D7"/>
    <w:rsid w:val="00FF54E7"/>
    <w:rsid w:val="00FF55B3"/>
    <w:rsid w:val="00FF578C"/>
    <w:rsid w:val="00FF584E"/>
    <w:rsid w:val="00FF5994"/>
    <w:rsid w:val="00FF5A95"/>
    <w:rsid w:val="00FF5DA6"/>
    <w:rsid w:val="00FF5F02"/>
    <w:rsid w:val="00FF61D6"/>
    <w:rsid w:val="00FF654D"/>
    <w:rsid w:val="00FF65E1"/>
    <w:rsid w:val="00FF67B5"/>
    <w:rsid w:val="00FF6B37"/>
    <w:rsid w:val="00FF6B5D"/>
    <w:rsid w:val="00FF6C1D"/>
    <w:rsid w:val="00FF6E50"/>
    <w:rsid w:val="00FF6EBB"/>
    <w:rsid w:val="00FF710D"/>
    <w:rsid w:val="00FF72EA"/>
    <w:rsid w:val="00FF7410"/>
    <w:rsid w:val="00FF7584"/>
    <w:rsid w:val="00FF784A"/>
    <w:rsid w:val="00FF7894"/>
    <w:rsid w:val="00FF7B43"/>
    <w:rsid w:val="00FF7C5E"/>
    <w:rsid w:val="00FF7D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133" fillcolor="none [3200]" strokecolor="none [3212]">
      <v:fill color="none [3200]"/>
      <v:stroke color="none [3212]" weight="0"/>
      <v:shadow type="perspective" color="none [1601]" opacity=".5" offset="1pt" offset2="-1pt"/>
      <o:colormru v:ext="edit" colors="black"/>
    </o:shapedefaults>
    <o:shapelayout v:ext="edit">
      <o:idmap v:ext="edit" data="1"/>
    </o:shapelayout>
  </w:shapeDefaults>
  <w:decimalSymbol w:val="."/>
  <w:listSeparator w:val=","/>
  <w15:docId w15:val="{7CB056B2-9BFF-4601-BEE6-1BEF48C17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1" w:defUIPriority="99" w:defSemiHidden="0" w:defUnhideWhenUsed="0" w:defQFormat="0" w:count="371">
    <w:lsdException w:name="Normal" w:locked="0" w:uiPriority="0" w:qFormat="1"/>
    <w:lsdException w:name="heading 1" w:locked="0" w:uiPriority="0" w:qFormat="1"/>
    <w:lsdException w:name="heading 2" w:locked="0" w:uiPriority="0" w:qFormat="1"/>
    <w:lsdException w:name="heading 3" w:locked="0" w:uiPriority="0" w:qFormat="1"/>
    <w:lsdException w:name="heading 4" w:locked="0" w:uiPriority="0" w:qFormat="1"/>
    <w:lsdException w:name="heading 5" w:qFormat="1"/>
    <w:lsdException w:name="heading 6" w:uiPriority="0" w:qFormat="1"/>
    <w:lsdException w:name="heading 7" w:locked="0" w:uiPriority="0" w:qFormat="1"/>
    <w:lsdException w:name="heading 8" w:uiPriority="0" w:qFormat="1"/>
    <w:lsdException w:name="heading 9" w:uiPriority="0" w:qFormat="1"/>
    <w:lsdException w:name="index 1" w:locked="0" w:semiHidden="1" w:unhideWhenUsed="1"/>
    <w:lsdException w:name="index 2" w:locked="0" w:semiHidden="1" w:uiPriority="0" w:unhideWhenUsed="1"/>
    <w:lsdException w:name="index 3" w:locked="0" w:semiHidden="1" w:uiPriority="0" w:unhideWhenUsed="1"/>
    <w:lsdException w:name="index 4" w:locked="0" w:semiHidden="1" w:uiPriority="0" w:unhideWhenUsed="1"/>
    <w:lsdException w:name="index 5" w:locked="0" w:semiHidden="1" w:uiPriority="0" w:unhideWhenUsed="1"/>
    <w:lsdException w:name="index 6" w:locked="0" w:semiHidden="1" w:uiPriority="0" w:unhideWhenUsed="1"/>
    <w:lsdException w:name="index 7" w:locked="0" w:semiHidden="1" w:uiPriority="0" w:unhideWhenUsed="1"/>
    <w:lsdException w:name="index 8" w:locked="0" w:semiHidden="1" w:uiPriority="0" w:unhideWhenUsed="1"/>
    <w:lsdException w:name="index 9" w:locked="0" w:semiHidden="1" w:uiPriority="0"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qFormat="1"/>
    <w:lsdException w:name="annotation text" w:locked="0" w:semiHidden="1" w:uiPriority="0" w:unhideWhenUsed="1"/>
    <w:lsdException w:name="header" w:locked="0" w:semiHidden="1" w:unhideWhenUsed="1"/>
    <w:lsdException w:name="footer" w:locked="0" w:semiHidden="1" w:unhideWhenUsed="1" w:qFormat="1"/>
    <w:lsdException w:name="index heading" w:locked="0" w:semiHidden="1" w:uiPriority="0" w:unhideWhenUsed="1"/>
    <w:lsdException w:name="caption" w:locked="0" w:semiHidden="1" w:uiPriority="0" w:qFormat="1"/>
    <w:lsdException w:name="table of figures" w:locked="0"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endnote reference" w:locked="0" w:semiHidden="1" w:unhideWhenUsed="1"/>
    <w:lsdException w:name="endnote text" w:locked="0" w:semiHidden="1" w:uiPriority="0" w:unhideWhenUsed="1"/>
    <w:lsdException w:name="table of authorities" w:semiHidden="1" w:unhideWhenUsed="1"/>
    <w:lsdException w:name="macro" w:semiHidden="1" w:unhideWhenUsed="1"/>
    <w:lsdException w:name="toa heading" w:locked="0" w:semiHidden="1" w:uiPriority="0" w:unhideWhenUsed="1"/>
    <w:lsdException w:name="List" w:semiHidden="1" w:unhideWhenUsed="1"/>
    <w:lsdException w:name="List Bullet"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locked="0" w:semiHidden="1" w:uiPriority="0"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iPriority="0"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locked="0"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0"/>
    <w:lsdException w:name="List Paragraph" w:qFormat="1"/>
    <w:lsdException w:name="Quote" w:locked="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aliases w:val="Body (normal)"/>
    <w:qFormat/>
    <w:rsid w:val="004A6E26"/>
    <w:pPr>
      <w:spacing w:after="220" w:line="280" w:lineRule="atLeast"/>
    </w:pPr>
    <w:rPr>
      <w:rFonts w:ascii="Times New Roman" w:hAnsi="Times New Roman"/>
      <w:sz w:val="22"/>
      <w:lang w:val="en-GB" w:eastAsia="en-US"/>
    </w:rPr>
  </w:style>
  <w:style w:type="paragraph" w:styleId="Heading1">
    <w:name w:val="heading 1"/>
    <w:basedOn w:val="Normal"/>
    <w:next w:val="Normal"/>
    <w:link w:val="Heading1Char"/>
    <w:qFormat/>
    <w:rsid w:val="00EB65B6"/>
    <w:pPr>
      <w:keepNext/>
      <w:numPr>
        <w:numId w:val="7"/>
      </w:numPr>
      <w:spacing w:after="300" w:line="240" w:lineRule="auto"/>
      <w:outlineLvl w:val="0"/>
    </w:pPr>
    <w:rPr>
      <w:rFonts w:ascii="Tahoma" w:hAnsi="Tahoma"/>
      <w:b/>
      <w:color w:val="000033"/>
      <w:kern w:val="28"/>
      <w:sz w:val="40"/>
    </w:rPr>
  </w:style>
  <w:style w:type="paragraph" w:styleId="Heading2">
    <w:name w:val="heading 2"/>
    <w:basedOn w:val="Normal"/>
    <w:next w:val="Normal"/>
    <w:link w:val="Heading2Char"/>
    <w:autoRedefine/>
    <w:qFormat/>
    <w:rsid w:val="002B6726"/>
    <w:pPr>
      <w:keepNext/>
      <w:numPr>
        <w:ilvl w:val="1"/>
        <w:numId w:val="7"/>
      </w:numPr>
      <w:spacing w:before="480" w:after="240" w:line="240" w:lineRule="auto"/>
      <w:ind w:left="720"/>
      <w:outlineLvl w:val="1"/>
    </w:pPr>
    <w:rPr>
      <w:rFonts w:ascii="Arial" w:hAnsi="Arial" w:cs="Arial"/>
      <w:b/>
      <w:color w:val="000033"/>
      <w:sz w:val="26"/>
      <w:szCs w:val="22"/>
    </w:rPr>
  </w:style>
  <w:style w:type="paragraph" w:styleId="Heading3">
    <w:name w:val="heading 3"/>
    <w:basedOn w:val="Normal"/>
    <w:next w:val="Normal"/>
    <w:link w:val="Heading3Char"/>
    <w:autoRedefine/>
    <w:qFormat/>
    <w:rsid w:val="00F22E2F"/>
    <w:pPr>
      <w:keepNext/>
      <w:numPr>
        <w:ilvl w:val="2"/>
        <w:numId w:val="7"/>
      </w:numPr>
      <w:tabs>
        <w:tab w:val="clear" w:pos="4842"/>
      </w:tabs>
      <w:spacing w:before="240" w:after="240" w:line="240" w:lineRule="auto"/>
      <w:ind w:left="720"/>
      <w:outlineLvl w:val="2"/>
    </w:pPr>
    <w:rPr>
      <w:rFonts w:ascii="Arial" w:hAnsi="Arial" w:cs="Arial"/>
      <w:b/>
      <w:color w:val="000033"/>
    </w:rPr>
  </w:style>
  <w:style w:type="paragraph" w:styleId="Heading4">
    <w:name w:val="heading 4"/>
    <w:basedOn w:val="Normal"/>
    <w:next w:val="Normal"/>
    <w:link w:val="Heading4Char"/>
    <w:qFormat/>
    <w:rsid w:val="002E7DBF"/>
    <w:pPr>
      <w:keepNext/>
      <w:spacing w:after="120" w:line="240" w:lineRule="auto"/>
      <w:outlineLvl w:val="3"/>
    </w:pPr>
    <w:rPr>
      <w:b/>
      <w:sz w:val="24"/>
    </w:rPr>
  </w:style>
  <w:style w:type="paragraph" w:styleId="Heading5">
    <w:name w:val="heading 5"/>
    <w:basedOn w:val="Normal"/>
    <w:next w:val="Normal"/>
    <w:link w:val="Heading5Char"/>
    <w:uiPriority w:val="99"/>
    <w:qFormat/>
    <w:locked/>
    <w:rsid w:val="00924F40"/>
    <w:pPr>
      <w:keepNext/>
      <w:spacing w:before="60" w:after="60" w:line="240" w:lineRule="auto"/>
      <w:outlineLvl w:val="4"/>
    </w:pPr>
    <w:rPr>
      <w:i/>
      <w:sz w:val="24"/>
    </w:rPr>
  </w:style>
  <w:style w:type="paragraph" w:styleId="Heading6">
    <w:name w:val="heading 6"/>
    <w:basedOn w:val="Normal"/>
    <w:next w:val="Normal"/>
    <w:link w:val="Heading6Char"/>
    <w:semiHidden/>
    <w:qFormat/>
    <w:locked/>
    <w:rsid w:val="00924F40"/>
    <w:pPr>
      <w:spacing w:before="240" w:after="60" w:line="240" w:lineRule="auto"/>
      <w:outlineLvl w:val="5"/>
    </w:pPr>
    <w:rPr>
      <w:bCs/>
      <w:i/>
      <w:color w:val="7F7F7F" w:themeColor="text1" w:themeTint="80"/>
      <w:szCs w:val="22"/>
    </w:rPr>
  </w:style>
  <w:style w:type="paragraph" w:styleId="Heading7">
    <w:name w:val="heading 7"/>
    <w:aliases w:val="Appendix"/>
    <w:basedOn w:val="Normal"/>
    <w:next w:val="Normal"/>
    <w:link w:val="Heading7Char"/>
    <w:semiHidden/>
    <w:qFormat/>
    <w:locked/>
    <w:rsid w:val="00924F40"/>
    <w:pPr>
      <w:spacing w:before="240" w:after="60" w:line="240" w:lineRule="auto"/>
      <w:outlineLvl w:val="6"/>
    </w:pPr>
    <w:rPr>
      <w:b/>
      <w:sz w:val="24"/>
      <w:szCs w:val="24"/>
      <w:lang w:val="en-AU" w:eastAsia="en-AU"/>
    </w:rPr>
  </w:style>
  <w:style w:type="paragraph" w:styleId="Heading8">
    <w:name w:val="heading 8"/>
    <w:basedOn w:val="Normal"/>
    <w:next w:val="Normal"/>
    <w:link w:val="Heading8Char"/>
    <w:semiHidden/>
    <w:qFormat/>
    <w:locked/>
    <w:rsid w:val="00924F40"/>
    <w:pPr>
      <w:spacing w:before="240" w:after="60"/>
      <w:outlineLvl w:val="7"/>
    </w:pPr>
    <w:rPr>
      <w:rFonts w:ascii="Arial" w:hAnsi="Arial"/>
      <w:i/>
      <w:sz w:val="20"/>
      <w:lang w:val="en-AU" w:eastAsia="en-AU"/>
    </w:rPr>
  </w:style>
  <w:style w:type="paragraph" w:styleId="Heading9">
    <w:name w:val="heading 9"/>
    <w:basedOn w:val="Normal"/>
    <w:next w:val="Normal"/>
    <w:link w:val="Heading9Char"/>
    <w:semiHidden/>
    <w:qFormat/>
    <w:locked/>
    <w:rsid w:val="00924F40"/>
    <w:pPr>
      <w:spacing w:before="240" w:after="60"/>
      <w:outlineLvl w:val="8"/>
    </w:pPr>
    <w:rPr>
      <w:rFonts w:ascii="Arial" w:hAnsi="Arial"/>
      <w:b/>
      <w:i/>
      <w:sz w:val="18"/>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EB65B6"/>
    <w:rPr>
      <w:rFonts w:ascii="Tahoma" w:hAnsi="Tahoma"/>
      <w:b/>
      <w:color w:val="000033"/>
      <w:kern w:val="28"/>
      <w:sz w:val="40"/>
      <w:lang w:val="en-GB" w:eastAsia="en-US"/>
    </w:rPr>
  </w:style>
  <w:style w:type="character" w:customStyle="1" w:styleId="Heading2Char">
    <w:name w:val="Heading 2 Char"/>
    <w:link w:val="Heading2"/>
    <w:locked/>
    <w:rsid w:val="002B6726"/>
    <w:rPr>
      <w:rFonts w:ascii="Arial" w:hAnsi="Arial" w:cs="Arial"/>
      <w:b/>
      <w:color w:val="000033"/>
      <w:sz w:val="26"/>
      <w:szCs w:val="22"/>
      <w:lang w:val="en-GB" w:eastAsia="en-US"/>
    </w:rPr>
  </w:style>
  <w:style w:type="character" w:customStyle="1" w:styleId="Heading3Char">
    <w:name w:val="Heading 3 Char"/>
    <w:link w:val="Heading3"/>
    <w:locked/>
    <w:rsid w:val="00F22E2F"/>
    <w:rPr>
      <w:rFonts w:ascii="Arial" w:hAnsi="Arial" w:cs="Arial"/>
      <w:b/>
      <w:color w:val="000033"/>
      <w:sz w:val="22"/>
      <w:lang w:val="en-GB" w:eastAsia="en-US"/>
    </w:rPr>
  </w:style>
  <w:style w:type="character" w:customStyle="1" w:styleId="Heading4Char">
    <w:name w:val="Heading 4 Char"/>
    <w:link w:val="Heading4"/>
    <w:locked/>
    <w:rsid w:val="002E7DBF"/>
    <w:rPr>
      <w:rFonts w:ascii="Times New Roman" w:hAnsi="Times New Roman"/>
      <w:b/>
      <w:sz w:val="24"/>
      <w:lang w:val="en-GB" w:eastAsia="en-US"/>
    </w:rPr>
  </w:style>
  <w:style w:type="character" w:customStyle="1" w:styleId="Heading5Char">
    <w:name w:val="Heading 5 Char"/>
    <w:link w:val="Heading5"/>
    <w:uiPriority w:val="99"/>
    <w:locked/>
    <w:rsid w:val="009852DB"/>
    <w:rPr>
      <w:rFonts w:ascii="Times New Roman" w:hAnsi="Times New Roman"/>
      <w:i/>
      <w:sz w:val="24"/>
      <w:lang w:val="en-GB" w:eastAsia="en-US"/>
    </w:rPr>
  </w:style>
  <w:style w:type="character" w:customStyle="1" w:styleId="Heading6Char">
    <w:name w:val="Heading 6 Char"/>
    <w:link w:val="Heading6"/>
    <w:semiHidden/>
    <w:locked/>
    <w:rsid w:val="009852DB"/>
    <w:rPr>
      <w:rFonts w:ascii="Times New Roman" w:hAnsi="Times New Roman"/>
      <w:bCs/>
      <w:i/>
      <w:color w:val="7F7F7F" w:themeColor="text1" w:themeTint="80"/>
      <w:sz w:val="22"/>
      <w:szCs w:val="22"/>
      <w:lang w:val="en-GB" w:eastAsia="en-US"/>
    </w:rPr>
  </w:style>
  <w:style w:type="character" w:customStyle="1" w:styleId="Heading7Char">
    <w:name w:val="Heading 7 Char"/>
    <w:aliases w:val="Appendix Char"/>
    <w:link w:val="Heading7"/>
    <w:semiHidden/>
    <w:locked/>
    <w:rsid w:val="009852DB"/>
    <w:rPr>
      <w:rFonts w:ascii="Times New Roman" w:hAnsi="Times New Roman"/>
      <w:b/>
      <w:sz w:val="24"/>
      <w:szCs w:val="24"/>
    </w:rPr>
  </w:style>
  <w:style w:type="character" w:customStyle="1" w:styleId="Heading8Char">
    <w:name w:val="Heading 8 Char"/>
    <w:link w:val="Heading8"/>
    <w:semiHidden/>
    <w:locked/>
    <w:rsid w:val="009852DB"/>
    <w:rPr>
      <w:rFonts w:ascii="Arial" w:hAnsi="Arial"/>
      <w:i/>
    </w:rPr>
  </w:style>
  <w:style w:type="character" w:customStyle="1" w:styleId="Heading9Char">
    <w:name w:val="Heading 9 Char"/>
    <w:link w:val="Heading9"/>
    <w:semiHidden/>
    <w:locked/>
    <w:rsid w:val="009852DB"/>
    <w:rPr>
      <w:rFonts w:ascii="Arial" w:hAnsi="Arial"/>
      <w:b/>
      <w:i/>
      <w:sz w:val="18"/>
    </w:rPr>
  </w:style>
  <w:style w:type="paragraph" w:customStyle="1" w:styleId="FigureName">
    <w:name w:val="Figure Name"/>
    <w:basedOn w:val="TableName"/>
    <w:next w:val="Normal"/>
    <w:qFormat/>
    <w:rsid w:val="00F7639D"/>
  </w:style>
  <w:style w:type="paragraph" w:customStyle="1" w:styleId="TableName">
    <w:name w:val="Table Name"/>
    <w:basedOn w:val="TableTextLeft"/>
    <w:link w:val="TableNameChar"/>
    <w:qFormat/>
    <w:rsid w:val="00F7639D"/>
    <w:pPr>
      <w:spacing w:before="120" w:after="120"/>
      <w:ind w:left="1080" w:hanging="1080"/>
    </w:pPr>
    <w:rPr>
      <w:b/>
      <w:sz w:val="20"/>
    </w:rPr>
  </w:style>
  <w:style w:type="paragraph" w:customStyle="1" w:styleId="TableTextLeft">
    <w:name w:val="Table Text Left"/>
    <w:uiPriority w:val="99"/>
    <w:qFormat/>
    <w:rsid w:val="008A6CA2"/>
    <w:pPr>
      <w:spacing w:before="40" w:after="40"/>
    </w:pPr>
    <w:rPr>
      <w:rFonts w:ascii="Arial Narrow" w:hAnsi="Arial Narrow"/>
      <w:sz w:val="18"/>
      <w:lang w:val="en-GB" w:eastAsia="en-US"/>
    </w:rPr>
  </w:style>
  <w:style w:type="character" w:customStyle="1" w:styleId="TableNameChar">
    <w:name w:val="Table Name Char"/>
    <w:link w:val="TableName"/>
    <w:locked/>
    <w:rsid w:val="008D7FA3"/>
    <w:rPr>
      <w:rFonts w:ascii="Arial Narrow" w:hAnsi="Arial Narrow" w:cs="Times New Roman"/>
      <w:b/>
    </w:rPr>
  </w:style>
  <w:style w:type="paragraph" w:styleId="Footer">
    <w:name w:val="footer"/>
    <w:aliases w:val="Footer (page number)"/>
    <w:basedOn w:val="Normal"/>
    <w:link w:val="FooterChar"/>
    <w:uiPriority w:val="99"/>
    <w:qFormat/>
    <w:rsid w:val="00280AFD"/>
    <w:pPr>
      <w:tabs>
        <w:tab w:val="right" w:pos="8732"/>
      </w:tabs>
      <w:spacing w:after="0" w:line="240" w:lineRule="atLeast"/>
    </w:pPr>
    <w:rPr>
      <w:i/>
      <w:color w:val="808080"/>
      <w:sz w:val="18"/>
    </w:rPr>
  </w:style>
  <w:style w:type="character" w:customStyle="1" w:styleId="FooterChar">
    <w:name w:val="Footer Char"/>
    <w:aliases w:val="Footer (page number) Char"/>
    <w:link w:val="Footer"/>
    <w:uiPriority w:val="99"/>
    <w:locked/>
    <w:rsid w:val="00280AFD"/>
    <w:rPr>
      <w:rFonts w:ascii="Times New Roman" w:hAnsi="Times New Roman"/>
      <w:i/>
      <w:color w:val="808080"/>
      <w:sz w:val="18"/>
      <w:lang w:val="en-GB" w:eastAsia="en-US"/>
    </w:rPr>
  </w:style>
  <w:style w:type="paragraph" w:customStyle="1" w:styleId="HeadingAppendix1">
    <w:name w:val="Heading Appendix 1"/>
    <w:basedOn w:val="Heading1"/>
    <w:qFormat/>
    <w:rsid w:val="000A4D58"/>
    <w:pPr>
      <w:numPr>
        <w:numId w:val="6"/>
      </w:numPr>
      <w:tabs>
        <w:tab w:val="left" w:pos="2693"/>
      </w:tabs>
    </w:pPr>
  </w:style>
  <w:style w:type="paragraph" w:styleId="FootnoteText">
    <w:name w:val="footnote text"/>
    <w:aliases w:val="Footnote,(NECG) Footnote Text,Footnote Text Char2,(NECG) Footnote Text Char,Footnote Text Char1 Char1"/>
    <w:basedOn w:val="Normal"/>
    <w:link w:val="FootnoteTextChar"/>
    <w:uiPriority w:val="99"/>
    <w:qFormat/>
    <w:rsid w:val="00847798"/>
    <w:pPr>
      <w:overflowPunct w:val="0"/>
      <w:autoSpaceDE w:val="0"/>
      <w:autoSpaceDN w:val="0"/>
      <w:adjustRightInd w:val="0"/>
      <w:spacing w:after="120" w:line="240" w:lineRule="auto"/>
      <w:textAlignment w:val="baseline"/>
    </w:pPr>
    <w:rPr>
      <w:sz w:val="18"/>
      <w:szCs w:val="18"/>
      <w:lang w:val="en-AU"/>
    </w:rPr>
  </w:style>
  <w:style w:type="character" w:customStyle="1" w:styleId="FootnoteTextChar">
    <w:name w:val="Footnote Text Char"/>
    <w:aliases w:val="Footnote Char,(NECG) Footnote Text Char1,Footnote Text Char2 Char,(NECG) Footnote Text Char Char,Footnote Text Char1 Char1 Char"/>
    <w:link w:val="FootnoteText"/>
    <w:uiPriority w:val="99"/>
    <w:locked/>
    <w:rsid w:val="00847798"/>
    <w:rPr>
      <w:rFonts w:ascii="Times New Roman" w:hAnsi="Times New Roman"/>
      <w:sz w:val="18"/>
      <w:szCs w:val="18"/>
      <w:lang w:eastAsia="en-US"/>
    </w:rPr>
  </w:style>
  <w:style w:type="paragraph" w:styleId="TableofFigures">
    <w:name w:val="table of figures"/>
    <w:basedOn w:val="Normal"/>
    <w:next w:val="Normal"/>
    <w:uiPriority w:val="99"/>
    <w:rsid w:val="00874740"/>
    <w:pPr>
      <w:tabs>
        <w:tab w:val="left" w:pos="1418"/>
        <w:tab w:val="right" w:pos="7655"/>
      </w:tabs>
      <w:ind w:left="1418" w:right="1418" w:hanging="1418"/>
    </w:pPr>
    <w:rPr>
      <w:noProof/>
    </w:rPr>
  </w:style>
  <w:style w:type="paragraph" w:styleId="TOC3">
    <w:name w:val="toc 3"/>
    <w:basedOn w:val="TOC2"/>
    <w:next w:val="Normal"/>
    <w:autoRedefine/>
    <w:uiPriority w:val="39"/>
    <w:rsid w:val="00F7639D"/>
    <w:pPr>
      <w:tabs>
        <w:tab w:val="left" w:pos="1800"/>
      </w:tabs>
      <w:ind w:left="1800"/>
    </w:pPr>
  </w:style>
  <w:style w:type="paragraph" w:styleId="TOC2">
    <w:name w:val="toc 2"/>
    <w:basedOn w:val="TOC1"/>
    <w:next w:val="Normal"/>
    <w:uiPriority w:val="39"/>
    <w:rsid w:val="00F7639D"/>
    <w:pPr>
      <w:tabs>
        <w:tab w:val="clear" w:pos="360"/>
        <w:tab w:val="left" w:pos="1080"/>
      </w:tabs>
      <w:spacing w:before="60" w:after="0"/>
      <w:ind w:left="1080" w:hanging="720"/>
    </w:pPr>
    <w:rPr>
      <w:b w:val="0"/>
    </w:rPr>
  </w:style>
  <w:style w:type="paragraph" w:styleId="TOC1">
    <w:name w:val="toc 1"/>
    <w:basedOn w:val="Normal"/>
    <w:next w:val="Normal"/>
    <w:uiPriority w:val="39"/>
    <w:rsid w:val="00CF6CC5"/>
    <w:pPr>
      <w:tabs>
        <w:tab w:val="left" w:pos="360"/>
        <w:tab w:val="right" w:pos="7655"/>
      </w:tabs>
      <w:spacing w:before="360" w:after="60" w:line="240" w:lineRule="auto"/>
      <w:ind w:left="357" w:right="1134" w:hanging="357"/>
    </w:pPr>
    <w:rPr>
      <w:b/>
      <w:noProof/>
      <w:szCs w:val="40"/>
    </w:rPr>
  </w:style>
  <w:style w:type="paragraph" w:styleId="Quote">
    <w:name w:val="Quote"/>
    <w:basedOn w:val="Normal"/>
    <w:link w:val="QuoteChar"/>
    <w:uiPriority w:val="99"/>
    <w:qFormat/>
    <w:rsid w:val="00924F40"/>
    <w:pPr>
      <w:spacing w:line="240" w:lineRule="atLeast"/>
      <w:ind w:left="360" w:right="360"/>
    </w:pPr>
    <w:rPr>
      <w:sz w:val="20"/>
      <w:lang w:val="en-AU" w:eastAsia="en-AU"/>
    </w:rPr>
  </w:style>
  <w:style w:type="character" w:customStyle="1" w:styleId="QuoteChar">
    <w:name w:val="Quote Char"/>
    <w:link w:val="Quote"/>
    <w:uiPriority w:val="99"/>
    <w:locked/>
    <w:rsid w:val="00924F40"/>
    <w:rPr>
      <w:rFonts w:ascii="Times New Roman" w:hAnsi="Times New Roman" w:cs="Times New Roman"/>
    </w:rPr>
  </w:style>
  <w:style w:type="paragraph" w:customStyle="1" w:styleId="Bullet">
    <w:name w:val="Bullet"/>
    <w:basedOn w:val="Normal"/>
    <w:link w:val="BulletChar"/>
    <w:qFormat/>
    <w:rsid w:val="008B275E"/>
    <w:pPr>
      <w:numPr>
        <w:numId w:val="1"/>
      </w:numPr>
      <w:spacing w:after="100"/>
    </w:pPr>
  </w:style>
  <w:style w:type="character" w:customStyle="1" w:styleId="BulletChar">
    <w:name w:val="Bullet Char"/>
    <w:link w:val="Bullet"/>
    <w:locked/>
    <w:rsid w:val="008B275E"/>
    <w:rPr>
      <w:rFonts w:ascii="Times New Roman" w:hAnsi="Times New Roman"/>
      <w:sz w:val="22"/>
      <w:lang w:val="en-GB" w:eastAsia="en-US"/>
    </w:rPr>
  </w:style>
  <w:style w:type="paragraph" w:customStyle="1" w:styleId="Heading1a">
    <w:name w:val="Heading 1a"/>
    <w:basedOn w:val="Heading1"/>
    <w:rsid w:val="000A4D58"/>
    <w:pPr>
      <w:numPr>
        <w:numId w:val="0"/>
      </w:numPr>
    </w:pPr>
    <w:rPr>
      <w:lang w:val="en-AU"/>
    </w:rPr>
  </w:style>
  <w:style w:type="paragraph" w:customStyle="1" w:styleId="TableHeadingLeft">
    <w:name w:val="Table Heading Left"/>
    <w:basedOn w:val="TableTextLeft"/>
    <w:uiPriority w:val="99"/>
    <w:rsid w:val="0025119B"/>
    <w:rPr>
      <w:b/>
    </w:rPr>
  </w:style>
  <w:style w:type="paragraph" w:customStyle="1" w:styleId="TableNotes">
    <w:name w:val="Table Notes"/>
    <w:basedOn w:val="TableTextLeft"/>
    <w:rsid w:val="00F7639D"/>
    <w:pPr>
      <w:keepLines/>
      <w:spacing w:before="60" w:after="0"/>
    </w:pPr>
    <w:rPr>
      <w:sz w:val="16"/>
    </w:rPr>
  </w:style>
  <w:style w:type="paragraph" w:customStyle="1" w:styleId="BulletLast">
    <w:name w:val="Bullet Last"/>
    <w:basedOn w:val="Normal"/>
    <w:qFormat/>
    <w:rsid w:val="008B275E"/>
    <w:pPr>
      <w:numPr>
        <w:numId w:val="5"/>
      </w:numPr>
      <w:ind w:left="681" w:hanging="397"/>
    </w:pPr>
  </w:style>
  <w:style w:type="paragraph" w:customStyle="1" w:styleId="TableBullet">
    <w:name w:val="Table Bullet"/>
    <w:basedOn w:val="TableTextLeft"/>
    <w:uiPriority w:val="99"/>
    <w:rsid w:val="00F7639D"/>
    <w:pPr>
      <w:numPr>
        <w:numId w:val="2"/>
      </w:numPr>
      <w:tabs>
        <w:tab w:val="left" w:pos="216"/>
      </w:tabs>
    </w:pPr>
  </w:style>
  <w:style w:type="paragraph" w:customStyle="1" w:styleId="TableNotesHanging">
    <w:name w:val="Table Notes Hanging"/>
    <w:basedOn w:val="TableNotes"/>
    <w:uiPriority w:val="99"/>
    <w:rsid w:val="00857C3E"/>
    <w:pPr>
      <w:ind w:left="737" w:hanging="737"/>
    </w:pPr>
  </w:style>
  <w:style w:type="character" w:styleId="Hyperlink">
    <w:name w:val="Hyperlink"/>
    <w:uiPriority w:val="99"/>
    <w:rsid w:val="00F7639D"/>
    <w:rPr>
      <w:rFonts w:ascii="Times New Roman" w:hAnsi="Times New Roman" w:cs="Times New Roman"/>
      <w:color w:val="000000"/>
      <w:sz w:val="22"/>
      <w:u w:val="none"/>
    </w:rPr>
  </w:style>
  <w:style w:type="paragraph" w:customStyle="1" w:styleId="TableNotesHangingLast">
    <w:name w:val="Table Notes Hanging Last"/>
    <w:basedOn w:val="TableNotesHanging"/>
    <w:uiPriority w:val="99"/>
    <w:rsid w:val="00857C3E"/>
    <w:pPr>
      <w:spacing w:after="320"/>
    </w:pPr>
  </w:style>
  <w:style w:type="paragraph" w:customStyle="1" w:styleId="TableNotesLast">
    <w:name w:val="Table Notes Last"/>
    <w:basedOn w:val="TableNotes"/>
    <w:rsid w:val="00F7639D"/>
    <w:pPr>
      <w:spacing w:after="320"/>
    </w:pPr>
  </w:style>
  <w:style w:type="paragraph" w:styleId="CommentText">
    <w:name w:val="annotation text"/>
    <w:basedOn w:val="Normal"/>
    <w:link w:val="CommentTextChar"/>
    <w:semiHidden/>
    <w:locked/>
    <w:rsid w:val="00474ECC"/>
    <w:rPr>
      <w:sz w:val="24"/>
      <w:szCs w:val="24"/>
    </w:rPr>
  </w:style>
  <w:style w:type="character" w:customStyle="1" w:styleId="CommentTextChar">
    <w:name w:val="Comment Text Char"/>
    <w:link w:val="CommentText"/>
    <w:semiHidden/>
    <w:locked/>
    <w:rsid w:val="00474ECC"/>
    <w:rPr>
      <w:rFonts w:ascii="Times New Roman" w:hAnsi="Times New Roman" w:cs="Times New Roman"/>
      <w:sz w:val="24"/>
      <w:szCs w:val="24"/>
    </w:rPr>
  </w:style>
  <w:style w:type="paragraph" w:styleId="CommentSubject">
    <w:name w:val="annotation subject"/>
    <w:basedOn w:val="CommentText"/>
    <w:next w:val="CommentText"/>
    <w:link w:val="CommentSubjectChar"/>
    <w:semiHidden/>
    <w:locked/>
    <w:rsid w:val="00474ECC"/>
    <w:rPr>
      <w:sz w:val="22"/>
      <w:szCs w:val="20"/>
    </w:rPr>
  </w:style>
  <w:style w:type="character" w:customStyle="1" w:styleId="CommentSubjectChar">
    <w:name w:val="Comment Subject Char"/>
    <w:basedOn w:val="CommentTextChar"/>
    <w:link w:val="CommentSubject"/>
    <w:semiHidden/>
    <w:locked/>
    <w:rsid w:val="00474ECC"/>
    <w:rPr>
      <w:rFonts w:ascii="Times New Roman" w:hAnsi="Times New Roman" w:cs="Times New Roman"/>
      <w:sz w:val="24"/>
      <w:szCs w:val="24"/>
    </w:rPr>
  </w:style>
  <w:style w:type="paragraph" w:styleId="EndnoteText">
    <w:name w:val="endnote text"/>
    <w:basedOn w:val="Normal"/>
    <w:link w:val="EndnoteTextChar"/>
    <w:semiHidden/>
    <w:locked/>
    <w:rsid w:val="00474ECC"/>
    <w:rPr>
      <w:sz w:val="20"/>
    </w:rPr>
  </w:style>
  <w:style w:type="character" w:customStyle="1" w:styleId="EndnoteTextChar">
    <w:name w:val="Endnote Text Char"/>
    <w:link w:val="EndnoteText"/>
    <w:semiHidden/>
    <w:locked/>
    <w:rsid w:val="00474ECC"/>
    <w:rPr>
      <w:rFonts w:ascii="Times New Roman" w:hAnsi="Times New Roman" w:cs="Times New Roman"/>
    </w:rPr>
  </w:style>
  <w:style w:type="paragraph" w:styleId="Index1">
    <w:name w:val="index 1"/>
    <w:basedOn w:val="Normal"/>
    <w:next w:val="Normal"/>
    <w:autoRedefine/>
    <w:uiPriority w:val="99"/>
    <w:semiHidden/>
    <w:locked/>
    <w:rsid w:val="00474ECC"/>
    <w:pPr>
      <w:ind w:left="220" w:hanging="220"/>
    </w:pPr>
  </w:style>
  <w:style w:type="paragraph" w:styleId="Index2">
    <w:name w:val="index 2"/>
    <w:basedOn w:val="Normal"/>
    <w:next w:val="Normal"/>
    <w:autoRedefine/>
    <w:semiHidden/>
    <w:locked/>
    <w:rsid w:val="00474ECC"/>
    <w:pPr>
      <w:ind w:left="440" w:hanging="220"/>
    </w:pPr>
  </w:style>
  <w:style w:type="paragraph" w:styleId="Index3">
    <w:name w:val="index 3"/>
    <w:basedOn w:val="Normal"/>
    <w:next w:val="Normal"/>
    <w:autoRedefine/>
    <w:semiHidden/>
    <w:locked/>
    <w:rsid w:val="00474ECC"/>
    <w:pPr>
      <w:ind w:left="660" w:hanging="220"/>
    </w:pPr>
  </w:style>
  <w:style w:type="paragraph" w:styleId="Index4">
    <w:name w:val="index 4"/>
    <w:basedOn w:val="Normal"/>
    <w:next w:val="Normal"/>
    <w:autoRedefine/>
    <w:semiHidden/>
    <w:locked/>
    <w:rsid w:val="00474ECC"/>
    <w:pPr>
      <w:ind w:left="880" w:hanging="220"/>
    </w:pPr>
  </w:style>
  <w:style w:type="paragraph" w:styleId="Index5">
    <w:name w:val="index 5"/>
    <w:basedOn w:val="Normal"/>
    <w:next w:val="Normal"/>
    <w:autoRedefine/>
    <w:semiHidden/>
    <w:locked/>
    <w:rsid w:val="00474ECC"/>
    <w:pPr>
      <w:ind w:left="1100" w:hanging="220"/>
    </w:pPr>
  </w:style>
  <w:style w:type="paragraph" w:styleId="Index6">
    <w:name w:val="index 6"/>
    <w:basedOn w:val="Normal"/>
    <w:next w:val="Normal"/>
    <w:autoRedefine/>
    <w:semiHidden/>
    <w:locked/>
    <w:rsid w:val="00474ECC"/>
    <w:pPr>
      <w:ind w:left="1320" w:hanging="220"/>
    </w:pPr>
  </w:style>
  <w:style w:type="paragraph" w:styleId="Index7">
    <w:name w:val="index 7"/>
    <w:basedOn w:val="Normal"/>
    <w:next w:val="Normal"/>
    <w:autoRedefine/>
    <w:semiHidden/>
    <w:locked/>
    <w:rsid w:val="00474ECC"/>
    <w:pPr>
      <w:ind w:left="1540" w:hanging="220"/>
    </w:pPr>
  </w:style>
  <w:style w:type="paragraph" w:styleId="Index8">
    <w:name w:val="index 8"/>
    <w:basedOn w:val="Normal"/>
    <w:next w:val="Normal"/>
    <w:autoRedefine/>
    <w:semiHidden/>
    <w:locked/>
    <w:rsid w:val="00474ECC"/>
    <w:pPr>
      <w:ind w:left="1760" w:hanging="220"/>
    </w:pPr>
  </w:style>
  <w:style w:type="paragraph" w:styleId="Index9">
    <w:name w:val="index 9"/>
    <w:basedOn w:val="Normal"/>
    <w:next w:val="Normal"/>
    <w:autoRedefine/>
    <w:semiHidden/>
    <w:locked/>
    <w:rsid w:val="00474ECC"/>
    <w:pPr>
      <w:ind w:left="1980" w:hanging="220"/>
    </w:pPr>
  </w:style>
  <w:style w:type="paragraph" w:styleId="IndexHeading">
    <w:name w:val="index heading"/>
    <w:basedOn w:val="Normal"/>
    <w:next w:val="Index1"/>
    <w:semiHidden/>
    <w:locked/>
    <w:rsid w:val="00474ECC"/>
    <w:rPr>
      <w:rFonts w:ascii="Arial" w:hAnsi="Arial" w:cs="Arial"/>
      <w:b/>
      <w:bCs/>
    </w:rPr>
  </w:style>
  <w:style w:type="paragraph" w:styleId="Caption">
    <w:name w:val="caption"/>
    <w:basedOn w:val="Normal"/>
    <w:next w:val="Normal"/>
    <w:semiHidden/>
    <w:qFormat/>
    <w:locked/>
    <w:rsid w:val="00C768A3"/>
    <w:pPr>
      <w:spacing w:after="200" w:line="240" w:lineRule="auto"/>
    </w:pPr>
    <w:rPr>
      <w:b/>
      <w:bCs/>
      <w:color w:val="4F81BD" w:themeColor="accent1"/>
      <w:sz w:val="18"/>
      <w:szCs w:val="18"/>
    </w:rPr>
  </w:style>
  <w:style w:type="paragraph" w:styleId="TOAHeading">
    <w:name w:val="toa heading"/>
    <w:basedOn w:val="Normal"/>
    <w:next w:val="Normal"/>
    <w:semiHidden/>
    <w:locked/>
    <w:rsid w:val="00474ECC"/>
    <w:pPr>
      <w:spacing w:before="120"/>
    </w:pPr>
    <w:rPr>
      <w:rFonts w:ascii="Arial" w:hAnsi="Arial" w:cs="Arial"/>
      <w:b/>
      <w:bCs/>
      <w:sz w:val="24"/>
      <w:szCs w:val="24"/>
    </w:rPr>
  </w:style>
  <w:style w:type="paragraph" w:customStyle="1" w:styleId="QuoteBullet">
    <w:name w:val="Quote Bullet"/>
    <w:basedOn w:val="Quote"/>
    <w:uiPriority w:val="99"/>
    <w:qFormat/>
    <w:rsid w:val="00F7639D"/>
    <w:pPr>
      <w:numPr>
        <w:numId w:val="3"/>
      </w:numPr>
      <w:ind w:left="714" w:right="357" w:hanging="357"/>
    </w:pPr>
  </w:style>
  <w:style w:type="paragraph" w:customStyle="1" w:styleId="References">
    <w:name w:val="References"/>
    <w:basedOn w:val="Normal"/>
    <w:qFormat/>
    <w:rsid w:val="00F24C6B"/>
    <w:pPr>
      <w:ind w:left="567" w:hanging="567"/>
    </w:pPr>
    <w:rPr>
      <w:szCs w:val="24"/>
    </w:rPr>
  </w:style>
  <w:style w:type="table" w:styleId="TableGrid">
    <w:name w:val="Table Grid"/>
    <w:basedOn w:val="TableNormal"/>
    <w:uiPriority w:val="59"/>
    <w:locked/>
    <w:rsid w:val="00474ECC"/>
    <w:pPr>
      <w:spacing w:after="220" w:line="280" w:lineRule="atLeast"/>
    </w:pPr>
    <w:rPr>
      <w:rFonts w:ascii="Times New Roman" w:eastAsia="SimSu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semiHidden/>
    <w:rsid w:val="00474ECC"/>
    <w:rPr>
      <w:rFonts w:ascii="Times New Roman" w:eastAsia="SimSun" w:hAnsi="Times New Roman"/>
      <w:sz w:val="22"/>
      <w:lang w:val="en-GB" w:eastAsia="en-US"/>
    </w:rPr>
  </w:style>
  <w:style w:type="table" w:customStyle="1" w:styleId="Style1">
    <w:name w:val="Style1"/>
    <w:locked/>
    <w:rsid w:val="00474ECC"/>
    <w:rPr>
      <w:rFonts w:ascii="Arial Narrow" w:eastAsia="SimSun" w:hAnsi="Arial Narrow"/>
      <w:sz w:val="18"/>
    </w:rPr>
    <w:tblPr>
      <w:tblInd w:w="0" w:type="dxa"/>
      <w:tblBorders>
        <w:top w:val="single" w:sz="8" w:space="0" w:color="333399"/>
        <w:bottom w:val="single" w:sz="8" w:space="0" w:color="333399"/>
      </w:tblBorders>
      <w:tblCellMar>
        <w:top w:w="0" w:type="dxa"/>
        <w:left w:w="108" w:type="dxa"/>
        <w:bottom w:w="0" w:type="dxa"/>
        <w:right w:w="108" w:type="dxa"/>
      </w:tblCellMar>
    </w:tblPr>
  </w:style>
  <w:style w:type="paragraph" w:styleId="PlainText">
    <w:name w:val="Plain Text"/>
    <w:basedOn w:val="Normal"/>
    <w:link w:val="PlainTextChar"/>
    <w:semiHidden/>
    <w:locked/>
    <w:rsid w:val="00474ECC"/>
    <w:rPr>
      <w:rFonts w:ascii="Consolas" w:hAnsi="Consolas"/>
      <w:sz w:val="21"/>
      <w:szCs w:val="21"/>
    </w:rPr>
  </w:style>
  <w:style w:type="character" w:customStyle="1" w:styleId="PlainTextChar">
    <w:name w:val="Plain Text Char"/>
    <w:link w:val="PlainText"/>
    <w:semiHidden/>
    <w:locked/>
    <w:rsid w:val="00474ECC"/>
    <w:rPr>
      <w:rFonts w:ascii="Consolas" w:hAnsi="Consolas" w:cs="Times New Roman"/>
      <w:sz w:val="21"/>
      <w:szCs w:val="21"/>
    </w:rPr>
  </w:style>
  <w:style w:type="table" w:customStyle="1" w:styleId="icrctable">
    <w:name w:val="icrc table"/>
    <w:basedOn w:val="TableSimple1"/>
    <w:locked/>
    <w:rsid w:val="00F7639D"/>
    <w:rPr>
      <w:rFonts w:ascii="Arial Narrow" w:hAnsi="Arial Narrow"/>
      <w:sz w:val="18"/>
      <w:lang w:val="en-US" w:eastAsia="en-US"/>
    </w:rPr>
    <w:tblPr>
      <w:tblBorders>
        <w:top w:val="single" w:sz="8" w:space="0" w:color="333399"/>
        <w:bottom w:val="single" w:sz="8" w:space="0" w:color="333399"/>
      </w:tblBorders>
    </w:tblPr>
    <w:tblStylePr w:type="firstRow">
      <w:rPr>
        <w:rFonts w:cs="Times New Roman"/>
      </w:rPr>
      <w:tblPr/>
      <w:tcPr>
        <w:tcBorders>
          <w:bottom w:val="single" w:sz="4" w:space="0" w:color="333399"/>
          <w:tl2br w:val="none" w:sz="0" w:space="0" w:color="auto"/>
          <w:tr2bl w:val="none" w:sz="0" w:space="0" w:color="auto"/>
        </w:tcBorders>
        <w:shd w:val="clear" w:color="auto" w:fill="auto"/>
      </w:tcPr>
    </w:tblStylePr>
    <w:tblStylePr w:type="lastRow">
      <w:rPr>
        <w:rFonts w:cs="Times New Roman"/>
      </w:rPr>
      <w:tblPr/>
      <w:tcPr>
        <w:tcBorders>
          <w:top w:val="single" w:sz="4" w:space="0" w:color="333399"/>
          <w:tl2br w:val="none" w:sz="0" w:space="0" w:color="auto"/>
          <w:tr2bl w:val="none" w:sz="0" w:space="0" w:color="auto"/>
        </w:tcBorders>
        <w:shd w:val="clear" w:color="auto" w:fill="auto"/>
      </w:tcPr>
    </w:tblStylePr>
  </w:style>
  <w:style w:type="table" w:styleId="TableSimple1">
    <w:name w:val="Table Simple 1"/>
    <w:basedOn w:val="TableNormal"/>
    <w:locked/>
    <w:rsid w:val="00F7639D"/>
    <w:pPr>
      <w:spacing w:after="220" w:line="280" w:lineRule="atLeast"/>
    </w:pPr>
    <w:rPr>
      <w:rFonts w:ascii="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Headerodd">
    <w:name w:val="Header (odd)"/>
    <w:basedOn w:val="Normal"/>
    <w:rsid w:val="006D6B12"/>
    <w:pPr>
      <w:spacing w:after="0"/>
      <w:jc w:val="right"/>
    </w:pPr>
    <w:rPr>
      <w:i/>
      <w:color w:val="808080"/>
      <w:sz w:val="18"/>
      <w:szCs w:val="18"/>
    </w:rPr>
  </w:style>
  <w:style w:type="paragraph" w:customStyle="1" w:styleId="Headereven">
    <w:name w:val="Header (even)"/>
    <w:basedOn w:val="Headerodd"/>
    <w:rsid w:val="006D6B12"/>
    <w:pPr>
      <w:jc w:val="left"/>
    </w:pPr>
  </w:style>
  <w:style w:type="table" w:customStyle="1" w:styleId="ICRC">
    <w:name w:val="ICRC"/>
    <w:locked/>
    <w:rsid w:val="00474ECC"/>
    <w:rPr>
      <w:rFonts w:ascii="Arial Narrow" w:hAnsi="Arial Narrow"/>
      <w:sz w:val="18"/>
    </w:rPr>
    <w:tblPr>
      <w:tblInd w:w="0" w:type="dxa"/>
      <w:tblBorders>
        <w:bottom w:val="single" w:sz="12" w:space="0" w:color="333399"/>
      </w:tblBorders>
      <w:tblCellMar>
        <w:top w:w="0" w:type="dxa"/>
        <w:left w:w="108" w:type="dxa"/>
        <w:bottom w:w="0" w:type="dxa"/>
        <w:right w:w="108" w:type="dxa"/>
      </w:tblCellMar>
    </w:tblPr>
  </w:style>
  <w:style w:type="paragraph" w:customStyle="1" w:styleId="FigureText">
    <w:name w:val="Figure Text"/>
    <w:basedOn w:val="Normal"/>
    <w:qFormat/>
    <w:rsid w:val="00F7639D"/>
    <w:pPr>
      <w:spacing w:after="0" w:line="240" w:lineRule="auto"/>
    </w:pPr>
    <w:rPr>
      <w:rFonts w:ascii="Arial" w:hAnsi="Arial"/>
      <w:sz w:val="16"/>
    </w:rPr>
  </w:style>
  <w:style w:type="character" w:styleId="EndnoteReference">
    <w:name w:val="endnote reference"/>
    <w:uiPriority w:val="99"/>
    <w:semiHidden/>
    <w:unhideWhenUsed/>
    <w:locked/>
    <w:rsid w:val="001609AB"/>
    <w:rPr>
      <w:vertAlign w:val="superscript"/>
    </w:rPr>
  </w:style>
  <w:style w:type="paragraph" w:styleId="BalloonText">
    <w:name w:val="Balloon Text"/>
    <w:basedOn w:val="Normal"/>
    <w:link w:val="BalloonTextChar"/>
    <w:uiPriority w:val="99"/>
    <w:semiHidden/>
    <w:unhideWhenUsed/>
    <w:locked/>
    <w:rsid w:val="005F11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114B"/>
    <w:rPr>
      <w:rFonts w:ascii="Tahoma" w:hAnsi="Tahoma" w:cs="Tahoma"/>
      <w:sz w:val="16"/>
      <w:szCs w:val="16"/>
      <w:lang w:val="en-GB" w:eastAsia="en-US"/>
    </w:rPr>
  </w:style>
  <w:style w:type="character" w:styleId="CommentReference">
    <w:name w:val="annotation reference"/>
    <w:basedOn w:val="DefaultParagraphFont"/>
    <w:uiPriority w:val="99"/>
    <w:semiHidden/>
    <w:unhideWhenUsed/>
    <w:locked/>
    <w:rsid w:val="0031462D"/>
    <w:rPr>
      <w:sz w:val="16"/>
      <w:szCs w:val="16"/>
    </w:rPr>
  </w:style>
  <w:style w:type="character" w:styleId="PlaceholderText">
    <w:name w:val="Placeholder Text"/>
    <w:basedOn w:val="DefaultParagraphFont"/>
    <w:uiPriority w:val="99"/>
    <w:semiHidden/>
    <w:locked/>
    <w:rsid w:val="0074389C"/>
    <w:rPr>
      <w:color w:val="808080"/>
    </w:rPr>
  </w:style>
  <w:style w:type="paragraph" w:customStyle="1" w:styleId="HeadingPart">
    <w:name w:val="Heading Part"/>
    <w:basedOn w:val="Heading1"/>
    <w:qFormat/>
    <w:rsid w:val="000A4D58"/>
    <w:pPr>
      <w:numPr>
        <w:numId w:val="4"/>
      </w:numPr>
      <w:tabs>
        <w:tab w:val="left" w:pos="1843"/>
      </w:tabs>
    </w:pPr>
  </w:style>
  <w:style w:type="character" w:styleId="FootnoteReference">
    <w:name w:val="footnote reference"/>
    <w:aliases w:val="(NECG) Footnote Reference"/>
    <w:basedOn w:val="DefaultParagraphFont"/>
    <w:uiPriority w:val="99"/>
    <w:unhideWhenUsed/>
    <w:rsid w:val="00FE0570"/>
    <w:rPr>
      <w:vertAlign w:val="superscript"/>
    </w:rPr>
  </w:style>
  <w:style w:type="character" w:customStyle="1" w:styleId="Italic">
    <w:name w:val="Italic"/>
    <w:basedOn w:val="DefaultParagraphFont"/>
    <w:uiPriority w:val="1"/>
    <w:qFormat/>
    <w:rsid w:val="00F24C6B"/>
    <w:rPr>
      <w:i/>
    </w:rPr>
  </w:style>
  <w:style w:type="character" w:customStyle="1" w:styleId="HighlightYellow">
    <w:name w:val="Highlight Yellow"/>
    <w:basedOn w:val="DefaultParagraphFont"/>
    <w:uiPriority w:val="1"/>
    <w:qFormat/>
    <w:rsid w:val="00A75C51"/>
    <w:rPr>
      <w:sz w:val="22"/>
      <w:szCs w:val="24"/>
      <w:bdr w:val="none" w:sz="0" w:space="0" w:color="auto"/>
      <w:shd w:val="clear" w:color="auto" w:fill="FFFF00"/>
    </w:rPr>
  </w:style>
  <w:style w:type="character" w:customStyle="1" w:styleId="HighlightGreen">
    <w:name w:val="Highlight Green"/>
    <w:basedOn w:val="HighlightYellow"/>
    <w:uiPriority w:val="1"/>
    <w:qFormat/>
    <w:rsid w:val="00FF5F02"/>
    <w:rPr>
      <w:sz w:val="22"/>
      <w:szCs w:val="24"/>
      <w:bdr w:val="none" w:sz="0" w:space="0" w:color="auto"/>
      <w:shd w:val="clear" w:color="auto" w:fill="92D050"/>
    </w:rPr>
  </w:style>
  <w:style w:type="character" w:customStyle="1" w:styleId="HighlightBlue">
    <w:name w:val="Highlight Blue"/>
    <w:basedOn w:val="HighlightGreen"/>
    <w:uiPriority w:val="1"/>
    <w:qFormat/>
    <w:rsid w:val="00FF5F02"/>
    <w:rPr>
      <w:sz w:val="22"/>
      <w:szCs w:val="24"/>
      <w:bdr w:val="none" w:sz="0" w:space="0" w:color="auto"/>
      <w:shd w:val="clear" w:color="auto" w:fill="00B0F0"/>
    </w:rPr>
  </w:style>
  <w:style w:type="character" w:customStyle="1" w:styleId="Bold">
    <w:name w:val="Bold"/>
    <w:basedOn w:val="DefaultParagraphFont"/>
    <w:qFormat/>
    <w:rsid w:val="00FB72CD"/>
    <w:rPr>
      <w:rFonts w:eastAsia="SimSun"/>
      <w:b/>
      <w:lang w:val="en-AU"/>
    </w:rPr>
  </w:style>
  <w:style w:type="paragraph" w:customStyle="1" w:styleId="Heading50">
    <w:name w:val="Heading 5^"/>
    <w:basedOn w:val="Heading5"/>
    <w:link w:val="Heading5Char0"/>
    <w:qFormat/>
    <w:rsid w:val="001822C4"/>
    <w:pPr>
      <w:spacing w:before="0" w:after="120"/>
    </w:pPr>
    <w:rPr>
      <w:szCs w:val="24"/>
      <w:lang w:val="en-AU"/>
    </w:rPr>
  </w:style>
  <w:style w:type="character" w:customStyle="1" w:styleId="Heading5Char0">
    <w:name w:val="Heading 5^ Char"/>
    <w:basedOn w:val="Heading5Char"/>
    <w:link w:val="Heading50"/>
    <w:rsid w:val="001822C4"/>
    <w:rPr>
      <w:rFonts w:ascii="Times New Roman" w:hAnsi="Times New Roman"/>
      <w:i/>
      <w:sz w:val="24"/>
      <w:szCs w:val="24"/>
      <w:lang w:val="en-GB" w:eastAsia="en-US"/>
    </w:rPr>
  </w:style>
  <w:style w:type="paragraph" w:customStyle="1" w:styleId="QuoteListnumber">
    <w:name w:val="Quote List (number)"/>
    <w:basedOn w:val="Normal"/>
    <w:rsid w:val="005566BA"/>
    <w:rPr>
      <w:sz w:val="20"/>
    </w:rPr>
  </w:style>
  <w:style w:type="paragraph" w:customStyle="1" w:styleId="TableHeadingRight">
    <w:name w:val="Table Heading Right"/>
    <w:basedOn w:val="TableHeadingLeft"/>
    <w:qFormat/>
    <w:rsid w:val="00280AFD"/>
    <w:pPr>
      <w:jc w:val="right"/>
    </w:pPr>
  </w:style>
  <w:style w:type="paragraph" w:customStyle="1" w:styleId="TableTextRight">
    <w:name w:val="Table Text Right"/>
    <w:basedOn w:val="TableTextLeft"/>
    <w:qFormat/>
    <w:rsid w:val="008A6CA2"/>
    <w:pPr>
      <w:jc w:val="right"/>
    </w:pPr>
  </w:style>
  <w:style w:type="paragraph" w:customStyle="1" w:styleId="HeadingAppendix2">
    <w:name w:val="Heading Appendix 2"/>
    <w:basedOn w:val="Heading2"/>
    <w:qFormat/>
    <w:rsid w:val="00D42FF9"/>
    <w:pPr>
      <w:numPr>
        <w:numId w:val="6"/>
      </w:numPr>
    </w:pPr>
  </w:style>
  <w:style w:type="paragraph" w:customStyle="1" w:styleId="HeadingAppendix3">
    <w:name w:val="Heading Appendix 3"/>
    <w:basedOn w:val="Heading3"/>
    <w:qFormat/>
    <w:rsid w:val="00D42FF9"/>
    <w:pPr>
      <w:numPr>
        <w:numId w:val="6"/>
      </w:numPr>
    </w:pPr>
  </w:style>
  <w:style w:type="paragraph" w:styleId="DocumentMap">
    <w:name w:val="Document Map"/>
    <w:basedOn w:val="Normal"/>
    <w:link w:val="DocumentMapChar"/>
    <w:uiPriority w:val="99"/>
    <w:semiHidden/>
    <w:unhideWhenUsed/>
    <w:locked/>
    <w:rsid w:val="00E258B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258B7"/>
    <w:rPr>
      <w:rFonts w:ascii="Tahoma" w:hAnsi="Tahoma" w:cs="Tahoma"/>
      <w:sz w:val="16"/>
      <w:szCs w:val="16"/>
      <w:lang w:val="en-GB" w:eastAsia="en-US"/>
    </w:rPr>
  </w:style>
  <w:style w:type="paragraph" w:customStyle="1" w:styleId="QuoteListletter">
    <w:name w:val="Quote List (letter)"/>
    <w:basedOn w:val="QuoteListnumber"/>
    <w:qFormat/>
    <w:rsid w:val="005566BA"/>
    <w:pPr>
      <w:numPr>
        <w:ilvl w:val="1"/>
      </w:numPr>
    </w:pPr>
  </w:style>
  <w:style w:type="character" w:styleId="Emphasis">
    <w:name w:val="Emphasis"/>
    <w:basedOn w:val="DefaultParagraphFont"/>
    <w:uiPriority w:val="20"/>
    <w:qFormat/>
    <w:locked/>
    <w:rsid w:val="00F4763B"/>
    <w:rPr>
      <w:i/>
      <w:iCs/>
    </w:rPr>
  </w:style>
  <w:style w:type="paragraph" w:customStyle="1" w:styleId="Equation">
    <w:name w:val="Equation"/>
    <w:basedOn w:val="EquationVariables"/>
    <w:uiPriority w:val="99"/>
    <w:qFormat/>
    <w:rsid w:val="00F7295F"/>
    <w:pPr>
      <w:tabs>
        <w:tab w:val="clear" w:pos="1985"/>
      </w:tabs>
      <w:ind w:left="1418" w:firstLine="0"/>
    </w:pPr>
  </w:style>
  <w:style w:type="paragraph" w:customStyle="1" w:styleId="EquationVariables">
    <w:name w:val="Equation Variables"/>
    <w:basedOn w:val="Normal"/>
    <w:qFormat/>
    <w:rsid w:val="00F7295F"/>
    <w:pPr>
      <w:tabs>
        <w:tab w:val="left" w:pos="1985"/>
      </w:tabs>
      <w:ind w:left="2552" w:hanging="1134"/>
    </w:pPr>
  </w:style>
  <w:style w:type="paragraph" w:customStyle="1" w:styleId="HeadingAppendix">
    <w:name w:val="Heading Appendix"/>
    <w:basedOn w:val="Heading1"/>
    <w:uiPriority w:val="99"/>
    <w:locked/>
    <w:rsid w:val="006E1C49"/>
    <w:pPr>
      <w:numPr>
        <w:numId w:val="0"/>
      </w:numPr>
      <w:tabs>
        <w:tab w:val="left" w:pos="2693"/>
      </w:tabs>
      <w:ind w:left="2693" w:hanging="2693"/>
    </w:pPr>
  </w:style>
  <w:style w:type="paragraph" w:customStyle="1" w:styleId="Bodybulletintro">
    <w:name w:val="Body (bullet intro)"/>
    <w:basedOn w:val="Normal"/>
    <w:qFormat/>
    <w:rsid w:val="00C47CD1"/>
    <w:pPr>
      <w:keepNext/>
      <w:spacing w:after="100"/>
    </w:pPr>
  </w:style>
  <w:style w:type="paragraph" w:customStyle="1" w:styleId="Bodytableoutro">
    <w:name w:val="Body (table outro)"/>
    <w:basedOn w:val="Normal"/>
    <w:qFormat/>
    <w:rsid w:val="00814952"/>
    <w:pPr>
      <w:spacing w:before="220"/>
    </w:pPr>
  </w:style>
  <w:style w:type="paragraph" w:customStyle="1" w:styleId="TableTextLeftIndent">
    <w:name w:val="Table Text Left Indent"/>
    <w:basedOn w:val="TableTextLeft"/>
    <w:qFormat/>
    <w:rsid w:val="008A6CA2"/>
    <w:pPr>
      <w:ind w:left="170"/>
    </w:pPr>
    <w:rPr>
      <w:lang w:val="en-AU" w:eastAsia="en-AU"/>
    </w:rPr>
  </w:style>
  <w:style w:type="paragraph" w:customStyle="1" w:styleId="ToRName">
    <w:name w:val="ToR Name"/>
    <w:basedOn w:val="Normal"/>
    <w:uiPriority w:val="99"/>
    <w:rsid w:val="001A0127"/>
    <w:pPr>
      <w:tabs>
        <w:tab w:val="left" w:pos="2400"/>
        <w:tab w:val="left" w:pos="2880"/>
      </w:tabs>
      <w:spacing w:before="1220" w:after="100" w:line="240" w:lineRule="auto"/>
    </w:pPr>
    <w:rPr>
      <w:rFonts w:ascii="Arial" w:eastAsia="Times New Roman" w:hAnsi="Arial"/>
      <w:b/>
      <w:sz w:val="40"/>
      <w:lang w:val="en-AU"/>
    </w:rPr>
  </w:style>
  <w:style w:type="paragraph" w:customStyle="1" w:styleId="ToRCoverActs">
    <w:name w:val="ToR Cover Acts"/>
    <w:basedOn w:val="Normal"/>
    <w:uiPriority w:val="99"/>
    <w:rsid w:val="001A0127"/>
    <w:pPr>
      <w:tabs>
        <w:tab w:val="left" w:pos="2600"/>
      </w:tabs>
      <w:spacing w:before="200" w:after="60" w:line="240" w:lineRule="auto"/>
      <w:jc w:val="both"/>
    </w:pPr>
    <w:rPr>
      <w:rFonts w:ascii="Arial" w:eastAsia="Times New Roman" w:hAnsi="Arial"/>
      <w:b/>
      <w:sz w:val="24"/>
      <w:lang w:val="en-AU"/>
    </w:rPr>
  </w:style>
  <w:style w:type="paragraph" w:customStyle="1" w:styleId="CoverReport">
    <w:name w:val="Cover Report"/>
    <w:basedOn w:val="Normal"/>
    <w:qFormat/>
    <w:rsid w:val="00287869"/>
    <w:pPr>
      <w:spacing w:after="80"/>
      <w:ind w:left="142" w:right="98"/>
      <w:jc w:val="right"/>
    </w:pPr>
    <w:rPr>
      <w:rFonts w:ascii="Arial" w:hAnsi="Arial"/>
      <w:bCs/>
      <w:sz w:val="36"/>
      <w:szCs w:val="36"/>
      <w:lang w:val="en-AU"/>
    </w:rPr>
  </w:style>
  <w:style w:type="paragraph" w:customStyle="1" w:styleId="CoverInquiry">
    <w:name w:val="Cover Inquiry"/>
    <w:basedOn w:val="Normal"/>
    <w:qFormat/>
    <w:rsid w:val="00287869"/>
    <w:pPr>
      <w:ind w:left="142" w:right="98"/>
      <w:jc w:val="right"/>
    </w:pPr>
    <w:rPr>
      <w:rFonts w:ascii="Arial" w:hAnsi="Arial" w:cs="Arial"/>
      <w:b/>
      <w:color w:val="000033"/>
      <w:sz w:val="48"/>
      <w:szCs w:val="48"/>
    </w:rPr>
  </w:style>
  <w:style w:type="paragraph" w:customStyle="1" w:styleId="CoverReportNumMonth">
    <w:name w:val="Cover ReportNum &amp; Month"/>
    <w:basedOn w:val="Normal"/>
    <w:qFormat/>
    <w:rsid w:val="00287869"/>
    <w:pPr>
      <w:ind w:left="142" w:right="98"/>
      <w:jc w:val="right"/>
    </w:pPr>
    <w:rPr>
      <w:rFonts w:ascii="Arial" w:hAnsi="Arial"/>
      <w:b/>
      <w:sz w:val="24"/>
      <w:lang w:val="en-AU"/>
    </w:rPr>
  </w:style>
  <w:style w:type="character" w:customStyle="1" w:styleId="charBoldItals">
    <w:name w:val="charBoldItals"/>
    <w:basedOn w:val="DefaultParagraphFont"/>
    <w:uiPriority w:val="99"/>
    <w:rsid w:val="00DC784F"/>
    <w:rPr>
      <w:rFonts w:cs="Times New Roman"/>
      <w:b/>
      <w:bCs/>
      <w:i/>
      <w:iCs/>
    </w:rPr>
  </w:style>
  <w:style w:type="paragraph" w:customStyle="1" w:styleId="Apara">
    <w:name w:val="A para"/>
    <w:basedOn w:val="Normal"/>
    <w:uiPriority w:val="99"/>
    <w:rsid w:val="00DC784F"/>
    <w:pPr>
      <w:tabs>
        <w:tab w:val="right" w:pos="1400"/>
        <w:tab w:val="left" w:pos="1600"/>
      </w:tabs>
      <w:spacing w:before="80" w:after="60" w:line="240" w:lineRule="auto"/>
      <w:ind w:left="1600" w:hanging="1600"/>
      <w:jc w:val="both"/>
      <w:outlineLvl w:val="6"/>
    </w:pPr>
    <w:rPr>
      <w:rFonts w:eastAsia="Times New Roman"/>
      <w:sz w:val="24"/>
      <w:lang w:val="en-AU"/>
    </w:rPr>
  </w:style>
  <w:style w:type="paragraph" w:customStyle="1" w:styleId="AH5Sec">
    <w:name w:val="A H5 Sec"/>
    <w:basedOn w:val="Normal"/>
    <w:next w:val="Normal"/>
    <w:uiPriority w:val="99"/>
    <w:rsid w:val="00DC784F"/>
    <w:pPr>
      <w:keepNext/>
      <w:tabs>
        <w:tab w:val="left" w:pos="1100"/>
      </w:tabs>
      <w:spacing w:before="180" w:after="60" w:line="240" w:lineRule="auto"/>
      <w:ind w:left="1100" w:hanging="1100"/>
      <w:outlineLvl w:val="4"/>
    </w:pPr>
    <w:rPr>
      <w:rFonts w:ascii="Arial" w:eastAsia="Times New Roman" w:hAnsi="Arial"/>
      <w:b/>
      <w:sz w:val="24"/>
      <w:lang w:val="en-AU"/>
    </w:rPr>
  </w:style>
  <w:style w:type="paragraph" w:customStyle="1" w:styleId="Amain">
    <w:name w:val="A main"/>
    <w:basedOn w:val="Normal"/>
    <w:uiPriority w:val="99"/>
    <w:rsid w:val="00DC784F"/>
    <w:pPr>
      <w:tabs>
        <w:tab w:val="right" w:pos="900"/>
        <w:tab w:val="left" w:pos="1100"/>
      </w:tabs>
      <w:spacing w:before="80" w:after="60" w:line="240" w:lineRule="auto"/>
      <w:ind w:left="1100" w:hanging="1100"/>
      <w:jc w:val="both"/>
      <w:outlineLvl w:val="5"/>
    </w:pPr>
    <w:rPr>
      <w:rFonts w:eastAsia="Times New Roman"/>
      <w:sz w:val="24"/>
      <w:lang w:val="en-AU"/>
    </w:rPr>
  </w:style>
  <w:style w:type="paragraph" w:customStyle="1" w:styleId="aNote">
    <w:name w:val="aNote"/>
    <w:basedOn w:val="Normal"/>
    <w:uiPriority w:val="99"/>
    <w:rsid w:val="00DC784F"/>
    <w:pPr>
      <w:spacing w:before="80" w:after="60" w:line="240" w:lineRule="auto"/>
      <w:ind w:left="1900" w:hanging="800"/>
      <w:jc w:val="both"/>
    </w:pPr>
    <w:rPr>
      <w:rFonts w:eastAsia="Times New Roman"/>
      <w:sz w:val="20"/>
      <w:lang w:val="en-AU"/>
    </w:rPr>
  </w:style>
  <w:style w:type="character" w:customStyle="1" w:styleId="CharSectNo">
    <w:name w:val="CharSectNo"/>
    <w:basedOn w:val="DefaultParagraphFont"/>
    <w:uiPriority w:val="99"/>
    <w:rsid w:val="00DC784F"/>
    <w:rPr>
      <w:rFonts w:cs="Times New Roman"/>
    </w:rPr>
  </w:style>
  <w:style w:type="paragraph" w:styleId="ListParagraph">
    <w:name w:val="List Paragraph"/>
    <w:basedOn w:val="Normal"/>
    <w:uiPriority w:val="99"/>
    <w:qFormat/>
    <w:locked/>
    <w:rsid w:val="00DC784F"/>
    <w:pPr>
      <w:spacing w:after="200" w:line="276" w:lineRule="auto"/>
      <w:ind w:left="720"/>
      <w:contextualSpacing/>
    </w:pPr>
    <w:rPr>
      <w:rFonts w:eastAsia="PMingLiU"/>
      <w:szCs w:val="22"/>
      <w:lang w:eastAsia="zh-TW"/>
    </w:rPr>
  </w:style>
  <w:style w:type="paragraph" w:styleId="Header">
    <w:name w:val="header"/>
    <w:aliases w:val="Even header (essay title)"/>
    <w:basedOn w:val="Normal"/>
    <w:link w:val="HeaderChar"/>
    <w:uiPriority w:val="99"/>
    <w:unhideWhenUsed/>
    <w:rsid w:val="00E2786A"/>
    <w:pPr>
      <w:tabs>
        <w:tab w:val="center" w:pos="4513"/>
        <w:tab w:val="right" w:pos="9026"/>
      </w:tabs>
      <w:spacing w:after="0" w:line="240" w:lineRule="auto"/>
    </w:pPr>
  </w:style>
  <w:style w:type="character" w:customStyle="1" w:styleId="HeaderChar">
    <w:name w:val="Header Char"/>
    <w:aliases w:val="Even header (essay title) Char"/>
    <w:basedOn w:val="DefaultParagraphFont"/>
    <w:link w:val="Header"/>
    <w:uiPriority w:val="99"/>
    <w:rsid w:val="00E2786A"/>
    <w:rPr>
      <w:rFonts w:ascii="Times New Roman" w:hAnsi="Times New Roman"/>
      <w:sz w:val="22"/>
      <w:lang w:val="en-GB" w:eastAsia="en-US"/>
    </w:rPr>
  </w:style>
  <w:style w:type="character" w:styleId="HTMLCite">
    <w:name w:val="HTML Cite"/>
    <w:basedOn w:val="DefaultParagraphFont"/>
    <w:uiPriority w:val="99"/>
    <w:semiHidden/>
    <w:unhideWhenUsed/>
    <w:locked/>
    <w:rsid w:val="00542849"/>
    <w:rPr>
      <w:i/>
      <w:iCs/>
    </w:rPr>
  </w:style>
  <w:style w:type="paragraph" w:styleId="NormalWeb">
    <w:name w:val="Normal (Web)"/>
    <w:basedOn w:val="Normal"/>
    <w:uiPriority w:val="99"/>
    <w:semiHidden/>
    <w:unhideWhenUsed/>
    <w:rsid w:val="004C5B61"/>
    <w:pPr>
      <w:spacing w:before="100" w:beforeAutospacing="1" w:after="100" w:afterAutospacing="1" w:line="240" w:lineRule="auto"/>
    </w:pPr>
    <w:rPr>
      <w:rFonts w:eastAsiaTheme="minorEastAsia"/>
      <w:sz w:val="24"/>
      <w:szCs w:val="24"/>
      <w:lang w:val="en-AU" w:eastAsia="en-AU"/>
    </w:rPr>
  </w:style>
  <w:style w:type="paragraph" w:customStyle="1" w:styleId="Billname">
    <w:name w:val="Billname"/>
    <w:basedOn w:val="Normal"/>
    <w:rsid w:val="00E96374"/>
    <w:pPr>
      <w:tabs>
        <w:tab w:val="left" w:pos="2400"/>
        <w:tab w:val="left" w:pos="2880"/>
      </w:tabs>
      <w:spacing w:before="1220" w:after="100" w:line="240" w:lineRule="auto"/>
    </w:pPr>
    <w:rPr>
      <w:rFonts w:ascii="Arial" w:eastAsia="Times New Roman" w:hAnsi="Arial"/>
      <w:b/>
      <w:sz w:val="40"/>
      <w:lang w:val="en-AU"/>
    </w:rPr>
  </w:style>
  <w:style w:type="paragraph" w:customStyle="1" w:styleId="N-line3">
    <w:name w:val="N-line3"/>
    <w:basedOn w:val="Normal"/>
    <w:next w:val="Normal"/>
    <w:rsid w:val="00E96374"/>
    <w:pPr>
      <w:pBdr>
        <w:bottom w:val="single" w:sz="12" w:space="1" w:color="auto"/>
      </w:pBdr>
      <w:spacing w:after="0" w:line="240" w:lineRule="auto"/>
      <w:jc w:val="both"/>
    </w:pPr>
    <w:rPr>
      <w:rFonts w:eastAsia="Times New Roman"/>
      <w:sz w:val="24"/>
      <w:lang w:val="en-AU"/>
    </w:rPr>
  </w:style>
  <w:style w:type="paragraph" w:customStyle="1" w:styleId="madeunder">
    <w:name w:val="made under"/>
    <w:basedOn w:val="Normal"/>
    <w:rsid w:val="00E96374"/>
    <w:pPr>
      <w:spacing w:before="180" w:after="60" w:line="240" w:lineRule="auto"/>
      <w:jc w:val="both"/>
    </w:pPr>
    <w:rPr>
      <w:rFonts w:eastAsia="Times New Roman"/>
      <w:sz w:val="24"/>
      <w:lang w:val="en-AU"/>
    </w:rPr>
  </w:style>
  <w:style w:type="paragraph" w:customStyle="1" w:styleId="CoverActName">
    <w:name w:val="CoverActName"/>
    <w:basedOn w:val="Normal"/>
    <w:rsid w:val="00E96374"/>
    <w:pPr>
      <w:tabs>
        <w:tab w:val="left" w:pos="2600"/>
      </w:tabs>
      <w:spacing w:before="200" w:after="60" w:line="240" w:lineRule="auto"/>
      <w:jc w:val="both"/>
    </w:pPr>
    <w:rPr>
      <w:rFonts w:ascii="Arial" w:eastAsia="Times New Roman" w:hAnsi="Arial"/>
      <w:b/>
      <w:sz w:val="24"/>
      <w:lang w:val="en-AU"/>
    </w:rPr>
  </w:style>
  <w:style w:type="paragraph" w:styleId="TOCHeading">
    <w:name w:val="TOC Heading"/>
    <w:basedOn w:val="Heading1"/>
    <w:next w:val="Normal"/>
    <w:uiPriority w:val="39"/>
    <w:semiHidden/>
    <w:unhideWhenUsed/>
    <w:qFormat/>
    <w:locked/>
    <w:rsid w:val="006477A0"/>
    <w:pPr>
      <w:keepLines/>
      <w:numPr>
        <w:numId w:val="0"/>
      </w:numPr>
      <w:spacing w:before="480" w:after="0" w:line="276" w:lineRule="auto"/>
      <w:outlineLvl w:val="9"/>
    </w:pPr>
    <w:rPr>
      <w:rFonts w:asciiTheme="majorHAnsi" w:eastAsiaTheme="majorEastAsia" w:hAnsiTheme="majorHAnsi" w:cstheme="majorBidi"/>
      <w:bCs/>
      <w:color w:val="365F91" w:themeColor="accent1" w:themeShade="BF"/>
      <w:kern w:val="0"/>
      <w:sz w:val="28"/>
      <w:szCs w:val="28"/>
      <w:lang w:val="en-US"/>
    </w:rPr>
  </w:style>
  <w:style w:type="paragraph" w:styleId="TOC4">
    <w:name w:val="toc 4"/>
    <w:basedOn w:val="Normal"/>
    <w:next w:val="Normal"/>
    <w:autoRedefine/>
    <w:uiPriority w:val="39"/>
    <w:unhideWhenUsed/>
    <w:locked/>
    <w:rsid w:val="006477A0"/>
    <w:pPr>
      <w:spacing w:after="100" w:line="276" w:lineRule="auto"/>
      <w:ind w:left="660"/>
    </w:pPr>
    <w:rPr>
      <w:rFonts w:asciiTheme="minorHAnsi" w:eastAsiaTheme="minorEastAsia" w:hAnsiTheme="minorHAnsi" w:cstheme="minorBidi"/>
      <w:szCs w:val="22"/>
      <w:lang w:val="en-AU" w:eastAsia="en-AU"/>
    </w:rPr>
  </w:style>
  <w:style w:type="paragraph" w:styleId="TOC5">
    <w:name w:val="toc 5"/>
    <w:basedOn w:val="Normal"/>
    <w:next w:val="Normal"/>
    <w:autoRedefine/>
    <w:uiPriority w:val="39"/>
    <w:unhideWhenUsed/>
    <w:locked/>
    <w:rsid w:val="006477A0"/>
    <w:pPr>
      <w:spacing w:after="100" w:line="276" w:lineRule="auto"/>
      <w:ind w:left="880"/>
    </w:pPr>
    <w:rPr>
      <w:rFonts w:asciiTheme="minorHAnsi" w:eastAsiaTheme="minorEastAsia" w:hAnsiTheme="minorHAnsi" w:cstheme="minorBidi"/>
      <w:szCs w:val="22"/>
      <w:lang w:val="en-AU" w:eastAsia="en-AU"/>
    </w:rPr>
  </w:style>
  <w:style w:type="paragraph" w:styleId="TOC6">
    <w:name w:val="toc 6"/>
    <w:basedOn w:val="Normal"/>
    <w:next w:val="Normal"/>
    <w:autoRedefine/>
    <w:uiPriority w:val="39"/>
    <w:unhideWhenUsed/>
    <w:locked/>
    <w:rsid w:val="006477A0"/>
    <w:pPr>
      <w:spacing w:after="100" w:line="276" w:lineRule="auto"/>
      <w:ind w:left="1100"/>
    </w:pPr>
    <w:rPr>
      <w:rFonts w:asciiTheme="minorHAnsi" w:eastAsiaTheme="minorEastAsia" w:hAnsiTheme="minorHAnsi" w:cstheme="minorBidi"/>
      <w:szCs w:val="22"/>
      <w:lang w:val="en-AU" w:eastAsia="en-AU"/>
    </w:rPr>
  </w:style>
  <w:style w:type="paragraph" w:styleId="TOC7">
    <w:name w:val="toc 7"/>
    <w:basedOn w:val="Normal"/>
    <w:next w:val="Normal"/>
    <w:autoRedefine/>
    <w:uiPriority w:val="39"/>
    <w:unhideWhenUsed/>
    <w:locked/>
    <w:rsid w:val="006477A0"/>
    <w:pPr>
      <w:spacing w:after="100" w:line="276" w:lineRule="auto"/>
      <w:ind w:left="1320"/>
    </w:pPr>
    <w:rPr>
      <w:rFonts w:asciiTheme="minorHAnsi" w:eastAsiaTheme="minorEastAsia" w:hAnsiTheme="minorHAnsi" w:cstheme="minorBidi"/>
      <w:szCs w:val="22"/>
      <w:lang w:val="en-AU" w:eastAsia="en-AU"/>
    </w:rPr>
  </w:style>
  <w:style w:type="paragraph" w:styleId="TOC8">
    <w:name w:val="toc 8"/>
    <w:basedOn w:val="Normal"/>
    <w:next w:val="Normal"/>
    <w:autoRedefine/>
    <w:uiPriority w:val="39"/>
    <w:unhideWhenUsed/>
    <w:locked/>
    <w:rsid w:val="006477A0"/>
    <w:pPr>
      <w:spacing w:after="100" w:line="276" w:lineRule="auto"/>
      <w:ind w:left="1540"/>
    </w:pPr>
    <w:rPr>
      <w:rFonts w:asciiTheme="minorHAnsi" w:eastAsiaTheme="minorEastAsia" w:hAnsiTheme="minorHAnsi" w:cstheme="minorBidi"/>
      <w:szCs w:val="22"/>
      <w:lang w:val="en-AU" w:eastAsia="en-AU"/>
    </w:rPr>
  </w:style>
  <w:style w:type="paragraph" w:styleId="TOC9">
    <w:name w:val="toc 9"/>
    <w:basedOn w:val="Normal"/>
    <w:next w:val="Normal"/>
    <w:autoRedefine/>
    <w:uiPriority w:val="39"/>
    <w:unhideWhenUsed/>
    <w:locked/>
    <w:rsid w:val="006477A0"/>
    <w:pPr>
      <w:spacing w:after="100" w:line="276" w:lineRule="auto"/>
      <w:ind w:left="1760"/>
    </w:pPr>
    <w:rPr>
      <w:rFonts w:asciiTheme="minorHAnsi" w:eastAsiaTheme="minorEastAsia" w:hAnsiTheme="minorHAnsi" w:cstheme="minorBidi"/>
      <w:szCs w:val="22"/>
      <w:lang w:val="en-AU" w:eastAsia="en-AU"/>
    </w:rPr>
  </w:style>
  <w:style w:type="character" w:styleId="Strong">
    <w:name w:val="Strong"/>
    <w:basedOn w:val="DefaultParagraphFont"/>
    <w:uiPriority w:val="22"/>
    <w:qFormat/>
    <w:locked/>
    <w:rsid w:val="00FC0BC1"/>
    <w:rPr>
      <w:b/>
      <w:bCs/>
    </w:rPr>
  </w:style>
  <w:style w:type="paragraph" w:styleId="BodyText">
    <w:name w:val="Body Text"/>
    <w:basedOn w:val="Normal"/>
    <w:link w:val="BodyTextChar"/>
    <w:uiPriority w:val="99"/>
    <w:semiHidden/>
    <w:unhideWhenUsed/>
    <w:locked/>
    <w:rsid w:val="009F7536"/>
    <w:pPr>
      <w:spacing w:after="120"/>
    </w:pPr>
  </w:style>
  <w:style w:type="character" w:customStyle="1" w:styleId="BodyTextChar">
    <w:name w:val="Body Text Char"/>
    <w:basedOn w:val="DefaultParagraphFont"/>
    <w:link w:val="BodyText"/>
    <w:uiPriority w:val="99"/>
    <w:semiHidden/>
    <w:rsid w:val="009F7536"/>
    <w:rPr>
      <w:rFonts w:ascii="Times New Roman" w:hAnsi="Times New Roman"/>
      <w:sz w:val="22"/>
      <w:lang w:val="en-GB" w:eastAsia="en-US"/>
    </w:rPr>
  </w:style>
  <w:style w:type="character" w:styleId="FollowedHyperlink">
    <w:name w:val="FollowedHyperlink"/>
    <w:basedOn w:val="DefaultParagraphFont"/>
    <w:uiPriority w:val="99"/>
    <w:semiHidden/>
    <w:unhideWhenUsed/>
    <w:locked/>
    <w:rsid w:val="00DD695A"/>
    <w:rPr>
      <w:color w:val="800080" w:themeColor="followedHyperlink"/>
      <w:u w:val="single"/>
    </w:rPr>
  </w:style>
  <w:style w:type="paragraph" w:customStyle="1" w:styleId="Heading2a">
    <w:name w:val="Heading 2a"/>
    <w:basedOn w:val="Heading2"/>
    <w:next w:val="BodyText"/>
    <w:uiPriority w:val="99"/>
    <w:qFormat/>
    <w:rsid w:val="006A781F"/>
    <w:pPr>
      <w:numPr>
        <w:ilvl w:val="0"/>
        <w:numId w:val="0"/>
      </w:numPr>
    </w:pPr>
  </w:style>
  <w:style w:type="paragraph" w:customStyle="1" w:styleId="Heading3a">
    <w:name w:val="Heading 3a"/>
    <w:basedOn w:val="Heading3"/>
    <w:next w:val="BodyText"/>
    <w:qFormat/>
    <w:rsid w:val="006A781F"/>
    <w:pPr>
      <w:numPr>
        <w:ilvl w:val="0"/>
        <w:numId w:val="0"/>
      </w:numPr>
    </w:pPr>
  </w:style>
  <w:style w:type="paragraph" w:styleId="Title">
    <w:name w:val="Title"/>
    <w:basedOn w:val="Normal"/>
    <w:next w:val="Normal"/>
    <w:link w:val="TitleChar"/>
    <w:qFormat/>
    <w:locked/>
    <w:rsid w:val="00091A4A"/>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rsid w:val="00091A4A"/>
    <w:rPr>
      <w:rFonts w:eastAsia="Times New Roman"/>
      <w:color w:val="17365D"/>
      <w:spacing w:val="5"/>
      <w:kern w:val="28"/>
      <w:sz w:val="52"/>
      <w:szCs w:val="52"/>
      <w:lang w:val="en-GB" w:eastAsia="en-US"/>
    </w:rPr>
  </w:style>
  <w:style w:type="paragraph" w:customStyle="1" w:styleId="Epigraph">
    <w:name w:val="Epigraph"/>
    <w:basedOn w:val="Normal"/>
    <w:next w:val="Normal"/>
    <w:qFormat/>
    <w:locked/>
    <w:rsid w:val="00091A4A"/>
    <w:rPr>
      <w:i/>
    </w:rPr>
  </w:style>
  <w:style w:type="paragraph" w:customStyle="1" w:styleId="Oddheaderauthorname">
    <w:name w:val="Odd header (author name)"/>
    <w:basedOn w:val="Header"/>
    <w:qFormat/>
    <w:locked/>
    <w:rsid w:val="00091A4A"/>
    <w:pPr>
      <w:jc w:val="right"/>
    </w:pPr>
  </w:style>
  <w:style w:type="paragraph" w:customStyle="1" w:styleId="Tabletext">
    <w:name w:val="Table text"/>
    <w:locked/>
    <w:rsid w:val="00091A4A"/>
    <w:pPr>
      <w:spacing w:before="60" w:after="60" w:line="240" w:lineRule="exact"/>
    </w:pPr>
    <w:rPr>
      <w:rFonts w:ascii="Arial" w:eastAsia="Calibri" w:hAnsi="Arial"/>
      <w:szCs w:val="22"/>
      <w:lang w:val="en-GB" w:eastAsia="en-US"/>
    </w:rPr>
  </w:style>
  <w:style w:type="paragraph" w:customStyle="1" w:styleId="Boxtext">
    <w:name w:val="Box text"/>
    <w:basedOn w:val="Normal"/>
    <w:next w:val="Normal"/>
    <w:qFormat/>
    <w:locked/>
    <w:rsid w:val="00091A4A"/>
    <w:pPr>
      <w:shd w:val="pct10" w:color="auto" w:fill="auto"/>
    </w:pPr>
    <w:rPr>
      <w:sz w:val="20"/>
    </w:rPr>
  </w:style>
  <w:style w:type="paragraph" w:styleId="ListNumber">
    <w:name w:val="List Number"/>
    <w:basedOn w:val="Normal"/>
    <w:qFormat/>
    <w:locked/>
    <w:rsid w:val="00B4242A"/>
    <w:pPr>
      <w:numPr>
        <w:numId w:val="32"/>
      </w:numPr>
    </w:pPr>
  </w:style>
  <w:style w:type="paragraph" w:customStyle="1" w:styleId="LetteredList">
    <w:name w:val="Lettered List"/>
    <w:basedOn w:val="Bullet"/>
    <w:qFormat/>
    <w:rsid w:val="009A7020"/>
    <w:pPr>
      <w:numPr>
        <w:numId w:val="10"/>
      </w:numPr>
    </w:pPr>
  </w:style>
  <w:style w:type="paragraph" w:customStyle="1" w:styleId="Bulletintro">
    <w:name w:val="Bullet intro"/>
    <w:basedOn w:val="Normal"/>
    <w:qFormat/>
    <w:rsid w:val="00E4257E"/>
    <w:pPr>
      <w:keepNext/>
      <w:spacing w:after="100"/>
    </w:pPr>
  </w:style>
  <w:style w:type="paragraph" w:styleId="BodyTextIndent">
    <w:name w:val="Body Text Indent"/>
    <w:basedOn w:val="Normal"/>
    <w:link w:val="BodyTextIndentChar"/>
    <w:uiPriority w:val="99"/>
    <w:semiHidden/>
    <w:unhideWhenUsed/>
    <w:locked/>
    <w:rsid w:val="0000019F"/>
    <w:pPr>
      <w:spacing w:after="120"/>
      <w:ind w:left="283"/>
    </w:pPr>
  </w:style>
  <w:style w:type="character" w:customStyle="1" w:styleId="BodyTextIndentChar">
    <w:name w:val="Body Text Indent Char"/>
    <w:basedOn w:val="DefaultParagraphFont"/>
    <w:link w:val="BodyTextIndent"/>
    <w:uiPriority w:val="99"/>
    <w:semiHidden/>
    <w:rsid w:val="0000019F"/>
    <w:rPr>
      <w:rFonts w:ascii="Times New Roman" w:hAnsi="Times New Roman"/>
      <w:sz w:val="22"/>
      <w:lang w:val="en-GB" w:eastAsia="en-US"/>
    </w:rPr>
  </w:style>
  <w:style w:type="paragraph" w:customStyle="1" w:styleId="Default">
    <w:name w:val="Default"/>
    <w:rsid w:val="00D04C76"/>
    <w:pPr>
      <w:autoSpaceDE w:val="0"/>
      <w:autoSpaceDN w:val="0"/>
      <w:adjustRightInd w:val="0"/>
    </w:pPr>
    <w:rPr>
      <w:rFonts w:ascii="Times New Roman" w:hAnsi="Times New Roman"/>
      <w:color w:val="000000"/>
      <w:sz w:val="24"/>
      <w:szCs w:val="24"/>
    </w:rPr>
  </w:style>
  <w:style w:type="paragraph" w:styleId="ListBullet">
    <w:name w:val="List Bullet"/>
    <w:basedOn w:val="Normal"/>
    <w:uiPriority w:val="99"/>
    <w:semiHidden/>
    <w:unhideWhenUsed/>
    <w:locked/>
    <w:rsid w:val="009948AA"/>
    <w:pPr>
      <w:numPr>
        <w:numId w:val="23"/>
      </w:numPr>
      <w:contextualSpacing/>
    </w:pPr>
  </w:style>
  <w:style w:type="character" w:customStyle="1" w:styleId="apple-converted-space">
    <w:name w:val="apple-converted-space"/>
    <w:basedOn w:val="DefaultParagraphFont"/>
    <w:rsid w:val="004F59FC"/>
  </w:style>
  <w:style w:type="paragraph" w:customStyle="1" w:styleId="EndNoteBibliographyTitle">
    <w:name w:val="EndNote Bibliography Title"/>
    <w:basedOn w:val="Normal"/>
    <w:link w:val="EndNoteBibliographyTitleChar"/>
    <w:rsid w:val="00874278"/>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874278"/>
    <w:rPr>
      <w:rFonts w:ascii="Times New Roman" w:hAnsi="Times New Roman"/>
      <w:noProof/>
      <w:sz w:val="22"/>
      <w:lang w:val="en-US" w:eastAsia="en-US"/>
    </w:rPr>
  </w:style>
  <w:style w:type="paragraph" w:customStyle="1" w:styleId="EndNoteBibliography">
    <w:name w:val="EndNote Bibliography"/>
    <w:basedOn w:val="Normal"/>
    <w:link w:val="EndNoteBibliographyChar"/>
    <w:rsid w:val="00874278"/>
    <w:pPr>
      <w:spacing w:line="240" w:lineRule="atLeast"/>
    </w:pPr>
    <w:rPr>
      <w:noProof/>
      <w:lang w:val="en-US"/>
    </w:rPr>
  </w:style>
  <w:style w:type="character" w:customStyle="1" w:styleId="EndNoteBibliographyChar">
    <w:name w:val="EndNote Bibliography Char"/>
    <w:basedOn w:val="DefaultParagraphFont"/>
    <w:link w:val="EndNoteBibliography"/>
    <w:rsid w:val="00874278"/>
    <w:rPr>
      <w:rFonts w:ascii="Times New Roman" w:hAnsi="Times New Roman"/>
      <w:noProof/>
      <w:sz w:val="22"/>
      <w:lang w:val="en-US" w:eastAsia="en-US"/>
    </w:rPr>
  </w:style>
  <w:style w:type="paragraph" w:customStyle="1" w:styleId="FigureName0">
    <w:name w:val="FigureName"/>
    <w:basedOn w:val="TableName0"/>
    <w:next w:val="Normal"/>
    <w:uiPriority w:val="99"/>
    <w:rsid w:val="00040925"/>
  </w:style>
  <w:style w:type="paragraph" w:customStyle="1" w:styleId="TableName0">
    <w:name w:val="TableName"/>
    <w:basedOn w:val="TableText0"/>
    <w:link w:val="TableNameChar0"/>
    <w:uiPriority w:val="99"/>
    <w:rsid w:val="00040925"/>
    <w:pPr>
      <w:spacing w:before="120" w:after="120"/>
      <w:ind w:left="1080" w:hanging="1080"/>
    </w:pPr>
    <w:rPr>
      <w:b/>
      <w:sz w:val="20"/>
    </w:rPr>
  </w:style>
  <w:style w:type="paragraph" w:customStyle="1" w:styleId="TableText0">
    <w:name w:val="TableText"/>
    <w:link w:val="TableTextChar2"/>
    <w:uiPriority w:val="99"/>
    <w:rsid w:val="00040925"/>
    <w:pPr>
      <w:keepNext/>
      <w:spacing w:before="40" w:after="40"/>
    </w:pPr>
    <w:rPr>
      <w:rFonts w:ascii="Arial Narrow" w:hAnsi="Arial Narrow"/>
      <w:sz w:val="18"/>
      <w:lang w:val="en-GB" w:eastAsia="en-US"/>
    </w:rPr>
  </w:style>
  <w:style w:type="character" w:customStyle="1" w:styleId="TableNameChar0">
    <w:name w:val="TableName Char"/>
    <w:link w:val="TableName0"/>
    <w:uiPriority w:val="99"/>
    <w:locked/>
    <w:rsid w:val="00040925"/>
    <w:rPr>
      <w:rFonts w:ascii="Arial Narrow" w:hAnsi="Arial Narrow"/>
      <w:b/>
      <w:lang w:val="en-GB" w:eastAsia="en-US"/>
    </w:rPr>
  </w:style>
  <w:style w:type="character" w:customStyle="1" w:styleId="BulletCharChar">
    <w:name w:val="Bullet Char Char"/>
    <w:uiPriority w:val="99"/>
    <w:locked/>
    <w:rsid w:val="00040925"/>
    <w:rPr>
      <w:rFonts w:ascii="Times New Roman" w:hAnsi="Times New Roman"/>
      <w:sz w:val="22"/>
      <w:lang w:val="en-GB" w:eastAsia="en-US"/>
    </w:rPr>
  </w:style>
  <w:style w:type="paragraph" w:customStyle="1" w:styleId="Dash">
    <w:name w:val="Dash"/>
    <w:basedOn w:val="Normal"/>
    <w:uiPriority w:val="99"/>
    <w:rsid w:val="00040925"/>
    <w:pPr>
      <w:numPr>
        <w:numId w:val="29"/>
      </w:numPr>
      <w:tabs>
        <w:tab w:val="num" w:pos="720"/>
      </w:tabs>
      <w:spacing w:after="100"/>
      <w:ind w:left="714" w:hanging="357"/>
    </w:pPr>
  </w:style>
  <w:style w:type="paragraph" w:customStyle="1" w:styleId="TableHeading">
    <w:name w:val="TableHeading"/>
    <w:basedOn w:val="TableText0"/>
    <w:uiPriority w:val="99"/>
    <w:rsid w:val="00040925"/>
    <w:rPr>
      <w:b/>
    </w:rPr>
  </w:style>
  <w:style w:type="paragraph" w:customStyle="1" w:styleId="TableNotesLast0">
    <w:name w:val="TableNotesLast"/>
    <w:basedOn w:val="Normal"/>
    <w:uiPriority w:val="99"/>
    <w:rsid w:val="00040925"/>
    <w:pPr>
      <w:keepLines/>
      <w:spacing w:before="60" w:line="240" w:lineRule="auto"/>
    </w:pPr>
    <w:rPr>
      <w:rFonts w:ascii="Arial Narrow" w:hAnsi="Arial Narrow"/>
      <w:sz w:val="16"/>
    </w:rPr>
  </w:style>
  <w:style w:type="paragraph" w:customStyle="1" w:styleId="BulletIntro0">
    <w:name w:val="BulletIntro"/>
    <w:basedOn w:val="Normal"/>
    <w:next w:val="Bullet"/>
    <w:uiPriority w:val="99"/>
    <w:rsid w:val="00040925"/>
    <w:pPr>
      <w:spacing w:after="100"/>
    </w:pPr>
  </w:style>
  <w:style w:type="paragraph" w:customStyle="1" w:styleId="BulletLast0">
    <w:name w:val="BulletLast"/>
    <w:basedOn w:val="Bullet"/>
    <w:next w:val="Normal"/>
    <w:link w:val="BulletLastChar"/>
    <w:rsid w:val="00040925"/>
    <w:pPr>
      <w:tabs>
        <w:tab w:val="num" w:pos="360"/>
      </w:tabs>
      <w:spacing w:after="220"/>
      <w:ind w:left="360"/>
    </w:pPr>
  </w:style>
  <w:style w:type="character" w:customStyle="1" w:styleId="BulletLastChar">
    <w:name w:val="BulletLast Char"/>
    <w:link w:val="BulletLast0"/>
    <w:locked/>
    <w:rsid w:val="00040925"/>
    <w:rPr>
      <w:rFonts w:ascii="Times New Roman" w:hAnsi="Times New Roman"/>
      <w:sz w:val="22"/>
      <w:lang w:val="en-GB" w:eastAsia="en-US"/>
    </w:rPr>
  </w:style>
  <w:style w:type="character" w:customStyle="1" w:styleId="TableTextChar2">
    <w:name w:val="TableText Char2"/>
    <w:link w:val="TableText0"/>
    <w:uiPriority w:val="99"/>
    <w:locked/>
    <w:rsid w:val="00040925"/>
    <w:rPr>
      <w:rFonts w:ascii="Arial Narrow" w:hAnsi="Arial Narrow"/>
      <w:sz w:val="18"/>
      <w:lang w:val="en-GB" w:eastAsia="en-US"/>
    </w:rPr>
  </w:style>
  <w:style w:type="paragraph" w:customStyle="1" w:styleId="FigureNotes">
    <w:name w:val="FigureNotes"/>
    <w:basedOn w:val="Normal"/>
    <w:uiPriority w:val="99"/>
    <w:rsid w:val="00040925"/>
    <w:rPr>
      <w:rFonts w:ascii="Arial Narrow" w:eastAsia="Times New Roman" w:hAnsi="Arial Narrow"/>
      <w:sz w:val="16"/>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700683">
      <w:bodyDiv w:val="1"/>
      <w:marLeft w:val="0"/>
      <w:marRight w:val="0"/>
      <w:marTop w:val="0"/>
      <w:marBottom w:val="0"/>
      <w:divBdr>
        <w:top w:val="none" w:sz="0" w:space="0" w:color="auto"/>
        <w:left w:val="none" w:sz="0" w:space="0" w:color="auto"/>
        <w:bottom w:val="none" w:sz="0" w:space="0" w:color="auto"/>
        <w:right w:val="none" w:sz="0" w:space="0" w:color="auto"/>
      </w:divBdr>
    </w:div>
    <w:div w:id="36200897">
      <w:bodyDiv w:val="1"/>
      <w:marLeft w:val="0"/>
      <w:marRight w:val="0"/>
      <w:marTop w:val="0"/>
      <w:marBottom w:val="0"/>
      <w:divBdr>
        <w:top w:val="none" w:sz="0" w:space="0" w:color="auto"/>
        <w:left w:val="none" w:sz="0" w:space="0" w:color="auto"/>
        <w:bottom w:val="none" w:sz="0" w:space="0" w:color="auto"/>
        <w:right w:val="none" w:sz="0" w:space="0" w:color="auto"/>
      </w:divBdr>
    </w:div>
    <w:div w:id="56056138">
      <w:bodyDiv w:val="1"/>
      <w:marLeft w:val="0"/>
      <w:marRight w:val="0"/>
      <w:marTop w:val="0"/>
      <w:marBottom w:val="0"/>
      <w:divBdr>
        <w:top w:val="none" w:sz="0" w:space="0" w:color="auto"/>
        <w:left w:val="none" w:sz="0" w:space="0" w:color="auto"/>
        <w:bottom w:val="none" w:sz="0" w:space="0" w:color="auto"/>
        <w:right w:val="none" w:sz="0" w:space="0" w:color="auto"/>
      </w:divBdr>
    </w:div>
    <w:div w:id="76680751">
      <w:bodyDiv w:val="1"/>
      <w:marLeft w:val="0"/>
      <w:marRight w:val="0"/>
      <w:marTop w:val="0"/>
      <w:marBottom w:val="0"/>
      <w:divBdr>
        <w:top w:val="none" w:sz="0" w:space="0" w:color="auto"/>
        <w:left w:val="none" w:sz="0" w:space="0" w:color="auto"/>
        <w:bottom w:val="none" w:sz="0" w:space="0" w:color="auto"/>
        <w:right w:val="none" w:sz="0" w:space="0" w:color="auto"/>
      </w:divBdr>
    </w:div>
    <w:div w:id="106627916">
      <w:bodyDiv w:val="1"/>
      <w:marLeft w:val="0"/>
      <w:marRight w:val="0"/>
      <w:marTop w:val="0"/>
      <w:marBottom w:val="0"/>
      <w:divBdr>
        <w:top w:val="none" w:sz="0" w:space="0" w:color="auto"/>
        <w:left w:val="none" w:sz="0" w:space="0" w:color="auto"/>
        <w:bottom w:val="none" w:sz="0" w:space="0" w:color="auto"/>
        <w:right w:val="none" w:sz="0" w:space="0" w:color="auto"/>
      </w:divBdr>
    </w:div>
    <w:div w:id="108202664">
      <w:bodyDiv w:val="1"/>
      <w:marLeft w:val="0"/>
      <w:marRight w:val="0"/>
      <w:marTop w:val="0"/>
      <w:marBottom w:val="0"/>
      <w:divBdr>
        <w:top w:val="none" w:sz="0" w:space="0" w:color="auto"/>
        <w:left w:val="none" w:sz="0" w:space="0" w:color="auto"/>
        <w:bottom w:val="none" w:sz="0" w:space="0" w:color="auto"/>
        <w:right w:val="none" w:sz="0" w:space="0" w:color="auto"/>
      </w:divBdr>
    </w:div>
    <w:div w:id="108936832">
      <w:bodyDiv w:val="1"/>
      <w:marLeft w:val="0"/>
      <w:marRight w:val="0"/>
      <w:marTop w:val="0"/>
      <w:marBottom w:val="0"/>
      <w:divBdr>
        <w:top w:val="none" w:sz="0" w:space="0" w:color="auto"/>
        <w:left w:val="none" w:sz="0" w:space="0" w:color="auto"/>
        <w:bottom w:val="none" w:sz="0" w:space="0" w:color="auto"/>
        <w:right w:val="none" w:sz="0" w:space="0" w:color="auto"/>
      </w:divBdr>
    </w:div>
    <w:div w:id="122038974">
      <w:bodyDiv w:val="1"/>
      <w:marLeft w:val="0"/>
      <w:marRight w:val="0"/>
      <w:marTop w:val="0"/>
      <w:marBottom w:val="0"/>
      <w:divBdr>
        <w:top w:val="none" w:sz="0" w:space="0" w:color="auto"/>
        <w:left w:val="none" w:sz="0" w:space="0" w:color="auto"/>
        <w:bottom w:val="none" w:sz="0" w:space="0" w:color="auto"/>
        <w:right w:val="none" w:sz="0" w:space="0" w:color="auto"/>
      </w:divBdr>
    </w:div>
    <w:div w:id="140385871">
      <w:bodyDiv w:val="1"/>
      <w:marLeft w:val="0"/>
      <w:marRight w:val="0"/>
      <w:marTop w:val="0"/>
      <w:marBottom w:val="0"/>
      <w:divBdr>
        <w:top w:val="none" w:sz="0" w:space="0" w:color="auto"/>
        <w:left w:val="none" w:sz="0" w:space="0" w:color="auto"/>
        <w:bottom w:val="none" w:sz="0" w:space="0" w:color="auto"/>
        <w:right w:val="none" w:sz="0" w:space="0" w:color="auto"/>
      </w:divBdr>
    </w:div>
    <w:div w:id="161244282">
      <w:bodyDiv w:val="1"/>
      <w:marLeft w:val="0"/>
      <w:marRight w:val="0"/>
      <w:marTop w:val="0"/>
      <w:marBottom w:val="0"/>
      <w:divBdr>
        <w:top w:val="none" w:sz="0" w:space="0" w:color="auto"/>
        <w:left w:val="none" w:sz="0" w:space="0" w:color="auto"/>
        <w:bottom w:val="none" w:sz="0" w:space="0" w:color="auto"/>
        <w:right w:val="none" w:sz="0" w:space="0" w:color="auto"/>
      </w:divBdr>
    </w:div>
    <w:div w:id="162740996">
      <w:bodyDiv w:val="1"/>
      <w:marLeft w:val="0"/>
      <w:marRight w:val="0"/>
      <w:marTop w:val="0"/>
      <w:marBottom w:val="0"/>
      <w:divBdr>
        <w:top w:val="none" w:sz="0" w:space="0" w:color="auto"/>
        <w:left w:val="none" w:sz="0" w:space="0" w:color="auto"/>
        <w:bottom w:val="none" w:sz="0" w:space="0" w:color="auto"/>
        <w:right w:val="none" w:sz="0" w:space="0" w:color="auto"/>
      </w:divBdr>
    </w:div>
    <w:div w:id="188759178">
      <w:bodyDiv w:val="1"/>
      <w:marLeft w:val="0"/>
      <w:marRight w:val="0"/>
      <w:marTop w:val="0"/>
      <w:marBottom w:val="0"/>
      <w:divBdr>
        <w:top w:val="none" w:sz="0" w:space="0" w:color="auto"/>
        <w:left w:val="none" w:sz="0" w:space="0" w:color="auto"/>
        <w:bottom w:val="none" w:sz="0" w:space="0" w:color="auto"/>
        <w:right w:val="none" w:sz="0" w:space="0" w:color="auto"/>
      </w:divBdr>
    </w:div>
    <w:div w:id="206987498">
      <w:bodyDiv w:val="1"/>
      <w:marLeft w:val="0"/>
      <w:marRight w:val="0"/>
      <w:marTop w:val="0"/>
      <w:marBottom w:val="0"/>
      <w:divBdr>
        <w:top w:val="none" w:sz="0" w:space="0" w:color="auto"/>
        <w:left w:val="none" w:sz="0" w:space="0" w:color="auto"/>
        <w:bottom w:val="none" w:sz="0" w:space="0" w:color="auto"/>
        <w:right w:val="none" w:sz="0" w:space="0" w:color="auto"/>
      </w:divBdr>
    </w:div>
    <w:div w:id="232813655">
      <w:bodyDiv w:val="1"/>
      <w:marLeft w:val="0"/>
      <w:marRight w:val="0"/>
      <w:marTop w:val="0"/>
      <w:marBottom w:val="0"/>
      <w:divBdr>
        <w:top w:val="none" w:sz="0" w:space="0" w:color="auto"/>
        <w:left w:val="none" w:sz="0" w:space="0" w:color="auto"/>
        <w:bottom w:val="none" w:sz="0" w:space="0" w:color="auto"/>
        <w:right w:val="none" w:sz="0" w:space="0" w:color="auto"/>
      </w:divBdr>
    </w:div>
    <w:div w:id="240018996">
      <w:bodyDiv w:val="1"/>
      <w:marLeft w:val="0"/>
      <w:marRight w:val="0"/>
      <w:marTop w:val="0"/>
      <w:marBottom w:val="0"/>
      <w:divBdr>
        <w:top w:val="none" w:sz="0" w:space="0" w:color="auto"/>
        <w:left w:val="none" w:sz="0" w:space="0" w:color="auto"/>
        <w:bottom w:val="none" w:sz="0" w:space="0" w:color="auto"/>
        <w:right w:val="none" w:sz="0" w:space="0" w:color="auto"/>
      </w:divBdr>
    </w:div>
    <w:div w:id="268128040">
      <w:bodyDiv w:val="1"/>
      <w:marLeft w:val="0"/>
      <w:marRight w:val="0"/>
      <w:marTop w:val="0"/>
      <w:marBottom w:val="0"/>
      <w:divBdr>
        <w:top w:val="none" w:sz="0" w:space="0" w:color="auto"/>
        <w:left w:val="none" w:sz="0" w:space="0" w:color="auto"/>
        <w:bottom w:val="none" w:sz="0" w:space="0" w:color="auto"/>
        <w:right w:val="none" w:sz="0" w:space="0" w:color="auto"/>
      </w:divBdr>
    </w:div>
    <w:div w:id="272792016">
      <w:bodyDiv w:val="1"/>
      <w:marLeft w:val="0"/>
      <w:marRight w:val="0"/>
      <w:marTop w:val="0"/>
      <w:marBottom w:val="0"/>
      <w:divBdr>
        <w:top w:val="none" w:sz="0" w:space="0" w:color="auto"/>
        <w:left w:val="none" w:sz="0" w:space="0" w:color="auto"/>
        <w:bottom w:val="none" w:sz="0" w:space="0" w:color="auto"/>
        <w:right w:val="none" w:sz="0" w:space="0" w:color="auto"/>
      </w:divBdr>
    </w:div>
    <w:div w:id="274947626">
      <w:bodyDiv w:val="1"/>
      <w:marLeft w:val="0"/>
      <w:marRight w:val="0"/>
      <w:marTop w:val="0"/>
      <w:marBottom w:val="0"/>
      <w:divBdr>
        <w:top w:val="none" w:sz="0" w:space="0" w:color="auto"/>
        <w:left w:val="none" w:sz="0" w:space="0" w:color="auto"/>
        <w:bottom w:val="none" w:sz="0" w:space="0" w:color="auto"/>
        <w:right w:val="none" w:sz="0" w:space="0" w:color="auto"/>
      </w:divBdr>
    </w:div>
    <w:div w:id="287009554">
      <w:bodyDiv w:val="1"/>
      <w:marLeft w:val="0"/>
      <w:marRight w:val="0"/>
      <w:marTop w:val="0"/>
      <w:marBottom w:val="0"/>
      <w:divBdr>
        <w:top w:val="none" w:sz="0" w:space="0" w:color="auto"/>
        <w:left w:val="none" w:sz="0" w:space="0" w:color="auto"/>
        <w:bottom w:val="none" w:sz="0" w:space="0" w:color="auto"/>
        <w:right w:val="none" w:sz="0" w:space="0" w:color="auto"/>
      </w:divBdr>
    </w:div>
    <w:div w:id="302927545">
      <w:bodyDiv w:val="1"/>
      <w:marLeft w:val="0"/>
      <w:marRight w:val="0"/>
      <w:marTop w:val="0"/>
      <w:marBottom w:val="0"/>
      <w:divBdr>
        <w:top w:val="none" w:sz="0" w:space="0" w:color="auto"/>
        <w:left w:val="none" w:sz="0" w:space="0" w:color="auto"/>
        <w:bottom w:val="none" w:sz="0" w:space="0" w:color="auto"/>
        <w:right w:val="none" w:sz="0" w:space="0" w:color="auto"/>
      </w:divBdr>
      <w:divsChild>
        <w:div w:id="1875147875">
          <w:marLeft w:val="0"/>
          <w:marRight w:val="0"/>
          <w:marTop w:val="0"/>
          <w:marBottom w:val="0"/>
          <w:divBdr>
            <w:top w:val="none" w:sz="0" w:space="0" w:color="auto"/>
            <w:left w:val="none" w:sz="0" w:space="0" w:color="auto"/>
            <w:bottom w:val="none" w:sz="0" w:space="0" w:color="auto"/>
            <w:right w:val="none" w:sz="0" w:space="0" w:color="auto"/>
          </w:divBdr>
          <w:divsChild>
            <w:div w:id="191269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60557">
      <w:bodyDiv w:val="1"/>
      <w:marLeft w:val="0"/>
      <w:marRight w:val="0"/>
      <w:marTop w:val="0"/>
      <w:marBottom w:val="0"/>
      <w:divBdr>
        <w:top w:val="none" w:sz="0" w:space="0" w:color="auto"/>
        <w:left w:val="none" w:sz="0" w:space="0" w:color="auto"/>
        <w:bottom w:val="none" w:sz="0" w:space="0" w:color="auto"/>
        <w:right w:val="none" w:sz="0" w:space="0" w:color="auto"/>
      </w:divBdr>
    </w:div>
    <w:div w:id="321930817">
      <w:bodyDiv w:val="1"/>
      <w:marLeft w:val="0"/>
      <w:marRight w:val="0"/>
      <w:marTop w:val="0"/>
      <w:marBottom w:val="0"/>
      <w:divBdr>
        <w:top w:val="none" w:sz="0" w:space="0" w:color="auto"/>
        <w:left w:val="none" w:sz="0" w:space="0" w:color="auto"/>
        <w:bottom w:val="none" w:sz="0" w:space="0" w:color="auto"/>
        <w:right w:val="none" w:sz="0" w:space="0" w:color="auto"/>
      </w:divBdr>
    </w:div>
    <w:div w:id="323514219">
      <w:bodyDiv w:val="1"/>
      <w:marLeft w:val="0"/>
      <w:marRight w:val="0"/>
      <w:marTop w:val="0"/>
      <w:marBottom w:val="0"/>
      <w:divBdr>
        <w:top w:val="none" w:sz="0" w:space="0" w:color="auto"/>
        <w:left w:val="none" w:sz="0" w:space="0" w:color="auto"/>
        <w:bottom w:val="none" w:sz="0" w:space="0" w:color="auto"/>
        <w:right w:val="none" w:sz="0" w:space="0" w:color="auto"/>
      </w:divBdr>
    </w:div>
    <w:div w:id="330722445">
      <w:bodyDiv w:val="1"/>
      <w:marLeft w:val="0"/>
      <w:marRight w:val="0"/>
      <w:marTop w:val="0"/>
      <w:marBottom w:val="0"/>
      <w:divBdr>
        <w:top w:val="none" w:sz="0" w:space="0" w:color="auto"/>
        <w:left w:val="none" w:sz="0" w:space="0" w:color="auto"/>
        <w:bottom w:val="none" w:sz="0" w:space="0" w:color="auto"/>
        <w:right w:val="none" w:sz="0" w:space="0" w:color="auto"/>
      </w:divBdr>
    </w:div>
    <w:div w:id="331447694">
      <w:bodyDiv w:val="1"/>
      <w:marLeft w:val="0"/>
      <w:marRight w:val="0"/>
      <w:marTop w:val="0"/>
      <w:marBottom w:val="0"/>
      <w:divBdr>
        <w:top w:val="none" w:sz="0" w:space="0" w:color="auto"/>
        <w:left w:val="none" w:sz="0" w:space="0" w:color="auto"/>
        <w:bottom w:val="none" w:sz="0" w:space="0" w:color="auto"/>
        <w:right w:val="none" w:sz="0" w:space="0" w:color="auto"/>
      </w:divBdr>
    </w:div>
    <w:div w:id="333462946">
      <w:bodyDiv w:val="1"/>
      <w:marLeft w:val="0"/>
      <w:marRight w:val="0"/>
      <w:marTop w:val="0"/>
      <w:marBottom w:val="0"/>
      <w:divBdr>
        <w:top w:val="none" w:sz="0" w:space="0" w:color="auto"/>
        <w:left w:val="none" w:sz="0" w:space="0" w:color="auto"/>
        <w:bottom w:val="none" w:sz="0" w:space="0" w:color="auto"/>
        <w:right w:val="none" w:sz="0" w:space="0" w:color="auto"/>
      </w:divBdr>
    </w:div>
    <w:div w:id="337194333">
      <w:bodyDiv w:val="1"/>
      <w:marLeft w:val="0"/>
      <w:marRight w:val="0"/>
      <w:marTop w:val="0"/>
      <w:marBottom w:val="0"/>
      <w:divBdr>
        <w:top w:val="none" w:sz="0" w:space="0" w:color="auto"/>
        <w:left w:val="none" w:sz="0" w:space="0" w:color="auto"/>
        <w:bottom w:val="none" w:sz="0" w:space="0" w:color="auto"/>
        <w:right w:val="none" w:sz="0" w:space="0" w:color="auto"/>
      </w:divBdr>
    </w:div>
    <w:div w:id="337662165">
      <w:bodyDiv w:val="1"/>
      <w:marLeft w:val="0"/>
      <w:marRight w:val="0"/>
      <w:marTop w:val="0"/>
      <w:marBottom w:val="0"/>
      <w:divBdr>
        <w:top w:val="none" w:sz="0" w:space="0" w:color="auto"/>
        <w:left w:val="none" w:sz="0" w:space="0" w:color="auto"/>
        <w:bottom w:val="none" w:sz="0" w:space="0" w:color="auto"/>
        <w:right w:val="none" w:sz="0" w:space="0" w:color="auto"/>
      </w:divBdr>
    </w:div>
    <w:div w:id="339545424">
      <w:bodyDiv w:val="1"/>
      <w:marLeft w:val="0"/>
      <w:marRight w:val="0"/>
      <w:marTop w:val="0"/>
      <w:marBottom w:val="0"/>
      <w:divBdr>
        <w:top w:val="none" w:sz="0" w:space="0" w:color="auto"/>
        <w:left w:val="none" w:sz="0" w:space="0" w:color="auto"/>
        <w:bottom w:val="none" w:sz="0" w:space="0" w:color="auto"/>
        <w:right w:val="none" w:sz="0" w:space="0" w:color="auto"/>
      </w:divBdr>
    </w:div>
    <w:div w:id="350644214">
      <w:bodyDiv w:val="1"/>
      <w:marLeft w:val="0"/>
      <w:marRight w:val="0"/>
      <w:marTop w:val="0"/>
      <w:marBottom w:val="0"/>
      <w:divBdr>
        <w:top w:val="none" w:sz="0" w:space="0" w:color="auto"/>
        <w:left w:val="none" w:sz="0" w:space="0" w:color="auto"/>
        <w:bottom w:val="none" w:sz="0" w:space="0" w:color="auto"/>
        <w:right w:val="none" w:sz="0" w:space="0" w:color="auto"/>
      </w:divBdr>
    </w:div>
    <w:div w:id="352658110">
      <w:bodyDiv w:val="1"/>
      <w:marLeft w:val="0"/>
      <w:marRight w:val="0"/>
      <w:marTop w:val="0"/>
      <w:marBottom w:val="0"/>
      <w:divBdr>
        <w:top w:val="none" w:sz="0" w:space="0" w:color="auto"/>
        <w:left w:val="none" w:sz="0" w:space="0" w:color="auto"/>
        <w:bottom w:val="none" w:sz="0" w:space="0" w:color="auto"/>
        <w:right w:val="none" w:sz="0" w:space="0" w:color="auto"/>
      </w:divBdr>
    </w:div>
    <w:div w:id="362708820">
      <w:bodyDiv w:val="1"/>
      <w:marLeft w:val="0"/>
      <w:marRight w:val="0"/>
      <w:marTop w:val="0"/>
      <w:marBottom w:val="0"/>
      <w:divBdr>
        <w:top w:val="none" w:sz="0" w:space="0" w:color="auto"/>
        <w:left w:val="none" w:sz="0" w:space="0" w:color="auto"/>
        <w:bottom w:val="none" w:sz="0" w:space="0" w:color="auto"/>
        <w:right w:val="none" w:sz="0" w:space="0" w:color="auto"/>
      </w:divBdr>
      <w:divsChild>
        <w:div w:id="946079181">
          <w:marLeft w:val="0"/>
          <w:marRight w:val="0"/>
          <w:marTop w:val="0"/>
          <w:marBottom w:val="0"/>
          <w:divBdr>
            <w:top w:val="none" w:sz="0" w:space="0" w:color="auto"/>
            <w:left w:val="none" w:sz="0" w:space="0" w:color="auto"/>
            <w:bottom w:val="none" w:sz="0" w:space="0" w:color="auto"/>
            <w:right w:val="none" w:sz="0" w:space="0" w:color="auto"/>
          </w:divBdr>
          <w:divsChild>
            <w:div w:id="1527475269">
              <w:marLeft w:val="0"/>
              <w:marRight w:val="0"/>
              <w:marTop w:val="0"/>
              <w:marBottom w:val="0"/>
              <w:divBdr>
                <w:top w:val="none" w:sz="0" w:space="0" w:color="auto"/>
                <w:left w:val="none" w:sz="0" w:space="0" w:color="auto"/>
                <w:bottom w:val="none" w:sz="0" w:space="0" w:color="auto"/>
                <w:right w:val="none" w:sz="0" w:space="0" w:color="auto"/>
              </w:divBdr>
              <w:divsChild>
                <w:div w:id="1272778759">
                  <w:marLeft w:val="0"/>
                  <w:marRight w:val="0"/>
                  <w:marTop w:val="0"/>
                  <w:marBottom w:val="129"/>
                  <w:divBdr>
                    <w:top w:val="none" w:sz="0" w:space="0" w:color="auto"/>
                    <w:left w:val="none" w:sz="0" w:space="0" w:color="auto"/>
                    <w:bottom w:val="none" w:sz="0" w:space="0" w:color="auto"/>
                    <w:right w:val="none" w:sz="0" w:space="0" w:color="auto"/>
                  </w:divBdr>
                  <w:divsChild>
                    <w:div w:id="16367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798367">
      <w:bodyDiv w:val="1"/>
      <w:marLeft w:val="0"/>
      <w:marRight w:val="0"/>
      <w:marTop w:val="0"/>
      <w:marBottom w:val="0"/>
      <w:divBdr>
        <w:top w:val="none" w:sz="0" w:space="0" w:color="auto"/>
        <w:left w:val="none" w:sz="0" w:space="0" w:color="auto"/>
        <w:bottom w:val="none" w:sz="0" w:space="0" w:color="auto"/>
        <w:right w:val="none" w:sz="0" w:space="0" w:color="auto"/>
      </w:divBdr>
    </w:div>
    <w:div w:id="393897015">
      <w:bodyDiv w:val="1"/>
      <w:marLeft w:val="0"/>
      <w:marRight w:val="0"/>
      <w:marTop w:val="0"/>
      <w:marBottom w:val="0"/>
      <w:divBdr>
        <w:top w:val="none" w:sz="0" w:space="0" w:color="auto"/>
        <w:left w:val="none" w:sz="0" w:space="0" w:color="auto"/>
        <w:bottom w:val="none" w:sz="0" w:space="0" w:color="auto"/>
        <w:right w:val="none" w:sz="0" w:space="0" w:color="auto"/>
      </w:divBdr>
    </w:div>
    <w:div w:id="414279107">
      <w:bodyDiv w:val="1"/>
      <w:marLeft w:val="0"/>
      <w:marRight w:val="0"/>
      <w:marTop w:val="0"/>
      <w:marBottom w:val="0"/>
      <w:divBdr>
        <w:top w:val="none" w:sz="0" w:space="0" w:color="auto"/>
        <w:left w:val="none" w:sz="0" w:space="0" w:color="auto"/>
        <w:bottom w:val="none" w:sz="0" w:space="0" w:color="auto"/>
        <w:right w:val="none" w:sz="0" w:space="0" w:color="auto"/>
      </w:divBdr>
      <w:divsChild>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sChild>
                <w:div w:id="1100101900">
                  <w:marLeft w:val="0"/>
                  <w:marRight w:val="0"/>
                  <w:marTop w:val="0"/>
                  <w:marBottom w:val="129"/>
                  <w:divBdr>
                    <w:top w:val="none" w:sz="0" w:space="0" w:color="auto"/>
                    <w:left w:val="none" w:sz="0" w:space="0" w:color="auto"/>
                    <w:bottom w:val="none" w:sz="0" w:space="0" w:color="auto"/>
                    <w:right w:val="none" w:sz="0" w:space="0" w:color="auto"/>
                  </w:divBdr>
                  <w:divsChild>
                    <w:div w:id="95941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870134">
      <w:bodyDiv w:val="1"/>
      <w:marLeft w:val="0"/>
      <w:marRight w:val="0"/>
      <w:marTop w:val="0"/>
      <w:marBottom w:val="0"/>
      <w:divBdr>
        <w:top w:val="none" w:sz="0" w:space="0" w:color="auto"/>
        <w:left w:val="none" w:sz="0" w:space="0" w:color="auto"/>
        <w:bottom w:val="none" w:sz="0" w:space="0" w:color="auto"/>
        <w:right w:val="none" w:sz="0" w:space="0" w:color="auto"/>
      </w:divBdr>
      <w:divsChild>
        <w:div w:id="714811876">
          <w:marLeft w:val="0"/>
          <w:marRight w:val="0"/>
          <w:marTop w:val="0"/>
          <w:marBottom w:val="0"/>
          <w:divBdr>
            <w:top w:val="none" w:sz="0" w:space="0" w:color="auto"/>
            <w:left w:val="none" w:sz="0" w:space="0" w:color="auto"/>
            <w:bottom w:val="none" w:sz="0" w:space="0" w:color="auto"/>
            <w:right w:val="none" w:sz="0" w:space="0" w:color="auto"/>
          </w:divBdr>
          <w:divsChild>
            <w:div w:id="1025641637">
              <w:marLeft w:val="0"/>
              <w:marRight w:val="0"/>
              <w:marTop w:val="0"/>
              <w:marBottom w:val="0"/>
              <w:divBdr>
                <w:top w:val="none" w:sz="0" w:space="0" w:color="auto"/>
                <w:left w:val="none" w:sz="0" w:space="0" w:color="auto"/>
                <w:bottom w:val="none" w:sz="0" w:space="0" w:color="auto"/>
                <w:right w:val="none" w:sz="0" w:space="0" w:color="auto"/>
              </w:divBdr>
              <w:divsChild>
                <w:div w:id="1793014890">
                  <w:marLeft w:val="214"/>
                  <w:marRight w:val="0"/>
                  <w:marTop w:val="1457"/>
                  <w:marBottom w:val="0"/>
                  <w:divBdr>
                    <w:top w:val="none" w:sz="0" w:space="0" w:color="auto"/>
                    <w:left w:val="none" w:sz="0" w:space="0" w:color="auto"/>
                    <w:bottom w:val="none" w:sz="0" w:space="0" w:color="auto"/>
                    <w:right w:val="none" w:sz="0" w:space="0" w:color="auto"/>
                  </w:divBdr>
                </w:div>
              </w:divsChild>
            </w:div>
          </w:divsChild>
        </w:div>
      </w:divsChild>
    </w:div>
    <w:div w:id="418910522">
      <w:bodyDiv w:val="1"/>
      <w:marLeft w:val="0"/>
      <w:marRight w:val="0"/>
      <w:marTop w:val="0"/>
      <w:marBottom w:val="0"/>
      <w:divBdr>
        <w:top w:val="none" w:sz="0" w:space="0" w:color="auto"/>
        <w:left w:val="none" w:sz="0" w:space="0" w:color="auto"/>
        <w:bottom w:val="none" w:sz="0" w:space="0" w:color="auto"/>
        <w:right w:val="none" w:sz="0" w:space="0" w:color="auto"/>
      </w:divBdr>
    </w:div>
    <w:div w:id="429856465">
      <w:bodyDiv w:val="1"/>
      <w:marLeft w:val="0"/>
      <w:marRight w:val="0"/>
      <w:marTop w:val="0"/>
      <w:marBottom w:val="0"/>
      <w:divBdr>
        <w:top w:val="none" w:sz="0" w:space="0" w:color="auto"/>
        <w:left w:val="none" w:sz="0" w:space="0" w:color="auto"/>
        <w:bottom w:val="none" w:sz="0" w:space="0" w:color="auto"/>
        <w:right w:val="none" w:sz="0" w:space="0" w:color="auto"/>
      </w:divBdr>
    </w:div>
    <w:div w:id="438839691">
      <w:bodyDiv w:val="1"/>
      <w:marLeft w:val="0"/>
      <w:marRight w:val="0"/>
      <w:marTop w:val="0"/>
      <w:marBottom w:val="0"/>
      <w:divBdr>
        <w:top w:val="none" w:sz="0" w:space="0" w:color="auto"/>
        <w:left w:val="none" w:sz="0" w:space="0" w:color="auto"/>
        <w:bottom w:val="none" w:sz="0" w:space="0" w:color="auto"/>
        <w:right w:val="none" w:sz="0" w:space="0" w:color="auto"/>
      </w:divBdr>
    </w:div>
    <w:div w:id="445660680">
      <w:bodyDiv w:val="1"/>
      <w:marLeft w:val="0"/>
      <w:marRight w:val="0"/>
      <w:marTop w:val="0"/>
      <w:marBottom w:val="0"/>
      <w:divBdr>
        <w:top w:val="none" w:sz="0" w:space="0" w:color="auto"/>
        <w:left w:val="none" w:sz="0" w:space="0" w:color="auto"/>
        <w:bottom w:val="none" w:sz="0" w:space="0" w:color="auto"/>
        <w:right w:val="none" w:sz="0" w:space="0" w:color="auto"/>
      </w:divBdr>
    </w:div>
    <w:div w:id="464397798">
      <w:bodyDiv w:val="1"/>
      <w:marLeft w:val="0"/>
      <w:marRight w:val="0"/>
      <w:marTop w:val="0"/>
      <w:marBottom w:val="0"/>
      <w:divBdr>
        <w:top w:val="none" w:sz="0" w:space="0" w:color="auto"/>
        <w:left w:val="none" w:sz="0" w:space="0" w:color="auto"/>
        <w:bottom w:val="none" w:sz="0" w:space="0" w:color="auto"/>
        <w:right w:val="none" w:sz="0" w:space="0" w:color="auto"/>
      </w:divBdr>
    </w:div>
    <w:div w:id="465657628">
      <w:bodyDiv w:val="1"/>
      <w:marLeft w:val="0"/>
      <w:marRight w:val="0"/>
      <w:marTop w:val="0"/>
      <w:marBottom w:val="0"/>
      <w:divBdr>
        <w:top w:val="none" w:sz="0" w:space="0" w:color="auto"/>
        <w:left w:val="none" w:sz="0" w:space="0" w:color="auto"/>
        <w:bottom w:val="none" w:sz="0" w:space="0" w:color="auto"/>
        <w:right w:val="none" w:sz="0" w:space="0" w:color="auto"/>
      </w:divBdr>
    </w:div>
    <w:div w:id="472060248">
      <w:bodyDiv w:val="1"/>
      <w:marLeft w:val="0"/>
      <w:marRight w:val="0"/>
      <w:marTop w:val="0"/>
      <w:marBottom w:val="0"/>
      <w:divBdr>
        <w:top w:val="none" w:sz="0" w:space="0" w:color="auto"/>
        <w:left w:val="none" w:sz="0" w:space="0" w:color="auto"/>
        <w:bottom w:val="none" w:sz="0" w:space="0" w:color="auto"/>
        <w:right w:val="none" w:sz="0" w:space="0" w:color="auto"/>
      </w:divBdr>
    </w:div>
    <w:div w:id="472455727">
      <w:bodyDiv w:val="1"/>
      <w:marLeft w:val="0"/>
      <w:marRight w:val="0"/>
      <w:marTop w:val="0"/>
      <w:marBottom w:val="0"/>
      <w:divBdr>
        <w:top w:val="none" w:sz="0" w:space="0" w:color="auto"/>
        <w:left w:val="none" w:sz="0" w:space="0" w:color="auto"/>
        <w:bottom w:val="none" w:sz="0" w:space="0" w:color="auto"/>
        <w:right w:val="none" w:sz="0" w:space="0" w:color="auto"/>
      </w:divBdr>
      <w:divsChild>
        <w:div w:id="2113352405">
          <w:marLeft w:val="0"/>
          <w:marRight w:val="0"/>
          <w:marTop w:val="0"/>
          <w:marBottom w:val="0"/>
          <w:divBdr>
            <w:top w:val="none" w:sz="0" w:space="0" w:color="auto"/>
            <w:left w:val="none" w:sz="0" w:space="0" w:color="auto"/>
            <w:bottom w:val="none" w:sz="0" w:space="0" w:color="auto"/>
            <w:right w:val="none" w:sz="0" w:space="0" w:color="auto"/>
          </w:divBdr>
          <w:divsChild>
            <w:div w:id="2003393609">
              <w:marLeft w:val="0"/>
              <w:marRight w:val="0"/>
              <w:marTop w:val="0"/>
              <w:marBottom w:val="0"/>
              <w:divBdr>
                <w:top w:val="none" w:sz="0" w:space="0" w:color="auto"/>
                <w:left w:val="none" w:sz="0" w:space="0" w:color="auto"/>
                <w:bottom w:val="none" w:sz="0" w:space="0" w:color="auto"/>
                <w:right w:val="none" w:sz="0" w:space="0" w:color="auto"/>
              </w:divBdr>
              <w:divsChild>
                <w:div w:id="1017074213">
                  <w:marLeft w:val="0"/>
                  <w:marRight w:val="0"/>
                  <w:marTop w:val="0"/>
                  <w:marBottom w:val="129"/>
                  <w:divBdr>
                    <w:top w:val="none" w:sz="0" w:space="0" w:color="auto"/>
                    <w:left w:val="none" w:sz="0" w:space="0" w:color="auto"/>
                    <w:bottom w:val="none" w:sz="0" w:space="0" w:color="auto"/>
                    <w:right w:val="none" w:sz="0" w:space="0" w:color="auto"/>
                  </w:divBdr>
                  <w:divsChild>
                    <w:div w:id="39716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387483">
      <w:bodyDiv w:val="1"/>
      <w:marLeft w:val="0"/>
      <w:marRight w:val="0"/>
      <w:marTop w:val="0"/>
      <w:marBottom w:val="0"/>
      <w:divBdr>
        <w:top w:val="none" w:sz="0" w:space="0" w:color="auto"/>
        <w:left w:val="none" w:sz="0" w:space="0" w:color="auto"/>
        <w:bottom w:val="none" w:sz="0" w:space="0" w:color="auto"/>
        <w:right w:val="none" w:sz="0" w:space="0" w:color="auto"/>
      </w:divBdr>
    </w:div>
    <w:div w:id="496766986">
      <w:bodyDiv w:val="1"/>
      <w:marLeft w:val="0"/>
      <w:marRight w:val="0"/>
      <w:marTop w:val="0"/>
      <w:marBottom w:val="0"/>
      <w:divBdr>
        <w:top w:val="none" w:sz="0" w:space="0" w:color="auto"/>
        <w:left w:val="none" w:sz="0" w:space="0" w:color="auto"/>
        <w:bottom w:val="none" w:sz="0" w:space="0" w:color="auto"/>
        <w:right w:val="none" w:sz="0" w:space="0" w:color="auto"/>
      </w:divBdr>
    </w:div>
    <w:div w:id="498426966">
      <w:bodyDiv w:val="1"/>
      <w:marLeft w:val="0"/>
      <w:marRight w:val="0"/>
      <w:marTop w:val="0"/>
      <w:marBottom w:val="0"/>
      <w:divBdr>
        <w:top w:val="none" w:sz="0" w:space="0" w:color="auto"/>
        <w:left w:val="none" w:sz="0" w:space="0" w:color="auto"/>
        <w:bottom w:val="none" w:sz="0" w:space="0" w:color="auto"/>
        <w:right w:val="none" w:sz="0" w:space="0" w:color="auto"/>
      </w:divBdr>
    </w:div>
    <w:div w:id="509415589">
      <w:bodyDiv w:val="1"/>
      <w:marLeft w:val="0"/>
      <w:marRight w:val="0"/>
      <w:marTop w:val="0"/>
      <w:marBottom w:val="0"/>
      <w:divBdr>
        <w:top w:val="none" w:sz="0" w:space="0" w:color="auto"/>
        <w:left w:val="none" w:sz="0" w:space="0" w:color="auto"/>
        <w:bottom w:val="none" w:sz="0" w:space="0" w:color="auto"/>
        <w:right w:val="none" w:sz="0" w:space="0" w:color="auto"/>
      </w:divBdr>
    </w:div>
    <w:div w:id="512492938">
      <w:bodyDiv w:val="1"/>
      <w:marLeft w:val="0"/>
      <w:marRight w:val="0"/>
      <w:marTop w:val="0"/>
      <w:marBottom w:val="0"/>
      <w:divBdr>
        <w:top w:val="none" w:sz="0" w:space="0" w:color="auto"/>
        <w:left w:val="none" w:sz="0" w:space="0" w:color="auto"/>
        <w:bottom w:val="none" w:sz="0" w:space="0" w:color="auto"/>
        <w:right w:val="none" w:sz="0" w:space="0" w:color="auto"/>
      </w:divBdr>
    </w:div>
    <w:div w:id="518391351">
      <w:bodyDiv w:val="1"/>
      <w:marLeft w:val="0"/>
      <w:marRight w:val="0"/>
      <w:marTop w:val="0"/>
      <w:marBottom w:val="0"/>
      <w:divBdr>
        <w:top w:val="none" w:sz="0" w:space="0" w:color="auto"/>
        <w:left w:val="none" w:sz="0" w:space="0" w:color="auto"/>
        <w:bottom w:val="none" w:sz="0" w:space="0" w:color="auto"/>
        <w:right w:val="none" w:sz="0" w:space="0" w:color="auto"/>
      </w:divBdr>
    </w:div>
    <w:div w:id="546189717">
      <w:bodyDiv w:val="1"/>
      <w:marLeft w:val="0"/>
      <w:marRight w:val="0"/>
      <w:marTop w:val="0"/>
      <w:marBottom w:val="0"/>
      <w:divBdr>
        <w:top w:val="none" w:sz="0" w:space="0" w:color="auto"/>
        <w:left w:val="none" w:sz="0" w:space="0" w:color="auto"/>
        <w:bottom w:val="none" w:sz="0" w:space="0" w:color="auto"/>
        <w:right w:val="none" w:sz="0" w:space="0" w:color="auto"/>
      </w:divBdr>
    </w:div>
    <w:div w:id="549924482">
      <w:bodyDiv w:val="1"/>
      <w:marLeft w:val="0"/>
      <w:marRight w:val="0"/>
      <w:marTop w:val="0"/>
      <w:marBottom w:val="0"/>
      <w:divBdr>
        <w:top w:val="none" w:sz="0" w:space="0" w:color="auto"/>
        <w:left w:val="none" w:sz="0" w:space="0" w:color="auto"/>
        <w:bottom w:val="none" w:sz="0" w:space="0" w:color="auto"/>
        <w:right w:val="none" w:sz="0" w:space="0" w:color="auto"/>
      </w:divBdr>
    </w:div>
    <w:div w:id="552810018">
      <w:bodyDiv w:val="1"/>
      <w:marLeft w:val="0"/>
      <w:marRight w:val="0"/>
      <w:marTop w:val="0"/>
      <w:marBottom w:val="0"/>
      <w:divBdr>
        <w:top w:val="none" w:sz="0" w:space="0" w:color="auto"/>
        <w:left w:val="none" w:sz="0" w:space="0" w:color="auto"/>
        <w:bottom w:val="none" w:sz="0" w:space="0" w:color="auto"/>
        <w:right w:val="none" w:sz="0" w:space="0" w:color="auto"/>
      </w:divBdr>
    </w:div>
    <w:div w:id="557861112">
      <w:bodyDiv w:val="1"/>
      <w:marLeft w:val="0"/>
      <w:marRight w:val="0"/>
      <w:marTop w:val="0"/>
      <w:marBottom w:val="0"/>
      <w:divBdr>
        <w:top w:val="none" w:sz="0" w:space="0" w:color="auto"/>
        <w:left w:val="none" w:sz="0" w:space="0" w:color="auto"/>
        <w:bottom w:val="none" w:sz="0" w:space="0" w:color="auto"/>
        <w:right w:val="none" w:sz="0" w:space="0" w:color="auto"/>
      </w:divBdr>
    </w:div>
    <w:div w:id="563106227">
      <w:bodyDiv w:val="1"/>
      <w:marLeft w:val="0"/>
      <w:marRight w:val="0"/>
      <w:marTop w:val="0"/>
      <w:marBottom w:val="0"/>
      <w:divBdr>
        <w:top w:val="none" w:sz="0" w:space="0" w:color="auto"/>
        <w:left w:val="none" w:sz="0" w:space="0" w:color="auto"/>
        <w:bottom w:val="none" w:sz="0" w:space="0" w:color="auto"/>
        <w:right w:val="none" w:sz="0" w:space="0" w:color="auto"/>
      </w:divBdr>
    </w:div>
    <w:div w:id="602684812">
      <w:bodyDiv w:val="1"/>
      <w:marLeft w:val="0"/>
      <w:marRight w:val="0"/>
      <w:marTop w:val="0"/>
      <w:marBottom w:val="0"/>
      <w:divBdr>
        <w:top w:val="none" w:sz="0" w:space="0" w:color="auto"/>
        <w:left w:val="none" w:sz="0" w:space="0" w:color="auto"/>
        <w:bottom w:val="none" w:sz="0" w:space="0" w:color="auto"/>
        <w:right w:val="none" w:sz="0" w:space="0" w:color="auto"/>
      </w:divBdr>
    </w:div>
    <w:div w:id="612634001">
      <w:bodyDiv w:val="1"/>
      <w:marLeft w:val="0"/>
      <w:marRight w:val="0"/>
      <w:marTop w:val="0"/>
      <w:marBottom w:val="0"/>
      <w:divBdr>
        <w:top w:val="none" w:sz="0" w:space="0" w:color="auto"/>
        <w:left w:val="none" w:sz="0" w:space="0" w:color="auto"/>
        <w:bottom w:val="none" w:sz="0" w:space="0" w:color="auto"/>
        <w:right w:val="none" w:sz="0" w:space="0" w:color="auto"/>
      </w:divBdr>
    </w:div>
    <w:div w:id="613096929">
      <w:bodyDiv w:val="1"/>
      <w:marLeft w:val="0"/>
      <w:marRight w:val="0"/>
      <w:marTop w:val="0"/>
      <w:marBottom w:val="0"/>
      <w:divBdr>
        <w:top w:val="none" w:sz="0" w:space="0" w:color="auto"/>
        <w:left w:val="none" w:sz="0" w:space="0" w:color="auto"/>
        <w:bottom w:val="none" w:sz="0" w:space="0" w:color="auto"/>
        <w:right w:val="none" w:sz="0" w:space="0" w:color="auto"/>
      </w:divBdr>
    </w:div>
    <w:div w:id="627666094">
      <w:bodyDiv w:val="1"/>
      <w:marLeft w:val="0"/>
      <w:marRight w:val="0"/>
      <w:marTop w:val="0"/>
      <w:marBottom w:val="0"/>
      <w:divBdr>
        <w:top w:val="none" w:sz="0" w:space="0" w:color="auto"/>
        <w:left w:val="none" w:sz="0" w:space="0" w:color="auto"/>
        <w:bottom w:val="none" w:sz="0" w:space="0" w:color="auto"/>
        <w:right w:val="none" w:sz="0" w:space="0" w:color="auto"/>
      </w:divBdr>
    </w:div>
    <w:div w:id="631058662">
      <w:bodyDiv w:val="1"/>
      <w:marLeft w:val="0"/>
      <w:marRight w:val="0"/>
      <w:marTop w:val="0"/>
      <w:marBottom w:val="0"/>
      <w:divBdr>
        <w:top w:val="none" w:sz="0" w:space="0" w:color="auto"/>
        <w:left w:val="none" w:sz="0" w:space="0" w:color="auto"/>
        <w:bottom w:val="none" w:sz="0" w:space="0" w:color="auto"/>
        <w:right w:val="none" w:sz="0" w:space="0" w:color="auto"/>
      </w:divBdr>
    </w:div>
    <w:div w:id="636910931">
      <w:bodyDiv w:val="1"/>
      <w:marLeft w:val="0"/>
      <w:marRight w:val="0"/>
      <w:marTop w:val="0"/>
      <w:marBottom w:val="0"/>
      <w:divBdr>
        <w:top w:val="none" w:sz="0" w:space="0" w:color="auto"/>
        <w:left w:val="none" w:sz="0" w:space="0" w:color="auto"/>
        <w:bottom w:val="none" w:sz="0" w:space="0" w:color="auto"/>
        <w:right w:val="none" w:sz="0" w:space="0" w:color="auto"/>
      </w:divBdr>
    </w:div>
    <w:div w:id="659307349">
      <w:bodyDiv w:val="1"/>
      <w:marLeft w:val="0"/>
      <w:marRight w:val="0"/>
      <w:marTop w:val="0"/>
      <w:marBottom w:val="0"/>
      <w:divBdr>
        <w:top w:val="none" w:sz="0" w:space="0" w:color="auto"/>
        <w:left w:val="none" w:sz="0" w:space="0" w:color="auto"/>
        <w:bottom w:val="none" w:sz="0" w:space="0" w:color="auto"/>
        <w:right w:val="none" w:sz="0" w:space="0" w:color="auto"/>
      </w:divBdr>
    </w:div>
    <w:div w:id="659432759">
      <w:bodyDiv w:val="1"/>
      <w:marLeft w:val="0"/>
      <w:marRight w:val="0"/>
      <w:marTop w:val="0"/>
      <w:marBottom w:val="0"/>
      <w:divBdr>
        <w:top w:val="none" w:sz="0" w:space="0" w:color="auto"/>
        <w:left w:val="none" w:sz="0" w:space="0" w:color="auto"/>
        <w:bottom w:val="none" w:sz="0" w:space="0" w:color="auto"/>
        <w:right w:val="none" w:sz="0" w:space="0" w:color="auto"/>
      </w:divBdr>
    </w:div>
    <w:div w:id="695348233">
      <w:bodyDiv w:val="1"/>
      <w:marLeft w:val="0"/>
      <w:marRight w:val="0"/>
      <w:marTop w:val="0"/>
      <w:marBottom w:val="0"/>
      <w:divBdr>
        <w:top w:val="none" w:sz="0" w:space="0" w:color="auto"/>
        <w:left w:val="none" w:sz="0" w:space="0" w:color="auto"/>
        <w:bottom w:val="none" w:sz="0" w:space="0" w:color="auto"/>
        <w:right w:val="none" w:sz="0" w:space="0" w:color="auto"/>
      </w:divBdr>
    </w:div>
    <w:div w:id="699817255">
      <w:bodyDiv w:val="1"/>
      <w:marLeft w:val="0"/>
      <w:marRight w:val="0"/>
      <w:marTop w:val="0"/>
      <w:marBottom w:val="0"/>
      <w:divBdr>
        <w:top w:val="none" w:sz="0" w:space="0" w:color="auto"/>
        <w:left w:val="none" w:sz="0" w:space="0" w:color="auto"/>
        <w:bottom w:val="none" w:sz="0" w:space="0" w:color="auto"/>
        <w:right w:val="none" w:sz="0" w:space="0" w:color="auto"/>
      </w:divBdr>
    </w:div>
    <w:div w:id="710882641">
      <w:bodyDiv w:val="1"/>
      <w:marLeft w:val="0"/>
      <w:marRight w:val="0"/>
      <w:marTop w:val="0"/>
      <w:marBottom w:val="0"/>
      <w:divBdr>
        <w:top w:val="none" w:sz="0" w:space="0" w:color="auto"/>
        <w:left w:val="none" w:sz="0" w:space="0" w:color="auto"/>
        <w:bottom w:val="none" w:sz="0" w:space="0" w:color="auto"/>
        <w:right w:val="none" w:sz="0" w:space="0" w:color="auto"/>
      </w:divBdr>
    </w:div>
    <w:div w:id="716707607">
      <w:bodyDiv w:val="1"/>
      <w:marLeft w:val="0"/>
      <w:marRight w:val="0"/>
      <w:marTop w:val="0"/>
      <w:marBottom w:val="0"/>
      <w:divBdr>
        <w:top w:val="none" w:sz="0" w:space="0" w:color="auto"/>
        <w:left w:val="none" w:sz="0" w:space="0" w:color="auto"/>
        <w:bottom w:val="none" w:sz="0" w:space="0" w:color="auto"/>
        <w:right w:val="none" w:sz="0" w:space="0" w:color="auto"/>
      </w:divBdr>
    </w:div>
    <w:div w:id="734819571">
      <w:bodyDiv w:val="1"/>
      <w:marLeft w:val="0"/>
      <w:marRight w:val="0"/>
      <w:marTop w:val="0"/>
      <w:marBottom w:val="0"/>
      <w:divBdr>
        <w:top w:val="none" w:sz="0" w:space="0" w:color="auto"/>
        <w:left w:val="none" w:sz="0" w:space="0" w:color="auto"/>
        <w:bottom w:val="none" w:sz="0" w:space="0" w:color="auto"/>
        <w:right w:val="none" w:sz="0" w:space="0" w:color="auto"/>
      </w:divBdr>
    </w:div>
    <w:div w:id="749472083">
      <w:bodyDiv w:val="1"/>
      <w:marLeft w:val="0"/>
      <w:marRight w:val="0"/>
      <w:marTop w:val="0"/>
      <w:marBottom w:val="0"/>
      <w:divBdr>
        <w:top w:val="none" w:sz="0" w:space="0" w:color="auto"/>
        <w:left w:val="none" w:sz="0" w:space="0" w:color="auto"/>
        <w:bottom w:val="none" w:sz="0" w:space="0" w:color="auto"/>
        <w:right w:val="none" w:sz="0" w:space="0" w:color="auto"/>
      </w:divBdr>
    </w:div>
    <w:div w:id="761950322">
      <w:bodyDiv w:val="1"/>
      <w:marLeft w:val="0"/>
      <w:marRight w:val="0"/>
      <w:marTop w:val="0"/>
      <w:marBottom w:val="0"/>
      <w:divBdr>
        <w:top w:val="none" w:sz="0" w:space="0" w:color="auto"/>
        <w:left w:val="none" w:sz="0" w:space="0" w:color="auto"/>
        <w:bottom w:val="none" w:sz="0" w:space="0" w:color="auto"/>
        <w:right w:val="none" w:sz="0" w:space="0" w:color="auto"/>
      </w:divBdr>
    </w:div>
    <w:div w:id="781461353">
      <w:bodyDiv w:val="1"/>
      <w:marLeft w:val="0"/>
      <w:marRight w:val="0"/>
      <w:marTop w:val="0"/>
      <w:marBottom w:val="0"/>
      <w:divBdr>
        <w:top w:val="none" w:sz="0" w:space="0" w:color="auto"/>
        <w:left w:val="none" w:sz="0" w:space="0" w:color="auto"/>
        <w:bottom w:val="none" w:sz="0" w:space="0" w:color="auto"/>
        <w:right w:val="none" w:sz="0" w:space="0" w:color="auto"/>
      </w:divBdr>
    </w:div>
    <w:div w:id="794711591">
      <w:bodyDiv w:val="1"/>
      <w:marLeft w:val="0"/>
      <w:marRight w:val="0"/>
      <w:marTop w:val="0"/>
      <w:marBottom w:val="0"/>
      <w:divBdr>
        <w:top w:val="none" w:sz="0" w:space="0" w:color="auto"/>
        <w:left w:val="none" w:sz="0" w:space="0" w:color="auto"/>
        <w:bottom w:val="none" w:sz="0" w:space="0" w:color="auto"/>
        <w:right w:val="none" w:sz="0" w:space="0" w:color="auto"/>
      </w:divBdr>
    </w:div>
    <w:div w:id="819150963">
      <w:bodyDiv w:val="1"/>
      <w:marLeft w:val="0"/>
      <w:marRight w:val="0"/>
      <w:marTop w:val="0"/>
      <w:marBottom w:val="0"/>
      <w:divBdr>
        <w:top w:val="none" w:sz="0" w:space="0" w:color="auto"/>
        <w:left w:val="none" w:sz="0" w:space="0" w:color="auto"/>
        <w:bottom w:val="none" w:sz="0" w:space="0" w:color="auto"/>
        <w:right w:val="none" w:sz="0" w:space="0" w:color="auto"/>
      </w:divBdr>
    </w:div>
    <w:div w:id="826480631">
      <w:bodyDiv w:val="1"/>
      <w:marLeft w:val="0"/>
      <w:marRight w:val="0"/>
      <w:marTop w:val="0"/>
      <w:marBottom w:val="0"/>
      <w:divBdr>
        <w:top w:val="none" w:sz="0" w:space="0" w:color="auto"/>
        <w:left w:val="none" w:sz="0" w:space="0" w:color="auto"/>
        <w:bottom w:val="none" w:sz="0" w:space="0" w:color="auto"/>
        <w:right w:val="none" w:sz="0" w:space="0" w:color="auto"/>
      </w:divBdr>
    </w:div>
    <w:div w:id="835461360">
      <w:bodyDiv w:val="1"/>
      <w:marLeft w:val="0"/>
      <w:marRight w:val="0"/>
      <w:marTop w:val="0"/>
      <w:marBottom w:val="0"/>
      <w:divBdr>
        <w:top w:val="none" w:sz="0" w:space="0" w:color="auto"/>
        <w:left w:val="none" w:sz="0" w:space="0" w:color="auto"/>
        <w:bottom w:val="none" w:sz="0" w:space="0" w:color="auto"/>
        <w:right w:val="none" w:sz="0" w:space="0" w:color="auto"/>
      </w:divBdr>
    </w:div>
    <w:div w:id="855846145">
      <w:bodyDiv w:val="1"/>
      <w:marLeft w:val="0"/>
      <w:marRight w:val="0"/>
      <w:marTop w:val="0"/>
      <w:marBottom w:val="0"/>
      <w:divBdr>
        <w:top w:val="none" w:sz="0" w:space="0" w:color="auto"/>
        <w:left w:val="none" w:sz="0" w:space="0" w:color="auto"/>
        <w:bottom w:val="none" w:sz="0" w:space="0" w:color="auto"/>
        <w:right w:val="none" w:sz="0" w:space="0" w:color="auto"/>
      </w:divBdr>
    </w:div>
    <w:div w:id="861092685">
      <w:bodyDiv w:val="1"/>
      <w:marLeft w:val="0"/>
      <w:marRight w:val="0"/>
      <w:marTop w:val="0"/>
      <w:marBottom w:val="0"/>
      <w:divBdr>
        <w:top w:val="none" w:sz="0" w:space="0" w:color="auto"/>
        <w:left w:val="none" w:sz="0" w:space="0" w:color="auto"/>
        <w:bottom w:val="none" w:sz="0" w:space="0" w:color="auto"/>
        <w:right w:val="none" w:sz="0" w:space="0" w:color="auto"/>
      </w:divBdr>
    </w:div>
    <w:div w:id="888491885">
      <w:bodyDiv w:val="1"/>
      <w:marLeft w:val="0"/>
      <w:marRight w:val="0"/>
      <w:marTop w:val="0"/>
      <w:marBottom w:val="0"/>
      <w:divBdr>
        <w:top w:val="none" w:sz="0" w:space="0" w:color="auto"/>
        <w:left w:val="none" w:sz="0" w:space="0" w:color="auto"/>
        <w:bottom w:val="none" w:sz="0" w:space="0" w:color="auto"/>
        <w:right w:val="none" w:sz="0" w:space="0" w:color="auto"/>
      </w:divBdr>
      <w:divsChild>
        <w:div w:id="130174693">
          <w:marLeft w:val="0"/>
          <w:marRight w:val="0"/>
          <w:marTop w:val="0"/>
          <w:marBottom w:val="0"/>
          <w:divBdr>
            <w:top w:val="none" w:sz="0" w:space="0" w:color="auto"/>
            <w:left w:val="none" w:sz="0" w:space="0" w:color="auto"/>
            <w:bottom w:val="none" w:sz="0" w:space="0" w:color="auto"/>
            <w:right w:val="none" w:sz="0" w:space="0" w:color="auto"/>
          </w:divBdr>
        </w:div>
      </w:divsChild>
    </w:div>
    <w:div w:id="906721509">
      <w:bodyDiv w:val="1"/>
      <w:marLeft w:val="0"/>
      <w:marRight w:val="0"/>
      <w:marTop w:val="0"/>
      <w:marBottom w:val="0"/>
      <w:divBdr>
        <w:top w:val="none" w:sz="0" w:space="0" w:color="auto"/>
        <w:left w:val="none" w:sz="0" w:space="0" w:color="auto"/>
        <w:bottom w:val="none" w:sz="0" w:space="0" w:color="auto"/>
        <w:right w:val="none" w:sz="0" w:space="0" w:color="auto"/>
      </w:divBdr>
    </w:div>
    <w:div w:id="941886741">
      <w:bodyDiv w:val="1"/>
      <w:marLeft w:val="0"/>
      <w:marRight w:val="0"/>
      <w:marTop w:val="0"/>
      <w:marBottom w:val="0"/>
      <w:divBdr>
        <w:top w:val="none" w:sz="0" w:space="0" w:color="auto"/>
        <w:left w:val="none" w:sz="0" w:space="0" w:color="auto"/>
        <w:bottom w:val="none" w:sz="0" w:space="0" w:color="auto"/>
        <w:right w:val="none" w:sz="0" w:space="0" w:color="auto"/>
      </w:divBdr>
    </w:div>
    <w:div w:id="943197152">
      <w:bodyDiv w:val="1"/>
      <w:marLeft w:val="0"/>
      <w:marRight w:val="0"/>
      <w:marTop w:val="0"/>
      <w:marBottom w:val="0"/>
      <w:divBdr>
        <w:top w:val="none" w:sz="0" w:space="0" w:color="auto"/>
        <w:left w:val="none" w:sz="0" w:space="0" w:color="auto"/>
        <w:bottom w:val="none" w:sz="0" w:space="0" w:color="auto"/>
        <w:right w:val="none" w:sz="0" w:space="0" w:color="auto"/>
      </w:divBdr>
    </w:div>
    <w:div w:id="943653311">
      <w:bodyDiv w:val="1"/>
      <w:marLeft w:val="0"/>
      <w:marRight w:val="0"/>
      <w:marTop w:val="0"/>
      <w:marBottom w:val="0"/>
      <w:divBdr>
        <w:top w:val="none" w:sz="0" w:space="0" w:color="auto"/>
        <w:left w:val="none" w:sz="0" w:space="0" w:color="auto"/>
        <w:bottom w:val="none" w:sz="0" w:space="0" w:color="auto"/>
        <w:right w:val="none" w:sz="0" w:space="0" w:color="auto"/>
      </w:divBdr>
    </w:div>
    <w:div w:id="968362571">
      <w:bodyDiv w:val="1"/>
      <w:marLeft w:val="0"/>
      <w:marRight w:val="0"/>
      <w:marTop w:val="0"/>
      <w:marBottom w:val="0"/>
      <w:divBdr>
        <w:top w:val="none" w:sz="0" w:space="0" w:color="auto"/>
        <w:left w:val="none" w:sz="0" w:space="0" w:color="auto"/>
        <w:bottom w:val="none" w:sz="0" w:space="0" w:color="auto"/>
        <w:right w:val="none" w:sz="0" w:space="0" w:color="auto"/>
      </w:divBdr>
    </w:div>
    <w:div w:id="976571377">
      <w:bodyDiv w:val="1"/>
      <w:marLeft w:val="0"/>
      <w:marRight w:val="0"/>
      <w:marTop w:val="0"/>
      <w:marBottom w:val="0"/>
      <w:divBdr>
        <w:top w:val="none" w:sz="0" w:space="0" w:color="auto"/>
        <w:left w:val="none" w:sz="0" w:space="0" w:color="auto"/>
        <w:bottom w:val="none" w:sz="0" w:space="0" w:color="auto"/>
        <w:right w:val="none" w:sz="0" w:space="0" w:color="auto"/>
      </w:divBdr>
    </w:div>
    <w:div w:id="1001472059">
      <w:bodyDiv w:val="1"/>
      <w:marLeft w:val="0"/>
      <w:marRight w:val="0"/>
      <w:marTop w:val="0"/>
      <w:marBottom w:val="0"/>
      <w:divBdr>
        <w:top w:val="none" w:sz="0" w:space="0" w:color="auto"/>
        <w:left w:val="none" w:sz="0" w:space="0" w:color="auto"/>
        <w:bottom w:val="none" w:sz="0" w:space="0" w:color="auto"/>
        <w:right w:val="none" w:sz="0" w:space="0" w:color="auto"/>
      </w:divBdr>
    </w:div>
    <w:div w:id="1007555221">
      <w:bodyDiv w:val="1"/>
      <w:marLeft w:val="0"/>
      <w:marRight w:val="0"/>
      <w:marTop w:val="0"/>
      <w:marBottom w:val="0"/>
      <w:divBdr>
        <w:top w:val="none" w:sz="0" w:space="0" w:color="auto"/>
        <w:left w:val="none" w:sz="0" w:space="0" w:color="auto"/>
        <w:bottom w:val="none" w:sz="0" w:space="0" w:color="auto"/>
        <w:right w:val="none" w:sz="0" w:space="0" w:color="auto"/>
      </w:divBdr>
    </w:div>
    <w:div w:id="1011563207">
      <w:bodyDiv w:val="1"/>
      <w:marLeft w:val="0"/>
      <w:marRight w:val="0"/>
      <w:marTop w:val="0"/>
      <w:marBottom w:val="0"/>
      <w:divBdr>
        <w:top w:val="none" w:sz="0" w:space="0" w:color="auto"/>
        <w:left w:val="none" w:sz="0" w:space="0" w:color="auto"/>
        <w:bottom w:val="none" w:sz="0" w:space="0" w:color="auto"/>
        <w:right w:val="none" w:sz="0" w:space="0" w:color="auto"/>
      </w:divBdr>
    </w:div>
    <w:div w:id="1023942891">
      <w:bodyDiv w:val="1"/>
      <w:marLeft w:val="0"/>
      <w:marRight w:val="0"/>
      <w:marTop w:val="0"/>
      <w:marBottom w:val="0"/>
      <w:divBdr>
        <w:top w:val="none" w:sz="0" w:space="0" w:color="auto"/>
        <w:left w:val="none" w:sz="0" w:space="0" w:color="auto"/>
        <w:bottom w:val="none" w:sz="0" w:space="0" w:color="auto"/>
        <w:right w:val="none" w:sz="0" w:space="0" w:color="auto"/>
      </w:divBdr>
    </w:div>
    <w:div w:id="1116563594">
      <w:bodyDiv w:val="1"/>
      <w:marLeft w:val="0"/>
      <w:marRight w:val="0"/>
      <w:marTop w:val="0"/>
      <w:marBottom w:val="0"/>
      <w:divBdr>
        <w:top w:val="none" w:sz="0" w:space="0" w:color="auto"/>
        <w:left w:val="none" w:sz="0" w:space="0" w:color="auto"/>
        <w:bottom w:val="none" w:sz="0" w:space="0" w:color="auto"/>
        <w:right w:val="none" w:sz="0" w:space="0" w:color="auto"/>
      </w:divBdr>
    </w:div>
    <w:div w:id="1118640269">
      <w:bodyDiv w:val="1"/>
      <w:marLeft w:val="0"/>
      <w:marRight w:val="0"/>
      <w:marTop w:val="0"/>
      <w:marBottom w:val="0"/>
      <w:divBdr>
        <w:top w:val="none" w:sz="0" w:space="0" w:color="auto"/>
        <w:left w:val="none" w:sz="0" w:space="0" w:color="auto"/>
        <w:bottom w:val="none" w:sz="0" w:space="0" w:color="auto"/>
        <w:right w:val="none" w:sz="0" w:space="0" w:color="auto"/>
      </w:divBdr>
    </w:div>
    <w:div w:id="1167941903">
      <w:bodyDiv w:val="1"/>
      <w:marLeft w:val="0"/>
      <w:marRight w:val="0"/>
      <w:marTop w:val="0"/>
      <w:marBottom w:val="0"/>
      <w:divBdr>
        <w:top w:val="none" w:sz="0" w:space="0" w:color="auto"/>
        <w:left w:val="none" w:sz="0" w:space="0" w:color="auto"/>
        <w:bottom w:val="none" w:sz="0" w:space="0" w:color="auto"/>
        <w:right w:val="none" w:sz="0" w:space="0" w:color="auto"/>
      </w:divBdr>
    </w:div>
    <w:div w:id="1171406824">
      <w:bodyDiv w:val="1"/>
      <w:marLeft w:val="0"/>
      <w:marRight w:val="0"/>
      <w:marTop w:val="0"/>
      <w:marBottom w:val="0"/>
      <w:divBdr>
        <w:top w:val="none" w:sz="0" w:space="0" w:color="auto"/>
        <w:left w:val="none" w:sz="0" w:space="0" w:color="auto"/>
        <w:bottom w:val="none" w:sz="0" w:space="0" w:color="auto"/>
        <w:right w:val="none" w:sz="0" w:space="0" w:color="auto"/>
      </w:divBdr>
    </w:div>
    <w:div w:id="1181775779">
      <w:bodyDiv w:val="1"/>
      <w:marLeft w:val="0"/>
      <w:marRight w:val="0"/>
      <w:marTop w:val="0"/>
      <w:marBottom w:val="0"/>
      <w:divBdr>
        <w:top w:val="none" w:sz="0" w:space="0" w:color="auto"/>
        <w:left w:val="none" w:sz="0" w:space="0" w:color="auto"/>
        <w:bottom w:val="none" w:sz="0" w:space="0" w:color="auto"/>
        <w:right w:val="none" w:sz="0" w:space="0" w:color="auto"/>
      </w:divBdr>
    </w:div>
    <w:div w:id="1187871334">
      <w:bodyDiv w:val="1"/>
      <w:marLeft w:val="0"/>
      <w:marRight w:val="0"/>
      <w:marTop w:val="0"/>
      <w:marBottom w:val="0"/>
      <w:divBdr>
        <w:top w:val="none" w:sz="0" w:space="0" w:color="auto"/>
        <w:left w:val="none" w:sz="0" w:space="0" w:color="auto"/>
        <w:bottom w:val="none" w:sz="0" w:space="0" w:color="auto"/>
        <w:right w:val="none" w:sz="0" w:space="0" w:color="auto"/>
      </w:divBdr>
    </w:div>
    <w:div w:id="1217618148">
      <w:bodyDiv w:val="1"/>
      <w:marLeft w:val="0"/>
      <w:marRight w:val="0"/>
      <w:marTop w:val="0"/>
      <w:marBottom w:val="0"/>
      <w:divBdr>
        <w:top w:val="none" w:sz="0" w:space="0" w:color="auto"/>
        <w:left w:val="none" w:sz="0" w:space="0" w:color="auto"/>
        <w:bottom w:val="none" w:sz="0" w:space="0" w:color="auto"/>
        <w:right w:val="none" w:sz="0" w:space="0" w:color="auto"/>
      </w:divBdr>
    </w:div>
    <w:div w:id="1240873043">
      <w:bodyDiv w:val="1"/>
      <w:marLeft w:val="0"/>
      <w:marRight w:val="0"/>
      <w:marTop w:val="0"/>
      <w:marBottom w:val="0"/>
      <w:divBdr>
        <w:top w:val="none" w:sz="0" w:space="0" w:color="auto"/>
        <w:left w:val="none" w:sz="0" w:space="0" w:color="auto"/>
        <w:bottom w:val="none" w:sz="0" w:space="0" w:color="auto"/>
        <w:right w:val="none" w:sz="0" w:space="0" w:color="auto"/>
      </w:divBdr>
    </w:div>
    <w:div w:id="1258708852">
      <w:bodyDiv w:val="1"/>
      <w:marLeft w:val="0"/>
      <w:marRight w:val="0"/>
      <w:marTop w:val="0"/>
      <w:marBottom w:val="0"/>
      <w:divBdr>
        <w:top w:val="none" w:sz="0" w:space="0" w:color="auto"/>
        <w:left w:val="none" w:sz="0" w:space="0" w:color="auto"/>
        <w:bottom w:val="none" w:sz="0" w:space="0" w:color="auto"/>
        <w:right w:val="none" w:sz="0" w:space="0" w:color="auto"/>
      </w:divBdr>
    </w:div>
    <w:div w:id="1261908801">
      <w:bodyDiv w:val="1"/>
      <w:marLeft w:val="0"/>
      <w:marRight w:val="0"/>
      <w:marTop w:val="0"/>
      <w:marBottom w:val="0"/>
      <w:divBdr>
        <w:top w:val="none" w:sz="0" w:space="0" w:color="auto"/>
        <w:left w:val="none" w:sz="0" w:space="0" w:color="auto"/>
        <w:bottom w:val="none" w:sz="0" w:space="0" w:color="auto"/>
        <w:right w:val="none" w:sz="0" w:space="0" w:color="auto"/>
      </w:divBdr>
    </w:div>
    <w:div w:id="1273172141">
      <w:bodyDiv w:val="1"/>
      <w:marLeft w:val="0"/>
      <w:marRight w:val="0"/>
      <w:marTop w:val="0"/>
      <w:marBottom w:val="0"/>
      <w:divBdr>
        <w:top w:val="none" w:sz="0" w:space="0" w:color="auto"/>
        <w:left w:val="none" w:sz="0" w:space="0" w:color="auto"/>
        <w:bottom w:val="none" w:sz="0" w:space="0" w:color="auto"/>
        <w:right w:val="none" w:sz="0" w:space="0" w:color="auto"/>
      </w:divBdr>
    </w:div>
    <w:div w:id="1281958587">
      <w:bodyDiv w:val="1"/>
      <w:marLeft w:val="0"/>
      <w:marRight w:val="0"/>
      <w:marTop w:val="0"/>
      <w:marBottom w:val="0"/>
      <w:divBdr>
        <w:top w:val="none" w:sz="0" w:space="0" w:color="auto"/>
        <w:left w:val="none" w:sz="0" w:space="0" w:color="auto"/>
        <w:bottom w:val="none" w:sz="0" w:space="0" w:color="auto"/>
        <w:right w:val="none" w:sz="0" w:space="0" w:color="auto"/>
      </w:divBdr>
    </w:div>
    <w:div w:id="1295481164">
      <w:bodyDiv w:val="1"/>
      <w:marLeft w:val="0"/>
      <w:marRight w:val="0"/>
      <w:marTop w:val="0"/>
      <w:marBottom w:val="0"/>
      <w:divBdr>
        <w:top w:val="none" w:sz="0" w:space="0" w:color="auto"/>
        <w:left w:val="none" w:sz="0" w:space="0" w:color="auto"/>
        <w:bottom w:val="none" w:sz="0" w:space="0" w:color="auto"/>
        <w:right w:val="none" w:sz="0" w:space="0" w:color="auto"/>
      </w:divBdr>
    </w:div>
    <w:div w:id="1314413693">
      <w:bodyDiv w:val="1"/>
      <w:marLeft w:val="0"/>
      <w:marRight w:val="0"/>
      <w:marTop w:val="0"/>
      <w:marBottom w:val="0"/>
      <w:divBdr>
        <w:top w:val="none" w:sz="0" w:space="0" w:color="auto"/>
        <w:left w:val="none" w:sz="0" w:space="0" w:color="auto"/>
        <w:bottom w:val="none" w:sz="0" w:space="0" w:color="auto"/>
        <w:right w:val="none" w:sz="0" w:space="0" w:color="auto"/>
      </w:divBdr>
    </w:div>
    <w:div w:id="1327249792">
      <w:bodyDiv w:val="1"/>
      <w:marLeft w:val="0"/>
      <w:marRight w:val="0"/>
      <w:marTop w:val="0"/>
      <w:marBottom w:val="0"/>
      <w:divBdr>
        <w:top w:val="none" w:sz="0" w:space="0" w:color="auto"/>
        <w:left w:val="none" w:sz="0" w:space="0" w:color="auto"/>
        <w:bottom w:val="none" w:sz="0" w:space="0" w:color="auto"/>
        <w:right w:val="none" w:sz="0" w:space="0" w:color="auto"/>
      </w:divBdr>
    </w:div>
    <w:div w:id="1332953862">
      <w:bodyDiv w:val="1"/>
      <w:marLeft w:val="0"/>
      <w:marRight w:val="0"/>
      <w:marTop w:val="0"/>
      <w:marBottom w:val="0"/>
      <w:divBdr>
        <w:top w:val="none" w:sz="0" w:space="0" w:color="auto"/>
        <w:left w:val="none" w:sz="0" w:space="0" w:color="auto"/>
        <w:bottom w:val="none" w:sz="0" w:space="0" w:color="auto"/>
        <w:right w:val="none" w:sz="0" w:space="0" w:color="auto"/>
      </w:divBdr>
    </w:div>
    <w:div w:id="1338922669">
      <w:bodyDiv w:val="1"/>
      <w:marLeft w:val="0"/>
      <w:marRight w:val="0"/>
      <w:marTop w:val="0"/>
      <w:marBottom w:val="0"/>
      <w:divBdr>
        <w:top w:val="none" w:sz="0" w:space="0" w:color="auto"/>
        <w:left w:val="none" w:sz="0" w:space="0" w:color="auto"/>
        <w:bottom w:val="none" w:sz="0" w:space="0" w:color="auto"/>
        <w:right w:val="none" w:sz="0" w:space="0" w:color="auto"/>
      </w:divBdr>
    </w:div>
    <w:div w:id="1353453716">
      <w:bodyDiv w:val="1"/>
      <w:marLeft w:val="0"/>
      <w:marRight w:val="0"/>
      <w:marTop w:val="0"/>
      <w:marBottom w:val="0"/>
      <w:divBdr>
        <w:top w:val="none" w:sz="0" w:space="0" w:color="auto"/>
        <w:left w:val="none" w:sz="0" w:space="0" w:color="auto"/>
        <w:bottom w:val="none" w:sz="0" w:space="0" w:color="auto"/>
        <w:right w:val="none" w:sz="0" w:space="0" w:color="auto"/>
      </w:divBdr>
    </w:div>
    <w:div w:id="1403943894">
      <w:bodyDiv w:val="1"/>
      <w:marLeft w:val="0"/>
      <w:marRight w:val="0"/>
      <w:marTop w:val="0"/>
      <w:marBottom w:val="0"/>
      <w:divBdr>
        <w:top w:val="none" w:sz="0" w:space="0" w:color="auto"/>
        <w:left w:val="none" w:sz="0" w:space="0" w:color="auto"/>
        <w:bottom w:val="none" w:sz="0" w:space="0" w:color="auto"/>
        <w:right w:val="none" w:sz="0" w:space="0" w:color="auto"/>
      </w:divBdr>
    </w:div>
    <w:div w:id="1437098443">
      <w:bodyDiv w:val="1"/>
      <w:marLeft w:val="0"/>
      <w:marRight w:val="0"/>
      <w:marTop w:val="0"/>
      <w:marBottom w:val="0"/>
      <w:divBdr>
        <w:top w:val="none" w:sz="0" w:space="0" w:color="auto"/>
        <w:left w:val="none" w:sz="0" w:space="0" w:color="auto"/>
        <w:bottom w:val="none" w:sz="0" w:space="0" w:color="auto"/>
        <w:right w:val="none" w:sz="0" w:space="0" w:color="auto"/>
      </w:divBdr>
    </w:div>
    <w:div w:id="1444879262">
      <w:bodyDiv w:val="1"/>
      <w:marLeft w:val="0"/>
      <w:marRight w:val="0"/>
      <w:marTop w:val="0"/>
      <w:marBottom w:val="0"/>
      <w:divBdr>
        <w:top w:val="none" w:sz="0" w:space="0" w:color="auto"/>
        <w:left w:val="none" w:sz="0" w:space="0" w:color="auto"/>
        <w:bottom w:val="none" w:sz="0" w:space="0" w:color="auto"/>
        <w:right w:val="none" w:sz="0" w:space="0" w:color="auto"/>
      </w:divBdr>
    </w:div>
    <w:div w:id="1467157771">
      <w:bodyDiv w:val="1"/>
      <w:marLeft w:val="0"/>
      <w:marRight w:val="0"/>
      <w:marTop w:val="0"/>
      <w:marBottom w:val="0"/>
      <w:divBdr>
        <w:top w:val="none" w:sz="0" w:space="0" w:color="auto"/>
        <w:left w:val="none" w:sz="0" w:space="0" w:color="auto"/>
        <w:bottom w:val="none" w:sz="0" w:space="0" w:color="auto"/>
        <w:right w:val="none" w:sz="0" w:space="0" w:color="auto"/>
      </w:divBdr>
      <w:divsChild>
        <w:div w:id="986858756">
          <w:marLeft w:val="0"/>
          <w:marRight w:val="0"/>
          <w:marTop w:val="0"/>
          <w:marBottom w:val="0"/>
          <w:divBdr>
            <w:top w:val="none" w:sz="0" w:space="0" w:color="auto"/>
            <w:left w:val="none" w:sz="0" w:space="0" w:color="auto"/>
            <w:bottom w:val="none" w:sz="0" w:space="0" w:color="auto"/>
            <w:right w:val="none" w:sz="0" w:space="0" w:color="auto"/>
          </w:divBdr>
        </w:div>
      </w:divsChild>
    </w:div>
    <w:div w:id="1470436677">
      <w:bodyDiv w:val="1"/>
      <w:marLeft w:val="0"/>
      <w:marRight w:val="0"/>
      <w:marTop w:val="0"/>
      <w:marBottom w:val="0"/>
      <w:divBdr>
        <w:top w:val="none" w:sz="0" w:space="0" w:color="auto"/>
        <w:left w:val="none" w:sz="0" w:space="0" w:color="auto"/>
        <w:bottom w:val="none" w:sz="0" w:space="0" w:color="auto"/>
        <w:right w:val="none" w:sz="0" w:space="0" w:color="auto"/>
      </w:divBdr>
    </w:div>
    <w:div w:id="1476682942">
      <w:bodyDiv w:val="1"/>
      <w:marLeft w:val="0"/>
      <w:marRight w:val="0"/>
      <w:marTop w:val="0"/>
      <w:marBottom w:val="0"/>
      <w:divBdr>
        <w:top w:val="none" w:sz="0" w:space="0" w:color="auto"/>
        <w:left w:val="none" w:sz="0" w:space="0" w:color="auto"/>
        <w:bottom w:val="none" w:sz="0" w:space="0" w:color="auto"/>
        <w:right w:val="none" w:sz="0" w:space="0" w:color="auto"/>
      </w:divBdr>
      <w:divsChild>
        <w:div w:id="696933038">
          <w:marLeft w:val="0"/>
          <w:marRight w:val="0"/>
          <w:marTop w:val="0"/>
          <w:marBottom w:val="0"/>
          <w:divBdr>
            <w:top w:val="none" w:sz="0" w:space="0" w:color="auto"/>
            <w:left w:val="none" w:sz="0" w:space="0" w:color="auto"/>
            <w:bottom w:val="none" w:sz="0" w:space="0" w:color="auto"/>
            <w:right w:val="none" w:sz="0" w:space="0" w:color="auto"/>
          </w:divBdr>
        </w:div>
      </w:divsChild>
    </w:div>
    <w:div w:id="1484859247">
      <w:bodyDiv w:val="1"/>
      <w:marLeft w:val="0"/>
      <w:marRight w:val="0"/>
      <w:marTop w:val="0"/>
      <w:marBottom w:val="0"/>
      <w:divBdr>
        <w:top w:val="none" w:sz="0" w:space="0" w:color="auto"/>
        <w:left w:val="none" w:sz="0" w:space="0" w:color="auto"/>
        <w:bottom w:val="none" w:sz="0" w:space="0" w:color="auto"/>
        <w:right w:val="none" w:sz="0" w:space="0" w:color="auto"/>
      </w:divBdr>
      <w:divsChild>
        <w:div w:id="222446916">
          <w:marLeft w:val="0"/>
          <w:marRight w:val="0"/>
          <w:marTop w:val="0"/>
          <w:marBottom w:val="0"/>
          <w:divBdr>
            <w:top w:val="none" w:sz="0" w:space="0" w:color="auto"/>
            <w:left w:val="none" w:sz="0" w:space="0" w:color="auto"/>
            <w:bottom w:val="none" w:sz="0" w:space="0" w:color="auto"/>
            <w:right w:val="none" w:sz="0" w:space="0" w:color="auto"/>
          </w:divBdr>
        </w:div>
      </w:divsChild>
    </w:div>
    <w:div w:id="1517495421">
      <w:bodyDiv w:val="1"/>
      <w:marLeft w:val="0"/>
      <w:marRight w:val="0"/>
      <w:marTop w:val="0"/>
      <w:marBottom w:val="0"/>
      <w:divBdr>
        <w:top w:val="none" w:sz="0" w:space="0" w:color="auto"/>
        <w:left w:val="none" w:sz="0" w:space="0" w:color="auto"/>
        <w:bottom w:val="none" w:sz="0" w:space="0" w:color="auto"/>
        <w:right w:val="none" w:sz="0" w:space="0" w:color="auto"/>
      </w:divBdr>
    </w:div>
    <w:div w:id="1527018004">
      <w:bodyDiv w:val="1"/>
      <w:marLeft w:val="0"/>
      <w:marRight w:val="0"/>
      <w:marTop w:val="0"/>
      <w:marBottom w:val="0"/>
      <w:divBdr>
        <w:top w:val="none" w:sz="0" w:space="0" w:color="auto"/>
        <w:left w:val="none" w:sz="0" w:space="0" w:color="auto"/>
        <w:bottom w:val="none" w:sz="0" w:space="0" w:color="auto"/>
        <w:right w:val="none" w:sz="0" w:space="0" w:color="auto"/>
      </w:divBdr>
    </w:div>
    <w:div w:id="1622807915">
      <w:bodyDiv w:val="1"/>
      <w:marLeft w:val="0"/>
      <w:marRight w:val="0"/>
      <w:marTop w:val="0"/>
      <w:marBottom w:val="0"/>
      <w:divBdr>
        <w:top w:val="none" w:sz="0" w:space="0" w:color="auto"/>
        <w:left w:val="none" w:sz="0" w:space="0" w:color="auto"/>
        <w:bottom w:val="none" w:sz="0" w:space="0" w:color="auto"/>
        <w:right w:val="none" w:sz="0" w:space="0" w:color="auto"/>
      </w:divBdr>
    </w:div>
    <w:div w:id="1671521143">
      <w:bodyDiv w:val="1"/>
      <w:marLeft w:val="0"/>
      <w:marRight w:val="0"/>
      <w:marTop w:val="0"/>
      <w:marBottom w:val="0"/>
      <w:divBdr>
        <w:top w:val="none" w:sz="0" w:space="0" w:color="auto"/>
        <w:left w:val="none" w:sz="0" w:space="0" w:color="auto"/>
        <w:bottom w:val="none" w:sz="0" w:space="0" w:color="auto"/>
        <w:right w:val="none" w:sz="0" w:space="0" w:color="auto"/>
      </w:divBdr>
      <w:divsChild>
        <w:div w:id="324746016">
          <w:marLeft w:val="0"/>
          <w:marRight w:val="0"/>
          <w:marTop w:val="0"/>
          <w:marBottom w:val="0"/>
          <w:divBdr>
            <w:top w:val="none" w:sz="0" w:space="0" w:color="auto"/>
            <w:left w:val="none" w:sz="0" w:space="0" w:color="auto"/>
            <w:bottom w:val="none" w:sz="0" w:space="0" w:color="auto"/>
            <w:right w:val="none" w:sz="0" w:space="0" w:color="auto"/>
          </w:divBdr>
          <w:divsChild>
            <w:div w:id="983201167">
              <w:marLeft w:val="0"/>
              <w:marRight w:val="0"/>
              <w:marTop w:val="0"/>
              <w:marBottom w:val="0"/>
              <w:divBdr>
                <w:top w:val="none" w:sz="0" w:space="0" w:color="auto"/>
                <w:left w:val="none" w:sz="0" w:space="0" w:color="auto"/>
                <w:bottom w:val="none" w:sz="0" w:space="0" w:color="auto"/>
                <w:right w:val="none" w:sz="0" w:space="0" w:color="auto"/>
              </w:divBdr>
              <w:divsChild>
                <w:div w:id="1270620170">
                  <w:marLeft w:val="0"/>
                  <w:marRight w:val="0"/>
                  <w:marTop w:val="0"/>
                  <w:marBottom w:val="129"/>
                  <w:divBdr>
                    <w:top w:val="none" w:sz="0" w:space="0" w:color="auto"/>
                    <w:left w:val="none" w:sz="0" w:space="0" w:color="auto"/>
                    <w:bottom w:val="none" w:sz="0" w:space="0" w:color="auto"/>
                    <w:right w:val="none" w:sz="0" w:space="0" w:color="auto"/>
                  </w:divBdr>
                  <w:divsChild>
                    <w:div w:id="133190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940905">
      <w:bodyDiv w:val="1"/>
      <w:marLeft w:val="0"/>
      <w:marRight w:val="0"/>
      <w:marTop w:val="0"/>
      <w:marBottom w:val="0"/>
      <w:divBdr>
        <w:top w:val="none" w:sz="0" w:space="0" w:color="auto"/>
        <w:left w:val="none" w:sz="0" w:space="0" w:color="auto"/>
        <w:bottom w:val="none" w:sz="0" w:space="0" w:color="auto"/>
        <w:right w:val="none" w:sz="0" w:space="0" w:color="auto"/>
      </w:divBdr>
      <w:divsChild>
        <w:div w:id="1945764520">
          <w:marLeft w:val="0"/>
          <w:marRight w:val="0"/>
          <w:marTop w:val="0"/>
          <w:marBottom w:val="0"/>
          <w:divBdr>
            <w:top w:val="none" w:sz="0" w:space="0" w:color="auto"/>
            <w:left w:val="none" w:sz="0" w:space="0" w:color="auto"/>
            <w:bottom w:val="none" w:sz="0" w:space="0" w:color="auto"/>
            <w:right w:val="none" w:sz="0" w:space="0" w:color="auto"/>
          </w:divBdr>
          <w:divsChild>
            <w:div w:id="48844495">
              <w:marLeft w:val="0"/>
              <w:marRight w:val="0"/>
              <w:marTop w:val="0"/>
              <w:marBottom w:val="0"/>
              <w:divBdr>
                <w:top w:val="none" w:sz="0" w:space="0" w:color="auto"/>
                <w:left w:val="none" w:sz="0" w:space="0" w:color="auto"/>
                <w:bottom w:val="none" w:sz="0" w:space="0" w:color="auto"/>
                <w:right w:val="none" w:sz="0" w:space="0" w:color="auto"/>
              </w:divBdr>
              <w:divsChild>
                <w:div w:id="1122268288">
                  <w:marLeft w:val="0"/>
                  <w:marRight w:val="0"/>
                  <w:marTop w:val="0"/>
                  <w:marBottom w:val="0"/>
                  <w:divBdr>
                    <w:top w:val="none" w:sz="0" w:space="0" w:color="auto"/>
                    <w:left w:val="none" w:sz="0" w:space="0" w:color="auto"/>
                    <w:bottom w:val="none" w:sz="0" w:space="0" w:color="auto"/>
                    <w:right w:val="none" w:sz="0" w:space="0" w:color="auto"/>
                  </w:divBdr>
                  <w:divsChild>
                    <w:div w:id="1906984513">
                      <w:marLeft w:val="0"/>
                      <w:marRight w:val="0"/>
                      <w:marTop w:val="0"/>
                      <w:marBottom w:val="0"/>
                      <w:divBdr>
                        <w:top w:val="none" w:sz="0" w:space="0" w:color="auto"/>
                        <w:left w:val="none" w:sz="0" w:space="0" w:color="auto"/>
                        <w:bottom w:val="none" w:sz="0" w:space="0" w:color="auto"/>
                        <w:right w:val="none" w:sz="0" w:space="0" w:color="auto"/>
                      </w:divBdr>
                      <w:divsChild>
                        <w:div w:id="305356326">
                          <w:marLeft w:val="0"/>
                          <w:marRight w:val="0"/>
                          <w:marTop w:val="0"/>
                          <w:marBottom w:val="0"/>
                          <w:divBdr>
                            <w:top w:val="none" w:sz="0" w:space="0" w:color="auto"/>
                            <w:left w:val="none" w:sz="0" w:space="0" w:color="auto"/>
                            <w:bottom w:val="none" w:sz="0" w:space="0" w:color="auto"/>
                            <w:right w:val="none" w:sz="0" w:space="0" w:color="auto"/>
                          </w:divBdr>
                          <w:divsChild>
                            <w:div w:id="118077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2876042">
      <w:bodyDiv w:val="1"/>
      <w:marLeft w:val="0"/>
      <w:marRight w:val="0"/>
      <w:marTop w:val="0"/>
      <w:marBottom w:val="0"/>
      <w:divBdr>
        <w:top w:val="none" w:sz="0" w:space="0" w:color="auto"/>
        <w:left w:val="none" w:sz="0" w:space="0" w:color="auto"/>
        <w:bottom w:val="none" w:sz="0" w:space="0" w:color="auto"/>
        <w:right w:val="none" w:sz="0" w:space="0" w:color="auto"/>
      </w:divBdr>
    </w:div>
    <w:div w:id="1693023121">
      <w:bodyDiv w:val="1"/>
      <w:marLeft w:val="0"/>
      <w:marRight w:val="0"/>
      <w:marTop w:val="0"/>
      <w:marBottom w:val="0"/>
      <w:divBdr>
        <w:top w:val="none" w:sz="0" w:space="0" w:color="auto"/>
        <w:left w:val="none" w:sz="0" w:space="0" w:color="auto"/>
        <w:bottom w:val="none" w:sz="0" w:space="0" w:color="auto"/>
        <w:right w:val="none" w:sz="0" w:space="0" w:color="auto"/>
      </w:divBdr>
    </w:div>
    <w:div w:id="1748920672">
      <w:bodyDiv w:val="1"/>
      <w:marLeft w:val="0"/>
      <w:marRight w:val="0"/>
      <w:marTop w:val="0"/>
      <w:marBottom w:val="0"/>
      <w:divBdr>
        <w:top w:val="none" w:sz="0" w:space="0" w:color="auto"/>
        <w:left w:val="none" w:sz="0" w:space="0" w:color="auto"/>
        <w:bottom w:val="none" w:sz="0" w:space="0" w:color="auto"/>
        <w:right w:val="none" w:sz="0" w:space="0" w:color="auto"/>
      </w:divBdr>
    </w:div>
    <w:div w:id="1763836881">
      <w:bodyDiv w:val="1"/>
      <w:marLeft w:val="0"/>
      <w:marRight w:val="0"/>
      <w:marTop w:val="0"/>
      <w:marBottom w:val="0"/>
      <w:divBdr>
        <w:top w:val="none" w:sz="0" w:space="0" w:color="auto"/>
        <w:left w:val="none" w:sz="0" w:space="0" w:color="auto"/>
        <w:bottom w:val="none" w:sz="0" w:space="0" w:color="auto"/>
        <w:right w:val="none" w:sz="0" w:space="0" w:color="auto"/>
      </w:divBdr>
    </w:div>
    <w:div w:id="1765225160">
      <w:bodyDiv w:val="1"/>
      <w:marLeft w:val="0"/>
      <w:marRight w:val="0"/>
      <w:marTop w:val="0"/>
      <w:marBottom w:val="0"/>
      <w:divBdr>
        <w:top w:val="none" w:sz="0" w:space="0" w:color="auto"/>
        <w:left w:val="none" w:sz="0" w:space="0" w:color="auto"/>
        <w:bottom w:val="none" w:sz="0" w:space="0" w:color="auto"/>
        <w:right w:val="none" w:sz="0" w:space="0" w:color="auto"/>
      </w:divBdr>
    </w:div>
    <w:div w:id="1794861109">
      <w:bodyDiv w:val="1"/>
      <w:marLeft w:val="0"/>
      <w:marRight w:val="0"/>
      <w:marTop w:val="0"/>
      <w:marBottom w:val="0"/>
      <w:divBdr>
        <w:top w:val="none" w:sz="0" w:space="0" w:color="auto"/>
        <w:left w:val="none" w:sz="0" w:space="0" w:color="auto"/>
        <w:bottom w:val="none" w:sz="0" w:space="0" w:color="auto"/>
        <w:right w:val="none" w:sz="0" w:space="0" w:color="auto"/>
      </w:divBdr>
    </w:div>
    <w:div w:id="1800873048">
      <w:bodyDiv w:val="1"/>
      <w:marLeft w:val="0"/>
      <w:marRight w:val="0"/>
      <w:marTop w:val="0"/>
      <w:marBottom w:val="0"/>
      <w:divBdr>
        <w:top w:val="none" w:sz="0" w:space="0" w:color="auto"/>
        <w:left w:val="none" w:sz="0" w:space="0" w:color="auto"/>
        <w:bottom w:val="none" w:sz="0" w:space="0" w:color="auto"/>
        <w:right w:val="none" w:sz="0" w:space="0" w:color="auto"/>
      </w:divBdr>
    </w:div>
    <w:div w:id="1801222304">
      <w:bodyDiv w:val="1"/>
      <w:marLeft w:val="0"/>
      <w:marRight w:val="0"/>
      <w:marTop w:val="0"/>
      <w:marBottom w:val="0"/>
      <w:divBdr>
        <w:top w:val="none" w:sz="0" w:space="0" w:color="auto"/>
        <w:left w:val="none" w:sz="0" w:space="0" w:color="auto"/>
        <w:bottom w:val="none" w:sz="0" w:space="0" w:color="auto"/>
        <w:right w:val="none" w:sz="0" w:space="0" w:color="auto"/>
      </w:divBdr>
    </w:div>
    <w:div w:id="1806503151">
      <w:bodyDiv w:val="1"/>
      <w:marLeft w:val="0"/>
      <w:marRight w:val="0"/>
      <w:marTop w:val="0"/>
      <w:marBottom w:val="0"/>
      <w:divBdr>
        <w:top w:val="none" w:sz="0" w:space="0" w:color="auto"/>
        <w:left w:val="none" w:sz="0" w:space="0" w:color="auto"/>
        <w:bottom w:val="none" w:sz="0" w:space="0" w:color="auto"/>
        <w:right w:val="none" w:sz="0" w:space="0" w:color="auto"/>
      </w:divBdr>
    </w:div>
    <w:div w:id="1806775599">
      <w:bodyDiv w:val="1"/>
      <w:marLeft w:val="0"/>
      <w:marRight w:val="0"/>
      <w:marTop w:val="0"/>
      <w:marBottom w:val="0"/>
      <w:divBdr>
        <w:top w:val="none" w:sz="0" w:space="0" w:color="auto"/>
        <w:left w:val="none" w:sz="0" w:space="0" w:color="auto"/>
        <w:bottom w:val="none" w:sz="0" w:space="0" w:color="auto"/>
        <w:right w:val="none" w:sz="0" w:space="0" w:color="auto"/>
      </w:divBdr>
    </w:div>
    <w:div w:id="1816141698">
      <w:bodyDiv w:val="1"/>
      <w:marLeft w:val="0"/>
      <w:marRight w:val="0"/>
      <w:marTop w:val="0"/>
      <w:marBottom w:val="0"/>
      <w:divBdr>
        <w:top w:val="none" w:sz="0" w:space="0" w:color="auto"/>
        <w:left w:val="none" w:sz="0" w:space="0" w:color="auto"/>
        <w:bottom w:val="none" w:sz="0" w:space="0" w:color="auto"/>
        <w:right w:val="none" w:sz="0" w:space="0" w:color="auto"/>
      </w:divBdr>
    </w:div>
    <w:div w:id="1817455558">
      <w:bodyDiv w:val="1"/>
      <w:marLeft w:val="0"/>
      <w:marRight w:val="0"/>
      <w:marTop w:val="0"/>
      <w:marBottom w:val="0"/>
      <w:divBdr>
        <w:top w:val="none" w:sz="0" w:space="0" w:color="auto"/>
        <w:left w:val="none" w:sz="0" w:space="0" w:color="auto"/>
        <w:bottom w:val="none" w:sz="0" w:space="0" w:color="auto"/>
        <w:right w:val="none" w:sz="0" w:space="0" w:color="auto"/>
      </w:divBdr>
    </w:div>
    <w:div w:id="1819221497">
      <w:bodyDiv w:val="1"/>
      <w:marLeft w:val="0"/>
      <w:marRight w:val="0"/>
      <w:marTop w:val="0"/>
      <w:marBottom w:val="0"/>
      <w:divBdr>
        <w:top w:val="none" w:sz="0" w:space="0" w:color="auto"/>
        <w:left w:val="none" w:sz="0" w:space="0" w:color="auto"/>
        <w:bottom w:val="none" w:sz="0" w:space="0" w:color="auto"/>
        <w:right w:val="none" w:sz="0" w:space="0" w:color="auto"/>
      </w:divBdr>
    </w:div>
    <w:div w:id="1822963748">
      <w:bodyDiv w:val="1"/>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sChild>
            <w:div w:id="617879265">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129"/>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277207">
      <w:bodyDiv w:val="1"/>
      <w:marLeft w:val="0"/>
      <w:marRight w:val="0"/>
      <w:marTop w:val="0"/>
      <w:marBottom w:val="0"/>
      <w:divBdr>
        <w:top w:val="none" w:sz="0" w:space="0" w:color="auto"/>
        <w:left w:val="none" w:sz="0" w:space="0" w:color="auto"/>
        <w:bottom w:val="none" w:sz="0" w:space="0" w:color="auto"/>
        <w:right w:val="none" w:sz="0" w:space="0" w:color="auto"/>
      </w:divBdr>
    </w:div>
    <w:div w:id="1864243407">
      <w:bodyDiv w:val="1"/>
      <w:marLeft w:val="0"/>
      <w:marRight w:val="0"/>
      <w:marTop w:val="0"/>
      <w:marBottom w:val="0"/>
      <w:divBdr>
        <w:top w:val="none" w:sz="0" w:space="0" w:color="auto"/>
        <w:left w:val="none" w:sz="0" w:space="0" w:color="auto"/>
        <w:bottom w:val="none" w:sz="0" w:space="0" w:color="auto"/>
        <w:right w:val="none" w:sz="0" w:space="0" w:color="auto"/>
      </w:divBdr>
    </w:div>
    <w:div w:id="1880629298">
      <w:bodyDiv w:val="1"/>
      <w:marLeft w:val="0"/>
      <w:marRight w:val="0"/>
      <w:marTop w:val="0"/>
      <w:marBottom w:val="0"/>
      <w:divBdr>
        <w:top w:val="none" w:sz="0" w:space="0" w:color="auto"/>
        <w:left w:val="none" w:sz="0" w:space="0" w:color="auto"/>
        <w:bottom w:val="none" w:sz="0" w:space="0" w:color="auto"/>
        <w:right w:val="none" w:sz="0" w:space="0" w:color="auto"/>
      </w:divBdr>
    </w:div>
    <w:div w:id="1886717864">
      <w:bodyDiv w:val="1"/>
      <w:marLeft w:val="0"/>
      <w:marRight w:val="0"/>
      <w:marTop w:val="0"/>
      <w:marBottom w:val="0"/>
      <w:divBdr>
        <w:top w:val="none" w:sz="0" w:space="0" w:color="auto"/>
        <w:left w:val="none" w:sz="0" w:space="0" w:color="auto"/>
        <w:bottom w:val="none" w:sz="0" w:space="0" w:color="auto"/>
        <w:right w:val="none" w:sz="0" w:space="0" w:color="auto"/>
      </w:divBdr>
    </w:div>
    <w:div w:id="1891648841">
      <w:bodyDiv w:val="1"/>
      <w:marLeft w:val="0"/>
      <w:marRight w:val="0"/>
      <w:marTop w:val="0"/>
      <w:marBottom w:val="0"/>
      <w:divBdr>
        <w:top w:val="none" w:sz="0" w:space="0" w:color="auto"/>
        <w:left w:val="none" w:sz="0" w:space="0" w:color="auto"/>
        <w:bottom w:val="none" w:sz="0" w:space="0" w:color="auto"/>
        <w:right w:val="none" w:sz="0" w:space="0" w:color="auto"/>
      </w:divBdr>
    </w:div>
    <w:div w:id="1904636001">
      <w:bodyDiv w:val="1"/>
      <w:marLeft w:val="0"/>
      <w:marRight w:val="0"/>
      <w:marTop w:val="0"/>
      <w:marBottom w:val="0"/>
      <w:divBdr>
        <w:top w:val="none" w:sz="0" w:space="0" w:color="auto"/>
        <w:left w:val="none" w:sz="0" w:space="0" w:color="auto"/>
        <w:bottom w:val="none" w:sz="0" w:space="0" w:color="auto"/>
        <w:right w:val="none" w:sz="0" w:space="0" w:color="auto"/>
      </w:divBdr>
    </w:div>
    <w:div w:id="1922596601">
      <w:bodyDiv w:val="1"/>
      <w:marLeft w:val="0"/>
      <w:marRight w:val="0"/>
      <w:marTop w:val="0"/>
      <w:marBottom w:val="0"/>
      <w:divBdr>
        <w:top w:val="none" w:sz="0" w:space="0" w:color="auto"/>
        <w:left w:val="none" w:sz="0" w:space="0" w:color="auto"/>
        <w:bottom w:val="none" w:sz="0" w:space="0" w:color="auto"/>
        <w:right w:val="none" w:sz="0" w:space="0" w:color="auto"/>
      </w:divBdr>
    </w:div>
    <w:div w:id="1932471509">
      <w:bodyDiv w:val="1"/>
      <w:marLeft w:val="0"/>
      <w:marRight w:val="0"/>
      <w:marTop w:val="0"/>
      <w:marBottom w:val="0"/>
      <w:divBdr>
        <w:top w:val="none" w:sz="0" w:space="0" w:color="auto"/>
        <w:left w:val="none" w:sz="0" w:space="0" w:color="auto"/>
        <w:bottom w:val="none" w:sz="0" w:space="0" w:color="auto"/>
        <w:right w:val="none" w:sz="0" w:space="0" w:color="auto"/>
      </w:divBdr>
    </w:div>
    <w:div w:id="1996181213">
      <w:bodyDiv w:val="1"/>
      <w:marLeft w:val="0"/>
      <w:marRight w:val="0"/>
      <w:marTop w:val="0"/>
      <w:marBottom w:val="0"/>
      <w:divBdr>
        <w:top w:val="none" w:sz="0" w:space="0" w:color="auto"/>
        <w:left w:val="none" w:sz="0" w:space="0" w:color="auto"/>
        <w:bottom w:val="none" w:sz="0" w:space="0" w:color="auto"/>
        <w:right w:val="none" w:sz="0" w:space="0" w:color="auto"/>
      </w:divBdr>
    </w:div>
    <w:div w:id="2011324154">
      <w:bodyDiv w:val="1"/>
      <w:marLeft w:val="0"/>
      <w:marRight w:val="0"/>
      <w:marTop w:val="0"/>
      <w:marBottom w:val="0"/>
      <w:divBdr>
        <w:top w:val="none" w:sz="0" w:space="0" w:color="auto"/>
        <w:left w:val="none" w:sz="0" w:space="0" w:color="auto"/>
        <w:bottom w:val="none" w:sz="0" w:space="0" w:color="auto"/>
        <w:right w:val="none" w:sz="0" w:space="0" w:color="auto"/>
      </w:divBdr>
    </w:div>
    <w:div w:id="2018264271">
      <w:bodyDiv w:val="1"/>
      <w:marLeft w:val="0"/>
      <w:marRight w:val="0"/>
      <w:marTop w:val="0"/>
      <w:marBottom w:val="0"/>
      <w:divBdr>
        <w:top w:val="none" w:sz="0" w:space="0" w:color="auto"/>
        <w:left w:val="none" w:sz="0" w:space="0" w:color="auto"/>
        <w:bottom w:val="none" w:sz="0" w:space="0" w:color="auto"/>
        <w:right w:val="none" w:sz="0" w:space="0" w:color="auto"/>
      </w:divBdr>
    </w:div>
    <w:div w:id="2027706920">
      <w:bodyDiv w:val="1"/>
      <w:marLeft w:val="0"/>
      <w:marRight w:val="0"/>
      <w:marTop w:val="0"/>
      <w:marBottom w:val="0"/>
      <w:divBdr>
        <w:top w:val="none" w:sz="0" w:space="0" w:color="auto"/>
        <w:left w:val="none" w:sz="0" w:space="0" w:color="auto"/>
        <w:bottom w:val="none" w:sz="0" w:space="0" w:color="auto"/>
        <w:right w:val="none" w:sz="0" w:space="0" w:color="auto"/>
      </w:divBdr>
    </w:div>
    <w:div w:id="2032149364">
      <w:bodyDiv w:val="1"/>
      <w:marLeft w:val="0"/>
      <w:marRight w:val="0"/>
      <w:marTop w:val="0"/>
      <w:marBottom w:val="0"/>
      <w:divBdr>
        <w:top w:val="none" w:sz="0" w:space="0" w:color="auto"/>
        <w:left w:val="none" w:sz="0" w:space="0" w:color="auto"/>
        <w:bottom w:val="none" w:sz="0" w:space="0" w:color="auto"/>
        <w:right w:val="none" w:sz="0" w:space="0" w:color="auto"/>
      </w:divBdr>
      <w:divsChild>
        <w:div w:id="447967143">
          <w:marLeft w:val="0"/>
          <w:marRight w:val="0"/>
          <w:marTop w:val="0"/>
          <w:marBottom w:val="0"/>
          <w:divBdr>
            <w:top w:val="none" w:sz="0" w:space="0" w:color="auto"/>
            <w:left w:val="none" w:sz="0" w:space="0" w:color="auto"/>
            <w:bottom w:val="none" w:sz="0" w:space="0" w:color="auto"/>
            <w:right w:val="none" w:sz="0" w:space="0" w:color="auto"/>
          </w:divBdr>
          <w:divsChild>
            <w:div w:id="344285198">
              <w:marLeft w:val="0"/>
              <w:marRight w:val="0"/>
              <w:marTop w:val="0"/>
              <w:marBottom w:val="0"/>
              <w:divBdr>
                <w:top w:val="none" w:sz="0" w:space="0" w:color="auto"/>
                <w:left w:val="none" w:sz="0" w:space="0" w:color="auto"/>
                <w:bottom w:val="none" w:sz="0" w:space="0" w:color="auto"/>
                <w:right w:val="none" w:sz="0" w:space="0" w:color="auto"/>
              </w:divBdr>
              <w:divsChild>
                <w:div w:id="133565078">
                  <w:marLeft w:val="0"/>
                  <w:marRight w:val="0"/>
                  <w:marTop w:val="0"/>
                  <w:marBottom w:val="129"/>
                  <w:divBdr>
                    <w:top w:val="none" w:sz="0" w:space="0" w:color="auto"/>
                    <w:left w:val="none" w:sz="0" w:space="0" w:color="auto"/>
                    <w:bottom w:val="none" w:sz="0" w:space="0" w:color="auto"/>
                    <w:right w:val="none" w:sz="0" w:space="0" w:color="auto"/>
                  </w:divBdr>
                  <w:divsChild>
                    <w:div w:id="177609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592252">
      <w:bodyDiv w:val="1"/>
      <w:marLeft w:val="0"/>
      <w:marRight w:val="0"/>
      <w:marTop w:val="0"/>
      <w:marBottom w:val="0"/>
      <w:divBdr>
        <w:top w:val="none" w:sz="0" w:space="0" w:color="auto"/>
        <w:left w:val="none" w:sz="0" w:space="0" w:color="auto"/>
        <w:bottom w:val="none" w:sz="0" w:space="0" w:color="auto"/>
        <w:right w:val="none" w:sz="0" w:space="0" w:color="auto"/>
      </w:divBdr>
    </w:div>
    <w:div w:id="2053192969">
      <w:bodyDiv w:val="1"/>
      <w:marLeft w:val="0"/>
      <w:marRight w:val="0"/>
      <w:marTop w:val="0"/>
      <w:marBottom w:val="0"/>
      <w:divBdr>
        <w:top w:val="none" w:sz="0" w:space="0" w:color="auto"/>
        <w:left w:val="none" w:sz="0" w:space="0" w:color="auto"/>
        <w:bottom w:val="none" w:sz="0" w:space="0" w:color="auto"/>
        <w:right w:val="none" w:sz="0" w:space="0" w:color="auto"/>
      </w:divBdr>
    </w:div>
    <w:div w:id="2054573595">
      <w:bodyDiv w:val="1"/>
      <w:marLeft w:val="0"/>
      <w:marRight w:val="0"/>
      <w:marTop w:val="0"/>
      <w:marBottom w:val="0"/>
      <w:divBdr>
        <w:top w:val="none" w:sz="0" w:space="0" w:color="auto"/>
        <w:left w:val="none" w:sz="0" w:space="0" w:color="auto"/>
        <w:bottom w:val="none" w:sz="0" w:space="0" w:color="auto"/>
        <w:right w:val="none" w:sz="0" w:space="0" w:color="auto"/>
      </w:divBdr>
    </w:div>
    <w:div w:id="2056008307">
      <w:bodyDiv w:val="1"/>
      <w:marLeft w:val="0"/>
      <w:marRight w:val="0"/>
      <w:marTop w:val="0"/>
      <w:marBottom w:val="0"/>
      <w:divBdr>
        <w:top w:val="none" w:sz="0" w:space="0" w:color="auto"/>
        <w:left w:val="none" w:sz="0" w:space="0" w:color="auto"/>
        <w:bottom w:val="none" w:sz="0" w:space="0" w:color="auto"/>
        <w:right w:val="none" w:sz="0" w:space="0" w:color="auto"/>
      </w:divBdr>
    </w:div>
    <w:div w:id="2057194842">
      <w:bodyDiv w:val="1"/>
      <w:marLeft w:val="0"/>
      <w:marRight w:val="0"/>
      <w:marTop w:val="0"/>
      <w:marBottom w:val="0"/>
      <w:divBdr>
        <w:top w:val="none" w:sz="0" w:space="0" w:color="auto"/>
        <w:left w:val="none" w:sz="0" w:space="0" w:color="auto"/>
        <w:bottom w:val="none" w:sz="0" w:space="0" w:color="auto"/>
        <w:right w:val="none" w:sz="0" w:space="0" w:color="auto"/>
      </w:divBdr>
    </w:div>
    <w:div w:id="2077893961">
      <w:bodyDiv w:val="1"/>
      <w:marLeft w:val="0"/>
      <w:marRight w:val="0"/>
      <w:marTop w:val="0"/>
      <w:marBottom w:val="0"/>
      <w:divBdr>
        <w:top w:val="none" w:sz="0" w:space="0" w:color="auto"/>
        <w:left w:val="none" w:sz="0" w:space="0" w:color="auto"/>
        <w:bottom w:val="none" w:sz="0" w:space="0" w:color="auto"/>
        <w:right w:val="none" w:sz="0" w:space="0" w:color="auto"/>
      </w:divBdr>
    </w:div>
    <w:div w:id="2080666072">
      <w:bodyDiv w:val="1"/>
      <w:marLeft w:val="0"/>
      <w:marRight w:val="0"/>
      <w:marTop w:val="0"/>
      <w:marBottom w:val="0"/>
      <w:divBdr>
        <w:top w:val="none" w:sz="0" w:space="0" w:color="auto"/>
        <w:left w:val="none" w:sz="0" w:space="0" w:color="auto"/>
        <w:bottom w:val="none" w:sz="0" w:space="0" w:color="auto"/>
        <w:right w:val="none" w:sz="0" w:space="0" w:color="auto"/>
      </w:divBdr>
      <w:divsChild>
        <w:div w:id="720372983">
          <w:marLeft w:val="0"/>
          <w:marRight w:val="0"/>
          <w:marTop w:val="0"/>
          <w:marBottom w:val="0"/>
          <w:divBdr>
            <w:top w:val="none" w:sz="0" w:space="0" w:color="auto"/>
            <w:left w:val="none" w:sz="0" w:space="0" w:color="auto"/>
            <w:bottom w:val="none" w:sz="0" w:space="0" w:color="auto"/>
            <w:right w:val="none" w:sz="0" w:space="0" w:color="auto"/>
          </w:divBdr>
          <w:divsChild>
            <w:div w:id="1362821808">
              <w:marLeft w:val="0"/>
              <w:marRight w:val="0"/>
              <w:marTop w:val="0"/>
              <w:marBottom w:val="0"/>
              <w:divBdr>
                <w:top w:val="none" w:sz="0" w:space="0" w:color="auto"/>
                <w:left w:val="none" w:sz="0" w:space="0" w:color="auto"/>
                <w:bottom w:val="none" w:sz="0" w:space="0" w:color="auto"/>
                <w:right w:val="none" w:sz="0" w:space="0" w:color="auto"/>
              </w:divBdr>
              <w:divsChild>
                <w:div w:id="1431853735">
                  <w:marLeft w:val="0"/>
                  <w:marRight w:val="0"/>
                  <w:marTop w:val="0"/>
                  <w:marBottom w:val="129"/>
                  <w:divBdr>
                    <w:top w:val="none" w:sz="0" w:space="0" w:color="auto"/>
                    <w:left w:val="none" w:sz="0" w:space="0" w:color="auto"/>
                    <w:bottom w:val="none" w:sz="0" w:space="0" w:color="auto"/>
                    <w:right w:val="none" w:sz="0" w:space="0" w:color="auto"/>
                  </w:divBdr>
                  <w:divsChild>
                    <w:div w:id="211682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055664">
      <w:bodyDiv w:val="1"/>
      <w:marLeft w:val="0"/>
      <w:marRight w:val="0"/>
      <w:marTop w:val="0"/>
      <w:marBottom w:val="0"/>
      <w:divBdr>
        <w:top w:val="none" w:sz="0" w:space="0" w:color="auto"/>
        <w:left w:val="none" w:sz="0" w:space="0" w:color="auto"/>
        <w:bottom w:val="none" w:sz="0" w:space="0" w:color="auto"/>
        <w:right w:val="none" w:sz="0" w:space="0" w:color="auto"/>
      </w:divBdr>
    </w:div>
    <w:div w:id="2102097000">
      <w:bodyDiv w:val="1"/>
      <w:marLeft w:val="0"/>
      <w:marRight w:val="0"/>
      <w:marTop w:val="0"/>
      <w:marBottom w:val="0"/>
      <w:divBdr>
        <w:top w:val="none" w:sz="0" w:space="0" w:color="auto"/>
        <w:left w:val="none" w:sz="0" w:space="0" w:color="auto"/>
        <w:bottom w:val="none" w:sz="0" w:space="0" w:color="auto"/>
        <w:right w:val="none" w:sz="0" w:space="0" w:color="auto"/>
      </w:divBdr>
    </w:div>
    <w:div w:id="2142337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hyperlink" Target="mailto:icrc@act.gov.au" TargetMode="External"/><Relationship Id="rId34" Type="http://schemas.openxmlformats.org/officeDocument/2006/relationships/chart" Target="charts/chart6.xml"/><Relationship Id="rId42" Type="http://schemas.openxmlformats.org/officeDocument/2006/relationships/header" Target="header18.xml"/><Relationship Id="rId47" Type="http://schemas.openxmlformats.org/officeDocument/2006/relationships/header" Target="header23.xml"/><Relationship Id="rId50" Type="http://schemas.openxmlformats.org/officeDocument/2006/relationships/header" Target="header26.xml"/><Relationship Id="rId55" Type="http://schemas.openxmlformats.org/officeDocument/2006/relationships/chart" Target="charts/chart13.xml"/><Relationship Id="rId63" Type="http://schemas.openxmlformats.org/officeDocument/2006/relationships/header" Target="header28.xml"/><Relationship Id="rId68" Type="http://schemas.openxmlformats.org/officeDocument/2006/relationships/header" Target="header32.xml"/><Relationship Id="rId76" Type="http://schemas.openxmlformats.org/officeDocument/2006/relationships/header" Target="header36.xml"/><Relationship Id="rId84" Type="http://schemas.openxmlformats.org/officeDocument/2006/relationships/header" Target="header44.xml"/><Relationship Id="rId89" Type="http://schemas.openxmlformats.org/officeDocument/2006/relationships/header" Target="header48.xml"/><Relationship Id="rId97" Type="http://schemas.openxmlformats.org/officeDocument/2006/relationships/header" Target="header56.xml"/><Relationship Id="rId7" Type="http://schemas.openxmlformats.org/officeDocument/2006/relationships/endnotes" Target="endnotes.xml"/><Relationship Id="rId71" Type="http://schemas.openxmlformats.org/officeDocument/2006/relationships/chart" Target="charts/chart21.xml"/><Relationship Id="rId92" Type="http://schemas.openxmlformats.org/officeDocument/2006/relationships/header" Target="header51.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chart" Target="charts/chart1.xml"/><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chart" Target="charts/chart4.xml"/><Relationship Id="rId37" Type="http://schemas.openxmlformats.org/officeDocument/2006/relationships/header" Target="header13.xml"/><Relationship Id="rId40" Type="http://schemas.openxmlformats.org/officeDocument/2006/relationships/header" Target="header16.xml"/><Relationship Id="rId45" Type="http://schemas.openxmlformats.org/officeDocument/2006/relationships/header" Target="header21.xml"/><Relationship Id="rId53" Type="http://schemas.openxmlformats.org/officeDocument/2006/relationships/chart" Target="charts/chart11.xml"/><Relationship Id="rId58" Type="http://schemas.openxmlformats.org/officeDocument/2006/relationships/chart" Target="charts/chart16.xml"/><Relationship Id="rId66" Type="http://schemas.openxmlformats.org/officeDocument/2006/relationships/chart" Target="charts/chart20.xml"/><Relationship Id="rId74" Type="http://schemas.openxmlformats.org/officeDocument/2006/relationships/chart" Target="charts/chart24.xml"/><Relationship Id="rId79" Type="http://schemas.openxmlformats.org/officeDocument/2006/relationships/header" Target="header39.xml"/><Relationship Id="rId87" Type="http://schemas.openxmlformats.org/officeDocument/2006/relationships/hyperlink" Target="file:///C:\Users\Nicholas\AppData\Roaming\Microsoft\Word\www.sydneywater.com.au\SW\accounts-billing\understanding-your-bill\our-prices\index.htm" TargetMode="External"/><Relationship Id="rId5" Type="http://schemas.openxmlformats.org/officeDocument/2006/relationships/webSettings" Target="webSettings.xml"/><Relationship Id="rId61" Type="http://schemas.openxmlformats.org/officeDocument/2006/relationships/chart" Target="charts/chart19.xml"/><Relationship Id="rId82" Type="http://schemas.openxmlformats.org/officeDocument/2006/relationships/header" Target="header42.xml"/><Relationship Id="rId90" Type="http://schemas.openxmlformats.org/officeDocument/2006/relationships/header" Target="header49.xml"/><Relationship Id="rId95" Type="http://schemas.openxmlformats.org/officeDocument/2006/relationships/header" Target="header54.xml"/><Relationship Id="rId19" Type="http://schemas.openxmlformats.org/officeDocument/2006/relationships/footer" Target="footer5.xml"/><Relationship Id="rId14" Type="http://schemas.openxmlformats.org/officeDocument/2006/relationships/hyperlink" Target="http://www.icrc.act.gov.au" TargetMode="Externa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chart" Target="charts/chart2.xml"/><Relationship Id="rId35" Type="http://schemas.openxmlformats.org/officeDocument/2006/relationships/chart" Target="charts/chart7.xml"/><Relationship Id="rId43" Type="http://schemas.openxmlformats.org/officeDocument/2006/relationships/header" Target="header19.xml"/><Relationship Id="rId48" Type="http://schemas.openxmlformats.org/officeDocument/2006/relationships/header" Target="header24.xml"/><Relationship Id="rId56" Type="http://schemas.openxmlformats.org/officeDocument/2006/relationships/chart" Target="charts/chart14.xml"/><Relationship Id="rId64" Type="http://schemas.openxmlformats.org/officeDocument/2006/relationships/header" Target="header29.xml"/><Relationship Id="rId69" Type="http://schemas.openxmlformats.org/officeDocument/2006/relationships/header" Target="header33.xml"/><Relationship Id="rId77" Type="http://schemas.openxmlformats.org/officeDocument/2006/relationships/header" Target="header37.xml"/><Relationship Id="rId100"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chart" Target="charts/chart9.xml"/><Relationship Id="rId72" Type="http://schemas.openxmlformats.org/officeDocument/2006/relationships/chart" Target="charts/chart22.xml"/><Relationship Id="rId80" Type="http://schemas.openxmlformats.org/officeDocument/2006/relationships/header" Target="header40.xml"/><Relationship Id="rId85" Type="http://schemas.openxmlformats.org/officeDocument/2006/relationships/header" Target="header45.xml"/><Relationship Id="rId93" Type="http://schemas.openxmlformats.org/officeDocument/2006/relationships/header" Target="header52.xm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chart" Target="charts/chart5.xml"/><Relationship Id="rId38" Type="http://schemas.openxmlformats.org/officeDocument/2006/relationships/header" Target="header14.xml"/><Relationship Id="rId46" Type="http://schemas.openxmlformats.org/officeDocument/2006/relationships/header" Target="header22.xml"/><Relationship Id="rId59" Type="http://schemas.openxmlformats.org/officeDocument/2006/relationships/chart" Target="charts/chart17.xml"/><Relationship Id="rId67" Type="http://schemas.openxmlformats.org/officeDocument/2006/relationships/header" Target="header31.xml"/><Relationship Id="rId20" Type="http://schemas.openxmlformats.org/officeDocument/2006/relationships/header" Target="header6.xml"/><Relationship Id="rId41" Type="http://schemas.openxmlformats.org/officeDocument/2006/relationships/header" Target="header17.xml"/><Relationship Id="rId54" Type="http://schemas.openxmlformats.org/officeDocument/2006/relationships/chart" Target="charts/chart12.xml"/><Relationship Id="rId62" Type="http://schemas.openxmlformats.org/officeDocument/2006/relationships/header" Target="header27.xml"/><Relationship Id="rId70" Type="http://schemas.openxmlformats.org/officeDocument/2006/relationships/header" Target="header34.xml"/><Relationship Id="rId75" Type="http://schemas.openxmlformats.org/officeDocument/2006/relationships/header" Target="header35.xml"/><Relationship Id="rId83" Type="http://schemas.openxmlformats.org/officeDocument/2006/relationships/header" Target="header43.xml"/><Relationship Id="rId88" Type="http://schemas.openxmlformats.org/officeDocument/2006/relationships/header" Target="header47.xml"/><Relationship Id="rId91" Type="http://schemas.openxmlformats.org/officeDocument/2006/relationships/header" Target="header50.xml"/><Relationship Id="rId96" Type="http://schemas.openxmlformats.org/officeDocument/2006/relationships/header" Target="header5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icrc@act.gov.au" TargetMode="External"/><Relationship Id="rId23" Type="http://schemas.openxmlformats.org/officeDocument/2006/relationships/header" Target="header8.xml"/><Relationship Id="rId28" Type="http://schemas.openxmlformats.org/officeDocument/2006/relationships/header" Target="header12.xml"/><Relationship Id="rId36" Type="http://schemas.openxmlformats.org/officeDocument/2006/relationships/chart" Target="charts/chart8.xml"/><Relationship Id="rId49" Type="http://schemas.openxmlformats.org/officeDocument/2006/relationships/header" Target="header25.xml"/><Relationship Id="rId57" Type="http://schemas.openxmlformats.org/officeDocument/2006/relationships/chart" Target="charts/chart15.xml"/><Relationship Id="rId10" Type="http://schemas.openxmlformats.org/officeDocument/2006/relationships/footer" Target="footer1.xml"/><Relationship Id="rId31" Type="http://schemas.openxmlformats.org/officeDocument/2006/relationships/chart" Target="charts/chart3.xml"/><Relationship Id="rId44" Type="http://schemas.openxmlformats.org/officeDocument/2006/relationships/header" Target="header20.xml"/><Relationship Id="rId52" Type="http://schemas.openxmlformats.org/officeDocument/2006/relationships/chart" Target="charts/chart10.xml"/><Relationship Id="rId60" Type="http://schemas.openxmlformats.org/officeDocument/2006/relationships/chart" Target="charts/chart18.xml"/><Relationship Id="rId65" Type="http://schemas.openxmlformats.org/officeDocument/2006/relationships/header" Target="header30.xml"/><Relationship Id="rId73" Type="http://schemas.openxmlformats.org/officeDocument/2006/relationships/chart" Target="charts/chart23.xml"/><Relationship Id="rId78" Type="http://schemas.openxmlformats.org/officeDocument/2006/relationships/header" Target="header38.xml"/><Relationship Id="rId81" Type="http://schemas.openxmlformats.org/officeDocument/2006/relationships/header" Target="header41.xml"/><Relationship Id="rId86" Type="http://schemas.openxmlformats.org/officeDocument/2006/relationships/header" Target="header46.xml"/><Relationship Id="rId94" Type="http://schemas.openxmlformats.org/officeDocument/2006/relationships/header" Target="header53.xml"/><Relationship Id="rId9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4.xml"/><Relationship Id="rId39" Type="http://schemas.openxmlformats.org/officeDocument/2006/relationships/header" Target="header15.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3.jpeg"/></Relationships>
</file>

<file path=word/_rels/footer6.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3" Type="http://schemas.openxmlformats.org/officeDocument/2006/relationships/hyperlink" Target="http://www.icrc.act.gov.au/wp-content/uploads/2016/06/Report-4-of-2016-June-2016.pdf" TargetMode="External"/><Relationship Id="rId2" Type="http://schemas.openxmlformats.org/officeDocument/2006/relationships/hyperlink" Target="http://www.icrc.act.gov.au/wp-content/uploads/2015/11/TariffRev_Elasticity_paperv8.pdf" TargetMode="External"/><Relationship Id="rId1" Type="http://schemas.openxmlformats.org/officeDocument/2006/relationships/hyperlink" Target="https://www.iconwater.com.au/Water-and-Sewerage-System/Dams/Cotter-Dam.aspx" TargetMode="External"/><Relationship Id="rId4" Type="http://schemas.openxmlformats.org/officeDocument/2006/relationships/hyperlink" Target="https://www.iconwater.com.au/Water-and-Sewerage-System/Dams/Cotter-Dam.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G:\ICRC\ICRC%20RECORDS%20MANAGEMENT\UTILITIES%20&amp;%20INFRASTRUCTURE%20REGULATION\Determinations%20(Regulated%20Industries)\FRC%20Retail%20Tariff%202014%20%231310941\B-Reports\2%20Issues%20paper\RREP%20-%20Issues%20Paper%20Template%20V1.3%2013.09.17.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5.xml"/><Relationship Id="rId1" Type="http://schemas.microsoft.com/office/2011/relationships/chartStyle" Target="style5.xml"/></Relationships>
</file>

<file path=word/charts/_rels/chart1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6.xml"/><Relationship Id="rId1" Type="http://schemas.microsoft.com/office/2011/relationships/chartStyle" Target="style6.xml"/></Relationships>
</file>

<file path=word/charts/_rels/chart1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7.xml"/><Relationship Id="rId1" Type="http://schemas.microsoft.com/office/2011/relationships/chartStyle" Target="style7.xml"/></Relationships>
</file>

<file path=word/charts/_rels/chart1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5.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8.xml"/><Relationship Id="rId1" Type="http://schemas.microsoft.com/office/2011/relationships/chartStyle" Target="style8.xm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NULL"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9.xml"/><Relationship Id="rId1" Type="http://schemas.microsoft.com/office/2011/relationships/chartStyle" Target="style9.xml"/></Relationships>
</file>

<file path=word/charts/_rels/chart2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NULL"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9.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55202977808341"/>
          <c:y val="4.3170821098510434E-2"/>
          <c:w val="0.82644918258259126"/>
          <c:h val="0.83474691762809561"/>
        </c:manualLayout>
      </c:layout>
      <c:barChart>
        <c:barDir val="col"/>
        <c:grouping val="stacked"/>
        <c:varyColors val="0"/>
        <c:ser>
          <c:idx val="1"/>
          <c:order val="0"/>
          <c:tx>
            <c:strRef>
              <c:f>'2 Price data 2016-17'!$B$36</c:f>
              <c:strCache>
                <c:ptCount val="1"/>
                <c:pt idx="0">
                  <c:v>Residential supply charge</c:v>
                </c:pt>
              </c:strCache>
            </c:strRef>
          </c:tx>
          <c:spPr>
            <a:solidFill>
              <a:schemeClr val="tx2">
                <a:lumMod val="75000"/>
              </a:schemeClr>
            </a:solidFill>
            <a:ln>
              <a:noFill/>
            </a:ln>
            <a:effectLst/>
          </c:spPr>
          <c:invertIfNegative val="0"/>
          <c:dPt>
            <c:idx val="1"/>
            <c:invertIfNegative val="0"/>
            <c:bubble3D val="0"/>
            <c:spPr>
              <a:solidFill>
                <a:schemeClr val="tx2">
                  <a:lumMod val="75000"/>
                </a:schemeClr>
              </a:solidFill>
              <a:ln>
                <a:noFill/>
              </a:ln>
              <a:effectLst/>
            </c:spPr>
            <c:extLst xmlns:c16r2="http://schemas.microsoft.com/office/drawing/2015/06/chart">
              <c:ext xmlns:c16="http://schemas.microsoft.com/office/drawing/2014/chart" uri="{C3380CC4-5D6E-409C-BE32-E72D297353CC}">
                <c16:uniqueId val="{00000001-8A86-441A-B783-73D4D13A8C4A}"/>
              </c:ext>
            </c:extLst>
          </c:dPt>
          <c:dPt>
            <c:idx val="2"/>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8A86-441A-B783-73D4D13A8C4A}"/>
              </c:ext>
            </c:extLst>
          </c:dPt>
          <c:dPt>
            <c:idx val="3"/>
            <c:invertIfNegative val="0"/>
            <c:bubble3D val="0"/>
            <c:spPr>
              <a:solidFill>
                <a:schemeClr val="tx2">
                  <a:lumMod val="75000"/>
                </a:schemeClr>
              </a:solidFill>
              <a:ln>
                <a:noFill/>
              </a:ln>
              <a:effectLst/>
            </c:spPr>
            <c:extLst xmlns:c16r2="http://schemas.microsoft.com/office/drawing/2015/06/chart">
              <c:ext xmlns:c16="http://schemas.microsoft.com/office/drawing/2014/chart" uri="{C3380CC4-5D6E-409C-BE32-E72D297353CC}">
                <c16:uniqueId val="{0000000B-51CF-44BF-A845-3ED039999DD2}"/>
              </c:ext>
            </c:extLst>
          </c:dPt>
          <c:dPt>
            <c:idx val="5"/>
            <c:invertIfNegative val="0"/>
            <c:bubble3D val="0"/>
            <c:spPr>
              <a:solidFill>
                <a:schemeClr val="tx2">
                  <a:lumMod val="75000"/>
                </a:schemeClr>
              </a:solidFill>
              <a:ln>
                <a:noFill/>
              </a:ln>
              <a:effectLst/>
            </c:spPr>
            <c:extLst xmlns:c16r2="http://schemas.microsoft.com/office/drawing/2015/06/chart">
              <c:ext xmlns:c16="http://schemas.microsoft.com/office/drawing/2014/chart" uri="{C3380CC4-5D6E-409C-BE32-E72D297353CC}">
                <c16:uniqueId val="{00000001-51CF-44BF-A845-3ED039999DD2}"/>
              </c:ext>
            </c:extLst>
          </c:dPt>
          <c:dPt>
            <c:idx val="6"/>
            <c:invertIfNegative val="0"/>
            <c:bubble3D val="0"/>
            <c:spPr>
              <a:solidFill>
                <a:schemeClr val="tx2">
                  <a:lumMod val="75000"/>
                </a:schemeClr>
              </a:solidFill>
              <a:ln>
                <a:noFill/>
              </a:ln>
              <a:effectLst/>
            </c:spPr>
            <c:extLst xmlns:c16r2="http://schemas.microsoft.com/office/drawing/2015/06/chart">
              <c:ext xmlns:c16="http://schemas.microsoft.com/office/drawing/2014/chart" uri="{C3380CC4-5D6E-409C-BE32-E72D297353CC}">
                <c16:uniqueId val="{00000003-51CF-44BF-A845-3ED039999DD2}"/>
              </c:ext>
            </c:extLst>
          </c:dPt>
          <c:dLbls>
            <c:dLbl>
              <c:idx val="1"/>
              <c:layout>
                <c:manualLayout>
                  <c:x val="-4.755056814303927E-17"/>
                  <c:y val="1.2278279102012575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A86-441A-B783-73D4D13A8C4A}"/>
                </c:ext>
                <c:ext xmlns:c15="http://schemas.microsoft.com/office/drawing/2012/chart" uri="{CE6537A1-D6FC-4f65-9D91-7224C49458BB}"/>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 Price data 2016-17'!$A$37:$A$42</c:f>
              <c:strCache>
                <c:ptCount val="6"/>
                <c:pt idx="0">
                  <c:v>City West Water</c:v>
                </c:pt>
                <c:pt idx="1">
                  <c:v>Hunter Water</c:v>
                </c:pt>
                <c:pt idx="2">
                  <c:v>Icon Water</c:v>
                </c:pt>
                <c:pt idx="3">
                  <c:v>SA Water</c:v>
                </c:pt>
                <c:pt idx="4">
                  <c:v>Sydney Water</c:v>
                </c:pt>
                <c:pt idx="5">
                  <c:v>TasWater</c:v>
                </c:pt>
              </c:strCache>
            </c:strRef>
          </c:cat>
          <c:val>
            <c:numRef>
              <c:f>'2 Price data 2016-17'!$B$37:$B$42</c:f>
              <c:numCache>
                <c:formatCode>"$"#,##0.00</c:formatCode>
                <c:ptCount val="6"/>
                <c:pt idx="0">
                  <c:v>228</c:v>
                </c:pt>
                <c:pt idx="1">
                  <c:v>25.69</c:v>
                </c:pt>
                <c:pt idx="2">
                  <c:v>101.48</c:v>
                </c:pt>
                <c:pt idx="3">
                  <c:v>286.39999999999998</c:v>
                </c:pt>
                <c:pt idx="4">
                  <c:v>102.56</c:v>
                </c:pt>
                <c:pt idx="5">
                  <c:v>329.48</c:v>
                </c:pt>
              </c:numCache>
            </c:numRef>
          </c:val>
          <c:extLst xmlns:c16r2="http://schemas.microsoft.com/office/drawing/2015/06/chart">
            <c:ext xmlns:c16="http://schemas.microsoft.com/office/drawing/2014/chart" uri="{C3380CC4-5D6E-409C-BE32-E72D297353CC}">
              <c16:uniqueId val="{00000004-51CF-44BF-A845-3ED039999DD2}"/>
            </c:ext>
          </c:extLst>
        </c:ser>
        <c:dLbls>
          <c:dLblPos val="inEnd"/>
          <c:showLegendKey val="0"/>
          <c:showVal val="1"/>
          <c:showCatName val="0"/>
          <c:showSerName val="0"/>
          <c:showPercent val="0"/>
          <c:showBubbleSize val="0"/>
        </c:dLbls>
        <c:gapWidth val="150"/>
        <c:overlap val="100"/>
        <c:axId val="242031728"/>
        <c:axId val="245137520"/>
      </c:barChart>
      <c:catAx>
        <c:axId val="242031728"/>
        <c:scaling>
          <c:orientation val="minMax"/>
        </c:scaling>
        <c:delete val="0"/>
        <c:axPos val="b"/>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45137520"/>
        <c:crosses val="autoZero"/>
        <c:auto val="1"/>
        <c:lblAlgn val="ctr"/>
        <c:lblOffset val="100"/>
        <c:noMultiLvlLbl val="0"/>
      </c:catAx>
      <c:valAx>
        <c:axId val="245137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 per year</a:t>
                </a:r>
              </a:p>
            </c:rich>
          </c:tx>
          <c:layout>
            <c:manualLayout>
              <c:xMode val="edge"/>
              <c:yMode val="edge"/>
              <c:x val="2.2726170581204814E-2"/>
              <c:y val="0.3858683391934812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quot;$&quot;#,##0" sourceLinked="0"/>
        <c:majorTickMark val="none"/>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42031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55202977808341"/>
          <c:y val="4.3170821098510434E-2"/>
          <c:w val="0.82644918258259126"/>
          <c:h val="0.83474691762809561"/>
        </c:manualLayout>
      </c:layout>
      <c:barChart>
        <c:barDir val="col"/>
        <c:grouping val="clustered"/>
        <c:varyColors val="0"/>
        <c:ser>
          <c:idx val="1"/>
          <c:order val="0"/>
          <c:tx>
            <c:strRef>
              <c:f>'2 Price data 2016-17'!$D$36</c:f>
              <c:strCache>
                <c:ptCount val="1"/>
                <c:pt idx="0">
                  <c:v>Tier 1</c:v>
                </c:pt>
              </c:strCache>
            </c:strRef>
          </c:tx>
          <c:spPr>
            <a:solidFill>
              <a:schemeClr val="accent2">
                <a:lumMod val="75000"/>
              </a:schemeClr>
            </a:solidFill>
            <a:ln>
              <a:noFill/>
            </a:ln>
            <a:effectLst/>
          </c:spPr>
          <c:invertIfNegative val="0"/>
          <c:dPt>
            <c:idx val="5"/>
            <c:invertIfNegative val="0"/>
            <c:bubble3D val="0"/>
            <c:spPr>
              <a:solidFill>
                <a:schemeClr val="accent1">
                  <a:lumMod val="75000"/>
                </a:schemeClr>
              </a:solidFill>
              <a:ln>
                <a:noFill/>
              </a:ln>
              <a:effectLst/>
            </c:spPr>
            <c:extLst xmlns:c16r2="http://schemas.microsoft.com/office/drawing/2015/06/chart">
              <c:ext xmlns:c16="http://schemas.microsoft.com/office/drawing/2014/chart" uri="{C3380CC4-5D6E-409C-BE32-E72D297353CC}">
                <c16:uniqueId val="{00000001-4A19-4A1A-96D0-3EAB14596914}"/>
              </c:ext>
            </c:extLst>
          </c:dPt>
          <c:dPt>
            <c:idx val="6"/>
            <c:invertIfNegative val="0"/>
            <c:bubble3D val="0"/>
            <c:spPr>
              <a:solidFill>
                <a:schemeClr val="accent1">
                  <a:lumMod val="75000"/>
                </a:schemeClr>
              </a:solidFill>
              <a:ln>
                <a:noFill/>
              </a:ln>
              <a:effectLst/>
            </c:spPr>
            <c:extLst xmlns:c16r2="http://schemas.microsoft.com/office/drawing/2015/06/chart">
              <c:ext xmlns:c16="http://schemas.microsoft.com/office/drawing/2014/chart" uri="{C3380CC4-5D6E-409C-BE32-E72D297353CC}">
                <c16:uniqueId val="{00000003-4A19-4A1A-96D0-3EAB14596914}"/>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 Price data 2016-17'!$C$37:$C$42</c:f>
              <c:strCache>
                <c:ptCount val="6"/>
                <c:pt idx="0">
                  <c:v>City West Water</c:v>
                </c:pt>
                <c:pt idx="1">
                  <c:v>Hunter Water</c:v>
                </c:pt>
                <c:pt idx="2">
                  <c:v>Icon Water</c:v>
                </c:pt>
                <c:pt idx="3">
                  <c:v>SA Water</c:v>
                </c:pt>
                <c:pt idx="4">
                  <c:v>Sydney Water</c:v>
                </c:pt>
                <c:pt idx="5">
                  <c:v>TasWater</c:v>
                </c:pt>
              </c:strCache>
            </c:strRef>
          </c:cat>
          <c:val>
            <c:numRef>
              <c:f>'2 Price data 2016-17'!$D$37:$D$42</c:f>
              <c:numCache>
                <c:formatCode>"$"#,##0.00</c:formatCode>
                <c:ptCount val="6"/>
                <c:pt idx="0">
                  <c:v>2.3932000000000002</c:v>
                </c:pt>
                <c:pt idx="1">
                  <c:v>2.25</c:v>
                </c:pt>
                <c:pt idx="2">
                  <c:v>2.61</c:v>
                </c:pt>
                <c:pt idx="3">
                  <c:v>2.27</c:v>
                </c:pt>
                <c:pt idx="4">
                  <c:v>2.2759999999999998</c:v>
                </c:pt>
                <c:pt idx="5">
                  <c:v>1</c:v>
                </c:pt>
              </c:numCache>
            </c:numRef>
          </c:val>
          <c:extLst xmlns:c16r2="http://schemas.microsoft.com/office/drawing/2015/06/chart">
            <c:ext xmlns:c16="http://schemas.microsoft.com/office/drawing/2014/chart" uri="{C3380CC4-5D6E-409C-BE32-E72D297353CC}">
              <c16:uniqueId val="{00000004-7BF5-4F58-8988-E1334F1B3604}"/>
            </c:ext>
          </c:extLst>
        </c:ser>
        <c:ser>
          <c:idx val="0"/>
          <c:order val="1"/>
          <c:tx>
            <c:strRef>
              <c:f>'2 Price data 2016-17'!$E$36</c:f>
              <c:strCache>
                <c:ptCount val="1"/>
                <c:pt idx="0">
                  <c:v>Tier 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AU" sz="7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 Price data 2016-17'!$C$37:$C$42</c:f>
              <c:strCache>
                <c:ptCount val="6"/>
                <c:pt idx="0">
                  <c:v>City West Water</c:v>
                </c:pt>
                <c:pt idx="1">
                  <c:v>Hunter Water</c:v>
                </c:pt>
                <c:pt idx="2">
                  <c:v>Icon Water</c:v>
                </c:pt>
                <c:pt idx="3">
                  <c:v>SA Water</c:v>
                </c:pt>
                <c:pt idx="4">
                  <c:v>Sydney Water</c:v>
                </c:pt>
                <c:pt idx="5">
                  <c:v>TasWater</c:v>
                </c:pt>
              </c:strCache>
            </c:strRef>
          </c:cat>
          <c:val>
            <c:numRef>
              <c:f>'2 Price data 2016-17'!$E$37:$E$42</c:f>
              <c:numCache>
                <c:formatCode>General</c:formatCode>
                <c:ptCount val="6"/>
                <c:pt idx="0" formatCode="&quot;$&quot;#,##0.00">
                  <c:v>2.8168000000000002</c:v>
                </c:pt>
                <c:pt idx="2" formatCode="&quot;$&quot;#,##0.00">
                  <c:v>5.24</c:v>
                </c:pt>
                <c:pt idx="3" formatCode="&quot;$&quot;#,##0.00">
                  <c:v>3.24</c:v>
                </c:pt>
              </c:numCache>
            </c:numRef>
          </c:val>
          <c:extLst xmlns:c16r2="http://schemas.microsoft.com/office/drawing/2015/06/chart">
            <c:ext xmlns:c16="http://schemas.microsoft.com/office/drawing/2014/chart" uri="{C3380CC4-5D6E-409C-BE32-E72D297353CC}">
              <c16:uniqueId val="{00000004-4A19-4A1A-96D0-3EAB14596914}"/>
            </c:ext>
          </c:extLst>
        </c:ser>
        <c:ser>
          <c:idx val="2"/>
          <c:order val="2"/>
          <c:tx>
            <c:strRef>
              <c:f>'2 Price data 2016-17'!$F$36</c:f>
              <c:strCache>
                <c:ptCount val="1"/>
                <c:pt idx="0">
                  <c:v>Tier 3</c:v>
                </c:pt>
              </c:strCache>
            </c:strRef>
          </c:tx>
          <c:spPr>
            <a:solidFill>
              <a:schemeClr val="bg2">
                <a:lumMod val="10000"/>
              </a:schemeClr>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AU" sz="7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 Price data 2016-17'!$C$37:$C$42</c:f>
              <c:strCache>
                <c:ptCount val="6"/>
                <c:pt idx="0">
                  <c:v>City West Water</c:v>
                </c:pt>
                <c:pt idx="1">
                  <c:v>Hunter Water</c:v>
                </c:pt>
                <c:pt idx="2">
                  <c:v>Icon Water</c:v>
                </c:pt>
                <c:pt idx="3">
                  <c:v>SA Water</c:v>
                </c:pt>
                <c:pt idx="4">
                  <c:v>Sydney Water</c:v>
                </c:pt>
                <c:pt idx="5">
                  <c:v>TasWater</c:v>
                </c:pt>
              </c:strCache>
            </c:strRef>
          </c:cat>
          <c:val>
            <c:numRef>
              <c:f>'2 Price data 2016-17'!$F$37:$F$42</c:f>
              <c:numCache>
                <c:formatCode>General</c:formatCode>
                <c:ptCount val="6"/>
                <c:pt idx="0" formatCode="&quot;$&quot;#,##0.00">
                  <c:v>4.1855000000000002</c:v>
                </c:pt>
                <c:pt idx="3" formatCode="&quot;$&quot;#,##0.00">
                  <c:v>3.51</c:v>
                </c:pt>
              </c:numCache>
            </c:numRef>
          </c:val>
          <c:extLst xmlns:c16r2="http://schemas.microsoft.com/office/drawing/2015/06/chart">
            <c:ext xmlns:c16="http://schemas.microsoft.com/office/drawing/2014/chart" uri="{C3380CC4-5D6E-409C-BE32-E72D297353CC}">
              <c16:uniqueId val="{00000005-4A19-4A1A-96D0-3EAB14596914}"/>
            </c:ext>
          </c:extLst>
        </c:ser>
        <c:dLbls>
          <c:dLblPos val="inEnd"/>
          <c:showLegendKey val="0"/>
          <c:showVal val="1"/>
          <c:showCatName val="0"/>
          <c:showSerName val="0"/>
          <c:showPercent val="0"/>
          <c:showBubbleSize val="0"/>
        </c:dLbls>
        <c:gapWidth val="20"/>
        <c:axId val="243115160"/>
        <c:axId val="249082728"/>
      </c:barChart>
      <c:catAx>
        <c:axId val="243115160"/>
        <c:scaling>
          <c:orientation val="minMax"/>
        </c:scaling>
        <c:delete val="0"/>
        <c:axPos val="b"/>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49082728"/>
        <c:crosses val="autoZero"/>
        <c:auto val="1"/>
        <c:lblAlgn val="ctr"/>
        <c:lblOffset val="100"/>
        <c:noMultiLvlLbl val="0"/>
      </c:catAx>
      <c:valAx>
        <c:axId val="249082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 per kL</a:t>
                </a:r>
              </a:p>
            </c:rich>
          </c:tx>
          <c:layout>
            <c:manualLayout>
              <c:xMode val="edge"/>
              <c:yMode val="edge"/>
              <c:x val="2.2726170581204814E-2"/>
              <c:y val="0.3858683391934812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quot;$&quot;#,##0.00" sourceLinked="0"/>
        <c:majorTickMark val="none"/>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43115160"/>
        <c:crosses val="autoZero"/>
        <c:crossBetween val="between"/>
      </c:valAx>
      <c:spPr>
        <a:noFill/>
        <a:ln>
          <a:noFill/>
        </a:ln>
        <a:effectLst/>
      </c:spPr>
    </c:plotArea>
    <c:legend>
      <c:legendPos val="t"/>
      <c:layout>
        <c:manualLayout>
          <c:xMode val="edge"/>
          <c:yMode val="edge"/>
          <c:x val="0.33852345100618098"/>
          <c:y val="5.1013979568478821E-2"/>
          <c:w val="0.31700413664087607"/>
          <c:h val="6.1079380632518082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55202977808341"/>
          <c:y val="4.3170821098510434E-2"/>
          <c:w val="0.82644918258259126"/>
          <c:h val="0.83474691762809561"/>
        </c:manualLayout>
      </c:layout>
      <c:barChart>
        <c:barDir val="col"/>
        <c:grouping val="stacked"/>
        <c:varyColors val="0"/>
        <c:ser>
          <c:idx val="1"/>
          <c:order val="0"/>
          <c:tx>
            <c:strRef>
              <c:f>ICRC_info!$B$45</c:f>
              <c:strCache>
                <c:ptCount val="1"/>
                <c:pt idx="0">
                  <c:v>$ per kL</c:v>
                </c:pt>
              </c:strCache>
            </c:strRef>
          </c:tx>
          <c:spPr>
            <a:solidFill>
              <a:schemeClr val="accent2">
                <a:lumMod val="75000"/>
              </a:schemeClr>
            </a:solidFill>
            <a:ln>
              <a:noFill/>
            </a:ln>
            <a:effectLst/>
          </c:spPr>
          <c:invertIfNegative val="0"/>
          <c:dPt>
            <c:idx val="4"/>
            <c:invertIfNegative val="0"/>
            <c:bubble3D val="0"/>
            <c:spPr>
              <a:solidFill>
                <a:schemeClr val="accent1">
                  <a:lumMod val="75000"/>
                </a:schemeClr>
              </a:solidFill>
              <a:ln>
                <a:noFill/>
              </a:ln>
              <a:effectLst/>
            </c:spPr>
            <c:extLst xmlns:c16r2="http://schemas.microsoft.com/office/drawing/2015/06/chart">
              <c:ext xmlns:c16="http://schemas.microsoft.com/office/drawing/2014/chart" uri="{C3380CC4-5D6E-409C-BE32-E72D297353CC}">
                <c16:uniqueId val="{00000001-187B-45F1-8063-BE722B97BF1A}"/>
              </c:ext>
            </c:extLst>
          </c:dPt>
          <c:dPt>
            <c:idx val="5"/>
            <c:invertIfNegative val="0"/>
            <c:bubble3D val="0"/>
            <c:spPr>
              <a:solidFill>
                <a:schemeClr val="accent1">
                  <a:lumMod val="75000"/>
                </a:schemeClr>
              </a:solidFill>
              <a:ln>
                <a:noFill/>
              </a:ln>
              <a:effectLst/>
            </c:spPr>
            <c:extLst xmlns:c16r2="http://schemas.microsoft.com/office/drawing/2015/06/chart">
              <c:ext xmlns:c16="http://schemas.microsoft.com/office/drawing/2014/chart" uri="{C3380CC4-5D6E-409C-BE32-E72D297353CC}">
                <c16:uniqueId val="{00000003-187B-45F1-8063-BE722B97BF1A}"/>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ICRC_info!$A$46:$A$52</c:f>
              <c:strCache>
                <c:ptCount val="6"/>
                <c:pt idx="0">
                  <c:v>Short-run marginal cost</c:v>
                </c:pt>
                <c:pt idx="1">
                  <c:v>TMC</c:v>
                </c:pt>
                <c:pt idx="2">
                  <c:v>AIC</c:v>
                </c:pt>
                <c:pt idx="3">
                  <c:v>MIC</c:v>
                </c:pt>
                <c:pt idx="4">
                  <c:v>Tier 1 price 2015-16 </c:v>
                </c:pt>
                <c:pt idx="5">
                  <c:v>Tier 2 price 2015-16 </c:v>
                </c:pt>
              </c:strCache>
              <c:extLst xmlns:c16r2="http://schemas.microsoft.com/office/drawing/2015/06/chart"/>
            </c:strRef>
          </c:cat>
          <c:val>
            <c:numRef>
              <c:f>ICRC_info!$B$46:$B$52</c:f>
              <c:numCache>
                <c:formatCode>0.00</c:formatCode>
                <c:ptCount val="6"/>
                <c:pt idx="0">
                  <c:v>0.72162462642239134</c:v>
                </c:pt>
                <c:pt idx="1">
                  <c:v>0.72162462642239134</c:v>
                </c:pt>
                <c:pt idx="2">
                  <c:v>1.6128655161237504</c:v>
                </c:pt>
                <c:pt idx="3">
                  <c:v>1.7366493383381056</c:v>
                </c:pt>
                <c:pt idx="4">
                  <c:v>2.6</c:v>
                </c:pt>
                <c:pt idx="5">
                  <c:v>5.22</c:v>
                </c:pt>
              </c:numCache>
              <c:extLst xmlns:c16r2="http://schemas.microsoft.com/office/drawing/2015/06/chart"/>
            </c:numRef>
          </c:val>
          <c:extLst xmlns:c16r2="http://schemas.microsoft.com/office/drawing/2015/06/chart">
            <c:ext xmlns:c16="http://schemas.microsoft.com/office/drawing/2014/chart" uri="{C3380CC4-5D6E-409C-BE32-E72D297353CC}">
              <c16:uniqueId val="{00000004-7BF5-4F58-8988-E1334F1B3604}"/>
            </c:ext>
          </c:extLst>
        </c:ser>
        <c:dLbls>
          <c:dLblPos val="inEnd"/>
          <c:showLegendKey val="0"/>
          <c:showVal val="1"/>
          <c:showCatName val="0"/>
          <c:showSerName val="0"/>
          <c:showPercent val="0"/>
          <c:showBubbleSize val="0"/>
        </c:dLbls>
        <c:gapWidth val="150"/>
        <c:overlap val="100"/>
        <c:axId val="249083512"/>
        <c:axId val="249083904"/>
      </c:barChart>
      <c:catAx>
        <c:axId val="249083512"/>
        <c:scaling>
          <c:orientation val="minMax"/>
        </c:scaling>
        <c:delete val="0"/>
        <c:axPos val="b"/>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49083904"/>
        <c:crosses val="autoZero"/>
        <c:auto val="1"/>
        <c:lblAlgn val="ctr"/>
        <c:lblOffset val="100"/>
        <c:noMultiLvlLbl val="0"/>
      </c:catAx>
      <c:valAx>
        <c:axId val="2490839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 per kL</a:t>
                </a:r>
              </a:p>
            </c:rich>
          </c:tx>
          <c:layout>
            <c:manualLayout>
              <c:xMode val="edge"/>
              <c:yMode val="edge"/>
              <c:x val="2.2726170581204814E-2"/>
              <c:y val="0.3858683391934812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quot;$&quot;#,##0.00" sourceLinked="0"/>
        <c:majorTickMark val="none"/>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49083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64448034692401"/>
          <c:y val="5.1324499092734073E-2"/>
          <c:w val="0.8334821521569945"/>
          <c:h val="0.78201666020569549"/>
        </c:manualLayout>
      </c:layout>
      <c:barChart>
        <c:barDir val="col"/>
        <c:grouping val="clustered"/>
        <c:varyColors val="0"/>
        <c:ser>
          <c:idx val="0"/>
          <c:order val="0"/>
          <c:tx>
            <c:strRef>
              <c:f>'4 Tiersplit'!$H$8</c:f>
              <c:strCache>
                <c:ptCount val="1"/>
                <c:pt idx="0">
                  <c:v>Observed</c:v>
                </c:pt>
              </c:strCache>
            </c:strRef>
          </c:tx>
          <c:invertIfNegative val="0"/>
          <c:cat>
            <c:numRef>
              <c:f>'4 Tiersplit'!$A$9:$A$15</c:f>
              <c:numCache>
                <c:formatCode>General</c:formatCode>
                <c:ptCount val="7"/>
                <c:pt idx="0">
                  <c:v>2009</c:v>
                </c:pt>
                <c:pt idx="1">
                  <c:v>2010</c:v>
                </c:pt>
                <c:pt idx="2">
                  <c:v>2011</c:v>
                </c:pt>
                <c:pt idx="3">
                  <c:v>2012</c:v>
                </c:pt>
                <c:pt idx="4">
                  <c:v>2013</c:v>
                </c:pt>
                <c:pt idx="5">
                  <c:v>2014</c:v>
                </c:pt>
                <c:pt idx="6">
                  <c:v>2015</c:v>
                </c:pt>
              </c:numCache>
            </c:numRef>
          </c:cat>
          <c:val>
            <c:numRef>
              <c:f>'4 Tiersplit'!$H$9:$H$15</c:f>
              <c:numCache>
                <c:formatCode>_(* #,##0.00_);_(* \(#,##0.00\);_(* "-"??_);_(@_)</c:formatCode>
                <c:ptCount val="7"/>
                <c:pt idx="0">
                  <c:v>53.558685491802493</c:v>
                </c:pt>
                <c:pt idx="1">
                  <c:v>56.921821057834485</c:v>
                </c:pt>
                <c:pt idx="2">
                  <c:v>61.887709884628549</c:v>
                </c:pt>
                <c:pt idx="3">
                  <c:v>61.739345660196967</c:v>
                </c:pt>
                <c:pt idx="4">
                  <c:v>56.969513448629442</c:v>
                </c:pt>
                <c:pt idx="5">
                  <c:v>56.665969278276471</c:v>
                </c:pt>
                <c:pt idx="6">
                  <c:v>60.411592949661184</c:v>
                </c:pt>
              </c:numCache>
            </c:numRef>
          </c:val>
          <c:extLst xmlns:c16r2="http://schemas.microsoft.com/office/drawing/2015/06/chart">
            <c:ext xmlns:c16="http://schemas.microsoft.com/office/drawing/2014/chart" uri="{C3380CC4-5D6E-409C-BE32-E72D297353CC}">
              <c16:uniqueId val="{00000000-9130-431A-8DE6-588D9FA90AAC}"/>
            </c:ext>
          </c:extLst>
        </c:ser>
        <c:dLbls>
          <c:showLegendKey val="0"/>
          <c:showVal val="0"/>
          <c:showCatName val="0"/>
          <c:showSerName val="0"/>
          <c:showPercent val="0"/>
          <c:showBubbleSize val="0"/>
        </c:dLbls>
        <c:gapWidth val="150"/>
        <c:axId val="248111056"/>
        <c:axId val="248111448"/>
      </c:barChart>
      <c:catAx>
        <c:axId val="248111056"/>
        <c:scaling>
          <c:orientation val="minMax"/>
        </c:scaling>
        <c:delete val="0"/>
        <c:axPos val="b"/>
        <c:title>
          <c:tx>
            <c:rich>
              <a:bodyPr/>
              <a:lstStyle/>
              <a:p>
                <a:pPr>
                  <a:defRPr b="0"/>
                </a:pPr>
                <a:r>
                  <a:rPr lang="en-US" b="0"/>
                  <a:t>Year ending 30 June</a:t>
                </a:r>
              </a:p>
            </c:rich>
          </c:tx>
          <c:overlay val="0"/>
        </c:title>
        <c:numFmt formatCode="General" sourceLinked="1"/>
        <c:majorTickMark val="out"/>
        <c:minorTickMark val="none"/>
        <c:tickLblPos val="nextTo"/>
        <c:txPr>
          <a:bodyPr/>
          <a:lstStyle/>
          <a:p>
            <a:pPr>
              <a:defRPr sz="800"/>
            </a:pPr>
            <a:endParaRPr lang="en-US"/>
          </a:p>
        </c:txPr>
        <c:crossAx val="248111448"/>
        <c:crosses val="autoZero"/>
        <c:auto val="1"/>
        <c:lblAlgn val="ctr"/>
        <c:lblOffset val="100"/>
        <c:noMultiLvlLbl val="0"/>
      </c:catAx>
      <c:valAx>
        <c:axId val="248111448"/>
        <c:scaling>
          <c:orientation val="minMax"/>
          <c:min val="52"/>
        </c:scaling>
        <c:delete val="0"/>
        <c:axPos val="l"/>
        <c:majorGridlines>
          <c:spPr>
            <a:ln w="3175">
              <a:solidFill>
                <a:schemeClr val="bg1">
                  <a:lumMod val="75000"/>
                </a:schemeClr>
              </a:solidFill>
            </a:ln>
          </c:spPr>
        </c:majorGridlines>
        <c:title>
          <c:tx>
            <c:rich>
              <a:bodyPr rot="-5400000" vert="horz"/>
              <a:lstStyle/>
              <a:p>
                <a:pPr>
                  <a:defRPr sz="800"/>
                </a:pPr>
                <a:r>
                  <a:rPr lang="en-US" sz="800"/>
                  <a:t>Tier 1 proportion (percent)</a:t>
                </a:r>
              </a:p>
            </c:rich>
          </c:tx>
          <c:layout>
            <c:manualLayout>
              <c:xMode val="edge"/>
              <c:yMode val="edge"/>
              <c:x val="2.8909547651906044E-2"/>
              <c:y val="0.18731720456526782"/>
            </c:manualLayout>
          </c:layout>
          <c:overlay val="0"/>
        </c:title>
        <c:numFmt formatCode="_(* #,##0_);_(* \(#,##0\);_(* &quot;-&quot;_);_(@_)" sourceLinked="0"/>
        <c:majorTickMark val="out"/>
        <c:minorTickMark val="none"/>
        <c:tickLblPos val="nextTo"/>
        <c:txPr>
          <a:bodyPr/>
          <a:lstStyle/>
          <a:p>
            <a:pPr>
              <a:defRPr sz="800"/>
            </a:pPr>
            <a:endParaRPr lang="en-US"/>
          </a:p>
        </c:txPr>
        <c:crossAx val="248111056"/>
        <c:crosses val="autoZero"/>
        <c:crossBetween val="between"/>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55202977808341"/>
          <c:y val="4.3170821098510434E-2"/>
          <c:w val="0.82644918258259126"/>
          <c:h val="0.83474691762809561"/>
        </c:manualLayout>
      </c:layout>
      <c:barChart>
        <c:barDir val="col"/>
        <c:grouping val="stacked"/>
        <c:varyColors val="0"/>
        <c:ser>
          <c:idx val="1"/>
          <c:order val="0"/>
          <c:tx>
            <c:strRef>
              <c:f>ICRC_info!$E$45</c:f>
              <c:strCache>
                <c:ptCount val="1"/>
                <c:pt idx="0">
                  <c:v>Supply charge</c:v>
                </c:pt>
              </c:strCache>
            </c:strRef>
          </c:tx>
          <c:spPr>
            <a:solidFill>
              <a:schemeClr val="accent2">
                <a:lumMod val="75000"/>
              </a:schemeClr>
            </a:solidFill>
            <a:ln>
              <a:noFill/>
            </a:ln>
            <a:effectLst/>
          </c:spPr>
          <c:invertIfNegative val="0"/>
          <c:dPt>
            <c:idx val="4"/>
            <c:invertIfNegative val="0"/>
            <c:bubble3D val="0"/>
            <c:spPr>
              <a:solidFill>
                <a:schemeClr val="accent1">
                  <a:lumMod val="75000"/>
                </a:schemeClr>
              </a:solidFill>
              <a:ln>
                <a:noFill/>
              </a:ln>
              <a:effectLst/>
            </c:spPr>
            <c:extLst xmlns:c16r2="http://schemas.microsoft.com/office/drawing/2015/06/chart">
              <c:ext xmlns:c16="http://schemas.microsoft.com/office/drawing/2014/chart" uri="{C3380CC4-5D6E-409C-BE32-E72D297353CC}">
                <c16:uniqueId val="{00000001-0A13-42EA-9BEC-E94A044993E6}"/>
              </c:ext>
            </c:extLst>
          </c:dPt>
          <c:dPt>
            <c:idx val="5"/>
            <c:invertIfNegative val="0"/>
            <c:bubble3D val="0"/>
            <c:spPr>
              <a:solidFill>
                <a:schemeClr val="accent1">
                  <a:lumMod val="75000"/>
                </a:schemeClr>
              </a:solidFill>
              <a:ln>
                <a:noFill/>
              </a:ln>
              <a:effectLst/>
            </c:spPr>
            <c:extLst xmlns:c16r2="http://schemas.microsoft.com/office/drawing/2015/06/chart">
              <c:ext xmlns:c16="http://schemas.microsoft.com/office/drawing/2014/chart" uri="{C3380CC4-5D6E-409C-BE32-E72D297353CC}">
                <c16:uniqueId val="{00000003-0A13-42EA-9BEC-E94A044993E6}"/>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ICRC_info!$D$46:$D$51</c:f>
              <c:strCache>
                <c:ptCount val="5"/>
                <c:pt idx="0">
                  <c:v>Short-run marginal cost</c:v>
                </c:pt>
                <c:pt idx="1">
                  <c:v>TMC</c:v>
                </c:pt>
                <c:pt idx="2">
                  <c:v>AIC</c:v>
                </c:pt>
                <c:pt idx="3">
                  <c:v>MIC</c:v>
                </c:pt>
                <c:pt idx="4">
                  <c:v>Supply charge 2015-16</c:v>
                </c:pt>
              </c:strCache>
              <c:extLst xmlns:c16r2="http://schemas.microsoft.com/office/drawing/2015/06/chart"/>
            </c:strRef>
          </c:cat>
          <c:val>
            <c:numRef>
              <c:f>ICRC_info!$E$46:$E$51</c:f>
              <c:numCache>
                <c:formatCode>_(* #,##0.00_);_(* \(#,##0.00\);_(* "-"??_);_(@_)</c:formatCode>
                <c:ptCount val="5"/>
                <c:pt idx="0">
                  <c:v>865</c:v>
                </c:pt>
                <c:pt idx="1">
                  <c:v>865</c:v>
                </c:pt>
                <c:pt idx="2">
                  <c:v>635</c:v>
                </c:pt>
                <c:pt idx="3">
                  <c:v>605</c:v>
                </c:pt>
                <c:pt idx="4" formatCode="General">
                  <c:v>101.14</c:v>
                </c:pt>
              </c:numCache>
              <c:extLst xmlns:c16r2="http://schemas.microsoft.com/office/drawing/2015/06/chart"/>
            </c:numRef>
          </c:val>
          <c:extLst xmlns:c16r2="http://schemas.microsoft.com/office/drawing/2015/06/chart">
            <c:ext xmlns:c16="http://schemas.microsoft.com/office/drawing/2014/chart" uri="{C3380CC4-5D6E-409C-BE32-E72D297353CC}">
              <c16:uniqueId val="{00000004-9B62-468E-9564-83BBF7C5F423}"/>
            </c:ext>
          </c:extLst>
        </c:ser>
        <c:dLbls>
          <c:dLblPos val="inEnd"/>
          <c:showLegendKey val="0"/>
          <c:showVal val="1"/>
          <c:showCatName val="0"/>
          <c:showSerName val="0"/>
          <c:showPercent val="0"/>
          <c:showBubbleSize val="0"/>
        </c:dLbls>
        <c:gapWidth val="150"/>
        <c:overlap val="100"/>
        <c:axId val="248112232"/>
        <c:axId val="248112624"/>
      </c:barChart>
      <c:catAx>
        <c:axId val="248112232"/>
        <c:scaling>
          <c:orientation val="minMax"/>
        </c:scaling>
        <c:delete val="0"/>
        <c:axPos val="b"/>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48112624"/>
        <c:crosses val="autoZero"/>
        <c:auto val="1"/>
        <c:lblAlgn val="ctr"/>
        <c:lblOffset val="100"/>
        <c:noMultiLvlLbl val="0"/>
      </c:catAx>
      <c:valAx>
        <c:axId val="2481126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 per year</a:t>
                </a:r>
              </a:p>
            </c:rich>
          </c:tx>
          <c:layout>
            <c:manualLayout>
              <c:xMode val="edge"/>
              <c:yMode val="edge"/>
              <c:x val="2.2726170581204814E-2"/>
              <c:y val="0.3858683391934812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quot;$&quot;#,##0" sourceLinked="0"/>
        <c:majorTickMark val="none"/>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48112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a:pPr>
            <a:r>
              <a:rPr lang="en-AU" sz="1000" b="1"/>
              <a:t>Standalone houses</a:t>
            </a:r>
          </a:p>
        </c:rich>
      </c:tx>
      <c:layout>
        <c:manualLayout>
          <c:xMode val="edge"/>
          <c:yMode val="edge"/>
          <c:x val="0.47786196255298496"/>
          <c:y val="4.1655164119706663E-2"/>
        </c:manualLayout>
      </c:layout>
      <c:overlay val="1"/>
    </c:title>
    <c:autoTitleDeleted val="0"/>
    <c:plotArea>
      <c:layout>
        <c:manualLayout>
          <c:layoutTarget val="inner"/>
          <c:xMode val="edge"/>
          <c:yMode val="edge"/>
          <c:x val="9.4619102696701166E-2"/>
          <c:y val="2.8314093347741025E-2"/>
          <c:w val="0.79383124545914663"/>
          <c:h val="0.90669604169564255"/>
        </c:manualLayout>
      </c:layout>
      <c:areaChart>
        <c:grouping val="standard"/>
        <c:varyColors val="0"/>
        <c:ser>
          <c:idx val="3"/>
          <c:order val="0"/>
          <c:tx>
            <c:strRef>
              <c:f>Houses_Chart!$C$2</c:f>
              <c:strCache>
                <c:ptCount val="1"/>
                <c:pt idx="0">
                  <c:v>Proportion of houses by water use</c:v>
                </c:pt>
              </c:strCache>
            </c:strRef>
          </c:tx>
          <c:spPr>
            <a:solidFill>
              <a:schemeClr val="accent6">
                <a:lumMod val="60000"/>
                <a:lumOff val="40000"/>
              </a:schemeClr>
            </a:solidFill>
          </c:spPr>
          <c:cat>
            <c:numRef>
              <c:f>Houses_Chart!$A$3:$A$43</c:f>
              <c:numCache>
                <c:formatCode>General</c:formatCode>
                <c:ptCount val="41"/>
                <c:pt idx="0">
                  <c:v>0</c:v>
                </c:pt>
                <c:pt idx="1">
                  <c:v>25</c:v>
                </c:pt>
                <c:pt idx="2">
                  <c:v>50</c:v>
                </c:pt>
                <c:pt idx="3">
                  <c:v>75</c:v>
                </c:pt>
                <c:pt idx="4">
                  <c:v>100</c:v>
                </c:pt>
                <c:pt idx="5">
                  <c:v>125</c:v>
                </c:pt>
                <c:pt idx="6">
                  <c:v>150</c:v>
                </c:pt>
                <c:pt idx="7">
                  <c:v>175</c:v>
                </c:pt>
                <c:pt idx="8">
                  <c:v>200</c:v>
                </c:pt>
                <c:pt idx="9">
                  <c:v>225</c:v>
                </c:pt>
                <c:pt idx="10">
                  <c:v>250</c:v>
                </c:pt>
                <c:pt idx="11">
                  <c:v>275</c:v>
                </c:pt>
                <c:pt idx="12">
                  <c:v>300</c:v>
                </c:pt>
                <c:pt idx="13">
                  <c:v>325</c:v>
                </c:pt>
                <c:pt idx="14">
                  <c:v>350</c:v>
                </c:pt>
                <c:pt idx="15">
                  <c:v>375</c:v>
                </c:pt>
                <c:pt idx="16">
                  <c:v>400</c:v>
                </c:pt>
                <c:pt idx="17">
                  <c:v>425</c:v>
                </c:pt>
                <c:pt idx="18">
                  <c:v>450</c:v>
                </c:pt>
                <c:pt idx="19">
                  <c:v>475</c:v>
                </c:pt>
                <c:pt idx="20">
                  <c:v>500</c:v>
                </c:pt>
                <c:pt idx="21">
                  <c:v>525</c:v>
                </c:pt>
                <c:pt idx="22">
                  <c:v>550</c:v>
                </c:pt>
                <c:pt idx="23">
                  <c:v>575</c:v>
                </c:pt>
                <c:pt idx="24">
                  <c:v>600</c:v>
                </c:pt>
                <c:pt idx="25">
                  <c:v>625</c:v>
                </c:pt>
                <c:pt idx="26">
                  <c:v>650</c:v>
                </c:pt>
                <c:pt idx="27">
                  <c:v>675</c:v>
                </c:pt>
                <c:pt idx="28">
                  <c:v>700</c:v>
                </c:pt>
                <c:pt idx="29">
                  <c:v>725</c:v>
                </c:pt>
                <c:pt idx="30">
                  <c:v>750</c:v>
                </c:pt>
                <c:pt idx="31">
                  <c:v>775</c:v>
                </c:pt>
                <c:pt idx="32">
                  <c:v>800</c:v>
                </c:pt>
                <c:pt idx="33">
                  <c:v>825</c:v>
                </c:pt>
                <c:pt idx="34">
                  <c:v>850</c:v>
                </c:pt>
                <c:pt idx="35">
                  <c:v>875</c:v>
                </c:pt>
                <c:pt idx="36">
                  <c:v>900</c:v>
                </c:pt>
                <c:pt idx="37">
                  <c:v>925</c:v>
                </c:pt>
                <c:pt idx="38">
                  <c:v>950</c:v>
                </c:pt>
                <c:pt idx="39">
                  <c:v>975</c:v>
                </c:pt>
                <c:pt idx="40">
                  <c:v>1000</c:v>
                </c:pt>
              </c:numCache>
            </c:numRef>
          </c:cat>
          <c:val>
            <c:numRef>
              <c:f>Houses_Chart!$C$3:$C$43</c:f>
              <c:numCache>
                <c:formatCode>0%</c:formatCode>
                <c:ptCount val="41"/>
                <c:pt idx="0">
                  <c:v>0</c:v>
                </c:pt>
                <c:pt idx="1">
                  <c:v>4.1903592364306915E-4</c:v>
                </c:pt>
                <c:pt idx="2">
                  <c:v>1.4979853673042566E-2</c:v>
                </c:pt>
                <c:pt idx="3">
                  <c:v>5.5478704522981377E-2</c:v>
                </c:pt>
                <c:pt idx="4">
                  <c:v>9.2802000008514074E-2</c:v>
                </c:pt>
                <c:pt idx="5">
                  <c:v>0.11074078106109245</c:v>
                </c:pt>
                <c:pt idx="6">
                  <c:v>0.1118483676734835</c:v>
                </c:pt>
                <c:pt idx="7">
                  <c:v>0.10312725804307143</c:v>
                </c:pt>
                <c:pt idx="8">
                  <c:v>9.0169423604616217E-2</c:v>
                </c:pt>
                <c:pt idx="9">
                  <c:v>7.6346809533506255E-2</c:v>
                </c:pt>
                <c:pt idx="10">
                  <c:v>6.3376771110822849E-2</c:v>
                </c:pt>
                <c:pt idx="11">
                  <c:v>5.1975084851649478E-2</c:v>
                </c:pt>
                <c:pt idx="12">
                  <c:v>4.2317310819734999E-2</c:v>
                </c:pt>
                <c:pt idx="13">
                  <c:v>3.4316876134293683E-2</c:v>
                </c:pt>
                <c:pt idx="14">
                  <c:v>2.7778932773125375E-2</c:v>
                </c:pt>
                <c:pt idx="15">
                  <c:v>2.2479856092628703E-2</c:v>
                </c:pt>
                <c:pt idx="16">
                  <c:v>1.8205093019795782E-2</c:v>
                </c:pt>
                <c:pt idx="17">
                  <c:v>1.4764789658042843E-2</c:v>
                </c:pt>
                <c:pt idx="18">
                  <c:v>1.1998144964437851E-2</c:v>
                </c:pt>
                <c:pt idx="19">
                  <c:v>9.7724363363674849E-3</c:v>
                </c:pt>
                <c:pt idx="20">
                  <c:v>7.9798389337698561E-3</c:v>
                </c:pt>
                <c:pt idx="21">
                  <c:v>6.5336104493038949E-3</c:v>
                </c:pt>
                <c:pt idx="22">
                  <c:v>5.3643825338888229E-3</c:v>
                </c:pt>
                <c:pt idx="23">
                  <c:v>4.4168670327578985E-3</c:v>
                </c:pt>
                <c:pt idx="24">
                  <c:v>3.6470677663990037E-3</c:v>
                </c:pt>
                <c:pt idx="25">
                  <c:v>3.0199860230103459E-3</c:v>
                </c:pt>
                <c:pt idx="26">
                  <c:v>2.5077651015728009E-3</c:v>
                </c:pt>
                <c:pt idx="27">
                  <c:v>2.0882064020127933E-3</c:v>
                </c:pt>
                <c:pt idx="28">
                  <c:v>1.7435908832846847E-3</c:v>
                </c:pt>
                <c:pt idx="29">
                  <c:v>1.4597469755025516E-3</c:v>
                </c:pt>
                <c:pt idx="30">
                  <c:v>1.2253151055794387E-3</c:v>
                </c:pt>
                <c:pt idx="31">
                  <c:v>1.0311679203472979E-3</c:v>
                </c:pt>
                <c:pt idx="32">
                  <c:v>8.6995324289640408E-4</c:v>
                </c:pt>
                <c:pt idx="33">
                  <c:v>7.357335229928319E-4</c:v>
                </c:pt>
                <c:pt idx="34">
                  <c:v>6.2370105762010741E-4</c:v>
                </c:pt>
                <c:pt idx="35">
                  <c:v>5.2995269401678868E-4</c:v>
                </c:pt>
                <c:pt idx="36">
                  <c:v>4.5131125169628472E-4</c:v>
                </c:pt>
                <c:pt idx="37">
                  <c:v>3.8518367669748699E-4</c:v>
                </c:pt>
                <c:pt idx="38">
                  <c:v>3.2944811774038296E-4</c:v>
                </c:pt>
                <c:pt idx="39">
                  <c:v>2.8236381439628033E-4</c:v>
                </c:pt>
                <c:pt idx="40">
                  <c:v>2.4249901356543369E-4</c:v>
                </c:pt>
              </c:numCache>
            </c:numRef>
          </c:val>
          <c:extLst xmlns:c16r2="http://schemas.microsoft.com/office/drawing/2015/06/chart">
            <c:ext xmlns:c16="http://schemas.microsoft.com/office/drawing/2014/chart" uri="{C3380CC4-5D6E-409C-BE32-E72D297353CC}">
              <c16:uniqueId val="{00000000-4595-49BA-96A5-7FC29D778000}"/>
            </c:ext>
          </c:extLst>
        </c:ser>
        <c:dLbls>
          <c:showLegendKey val="0"/>
          <c:showVal val="0"/>
          <c:showCatName val="0"/>
          <c:showSerName val="0"/>
          <c:showPercent val="0"/>
          <c:showBubbleSize val="0"/>
        </c:dLbls>
        <c:axId val="246827472"/>
        <c:axId val="246827864"/>
      </c:areaChart>
      <c:lineChart>
        <c:grouping val="standard"/>
        <c:varyColors val="0"/>
        <c:ser>
          <c:idx val="0"/>
          <c:order val="1"/>
          <c:tx>
            <c:strRef>
              <c:f>Houses_Chart!$E$2</c:f>
              <c:strCache>
                <c:ptCount val="1"/>
                <c:pt idx="0">
                  <c:v>Water charges impact</c:v>
                </c:pt>
              </c:strCache>
            </c:strRef>
          </c:tx>
          <c:spPr>
            <a:ln>
              <a:solidFill>
                <a:schemeClr val="tx1"/>
              </a:solidFill>
              <a:prstDash val="solid"/>
            </a:ln>
          </c:spPr>
          <c:marker>
            <c:symbol val="none"/>
          </c:marker>
          <c:val>
            <c:numRef>
              <c:f>Houses_Chart!$E$3:$E$43</c:f>
              <c:numCache>
                <c:formatCode>0%</c:formatCode>
                <c:ptCount val="41"/>
                <c:pt idx="0">
                  <c:v>5.011036657469452</c:v>
                </c:pt>
                <c:pt idx="1">
                  <c:v>2.9191301130766782</c:v>
                </c:pt>
                <c:pt idx="2">
                  <c:v>2.0040224480840974</c:v>
                </c:pt>
                <c:pt idx="3">
                  <c:v>1.4906964009683521</c:v>
                </c:pt>
                <c:pt idx="4">
                  <c:v>1.1621779270941777</c:v>
                </c:pt>
                <c:pt idx="5">
                  <c:v>0.93389011471342243</c:v>
                </c:pt>
                <c:pt idx="6">
                  <c:v>0.76603388072466716</c:v>
                </c:pt>
                <c:pt idx="7">
                  <c:v>0.63273953712741871</c:v>
                </c:pt>
                <c:pt idx="8">
                  <c:v>0.48348977640642476</c:v>
                </c:pt>
                <c:pt idx="9">
                  <c:v>0.32344088785826419</c:v>
                </c:pt>
                <c:pt idx="10">
                  <c:v>0.17943447342994134</c:v>
                </c:pt>
                <c:pt idx="11">
                  <c:v>7.0165867784923064E-2</c:v>
                </c:pt>
                <c:pt idx="12">
                  <c:v>-1.4153828354922848E-2</c:v>
                </c:pt>
                <c:pt idx="13">
                  <c:v>-8.1193817038540006E-2</c:v>
                </c:pt>
                <c:pt idx="14">
                  <c:v>-0.13577213401691246</c:v>
                </c:pt>
                <c:pt idx="15">
                  <c:v>-0.18106794226532241</c:v>
                </c:pt>
                <c:pt idx="16">
                  <c:v>-0.21926375424630218</c:v>
                </c:pt>
                <c:pt idx="17">
                  <c:v>-0.25190760296609926</c:v>
                </c:pt>
                <c:pt idx="18">
                  <c:v>-0.28012798293287777</c:v>
                </c:pt>
                <c:pt idx="19">
                  <c:v>-0.30476695762990491</c:v>
                </c:pt>
                <c:pt idx="20">
                  <c:v>-0.32646561341233415</c:v>
                </c:pt>
                <c:pt idx="21">
                  <c:v>-0.34572064285153403</c:v>
                </c:pt>
                <c:pt idx="22">
                  <c:v>-0.36292283047185026</c:v>
                </c:pt>
                <c:pt idx="23">
                  <c:v>-0.37838385217374215</c:v>
                </c:pt>
                <c:pt idx="24">
                  <c:v>-0.39235532893105074</c:v>
                </c:pt>
                <c:pt idx="25">
                  <c:v>-0.40504262656399614</c:v>
                </c:pt>
                <c:pt idx="26">
                  <c:v>-0.41661501751306906</c:v>
                </c:pt>
                <c:pt idx="27">
                  <c:v>-0.42721327644244822</c:v>
                </c:pt>
                <c:pt idx="28">
                  <c:v>-0.43695543518329583</c:v>
                </c:pt>
                <c:pt idx="29">
                  <c:v>-0.44594119720817493</c:v>
                </c:pt>
                <c:pt idx="30">
                  <c:v>-0.45425536229040453</c:v>
                </c:pt>
                <c:pt idx="31">
                  <c:v>-0.46197051094698516</c:v>
                </c:pt>
                <c:pt idx="32">
                  <c:v>-0.46914912883285864</c:v>
                </c:pt>
                <c:pt idx="33">
                  <c:v>-0.47584530282108528</c:v>
                </c:pt>
                <c:pt idx="34">
                  <c:v>-0.48210608624156703</c:v>
                </c:pt>
                <c:pt idx="35">
                  <c:v>-0.48797260619817795</c:v>
                </c:pt>
                <c:pt idx="36">
                  <c:v>-0.49348096807677555</c:v>
                </c:pt>
                <c:pt idx="37">
                  <c:v>-0.49866299929651381</c:v>
                </c:pt>
                <c:pt idx="38">
                  <c:v>-0.50354686467834986</c:v>
                </c:pt>
                <c:pt idx="39">
                  <c:v>-0.50815757856203847</c:v>
                </c:pt>
                <c:pt idx="40">
                  <c:v>-0.51251743333354582</c:v>
                </c:pt>
              </c:numCache>
            </c:numRef>
          </c:val>
          <c:smooth val="0"/>
          <c:extLst xmlns:c16r2="http://schemas.microsoft.com/office/drawing/2015/06/chart">
            <c:ext xmlns:c16="http://schemas.microsoft.com/office/drawing/2014/chart" uri="{C3380CC4-5D6E-409C-BE32-E72D297353CC}">
              <c16:uniqueId val="{00000001-4595-49BA-96A5-7FC29D778000}"/>
            </c:ext>
          </c:extLst>
        </c:ser>
        <c:ser>
          <c:idx val="1"/>
          <c:order val="2"/>
          <c:tx>
            <c:strRef>
              <c:f>Houses_Chart!$D$2</c:f>
              <c:strCache>
                <c:ptCount val="1"/>
                <c:pt idx="0">
                  <c:v>Combined bill impact</c:v>
                </c:pt>
              </c:strCache>
            </c:strRef>
          </c:tx>
          <c:spPr>
            <a:ln w="38100">
              <a:solidFill>
                <a:schemeClr val="tx2">
                  <a:lumMod val="60000"/>
                  <a:lumOff val="40000"/>
                </a:schemeClr>
              </a:solidFill>
              <a:prstDash val="dash"/>
            </a:ln>
          </c:spPr>
          <c:marker>
            <c:symbol val="none"/>
          </c:marker>
          <c:cat>
            <c:numRef>
              <c:f>Houses_Chart!$A$3:$A$43</c:f>
              <c:numCache>
                <c:formatCode>General</c:formatCode>
                <c:ptCount val="41"/>
                <c:pt idx="0">
                  <c:v>0</c:v>
                </c:pt>
                <c:pt idx="1">
                  <c:v>25</c:v>
                </c:pt>
                <c:pt idx="2">
                  <c:v>50</c:v>
                </c:pt>
                <c:pt idx="3">
                  <c:v>75</c:v>
                </c:pt>
                <c:pt idx="4">
                  <c:v>100</c:v>
                </c:pt>
                <c:pt idx="5">
                  <c:v>125</c:v>
                </c:pt>
                <c:pt idx="6">
                  <c:v>150</c:v>
                </c:pt>
                <c:pt idx="7">
                  <c:v>175</c:v>
                </c:pt>
                <c:pt idx="8">
                  <c:v>200</c:v>
                </c:pt>
                <c:pt idx="9">
                  <c:v>225</c:v>
                </c:pt>
                <c:pt idx="10">
                  <c:v>250</c:v>
                </c:pt>
                <c:pt idx="11">
                  <c:v>275</c:v>
                </c:pt>
                <c:pt idx="12">
                  <c:v>300</c:v>
                </c:pt>
                <c:pt idx="13">
                  <c:v>325</c:v>
                </c:pt>
                <c:pt idx="14">
                  <c:v>350</c:v>
                </c:pt>
                <c:pt idx="15">
                  <c:v>375</c:v>
                </c:pt>
                <c:pt idx="16">
                  <c:v>400</c:v>
                </c:pt>
                <c:pt idx="17">
                  <c:v>425</c:v>
                </c:pt>
                <c:pt idx="18">
                  <c:v>450</c:v>
                </c:pt>
                <c:pt idx="19">
                  <c:v>475</c:v>
                </c:pt>
                <c:pt idx="20">
                  <c:v>500</c:v>
                </c:pt>
                <c:pt idx="21">
                  <c:v>525</c:v>
                </c:pt>
                <c:pt idx="22">
                  <c:v>550</c:v>
                </c:pt>
                <c:pt idx="23">
                  <c:v>575</c:v>
                </c:pt>
                <c:pt idx="24">
                  <c:v>600</c:v>
                </c:pt>
                <c:pt idx="25">
                  <c:v>625</c:v>
                </c:pt>
                <c:pt idx="26">
                  <c:v>650</c:v>
                </c:pt>
                <c:pt idx="27">
                  <c:v>675</c:v>
                </c:pt>
                <c:pt idx="28">
                  <c:v>700</c:v>
                </c:pt>
                <c:pt idx="29">
                  <c:v>725</c:v>
                </c:pt>
                <c:pt idx="30">
                  <c:v>750</c:v>
                </c:pt>
                <c:pt idx="31">
                  <c:v>775</c:v>
                </c:pt>
                <c:pt idx="32">
                  <c:v>800</c:v>
                </c:pt>
                <c:pt idx="33">
                  <c:v>825</c:v>
                </c:pt>
                <c:pt idx="34">
                  <c:v>850</c:v>
                </c:pt>
                <c:pt idx="35">
                  <c:v>875</c:v>
                </c:pt>
                <c:pt idx="36">
                  <c:v>900</c:v>
                </c:pt>
                <c:pt idx="37">
                  <c:v>925</c:v>
                </c:pt>
                <c:pt idx="38">
                  <c:v>950</c:v>
                </c:pt>
                <c:pt idx="39">
                  <c:v>975</c:v>
                </c:pt>
                <c:pt idx="40">
                  <c:v>1000</c:v>
                </c:pt>
              </c:numCache>
            </c:numRef>
          </c:cat>
          <c:val>
            <c:numRef>
              <c:f>Houses_Chart!$D$3:$D$43</c:f>
              <c:numCache>
                <c:formatCode>0%</c:formatCode>
                <c:ptCount val="41"/>
                <c:pt idx="0">
                  <c:v>0.82705275338426887</c:v>
                </c:pt>
                <c:pt idx="1">
                  <c:v>0.71819261862819705</c:v>
                </c:pt>
                <c:pt idx="2">
                  <c:v>0.62799152504275102</c:v>
                </c:pt>
                <c:pt idx="3">
                  <c:v>0.55203081412010868</c:v>
                </c:pt>
                <c:pt idx="4">
                  <c:v>0.48718493374867955</c:v>
                </c:pt>
                <c:pt idx="5">
                  <c:v>0.43118065715160436</c:v>
                </c:pt>
                <c:pt idx="6">
                  <c:v>0.38232509343053933</c:v>
                </c:pt>
                <c:pt idx="7">
                  <c:v>0.33736465999752885</c:v>
                </c:pt>
                <c:pt idx="8">
                  <c:v>0.27689057990307298</c:v>
                </c:pt>
                <c:pt idx="9">
                  <c:v>0.20055833473608531</c:v>
                </c:pt>
                <c:pt idx="10">
                  <c:v>0.12165170937954595</c:v>
                </c:pt>
                <c:pt idx="11">
                  <c:v>5.46988092621703E-2</c:v>
                </c:pt>
                <c:pt idx="12">
                  <c:v>-1.7930745325828168E-3</c:v>
                </c:pt>
                <c:pt idx="13">
                  <c:v>-5.0098000513000396E-2</c:v>
                </c:pt>
                <c:pt idx="14">
                  <c:v>-9.1875435799468774E-2</c:v>
                </c:pt>
                <c:pt idx="15">
                  <c:v>-0.12836474143221477</c:v>
                </c:pt>
                <c:pt idx="16">
                  <c:v>-0.16051020053415899</c:v>
                </c:pt>
                <c:pt idx="17">
                  <c:v>-0.18904390323361375</c:v>
                </c:pt>
                <c:pt idx="18">
                  <c:v>-0.21454217959651001</c:v>
                </c:pt>
                <c:pt idx="19">
                  <c:v>-0.23746493206564212</c:v>
                </c:pt>
                <c:pt idx="20">
                  <c:v>-0.25818362225380809</c:v>
                </c:pt>
                <c:pt idx="21">
                  <c:v>-0.27700155511167812</c:v>
                </c:pt>
                <c:pt idx="22">
                  <c:v>-0.29416882526397703</c:v>
                </c:pt>
                <c:pt idx="23">
                  <c:v>-0.30989349543426847</c:v>
                </c:pt>
                <c:pt idx="24">
                  <c:v>-0.32435007046207409</c:v>
                </c:pt>
                <c:pt idx="25">
                  <c:v>-0.33768600065332288</c:v>
                </c:pt>
                <c:pt idx="26">
                  <c:v>-0.35002672918170064</c:v>
                </c:pt>
                <c:pt idx="27">
                  <c:v>-0.3614796501407499</c:v>
                </c:pt>
                <c:pt idx="28">
                  <c:v>-0.37213724201489495</c:v>
                </c:pt>
                <c:pt idx="29">
                  <c:v>-0.38207957025995865</c:v>
                </c:pt>
                <c:pt idx="30">
                  <c:v>-0.39137630237524157</c:v>
                </c:pt>
                <c:pt idx="31">
                  <c:v>-0.40008834277880023</c:v>
                </c:pt>
                <c:pt idx="32">
                  <c:v>-0.40826916862434859</c:v>
                </c:pt>
                <c:pt idx="33">
                  <c:v>-0.41596592849411329</c:v>
                </c:pt>
                <c:pt idx="34">
                  <c:v>-0.42322035166437877</c:v>
                </c:pt>
                <c:pt idx="35">
                  <c:v>-0.4300695049821095</c:v>
                </c:pt>
                <c:pt idx="36">
                  <c:v>-0.43654642633930907</c:v>
                </c:pt>
                <c:pt idx="37">
                  <c:v>-0.44268065759711428</c:v>
                </c:pt>
                <c:pt idx="38">
                  <c:v>-0.44849869509991869</c:v>
                </c:pt>
                <c:pt idx="39">
                  <c:v>-0.45402437227357428</c:v>
                </c:pt>
                <c:pt idx="40">
                  <c:v>-0.45927918595978634</c:v>
                </c:pt>
              </c:numCache>
            </c:numRef>
          </c:val>
          <c:smooth val="0"/>
          <c:extLst xmlns:c16r2="http://schemas.microsoft.com/office/drawing/2015/06/chart">
            <c:ext xmlns:c16="http://schemas.microsoft.com/office/drawing/2014/chart" uri="{C3380CC4-5D6E-409C-BE32-E72D297353CC}">
              <c16:uniqueId val="{00000002-4595-49BA-96A5-7FC29D778000}"/>
            </c:ext>
          </c:extLst>
        </c:ser>
        <c:dLbls>
          <c:showLegendKey val="0"/>
          <c:showVal val="0"/>
          <c:showCatName val="0"/>
          <c:showSerName val="0"/>
          <c:showPercent val="0"/>
          <c:showBubbleSize val="0"/>
        </c:dLbls>
        <c:marker val="1"/>
        <c:smooth val="0"/>
        <c:axId val="246826688"/>
        <c:axId val="246827080"/>
      </c:lineChart>
      <c:catAx>
        <c:axId val="246826688"/>
        <c:scaling>
          <c:orientation val="minMax"/>
        </c:scaling>
        <c:delete val="0"/>
        <c:axPos val="b"/>
        <c:title>
          <c:tx>
            <c:rich>
              <a:bodyPr/>
              <a:lstStyle/>
              <a:p>
                <a:pPr>
                  <a:defRPr sz="800" b="1" i="0" u="none" strike="noStrike" baseline="0">
                    <a:solidFill>
                      <a:srgbClr val="000000"/>
                    </a:solidFill>
                    <a:latin typeface="Calibri"/>
                    <a:ea typeface="Calibri"/>
                    <a:cs typeface="Calibri"/>
                  </a:defRPr>
                </a:pPr>
                <a:r>
                  <a:rPr lang="en-AU" sz="800"/>
                  <a:t>Water consumption (kL/a)</a:t>
                </a:r>
              </a:p>
            </c:rich>
          </c:tx>
          <c:overlay val="0"/>
        </c:title>
        <c:numFmt formatCode="General" sourceLinked="1"/>
        <c:majorTickMark val="out"/>
        <c:minorTickMark val="none"/>
        <c:tickLblPos val="nextTo"/>
        <c:txPr>
          <a:bodyPr rot="-5400000" vert="horz"/>
          <a:lstStyle/>
          <a:p>
            <a:pPr>
              <a:defRPr sz="700" b="0" i="0" u="none" strike="noStrike" baseline="0">
                <a:solidFill>
                  <a:srgbClr val="000000"/>
                </a:solidFill>
                <a:latin typeface="Calibri"/>
                <a:ea typeface="Calibri"/>
                <a:cs typeface="Calibri"/>
              </a:defRPr>
            </a:pPr>
            <a:endParaRPr lang="en-US"/>
          </a:p>
        </c:txPr>
        <c:crossAx val="246827080"/>
        <c:crosses val="autoZero"/>
        <c:auto val="1"/>
        <c:lblAlgn val="ctr"/>
        <c:lblOffset val="100"/>
        <c:noMultiLvlLbl val="0"/>
      </c:catAx>
      <c:valAx>
        <c:axId val="246827080"/>
        <c:scaling>
          <c:orientation val="minMax"/>
          <c:max val="1"/>
          <c:min val="-0.4"/>
        </c:scaling>
        <c:delete val="0"/>
        <c:axPos val="l"/>
        <c:majorGridlines>
          <c:spPr>
            <a:ln w="6350">
              <a:solidFill>
                <a:schemeClr val="bg1">
                  <a:lumMod val="85000"/>
                </a:schemeClr>
              </a:solidFill>
              <a:prstDash val="solid"/>
            </a:ln>
          </c:spPr>
        </c:majorGridlines>
        <c:title>
          <c:tx>
            <c:rich>
              <a:bodyPr/>
              <a:lstStyle/>
              <a:p>
                <a:pPr>
                  <a:defRPr sz="800" b="1" i="0" u="none" strike="noStrike" baseline="0">
                    <a:solidFill>
                      <a:srgbClr val="000000"/>
                    </a:solidFill>
                    <a:latin typeface="Calibri"/>
                    <a:ea typeface="Calibri"/>
                    <a:cs typeface="Calibri"/>
                  </a:defRPr>
                </a:pPr>
                <a:r>
                  <a:rPr lang="en-AU" sz="800"/>
                  <a:t>Change in water chargess and combined bills</a:t>
                </a:r>
              </a:p>
            </c:rich>
          </c:tx>
          <c:layout>
            <c:manualLayout>
              <c:xMode val="edge"/>
              <c:yMode val="edge"/>
              <c:x val="3.2174517744907073E-3"/>
              <c:y val="0.11692801364452617"/>
            </c:manualLayout>
          </c:layout>
          <c:overlay val="0"/>
        </c:title>
        <c:numFmt formatCode="0%" sourceLinked="0"/>
        <c:majorTickMark val="out"/>
        <c:minorTickMark val="none"/>
        <c:tickLblPos val="nextTo"/>
        <c:txPr>
          <a:bodyPr rot="0" vert="horz"/>
          <a:lstStyle/>
          <a:p>
            <a:pPr>
              <a:defRPr sz="700" b="0" i="0" u="none" strike="noStrike" baseline="0">
                <a:solidFill>
                  <a:srgbClr val="000000"/>
                </a:solidFill>
                <a:latin typeface="Calibri"/>
                <a:ea typeface="Calibri"/>
                <a:cs typeface="Calibri"/>
              </a:defRPr>
            </a:pPr>
            <a:endParaRPr lang="en-US"/>
          </a:p>
        </c:txPr>
        <c:crossAx val="246826688"/>
        <c:crosses val="autoZero"/>
        <c:crossBetween val="between"/>
        <c:majorUnit val="0.1"/>
      </c:valAx>
      <c:catAx>
        <c:axId val="246827472"/>
        <c:scaling>
          <c:orientation val="minMax"/>
        </c:scaling>
        <c:delete val="1"/>
        <c:axPos val="b"/>
        <c:numFmt formatCode="General" sourceLinked="1"/>
        <c:majorTickMark val="out"/>
        <c:minorTickMark val="none"/>
        <c:tickLblPos val="none"/>
        <c:crossAx val="246827864"/>
        <c:crosses val="autoZero"/>
        <c:auto val="1"/>
        <c:lblAlgn val="ctr"/>
        <c:lblOffset val="100"/>
        <c:noMultiLvlLbl val="0"/>
      </c:catAx>
      <c:valAx>
        <c:axId val="246827864"/>
        <c:scaling>
          <c:orientation val="minMax"/>
          <c:max val="0.12000000000000002"/>
          <c:min val="-4.8000000000000015E-2"/>
        </c:scaling>
        <c:delete val="0"/>
        <c:axPos val="r"/>
        <c:title>
          <c:tx>
            <c:rich>
              <a:bodyPr/>
              <a:lstStyle/>
              <a:p>
                <a:pPr>
                  <a:defRPr sz="800" b="1">
                    <a:solidFill>
                      <a:schemeClr val="accent6">
                        <a:lumMod val="50000"/>
                      </a:schemeClr>
                    </a:solidFill>
                  </a:defRPr>
                </a:pPr>
                <a:r>
                  <a:rPr lang="en-AU" sz="800" b="1">
                    <a:solidFill>
                      <a:schemeClr val="accent6">
                        <a:lumMod val="50000"/>
                      </a:schemeClr>
                    </a:solidFill>
                  </a:rPr>
                  <a:t>Proportion</a:t>
                </a:r>
                <a:r>
                  <a:rPr lang="en-AU" sz="800" b="1" baseline="0">
                    <a:solidFill>
                      <a:schemeClr val="accent6">
                        <a:lumMod val="50000"/>
                      </a:schemeClr>
                    </a:solidFill>
                  </a:rPr>
                  <a:t> of houses</a:t>
                </a:r>
                <a:endParaRPr lang="en-AU" sz="800" b="1">
                  <a:solidFill>
                    <a:schemeClr val="accent6">
                      <a:lumMod val="50000"/>
                    </a:schemeClr>
                  </a:solidFill>
                </a:endParaRPr>
              </a:p>
            </c:rich>
          </c:tx>
          <c:layout>
            <c:manualLayout>
              <c:xMode val="edge"/>
              <c:yMode val="edge"/>
              <c:x val="0.93796875496450849"/>
              <c:y val="0.29188144024691898"/>
            </c:manualLayout>
          </c:layout>
          <c:overlay val="0"/>
        </c:title>
        <c:numFmt formatCode="0%" sourceLinked="0"/>
        <c:majorTickMark val="out"/>
        <c:minorTickMark val="none"/>
        <c:tickLblPos val="nextTo"/>
        <c:txPr>
          <a:bodyPr/>
          <a:lstStyle/>
          <a:p>
            <a:pPr>
              <a:defRPr sz="700" b="0" cap="none" spc="0">
                <a:ln w="0"/>
                <a:solidFill>
                  <a:schemeClr val="accent6">
                    <a:lumMod val="50000"/>
                  </a:schemeClr>
                </a:solidFill>
                <a:effectLst>
                  <a:outerShdw blurRad="38100" dist="25400" dir="5400000" algn="ctr" rotWithShape="0">
                    <a:srgbClr val="6E747A">
                      <a:alpha val="43000"/>
                    </a:srgbClr>
                  </a:outerShdw>
                </a:effectLst>
              </a:defRPr>
            </a:pPr>
            <a:endParaRPr lang="en-US"/>
          </a:p>
        </c:txPr>
        <c:crossAx val="246827472"/>
        <c:crosses val="max"/>
        <c:crossBetween val="between"/>
        <c:majorUnit val="2.0000000000000007E-2"/>
      </c:valAx>
    </c:plotArea>
    <c:legend>
      <c:legendPos val="r"/>
      <c:layout>
        <c:manualLayout>
          <c:xMode val="edge"/>
          <c:yMode val="edge"/>
          <c:x val="0.42997211891607928"/>
          <c:y val="0.1076493531696464"/>
          <c:w val="0.41206192545228437"/>
          <c:h val="0.24530053763587811"/>
        </c:manualLayout>
      </c:layout>
      <c:overlay val="0"/>
      <c:txPr>
        <a:bodyPr/>
        <a:lstStyle/>
        <a:p>
          <a:pPr>
            <a:defRPr sz="800" b="0" i="0" u="none" strike="noStrike" baseline="0">
              <a:solidFill>
                <a:srgbClr val="000000"/>
              </a:solidFill>
              <a:latin typeface="Calibri"/>
              <a:ea typeface="Calibri"/>
              <a:cs typeface="Calibri"/>
            </a:defRPr>
          </a:pPr>
          <a:endParaRPr lang="en-US"/>
        </a:p>
      </c:txPr>
    </c:legend>
    <c:plotVisOnly val="1"/>
    <c:dispBlanksAs val="gap"/>
    <c:showDLblsOverMax val="0"/>
  </c:chart>
  <c:spPr>
    <a:ln>
      <a:solidFill>
        <a:schemeClr val="bg1">
          <a:lumMod val="75000"/>
        </a:schemeClr>
      </a:solidFill>
    </a:ln>
  </c:spPr>
  <c:txPr>
    <a:bodyPr/>
    <a:lstStyle/>
    <a:p>
      <a:pPr>
        <a:defRPr sz="14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Dams!$D$4</c:f>
              <c:strCache>
                <c:ptCount val="1"/>
                <c:pt idx="0">
                  <c:v>Capacity</c:v>
                </c:pt>
              </c:strCache>
            </c:strRef>
          </c:tx>
          <c:spPr>
            <a:solidFill>
              <a:schemeClr val="accent1">
                <a:lumMod val="40000"/>
                <a:lumOff val="60000"/>
              </a:schemeClr>
            </a:solidFill>
            <a:ln>
              <a:noFill/>
              <a:prstDash val="dash"/>
            </a:ln>
            <a:effectLst/>
          </c:spPr>
          <c:invertIfNegative val="0"/>
          <c:dLbls>
            <c:dLbl>
              <c:idx val="0"/>
              <c:tx>
                <c:strRef>
                  <c:f>Dams!$F$5</c:f>
                  <c:strCache>
                    <c:ptCount val="1"/>
                    <c:pt idx="0">
                      <c:v>62%</c:v>
                    </c:pt>
                  </c:strCache>
                </c:strRef>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98F-4566-AFA0-34DD8DC54574}"/>
                </c:ext>
                <c:ext xmlns:c15="http://schemas.microsoft.com/office/drawing/2012/chart" uri="{CE6537A1-D6FC-4f65-9D91-7224C49458BB}">
                  <c15:dlblFieldTable>
                    <c15:dlblFTEntry>
                      <c15:txfldGUID>{319FC0E9-7169-432D-8132-40C8496D439F}</c15:txfldGUID>
                      <c15:f>Dams!$F$5</c15:f>
                      <c15:dlblFieldTableCache>
                        <c:ptCount val="1"/>
                        <c:pt idx="0">
                          <c:v>62%</c:v>
                        </c:pt>
                      </c15:dlblFieldTableCache>
                    </c15:dlblFTEntry>
                  </c15:dlblFieldTable>
                  <c15:showDataLabelsRange val="0"/>
                </c:ext>
              </c:extLst>
            </c:dLbl>
            <c:dLbl>
              <c:idx val="1"/>
              <c:tx>
                <c:strRef>
                  <c:f>Dams!$F$6</c:f>
                  <c:strCache>
                    <c:ptCount val="1"/>
                    <c:pt idx="0">
                      <c:v>98%</c:v>
                    </c:pt>
                  </c:strCache>
                </c:strRef>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98F-4566-AFA0-34DD8DC54574}"/>
                </c:ext>
                <c:ext xmlns:c15="http://schemas.microsoft.com/office/drawing/2012/chart" uri="{CE6537A1-D6FC-4f65-9D91-7224C49458BB}">
                  <c15:dlblFieldTable>
                    <c15:dlblFTEntry>
                      <c15:txfldGUID>{E90EBC8F-CB6C-4D09-8294-F158E986FDEF}</c15:txfldGUID>
                      <c15:f>Dams!$F$6</c15:f>
                      <c15:dlblFieldTableCache>
                        <c:ptCount val="1"/>
                        <c:pt idx="0">
                          <c:v>98%</c:v>
                        </c:pt>
                      </c15:dlblFieldTableCache>
                    </c15:dlblFTEntry>
                  </c15:dlblFieldTable>
                  <c15:showDataLabelsRange val="0"/>
                </c:ext>
              </c:extLst>
            </c:dLbl>
            <c:dLbl>
              <c:idx val="2"/>
              <c:layout>
                <c:manualLayout>
                  <c:x val="1.2952382428652709E-3"/>
                  <c:y val="1.5639715995269299E-7"/>
                </c:manualLayout>
              </c:layout>
              <c:tx>
                <c:strRef>
                  <c:f>Dams!$F$7</c:f>
                  <c:strCache>
                    <c:ptCount val="1"/>
                    <c:pt idx="0">
                      <c:v>100%</c:v>
                    </c:pt>
                  </c:strCache>
                </c:strRef>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98F-4566-AFA0-34DD8DC54574}"/>
                </c:ext>
                <c:ext xmlns:c15="http://schemas.microsoft.com/office/drawing/2012/chart" uri="{CE6537A1-D6FC-4f65-9D91-7224C49458BB}">
                  <c15:layout>
                    <c:manualLayout>
                      <c:w val="6.9950207619521185E-2"/>
                      <c:h val="5.5555399158395594E-2"/>
                    </c:manualLayout>
                  </c15:layout>
                  <c15:dlblFieldTable>
                    <c15:dlblFTEntry>
                      <c15:txfldGUID>{469F78C3-D6C6-4A57-B070-1E06DD8E382A}</c15:txfldGUID>
                      <c15:f>Dams!$F$7</c15:f>
                      <c15:dlblFieldTableCache>
                        <c:ptCount val="1"/>
                        <c:pt idx="0">
                          <c:v>100%</c:v>
                        </c:pt>
                      </c15:dlblFieldTableCache>
                    </c15:dlblFTEntry>
                  </c15:dlblFieldTable>
                  <c15:showDataLabelsRange val="0"/>
                </c:ext>
              </c:extLst>
            </c:dLbl>
            <c:dLbl>
              <c:idx val="3"/>
              <c:tx>
                <c:strRef>
                  <c:f>Dams!$F$8</c:f>
                  <c:strCache>
                    <c:ptCount val="1"/>
                    <c:pt idx="0">
                      <c:v>100%</c:v>
                    </c:pt>
                  </c:strCache>
                </c:strRef>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98F-4566-AFA0-34DD8DC54574}"/>
                </c:ext>
                <c:ext xmlns:c15="http://schemas.microsoft.com/office/drawing/2012/chart" uri="{CE6537A1-D6FC-4f65-9D91-7224C49458BB}">
                  <c15:dlblFieldTable>
                    <c15:dlblFTEntry>
                      <c15:txfldGUID>{90B8E719-78E8-4992-A689-564B26EA7425}</c15:txfldGUID>
                      <c15:f>Dams!$F$8</c15:f>
                      <c15:dlblFieldTableCache>
                        <c:ptCount val="1"/>
                        <c:pt idx="0">
                          <c:v>100%</c:v>
                        </c:pt>
                      </c15:dlblFieldTableCache>
                    </c15:dlblFTEntry>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Dams!$C$5:$C$8</c:f>
              <c:strCache>
                <c:ptCount val="4"/>
                <c:pt idx="0">
                  <c:v>Corin Dam</c:v>
                </c:pt>
                <c:pt idx="1">
                  <c:v>Bendora Dam</c:v>
                </c:pt>
                <c:pt idx="2">
                  <c:v>Cotter Dam</c:v>
                </c:pt>
                <c:pt idx="3">
                  <c:v>Googong Dam</c:v>
                </c:pt>
              </c:strCache>
            </c:strRef>
          </c:cat>
          <c:val>
            <c:numRef>
              <c:f>Dams!$D$5:$D$8</c:f>
              <c:numCache>
                <c:formatCode>_(* #,##0.00_);_(* \(#,##0.00\);_(* "-"??_);_(@_)</c:formatCode>
                <c:ptCount val="4"/>
                <c:pt idx="0">
                  <c:v>70.787000000000006</c:v>
                </c:pt>
                <c:pt idx="1">
                  <c:v>11.446</c:v>
                </c:pt>
                <c:pt idx="2">
                  <c:v>76.195999999999998</c:v>
                </c:pt>
                <c:pt idx="3">
                  <c:v>119.40900000000001</c:v>
                </c:pt>
              </c:numCache>
            </c:numRef>
          </c:val>
          <c:extLst xmlns:c16r2="http://schemas.microsoft.com/office/drawing/2015/06/chart">
            <c:ext xmlns:c16="http://schemas.microsoft.com/office/drawing/2014/chart" uri="{C3380CC4-5D6E-409C-BE32-E72D297353CC}">
              <c16:uniqueId val="{00000004-D98F-4566-AFA0-34DD8DC54574}"/>
            </c:ext>
          </c:extLst>
        </c:ser>
        <c:ser>
          <c:idx val="1"/>
          <c:order val="1"/>
          <c:tx>
            <c:strRef>
              <c:f>Dams!$E$4</c:f>
              <c:strCache>
                <c:ptCount val="1"/>
                <c:pt idx="0">
                  <c:v>Volume (as at 19 August 2016)</c:v>
                </c:pt>
              </c:strCache>
            </c:strRef>
          </c:tx>
          <c:spPr>
            <a:solidFill>
              <a:schemeClr val="accent1">
                <a:lumMod val="50000"/>
              </a:schemeClr>
            </a:solidFill>
            <a:ln>
              <a:noFill/>
            </a:ln>
            <a:effectLst/>
          </c:spPr>
          <c:invertIfNegative val="0"/>
          <c:dLbls>
            <c:delete val="1"/>
          </c:dLbls>
          <c:cat>
            <c:strRef>
              <c:f>Dams!$C$5:$C$8</c:f>
              <c:strCache>
                <c:ptCount val="4"/>
                <c:pt idx="0">
                  <c:v>Corin Dam</c:v>
                </c:pt>
                <c:pt idx="1">
                  <c:v>Bendora Dam</c:v>
                </c:pt>
                <c:pt idx="2">
                  <c:v>Cotter Dam</c:v>
                </c:pt>
                <c:pt idx="3">
                  <c:v>Googong Dam</c:v>
                </c:pt>
              </c:strCache>
            </c:strRef>
          </c:cat>
          <c:val>
            <c:numRef>
              <c:f>Dams!$E$5:$E$8</c:f>
              <c:numCache>
                <c:formatCode>_(* #,##0.00_);_(* \(#,##0.00\);_(* "-"??_);_(@_)</c:formatCode>
                <c:ptCount val="4"/>
                <c:pt idx="0">
                  <c:v>43.89</c:v>
                </c:pt>
                <c:pt idx="1">
                  <c:v>11.26</c:v>
                </c:pt>
                <c:pt idx="2">
                  <c:v>76.2</c:v>
                </c:pt>
                <c:pt idx="3">
                  <c:v>119.37</c:v>
                </c:pt>
              </c:numCache>
            </c:numRef>
          </c:val>
          <c:extLst xmlns:c16r2="http://schemas.microsoft.com/office/drawing/2015/06/chart">
            <c:ext xmlns:c16="http://schemas.microsoft.com/office/drawing/2014/chart" uri="{C3380CC4-5D6E-409C-BE32-E72D297353CC}">
              <c16:uniqueId val="{00000005-D98F-4566-AFA0-34DD8DC54574}"/>
            </c:ext>
          </c:extLst>
        </c:ser>
        <c:dLbls>
          <c:dLblPos val="outEnd"/>
          <c:showLegendKey val="0"/>
          <c:showVal val="1"/>
          <c:showCatName val="0"/>
          <c:showSerName val="0"/>
          <c:showPercent val="0"/>
          <c:showBubbleSize val="0"/>
        </c:dLbls>
        <c:gapWidth val="150"/>
        <c:overlap val="100"/>
        <c:axId val="248532552"/>
        <c:axId val="248532944"/>
      </c:barChart>
      <c:catAx>
        <c:axId val="248532552"/>
        <c:scaling>
          <c:orientation val="minMax"/>
        </c:scaling>
        <c:delete val="0"/>
        <c:axPos val="b"/>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48532944"/>
        <c:crosses val="autoZero"/>
        <c:auto val="1"/>
        <c:lblAlgn val="ctr"/>
        <c:lblOffset val="100"/>
        <c:noMultiLvlLbl val="0"/>
      </c:catAx>
      <c:valAx>
        <c:axId val="2485329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Gigalitres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none"/>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48532552"/>
        <c:crosses val="autoZero"/>
        <c:crossBetween val="between"/>
      </c:valAx>
      <c:spPr>
        <a:noFill/>
        <a:ln>
          <a:noFill/>
        </a:ln>
        <a:effectLst/>
      </c:spPr>
    </c:plotArea>
    <c:legend>
      <c:legendPos val="b"/>
      <c:layout>
        <c:manualLayout>
          <c:xMode val="edge"/>
          <c:yMode val="edge"/>
          <c:x val="0.16864285424373321"/>
          <c:y val="0.10668632266172952"/>
          <c:w val="0.58880972779453011"/>
          <c:h val="6.703620187620290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67000586927388"/>
          <c:y val="8.9088398257784765E-2"/>
          <c:w val="0.8452511210789001"/>
          <c:h val="0.74312822593262051"/>
        </c:manualLayout>
      </c:layout>
      <c:barChart>
        <c:barDir val="col"/>
        <c:grouping val="clustered"/>
        <c:varyColors val="0"/>
        <c:ser>
          <c:idx val="0"/>
          <c:order val="0"/>
          <c:tx>
            <c:strRef>
              <c:f>'2 Chart data'!$E$37</c:f>
              <c:strCache>
                <c:ptCount val="1"/>
                <c:pt idx="0">
                  <c:v>ACT &amp;Qb kL/capita</c:v>
                </c:pt>
              </c:strCache>
            </c:strRef>
          </c:tx>
          <c:spPr>
            <a:solidFill>
              <a:schemeClr val="accent1"/>
            </a:solidFill>
          </c:spPr>
          <c:invertIfNegative val="0"/>
          <c:dPt>
            <c:idx val="0"/>
            <c:invertIfNegative val="0"/>
            <c:bubble3D val="0"/>
            <c:spPr>
              <a:solidFill>
                <a:schemeClr val="accent1"/>
              </a:solidFill>
            </c:spPr>
            <c:extLst xmlns:c16r2="http://schemas.microsoft.com/office/drawing/2015/06/chart">
              <c:ext xmlns:c16="http://schemas.microsoft.com/office/drawing/2014/chart" uri="{C3380CC4-5D6E-409C-BE32-E72D297353CC}">
                <c16:uniqueId val="{00000001-EC46-415F-A20B-FEBC4794A02D}"/>
              </c:ext>
            </c:extLst>
          </c:dPt>
          <c:cat>
            <c:numRef>
              <c:f>'2 Chart data'!$A$38:$A$55</c:f>
              <c:numCache>
                <c:formatCode>General</c:formatCode>
                <c:ptCount val="18"/>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numCache>
            </c:numRef>
          </c:cat>
          <c:val>
            <c:numRef>
              <c:f>'2 Chart data'!$E$38:$E$55</c:f>
              <c:numCache>
                <c:formatCode>_(* #,##0.00_);_(* \(#,##0.00\);_(* "-"??_);_(@_)</c:formatCode>
                <c:ptCount val="18"/>
                <c:pt idx="0">
                  <c:v>174.79233763525562</c:v>
                </c:pt>
                <c:pt idx="1">
                  <c:v>165.72154601579413</c:v>
                </c:pt>
                <c:pt idx="2">
                  <c:v>176.81134091506411</c:v>
                </c:pt>
                <c:pt idx="3">
                  <c:v>183.4089267604823</c:v>
                </c:pt>
                <c:pt idx="4">
                  <c:v>180.53895084538652</c:v>
                </c:pt>
                <c:pt idx="5">
                  <c:v>143.24032705146666</c:v>
                </c:pt>
                <c:pt idx="6">
                  <c:v>140.53287942327395</c:v>
                </c:pt>
                <c:pt idx="7">
                  <c:v>145.86824180897958</c:v>
                </c:pt>
                <c:pt idx="8">
                  <c:v>134.25818719011448</c:v>
                </c:pt>
                <c:pt idx="9">
                  <c:v>112.59079402265685</c:v>
                </c:pt>
                <c:pt idx="10">
                  <c:v>114.19403011609099</c:v>
                </c:pt>
                <c:pt idx="11">
                  <c:v>112.3507504515165</c:v>
                </c:pt>
                <c:pt idx="12">
                  <c:v>100.26202778622073</c:v>
                </c:pt>
                <c:pt idx="13">
                  <c:v>100.23565773542302</c:v>
                </c:pt>
                <c:pt idx="14">
                  <c:v>113.44652661449908</c:v>
                </c:pt>
                <c:pt idx="15">
                  <c:v>114.34236398875574</c:v>
                </c:pt>
                <c:pt idx="16">
                  <c:v>108.54392186931727</c:v>
                </c:pt>
                <c:pt idx="17">
                  <c:v>113.44647490205882</c:v>
                </c:pt>
              </c:numCache>
            </c:numRef>
          </c:val>
          <c:extLst xmlns:c16r2="http://schemas.microsoft.com/office/drawing/2015/06/chart">
            <c:ext xmlns:c16="http://schemas.microsoft.com/office/drawing/2014/chart" uri="{C3380CC4-5D6E-409C-BE32-E72D297353CC}">
              <c16:uniqueId val="{00000002-EC46-415F-A20B-FEBC4794A02D}"/>
            </c:ext>
          </c:extLst>
        </c:ser>
        <c:dLbls>
          <c:showLegendKey val="0"/>
          <c:showVal val="0"/>
          <c:showCatName val="0"/>
          <c:showSerName val="0"/>
          <c:showPercent val="0"/>
          <c:showBubbleSize val="0"/>
        </c:dLbls>
        <c:gapWidth val="150"/>
        <c:axId val="248533728"/>
        <c:axId val="246946384"/>
      </c:barChart>
      <c:lineChart>
        <c:grouping val="standard"/>
        <c:varyColors val="0"/>
        <c:ser>
          <c:idx val="1"/>
          <c:order val="1"/>
          <c:tx>
            <c:strRef>
              <c:f>'2 Chart data'!$F$37</c:f>
              <c:strCache>
                <c:ptCount val="1"/>
                <c:pt idx="0">
                  <c:v>Average</c:v>
                </c:pt>
              </c:strCache>
            </c:strRef>
          </c:tx>
          <c:spPr>
            <a:ln>
              <a:solidFill>
                <a:schemeClr val="tx1"/>
              </a:solidFill>
            </a:ln>
          </c:spPr>
          <c:marker>
            <c:symbol val="none"/>
          </c:marker>
          <c:val>
            <c:numRef>
              <c:f>'2 Chart data'!$F$38:$F$55</c:f>
              <c:numCache>
                <c:formatCode>_-* #,##0_-;\-* #,##0_-;_-* "-"??_-;_-@_-</c:formatCode>
                <c:ptCount val="18"/>
                <c:pt idx="0">
                  <c:v>163.86431880696287</c:v>
                </c:pt>
                <c:pt idx="1">
                  <c:v>163.86431880696287</c:v>
                </c:pt>
                <c:pt idx="2">
                  <c:v>163.86431880696287</c:v>
                </c:pt>
                <c:pt idx="3">
                  <c:v>163.86431880696287</c:v>
                </c:pt>
                <c:pt idx="4">
                  <c:v>163.86431880696287</c:v>
                </c:pt>
                <c:pt idx="5">
                  <c:v>163.86431880696287</c:v>
                </c:pt>
                <c:pt idx="6">
                  <c:v>163.86431880696287</c:v>
                </c:pt>
                <c:pt idx="7">
                  <c:v>163.86431880696287</c:v>
                </c:pt>
                <c:pt idx="8">
                  <c:v>112.36707346766534</c:v>
                </c:pt>
                <c:pt idx="9">
                  <c:v>112.36707346766534</c:v>
                </c:pt>
                <c:pt idx="10">
                  <c:v>112.36707346766534</c:v>
                </c:pt>
                <c:pt idx="11">
                  <c:v>112.36707346766534</c:v>
                </c:pt>
                <c:pt idx="12">
                  <c:v>112.36707346766534</c:v>
                </c:pt>
                <c:pt idx="13">
                  <c:v>112.36707346766534</c:v>
                </c:pt>
                <c:pt idx="14">
                  <c:v>112.36707346766534</c:v>
                </c:pt>
                <c:pt idx="15">
                  <c:v>112.36707346766534</c:v>
                </c:pt>
                <c:pt idx="16">
                  <c:v>112.36707346766534</c:v>
                </c:pt>
                <c:pt idx="17">
                  <c:v>112.36707346766534</c:v>
                </c:pt>
              </c:numCache>
            </c:numRef>
          </c:val>
          <c:smooth val="0"/>
          <c:extLst xmlns:c16r2="http://schemas.microsoft.com/office/drawing/2015/06/chart">
            <c:ext xmlns:c16="http://schemas.microsoft.com/office/drawing/2014/chart" uri="{C3380CC4-5D6E-409C-BE32-E72D297353CC}">
              <c16:uniqueId val="{00000003-EC46-415F-A20B-FEBC4794A02D}"/>
            </c:ext>
          </c:extLst>
        </c:ser>
        <c:dLbls>
          <c:showLegendKey val="0"/>
          <c:showVal val="0"/>
          <c:showCatName val="0"/>
          <c:showSerName val="0"/>
          <c:showPercent val="0"/>
          <c:showBubbleSize val="0"/>
        </c:dLbls>
        <c:marker val="1"/>
        <c:smooth val="0"/>
        <c:axId val="246947168"/>
        <c:axId val="246946776"/>
      </c:lineChart>
      <c:catAx>
        <c:axId val="248533728"/>
        <c:scaling>
          <c:orientation val="minMax"/>
        </c:scaling>
        <c:delete val="0"/>
        <c:axPos val="b"/>
        <c:numFmt formatCode="General" sourceLinked="1"/>
        <c:majorTickMark val="out"/>
        <c:minorTickMark val="none"/>
        <c:tickLblPos val="nextTo"/>
        <c:txPr>
          <a:bodyPr/>
          <a:lstStyle/>
          <a:p>
            <a:pPr>
              <a:defRPr sz="700"/>
            </a:pPr>
            <a:endParaRPr lang="en-US"/>
          </a:p>
        </c:txPr>
        <c:crossAx val="246946384"/>
        <c:crosses val="autoZero"/>
        <c:auto val="1"/>
        <c:lblAlgn val="ctr"/>
        <c:lblOffset val="100"/>
        <c:noMultiLvlLbl val="0"/>
      </c:catAx>
      <c:valAx>
        <c:axId val="246946384"/>
        <c:scaling>
          <c:orientation val="minMax"/>
        </c:scaling>
        <c:delete val="0"/>
        <c:axPos val="l"/>
        <c:majorGridlines>
          <c:spPr>
            <a:ln w="3175"/>
          </c:spPr>
        </c:majorGridlines>
        <c:title>
          <c:tx>
            <c:rich>
              <a:bodyPr rot="-5400000" vert="horz"/>
              <a:lstStyle/>
              <a:p>
                <a:pPr>
                  <a:defRPr sz="1000" b="0"/>
                </a:pPr>
                <a:r>
                  <a:rPr lang="en-US" sz="1000" b="0"/>
                  <a:t>Megalitres</a:t>
                </a:r>
              </a:p>
            </c:rich>
          </c:tx>
          <c:layout>
            <c:manualLayout>
              <c:xMode val="edge"/>
              <c:yMode val="edge"/>
              <c:x val="1.9662216444789875E-2"/>
              <c:y val="0.29373231896003482"/>
            </c:manualLayout>
          </c:layout>
          <c:overlay val="0"/>
        </c:title>
        <c:numFmt formatCode="#,##0" sourceLinked="0"/>
        <c:majorTickMark val="out"/>
        <c:minorTickMark val="none"/>
        <c:tickLblPos val="nextTo"/>
        <c:txPr>
          <a:bodyPr/>
          <a:lstStyle/>
          <a:p>
            <a:pPr>
              <a:defRPr sz="800"/>
            </a:pPr>
            <a:endParaRPr lang="en-US"/>
          </a:p>
        </c:txPr>
        <c:crossAx val="248533728"/>
        <c:crosses val="autoZero"/>
        <c:crossBetween val="between"/>
        <c:majorUnit val="30"/>
      </c:valAx>
      <c:valAx>
        <c:axId val="246946776"/>
        <c:scaling>
          <c:orientation val="minMax"/>
        </c:scaling>
        <c:delete val="1"/>
        <c:axPos val="r"/>
        <c:numFmt formatCode="_-* #,##0_-;\-* #,##0_-;_-* &quot;-&quot;??_-;_-@_-" sourceLinked="1"/>
        <c:majorTickMark val="out"/>
        <c:minorTickMark val="none"/>
        <c:tickLblPos val="none"/>
        <c:crossAx val="246947168"/>
        <c:crosses val="max"/>
        <c:crossBetween val="between"/>
      </c:valAx>
      <c:catAx>
        <c:axId val="246947168"/>
        <c:scaling>
          <c:orientation val="minMax"/>
        </c:scaling>
        <c:delete val="1"/>
        <c:axPos val="b"/>
        <c:majorTickMark val="out"/>
        <c:minorTickMark val="none"/>
        <c:tickLblPos val="none"/>
        <c:crossAx val="246946776"/>
        <c:crosses val="autoZero"/>
        <c:auto val="1"/>
        <c:lblAlgn val="ctr"/>
        <c:lblOffset val="100"/>
        <c:noMultiLvlLbl val="0"/>
      </c:catAx>
    </c:plotArea>
    <c:plotVisOnly val="1"/>
    <c:dispBlanksAs val="gap"/>
    <c:showDLblsOverMax val="0"/>
  </c:chart>
  <c:spPr>
    <a:ln>
      <a:solidFill>
        <a:schemeClr val="tx1">
          <a:tint val="75000"/>
          <a:shade val="95000"/>
          <a:satMod val="105000"/>
        </a:schemeClr>
      </a:solidFill>
    </a:ln>
  </c:spPr>
  <c:txPr>
    <a:bodyPr/>
    <a:lstStyle/>
    <a:p>
      <a:pPr>
        <a:defRPr sz="1400"/>
      </a:pPr>
      <a:endParaRPr lang="en-US"/>
    </a:p>
  </c:txPr>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310055070116624"/>
          <c:y val="2.3210519055565853E-2"/>
          <c:w val="0.84030238017680026"/>
          <c:h val="0.87407056358620805"/>
        </c:manualLayout>
      </c:layout>
      <c:scatterChart>
        <c:scatterStyle val="lineMarker"/>
        <c:varyColors val="0"/>
        <c:ser>
          <c:idx val="3"/>
          <c:order val="4"/>
          <c:tx>
            <c:strRef>
              <c:f>'Probability of Restrictions'!$E$1</c:f>
              <c:strCache>
                <c:ptCount val="1"/>
                <c:pt idx="0">
                  <c:v>1 Minor demand growth</c:v>
                </c:pt>
              </c:strCache>
            </c:strRef>
          </c:tx>
          <c:spPr>
            <a:ln w="31750">
              <a:prstDash val="sysDash"/>
            </a:ln>
          </c:spPr>
          <c:marker>
            <c:symbol val="none"/>
          </c:marker>
          <c:xVal>
            <c:numRef>
              <c:f>'Probability of Restrictions'!$A$4:$A$50</c:f>
              <c:numCache>
                <c:formatCode>General</c:formatCode>
                <c:ptCount val="47"/>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pt idx="40">
                  <c:v>2056</c:v>
                </c:pt>
                <c:pt idx="41">
                  <c:v>2057</c:v>
                </c:pt>
                <c:pt idx="42">
                  <c:v>2058</c:v>
                </c:pt>
                <c:pt idx="43">
                  <c:v>2059</c:v>
                </c:pt>
                <c:pt idx="44">
                  <c:v>2060</c:v>
                </c:pt>
                <c:pt idx="45">
                  <c:v>2061</c:v>
                </c:pt>
                <c:pt idx="46">
                  <c:v>2062</c:v>
                </c:pt>
              </c:numCache>
            </c:numRef>
          </c:xVal>
          <c:yVal>
            <c:numRef>
              <c:f>'Probability of Restrictions'!$E$4:$E$50</c:f>
              <c:numCache>
                <c:formatCode>0.0%</c:formatCode>
                <c:ptCount val="47"/>
                <c:pt idx="0">
                  <c:v>0</c:v>
                </c:pt>
                <c:pt idx="1">
                  <c:v>1E-3</c:v>
                </c:pt>
                <c:pt idx="2">
                  <c:v>3.0000000000000001E-3</c:v>
                </c:pt>
                <c:pt idx="3">
                  <c:v>8.9999999999999993E-3</c:v>
                </c:pt>
                <c:pt idx="4">
                  <c:v>1.2999999999999999E-2</c:v>
                </c:pt>
                <c:pt idx="5">
                  <c:v>1.7000000000000001E-2</c:v>
                </c:pt>
                <c:pt idx="6">
                  <c:v>1.7000000000000001E-2</c:v>
                </c:pt>
                <c:pt idx="7">
                  <c:v>1.7000000000000001E-2</c:v>
                </c:pt>
                <c:pt idx="8">
                  <c:v>1.4999999999999999E-2</c:v>
                </c:pt>
                <c:pt idx="9">
                  <c:v>1.2E-2</c:v>
                </c:pt>
                <c:pt idx="10">
                  <c:v>1.4999999999999999E-2</c:v>
                </c:pt>
                <c:pt idx="11">
                  <c:v>1.7000000000000001E-2</c:v>
                </c:pt>
                <c:pt idx="12">
                  <c:v>1.7999999999999999E-2</c:v>
                </c:pt>
                <c:pt idx="13">
                  <c:v>1.4E-2</c:v>
                </c:pt>
                <c:pt idx="14">
                  <c:v>1.2E-2</c:v>
                </c:pt>
                <c:pt idx="15">
                  <c:v>1.2E-2</c:v>
                </c:pt>
                <c:pt idx="16">
                  <c:v>1.2999999999999999E-2</c:v>
                </c:pt>
                <c:pt idx="17">
                  <c:v>1.2999999999999999E-2</c:v>
                </c:pt>
                <c:pt idx="18">
                  <c:v>1.2999999999999999E-2</c:v>
                </c:pt>
                <c:pt idx="19">
                  <c:v>1.4E-2</c:v>
                </c:pt>
                <c:pt idx="20">
                  <c:v>0.02</c:v>
                </c:pt>
                <c:pt idx="21">
                  <c:v>2.4E-2</c:v>
                </c:pt>
                <c:pt idx="22">
                  <c:v>2.7E-2</c:v>
                </c:pt>
                <c:pt idx="23">
                  <c:v>2.5999999999999999E-2</c:v>
                </c:pt>
                <c:pt idx="24">
                  <c:v>2.4E-2</c:v>
                </c:pt>
                <c:pt idx="25">
                  <c:v>2.4E-2</c:v>
                </c:pt>
                <c:pt idx="26">
                  <c:v>2.4E-2</c:v>
                </c:pt>
                <c:pt idx="27">
                  <c:v>2.7E-2</c:v>
                </c:pt>
                <c:pt idx="28">
                  <c:v>3.2000000000000001E-2</c:v>
                </c:pt>
                <c:pt idx="29">
                  <c:v>3.7999999999999999E-2</c:v>
                </c:pt>
                <c:pt idx="30">
                  <c:v>3.2000000000000001E-2</c:v>
                </c:pt>
                <c:pt idx="31">
                  <c:v>2.5000000000000001E-2</c:v>
                </c:pt>
                <c:pt idx="32">
                  <c:v>2.5999999999999999E-2</c:v>
                </c:pt>
                <c:pt idx="33">
                  <c:v>0.03</c:v>
                </c:pt>
                <c:pt idx="34">
                  <c:v>3.4000000000000002E-2</c:v>
                </c:pt>
                <c:pt idx="35">
                  <c:v>2.9000000000000001E-2</c:v>
                </c:pt>
                <c:pt idx="36">
                  <c:v>2.9000000000000001E-2</c:v>
                </c:pt>
                <c:pt idx="37">
                  <c:v>0.03</c:v>
                </c:pt>
                <c:pt idx="38">
                  <c:v>2.9000000000000001E-2</c:v>
                </c:pt>
                <c:pt idx="39">
                  <c:v>3.1E-2</c:v>
                </c:pt>
                <c:pt idx="40">
                  <c:v>2.9000000000000001E-2</c:v>
                </c:pt>
                <c:pt idx="41">
                  <c:v>3.3000000000000002E-2</c:v>
                </c:pt>
                <c:pt idx="42">
                  <c:v>0.04</c:v>
                </c:pt>
                <c:pt idx="43">
                  <c:v>4.5999999999999999E-2</c:v>
                </c:pt>
                <c:pt idx="44">
                  <c:v>3.7999999999999999E-2</c:v>
                </c:pt>
                <c:pt idx="45">
                  <c:v>5.2999999999999999E-2</c:v>
                </c:pt>
                <c:pt idx="46">
                  <c:v>5.2999999999999999E-2</c:v>
                </c:pt>
              </c:numCache>
            </c:numRef>
          </c:yVal>
          <c:smooth val="0"/>
          <c:extLst xmlns:c16r2="http://schemas.microsoft.com/office/drawing/2015/06/chart">
            <c:ext xmlns:c16="http://schemas.microsoft.com/office/drawing/2014/chart" uri="{C3380CC4-5D6E-409C-BE32-E72D297353CC}">
              <c16:uniqueId val="{00000000-4ED1-4366-96F9-3217C57851DD}"/>
            </c:ext>
          </c:extLst>
        </c:ser>
        <c:ser>
          <c:idx val="5"/>
          <c:order val="5"/>
          <c:tx>
            <c:strRef>
              <c:f>'Probability of Restrictions'!$G$1</c:f>
              <c:strCache>
                <c:ptCount val="1"/>
                <c:pt idx="0">
                  <c:v>2 Medium demand growth</c:v>
                </c:pt>
              </c:strCache>
            </c:strRef>
          </c:tx>
          <c:spPr>
            <a:ln w="31750"/>
          </c:spPr>
          <c:marker>
            <c:symbol val="none"/>
          </c:marker>
          <c:xVal>
            <c:numRef>
              <c:f>'Probability of Restrictions'!$A$4:$A$50</c:f>
              <c:numCache>
                <c:formatCode>General</c:formatCode>
                <c:ptCount val="47"/>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pt idx="40">
                  <c:v>2056</c:v>
                </c:pt>
                <c:pt idx="41">
                  <c:v>2057</c:v>
                </c:pt>
                <c:pt idx="42">
                  <c:v>2058</c:v>
                </c:pt>
                <c:pt idx="43">
                  <c:v>2059</c:v>
                </c:pt>
                <c:pt idx="44">
                  <c:v>2060</c:v>
                </c:pt>
                <c:pt idx="45">
                  <c:v>2061</c:v>
                </c:pt>
                <c:pt idx="46">
                  <c:v>2062</c:v>
                </c:pt>
              </c:numCache>
            </c:numRef>
          </c:xVal>
          <c:yVal>
            <c:numRef>
              <c:f>'Probability of Restrictions'!$G$4:$G$50</c:f>
              <c:numCache>
                <c:formatCode>0.0%</c:formatCode>
                <c:ptCount val="47"/>
                <c:pt idx="0">
                  <c:v>0</c:v>
                </c:pt>
                <c:pt idx="1">
                  <c:v>1E-3</c:v>
                </c:pt>
                <c:pt idx="2">
                  <c:v>7.0000000000000001E-3</c:v>
                </c:pt>
                <c:pt idx="3">
                  <c:v>0.01</c:v>
                </c:pt>
                <c:pt idx="4">
                  <c:v>1.4E-2</c:v>
                </c:pt>
                <c:pt idx="5">
                  <c:v>0.02</c:v>
                </c:pt>
                <c:pt idx="6">
                  <c:v>2.1000000000000001E-2</c:v>
                </c:pt>
                <c:pt idx="7">
                  <c:v>2.3E-2</c:v>
                </c:pt>
                <c:pt idx="8">
                  <c:v>2.1999999999999999E-2</c:v>
                </c:pt>
                <c:pt idx="9">
                  <c:v>1.7000000000000001E-2</c:v>
                </c:pt>
                <c:pt idx="10">
                  <c:v>1.9E-2</c:v>
                </c:pt>
                <c:pt idx="11">
                  <c:v>0.02</c:v>
                </c:pt>
                <c:pt idx="12">
                  <c:v>2.3E-2</c:v>
                </c:pt>
                <c:pt idx="13">
                  <c:v>0.02</c:v>
                </c:pt>
                <c:pt idx="14">
                  <c:v>1.9E-2</c:v>
                </c:pt>
                <c:pt idx="15">
                  <c:v>0.02</c:v>
                </c:pt>
                <c:pt idx="16">
                  <c:v>2.1999999999999999E-2</c:v>
                </c:pt>
                <c:pt idx="17">
                  <c:v>2.5000000000000001E-2</c:v>
                </c:pt>
                <c:pt idx="18">
                  <c:v>2.7E-2</c:v>
                </c:pt>
                <c:pt idx="19">
                  <c:v>2.5999999999999999E-2</c:v>
                </c:pt>
                <c:pt idx="20">
                  <c:v>3.7999999999999999E-2</c:v>
                </c:pt>
                <c:pt idx="21">
                  <c:v>3.9E-2</c:v>
                </c:pt>
                <c:pt idx="22">
                  <c:v>3.6999999999999998E-2</c:v>
                </c:pt>
                <c:pt idx="23">
                  <c:v>3.9E-2</c:v>
                </c:pt>
                <c:pt idx="24">
                  <c:v>4.1000000000000002E-2</c:v>
                </c:pt>
                <c:pt idx="25">
                  <c:v>4.2999999999999997E-2</c:v>
                </c:pt>
                <c:pt idx="26">
                  <c:v>4.3999999999999997E-2</c:v>
                </c:pt>
                <c:pt idx="27">
                  <c:v>4.7E-2</c:v>
                </c:pt>
                <c:pt idx="28">
                  <c:v>5.3999999999999999E-2</c:v>
                </c:pt>
                <c:pt idx="29">
                  <c:v>6.2E-2</c:v>
                </c:pt>
                <c:pt idx="30">
                  <c:v>5.6000000000000001E-2</c:v>
                </c:pt>
                <c:pt idx="31">
                  <c:v>0.06</c:v>
                </c:pt>
                <c:pt idx="32">
                  <c:v>5.5E-2</c:v>
                </c:pt>
                <c:pt idx="33">
                  <c:v>5.5E-2</c:v>
                </c:pt>
                <c:pt idx="34">
                  <c:v>5.5E-2</c:v>
                </c:pt>
                <c:pt idx="35">
                  <c:v>0.06</c:v>
                </c:pt>
                <c:pt idx="36">
                  <c:v>5.7000000000000002E-2</c:v>
                </c:pt>
                <c:pt idx="37">
                  <c:v>5.7000000000000002E-2</c:v>
                </c:pt>
                <c:pt idx="38">
                  <c:v>0.06</c:v>
                </c:pt>
                <c:pt idx="39">
                  <c:v>6.3E-2</c:v>
                </c:pt>
                <c:pt idx="40">
                  <c:v>6.5000000000000002E-2</c:v>
                </c:pt>
                <c:pt idx="41">
                  <c:v>7.4999999999999997E-2</c:v>
                </c:pt>
                <c:pt idx="42">
                  <c:v>9.1999999999999998E-2</c:v>
                </c:pt>
                <c:pt idx="43">
                  <c:v>0.10199999999999999</c:v>
                </c:pt>
                <c:pt idx="44">
                  <c:v>0.1</c:v>
                </c:pt>
                <c:pt idx="45">
                  <c:v>0.112</c:v>
                </c:pt>
                <c:pt idx="46">
                  <c:v>0.112</c:v>
                </c:pt>
              </c:numCache>
            </c:numRef>
          </c:yVal>
          <c:smooth val="0"/>
          <c:extLst xmlns:c16r2="http://schemas.microsoft.com/office/drawing/2015/06/chart">
            <c:ext xmlns:c16="http://schemas.microsoft.com/office/drawing/2014/chart" uri="{C3380CC4-5D6E-409C-BE32-E72D297353CC}">
              <c16:uniqueId val="{00000001-4ED1-4366-96F9-3217C57851DD}"/>
            </c:ext>
          </c:extLst>
        </c:ser>
        <c:ser>
          <c:idx val="7"/>
          <c:order val="6"/>
          <c:tx>
            <c:strRef>
              <c:f>'Probability of Restrictions'!$I$1</c:f>
              <c:strCache>
                <c:ptCount val="1"/>
                <c:pt idx="0">
                  <c:v>3 High demand growth</c:v>
                </c:pt>
              </c:strCache>
            </c:strRef>
          </c:tx>
          <c:spPr>
            <a:ln w="31750">
              <a:solidFill>
                <a:srgbClr val="0070C0"/>
              </a:solidFill>
              <a:prstDash val="dash"/>
            </a:ln>
          </c:spPr>
          <c:marker>
            <c:symbol val="none"/>
          </c:marker>
          <c:xVal>
            <c:numRef>
              <c:f>'Probability of Restrictions'!$A$4:$A$50</c:f>
              <c:numCache>
                <c:formatCode>General</c:formatCode>
                <c:ptCount val="47"/>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pt idx="40">
                  <c:v>2056</c:v>
                </c:pt>
                <c:pt idx="41">
                  <c:v>2057</c:v>
                </c:pt>
                <c:pt idx="42">
                  <c:v>2058</c:v>
                </c:pt>
                <c:pt idx="43">
                  <c:v>2059</c:v>
                </c:pt>
                <c:pt idx="44">
                  <c:v>2060</c:v>
                </c:pt>
                <c:pt idx="45">
                  <c:v>2061</c:v>
                </c:pt>
                <c:pt idx="46">
                  <c:v>2062</c:v>
                </c:pt>
              </c:numCache>
            </c:numRef>
          </c:xVal>
          <c:yVal>
            <c:numRef>
              <c:f>'Probability of Restrictions'!$I$4:$I$50</c:f>
              <c:numCache>
                <c:formatCode>0.0%</c:formatCode>
                <c:ptCount val="47"/>
                <c:pt idx="0">
                  <c:v>0</c:v>
                </c:pt>
                <c:pt idx="1">
                  <c:v>2E-3</c:v>
                </c:pt>
                <c:pt idx="2">
                  <c:v>6.0000000000000001E-3</c:v>
                </c:pt>
                <c:pt idx="3">
                  <c:v>1.0999999999999999E-2</c:v>
                </c:pt>
                <c:pt idx="4">
                  <c:v>1.4999999999999999E-2</c:v>
                </c:pt>
                <c:pt idx="5">
                  <c:v>2.1999999999999999E-2</c:v>
                </c:pt>
                <c:pt idx="6">
                  <c:v>2.1999999999999999E-2</c:v>
                </c:pt>
                <c:pt idx="7">
                  <c:v>2.4E-2</c:v>
                </c:pt>
                <c:pt idx="8">
                  <c:v>2.9000000000000001E-2</c:v>
                </c:pt>
                <c:pt idx="9">
                  <c:v>2.4E-2</c:v>
                </c:pt>
                <c:pt idx="10">
                  <c:v>2.4E-2</c:v>
                </c:pt>
                <c:pt idx="11">
                  <c:v>2.9000000000000001E-2</c:v>
                </c:pt>
                <c:pt idx="12">
                  <c:v>3.1E-2</c:v>
                </c:pt>
                <c:pt idx="13">
                  <c:v>3.5999999999999997E-2</c:v>
                </c:pt>
                <c:pt idx="14">
                  <c:v>3.3000000000000002E-2</c:v>
                </c:pt>
                <c:pt idx="15">
                  <c:v>3.6999999999999998E-2</c:v>
                </c:pt>
                <c:pt idx="16">
                  <c:v>4.3999999999999997E-2</c:v>
                </c:pt>
                <c:pt idx="17">
                  <c:v>4.2000000000000003E-2</c:v>
                </c:pt>
                <c:pt idx="18">
                  <c:v>4.1000000000000002E-2</c:v>
                </c:pt>
                <c:pt idx="19">
                  <c:v>4.7E-2</c:v>
                </c:pt>
                <c:pt idx="20">
                  <c:v>5.7000000000000002E-2</c:v>
                </c:pt>
                <c:pt idx="21">
                  <c:v>0.06</c:v>
                </c:pt>
                <c:pt idx="22">
                  <c:v>6.2E-2</c:v>
                </c:pt>
                <c:pt idx="23">
                  <c:v>7.1999999999999995E-2</c:v>
                </c:pt>
                <c:pt idx="24">
                  <c:v>8.2000000000000003E-2</c:v>
                </c:pt>
                <c:pt idx="25">
                  <c:v>8.5999999999999993E-2</c:v>
                </c:pt>
                <c:pt idx="26">
                  <c:v>9.6000000000000002E-2</c:v>
                </c:pt>
                <c:pt idx="27">
                  <c:v>0.107</c:v>
                </c:pt>
                <c:pt idx="28">
                  <c:v>0.11799999999999999</c:v>
                </c:pt>
                <c:pt idx="29">
                  <c:v>0.126</c:v>
                </c:pt>
                <c:pt idx="30">
                  <c:v>0.13900000000000001</c:v>
                </c:pt>
                <c:pt idx="31">
                  <c:v>0.14699999999999999</c:v>
                </c:pt>
                <c:pt idx="32">
                  <c:v>0.151</c:v>
                </c:pt>
                <c:pt idx="33">
                  <c:v>0.153</c:v>
                </c:pt>
                <c:pt idx="34">
                  <c:v>0.16800000000000001</c:v>
                </c:pt>
                <c:pt idx="35">
                  <c:v>0.189</c:v>
                </c:pt>
                <c:pt idx="36">
                  <c:v>0.188</c:v>
                </c:pt>
                <c:pt idx="37">
                  <c:v>0.20200000000000001</c:v>
                </c:pt>
                <c:pt idx="38">
                  <c:v>0.223</c:v>
                </c:pt>
                <c:pt idx="39">
                  <c:v>0.23300000000000001</c:v>
                </c:pt>
                <c:pt idx="40">
                  <c:v>0.23300000000000001</c:v>
                </c:pt>
                <c:pt idx="41">
                  <c:v>0.26300000000000001</c:v>
                </c:pt>
                <c:pt idx="42">
                  <c:v>0.28699999999999998</c:v>
                </c:pt>
                <c:pt idx="43">
                  <c:v>0.29899999999999999</c:v>
                </c:pt>
                <c:pt idx="44">
                  <c:v>0.313</c:v>
                </c:pt>
                <c:pt idx="45">
                  <c:v>0.33400000000000002</c:v>
                </c:pt>
                <c:pt idx="46">
                  <c:v>0.33300000000000002</c:v>
                </c:pt>
              </c:numCache>
            </c:numRef>
          </c:yVal>
          <c:smooth val="0"/>
          <c:extLst xmlns:c16r2="http://schemas.microsoft.com/office/drawing/2015/06/chart">
            <c:ext xmlns:c16="http://schemas.microsoft.com/office/drawing/2014/chart" uri="{C3380CC4-5D6E-409C-BE32-E72D297353CC}">
              <c16:uniqueId val="{00000002-4ED1-4366-96F9-3217C57851DD}"/>
            </c:ext>
          </c:extLst>
        </c:ser>
        <c:ser>
          <c:idx val="8"/>
          <c:order val="7"/>
          <c:tx>
            <c:strRef>
              <c:f>'Probability of Restrictions'!$J$1</c:f>
              <c:strCache>
                <c:ptCount val="1"/>
                <c:pt idx="0">
                  <c:v>5 per cent water security target</c:v>
                </c:pt>
              </c:strCache>
            </c:strRef>
          </c:tx>
          <c:spPr>
            <a:ln w="19050" cmpd="sng">
              <a:solidFill>
                <a:srgbClr val="C00000"/>
              </a:solidFill>
              <a:prstDash val="solid"/>
            </a:ln>
          </c:spPr>
          <c:marker>
            <c:symbol val="none"/>
          </c:marker>
          <c:xVal>
            <c:numRef>
              <c:f>'Probability of Restrictions'!$A$4:$A$50</c:f>
              <c:numCache>
                <c:formatCode>General</c:formatCode>
                <c:ptCount val="47"/>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pt idx="40">
                  <c:v>2056</c:v>
                </c:pt>
                <c:pt idx="41">
                  <c:v>2057</c:v>
                </c:pt>
                <c:pt idx="42">
                  <c:v>2058</c:v>
                </c:pt>
                <c:pt idx="43">
                  <c:v>2059</c:v>
                </c:pt>
                <c:pt idx="44">
                  <c:v>2060</c:v>
                </c:pt>
                <c:pt idx="45">
                  <c:v>2061</c:v>
                </c:pt>
                <c:pt idx="46">
                  <c:v>2062</c:v>
                </c:pt>
              </c:numCache>
            </c:numRef>
          </c:xVal>
          <c:yVal>
            <c:numRef>
              <c:f>'Probability of Restrictions'!$J$4:$J$50</c:f>
              <c:numCache>
                <c:formatCode>0.0%</c:formatCode>
                <c:ptCount val="47"/>
                <c:pt idx="0">
                  <c:v>0.05</c:v>
                </c:pt>
                <c:pt idx="1">
                  <c:v>0.05</c:v>
                </c:pt>
                <c:pt idx="2">
                  <c:v>0.05</c:v>
                </c:pt>
                <c:pt idx="3">
                  <c:v>0.05</c:v>
                </c:pt>
                <c:pt idx="4">
                  <c:v>0.05</c:v>
                </c:pt>
                <c:pt idx="5">
                  <c:v>0.05</c:v>
                </c:pt>
                <c:pt idx="6">
                  <c:v>0.05</c:v>
                </c:pt>
                <c:pt idx="7">
                  <c:v>0.05</c:v>
                </c:pt>
                <c:pt idx="8">
                  <c:v>0.05</c:v>
                </c:pt>
                <c:pt idx="9">
                  <c:v>0.05</c:v>
                </c:pt>
                <c:pt idx="10">
                  <c:v>0.05</c:v>
                </c:pt>
                <c:pt idx="11">
                  <c:v>0.05</c:v>
                </c:pt>
                <c:pt idx="12">
                  <c:v>0.05</c:v>
                </c:pt>
                <c:pt idx="13">
                  <c:v>0.05</c:v>
                </c:pt>
                <c:pt idx="14">
                  <c:v>0.05</c:v>
                </c:pt>
                <c:pt idx="15">
                  <c:v>0.05</c:v>
                </c:pt>
                <c:pt idx="16">
                  <c:v>0.05</c:v>
                </c:pt>
                <c:pt idx="17">
                  <c:v>0.05</c:v>
                </c:pt>
                <c:pt idx="18">
                  <c:v>0.05</c:v>
                </c:pt>
                <c:pt idx="19">
                  <c:v>0.05</c:v>
                </c:pt>
                <c:pt idx="20">
                  <c:v>0.05</c:v>
                </c:pt>
                <c:pt idx="21">
                  <c:v>0.05</c:v>
                </c:pt>
                <c:pt idx="22">
                  <c:v>0.05</c:v>
                </c:pt>
                <c:pt idx="23">
                  <c:v>0.05</c:v>
                </c:pt>
                <c:pt idx="24">
                  <c:v>0.05</c:v>
                </c:pt>
                <c:pt idx="25">
                  <c:v>0.05</c:v>
                </c:pt>
                <c:pt idx="26">
                  <c:v>0.05</c:v>
                </c:pt>
                <c:pt idx="27">
                  <c:v>0.05</c:v>
                </c:pt>
                <c:pt idx="28">
                  <c:v>0.05</c:v>
                </c:pt>
                <c:pt idx="29">
                  <c:v>0.05</c:v>
                </c:pt>
                <c:pt idx="30">
                  <c:v>0.05</c:v>
                </c:pt>
                <c:pt idx="31">
                  <c:v>0.05</c:v>
                </c:pt>
                <c:pt idx="32">
                  <c:v>0.05</c:v>
                </c:pt>
                <c:pt idx="33">
                  <c:v>0.05</c:v>
                </c:pt>
                <c:pt idx="34">
                  <c:v>0.05</c:v>
                </c:pt>
                <c:pt idx="35">
                  <c:v>0.05</c:v>
                </c:pt>
                <c:pt idx="36">
                  <c:v>0.05</c:v>
                </c:pt>
                <c:pt idx="37">
                  <c:v>0.05</c:v>
                </c:pt>
                <c:pt idx="38">
                  <c:v>0.05</c:v>
                </c:pt>
                <c:pt idx="39">
                  <c:v>0.05</c:v>
                </c:pt>
                <c:pt idx="40">
                  <c:v>0.05</c:v>
                </c:pt>
                <c:pt idx="41">
                  <c:v>0.05</c:v>
                </c:pt>
                <c:pt idx="42">
                  <c:v>0.05</c:v>
                </c:pt>
                <c:pt idx="43">
                  <c:v>0.05</c:v>
                </c:pt>
                <c:pt idx="44">
                  <c:v>0.05</c:v>
                </c:pt>
                <c:pt idx="45">
                  <c:v>0.05</c:v>
                </c:pt>
                <c:pt idx="46">
                  <c:v>0.05</c:v>
                </c:pt>
              </c:numCache>
            </c:numRef>
          </c:yVal>
          <c:smooth val="0"/>
          <c:extLst xmlns:c16r2="http://schemas.microsoft.com/office/drawing/2015/06/chart">
            <c:ext xmlns:c16="http://schemas.microsoft.com/office/drawing/2014/chart" uri="{C3380CC4-5D6E-409C-BE32-E72D297353CC}">
              <c16:uniqueId val="{00000003-4ED1-4366-96F9-3217C57851DD}"/>
            </c:ext>
          </c:extLst>
        </c:ser>
        <c:dLbls>
          <c:showLegendKey val="0"/>
          <c:showVal val="0"/>
          <c:showCatName val="0"/>
          <c:showSerName val="0"/>
          <c:showPercent val="0"/>
          <c:showBubbleSize val="0"/>
        </c:dLbls>
        <c:axId val="250406064"/>
        <c:axId val="250406456"/>
        <c:extLst xmlns:c16r2="http://schemas.microsoft.com/office/drawing/2015/06/chart">
          <c:ext xmlns:c15="http://schemas.microsoft.com/office/drawing/2012/chart" uri="{02D57815-91ED-43cb-92C2-25804820EDAC}">
            <c15:filteredScatterSeries>
              <c15:ser>
                <c:idx val="0"/>
                <c:order val="0"/>
                <c:tx>
                  <c:v>Scenario 1</c:v>
                </c:tx>
                <c:marker>
                  <c:symbol val="none"/>
                </c:marker>
                <c:xVal>
                  <c:numRef>
                    <c:extLst xmlns:c16r2="http://schemas.microsoft.com/office/drawing/2015/06/chart">
                      <c:ext uri="{02D57815-91ED-43cb-92C2-25804820EDAC}">
                        <c15:formulaRef>
                          <c15:sqref>'Probability of Restrictions'!$A$4:$A$50</c15:sqref>
                        </c15:formulaRef>
                      </c:ext>
                    </c:extLst>
                    <c:numCache>
                      <c:formatCode>General</c:formatCode>
                      <c:ptCount val="47"/>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pt idx="40">
                        <c:v>2056</c:v>
                      </c:pt>
                      <c:pt idx="41">
                        <c:v>2057</c:v>
                      </c:pt>
                      <c:pt idx="42">
                        <c:v>2058</c:v>
                      </c:pt>
                      <c:pt idx="43">
                        <c:v>2059</c:v>
                      </c:pt>
                      <c:pt idx="44">
                        <c:v>2060</c:v>
                      </c:pt>
                      <c:pt idx="45">
                        <c:v>2061</c:v>
                      </c:pt>
                      <c:pt idx="46">
                        <c:v>2062</c:v>
                      </c:pt>
                    </c:numCache>
                  </c:numRef>
                </c:xVal>
                <c:yVal>
                  <c:numRef>
                    <c:extLst xmlns:c16r2="http://schemas.microsoft.com/office/drawing/2015/06/chart">
                      <c:ext uri="{02D57815-91ED-43cb-92C2-25804820EDAC}">
                        <c15:formulaRef>
                          <c15:sqref>'Probability of Restrictions'!$B$4:$B$50</c15:sqref>
                        </c15:formulaRef>
                      </c:ext>
                    </c:extLst>
                    <c:numCache>
                      <c:formatCode>0.0%</c:formatCode>
                      <c:ptCount val="47"/>
                      <c:pt idx="0">
                        <c:v>0</c:v>
                      </c:pt>
                      <c:pt idx="1">
                        <c:v>0</c:v>
                      </c:pt>
                      <c:pt idx="2">
                        <c:v>0</c:v>
                      </c:pt>
                      <c:pt idx="3">
                        <c:v>2E-3</c:v>
                      </c:pt>
                      <c:pt idx="4">
                        <c:v>2E-3</c:v>
                      </c:pt>
                      <c:pt idx="5">
                        <c:v>6.0000000000000001E-3</c:v>
                      </c:pt>
                      <c:pt idx="6">
                        <c:v>6.0000000000000001E-3</c:v>
                      </c:pt>
                      <c:pt idx="7">
                        <c:v>6.0000000000000001E-3</c:v>
                      </c:pt>
                      <c:pt idx="8">
                        <c:v>6.0000000000000001E-3</c:v>
                      </c:pt>
                      <c:pt idx="9">
                        <c:v>3.0000000000000001E-3</c:v>
                      </c:pt>
                      <c:pt idx="10">
                        <c:v>2E-3</c:v>
                      </c:pt>
                      <c:pt idx="11">
                        <c:v>2E-3</c:v>
                      </c:pt>
                      <c:pt idx="12">
                        <c:v>1E-3</c:v>
                      </c:pt>
                      <c:pt idx="13">
                        <c:v>2E-3</c:v>
                      </c:pt>
                      <c:pt idx="14">
                        <c:v>1E-3</c:v>
                      </c:pt>
                      <c:pt idx="15">
                        <c:v>1E-3</c:v>
                      </c:pt>
                      <c:pt idx="16">
                        <c:v>1E-3</c:v>
                      </c:pt>
                      <c:pt idx="17">
                        <c:v>0</c:v>
                      </c:pt>
                      <c:pt idx="18">
                        <c:v>0</c:v>
                      </c:pt>
                      <c:pt idx="19">
                        <c:v>0</c:v>
                      </c:pt>
                      <c:pt idx="20">
                        <c:v>0</c:v>
                      </c:pt>
                      <c:pt idx="21">
                        <c:v>2E-3</c:v>
                      </c:pt>
                      <c:pt idx="22">
                        <c:v>2E-3</c:v>
                      </c:pt>
                      <c:pt idx="23">
                        <c:v>2E-3</c:v>
                      </c:pt>
                      <c:pt idx="24">
                        <c:v>3.0000000000000001E-3</c:v>
                      </c:pt>
                      <c:pt idx="25">
                        <c:v>4.0000000000000001E-3</c:v>
                      </c:pt>
                      <c:pt idx="26">
                        <c:v>4.0000000000000001E-3</c:v>
                      </c:pt>
                      <c:pt idx="27">
                        <c:v>7.0000000000000001E-3</c:v>
                      </c:pt>
                      <c:pt idx="28">
                        <c:v>6.0000000000000001E-3</c:v>
                      </c:pt>
                      <c:pt idx="29">
                        <c:v>7.0000000000000001E-3</c:v>
                      </c:pt>
                      <c:pt idx="30">
                        <c:v>7.0000000000000001E-3</c:v>
                      </c:pt>
                      <c:pt idx="31">
                        <c:v>3.0000000000000001E-3</c:v>
                      </c:pt>
                      <c:pt idx="32">
                        <c:v>2E-3</c:v>
                      </c:pt>
                      <c:pt idx="33">
                        <c:v>3.0000000000000001E-3</c:v>
                      </c:pt>
                      <c:pt idx="34">
                        <c:v>3.0000000000000001E-3</c:v>
                      </c:pt>
                      <c:pt idx="35">
                        <c:v>4.0000000000000001E-3</c:v>
                      </c:pt>
                      <c:pt idx="36">
                        <c:v>3.0000000000000001E-3</c:v>
                      </c:pt>
                      <c:pt idx="37">
                        <c:v>1E-3</c:v>
                      </c:pt>
                      <c:pt idx="38">
                        <c:v>2E-3</c:v>
                      </c:pt>
                      <c:pt idx="39">
                        <c:v>3.0000000000000001E-3</c:v>
                      </c:pt>
                      <c:pt idx="40">
                        <c:v>2E-3</c:v>
                      </c:pt>
                      <c:pt idx="41">
                        <c:v>2E-3</c:v>
                      </c:pt>
                      <c:pt idx="42">
                        <c:v>3.0000000000000001E-3</c:v>
                      </c:pt>
                      <c:pt idx="43">
                        <c:v>2E-3</c:v>
                      </c:pt>
                      <c:pt idx="44">
                        <c:v>3.0000000000000001E-3</c:v>
                      </c:pt>
                      <c:pt idx="45">
                        <c:v>4.0000000000000001E-3</c:v>
                      </c:pt>
                      <c:pt idx="46">
                        <c:v>3.0000000000000001E-3</c:v>
                      </c:pt>
                    </c:numCache>
                  </c:numRef>
                </c:yVal>
                <c:smooth val="0"/>
                <c:extLst xmlns:c16r2="http://schemas.microsoft.com/office/drawing/2015/06/chart">
                  <c:ext xmlns:c16="http://schemas.microsoft.com/office/drawing/2014/chart" uri="{C3380CC4-5D6E-409C-BE32-E72D297353CC}">
                    <c16:uniqueId val="{00000004-4ED1-4366-96F9-3217C57851DD}"/>
                  </c:ext>
                </c:extLst>
              </c15:ser>
            </c15:filteredScatterSeries>
            <c15:filteredScatterSeries>
              <c15:ser>
                <c:idx val="2"/>
                <c:order val="1"/>
                <c:tx>
                  <c:v>Scenario 3</c:v>
                </c:tx>
                <c:marker>
                  <c:symbol val="none"/>
                </c:marker>
                <c:xVal>
                  <c:numRef>
                    <c:extLst xmlns:c15="http://schemas.microsoft.com/office/drawing/2012/chart" xmlns:c16r2="http://schemas.microsoft.com/office/drawing/2015/06/chart">
                      <c:ext xmlns:c15="http://schemas.microsoft.com/office/drawing/2012/chart" uri="{02D57815-91ED-43cb-92C2-25804820EDAC}">
                        <c15:formulaRef>
                          <c15:sqref>'Probability of Restrictions'!$A$4:$A$50</c15:sqref>
                        </c15:formulaRef>
                      </c:ext>
                    </c:extLst>
                    <c:numCache>
                      <c:formatCode>General</c:formatCode>
                      <c:ptCount val="47"/>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pt idx="40">
                        <c:v>2056</c:v>
                      </c:pt>
                      <c:pt idx="41">
                        <c:v>2057</c:v>
                      </c:pt>
                      <c:pt idx="42">
                        <c:v>2058</c:v>
                      </c:pt>
                      <c:pt idx="43">
                        <c:v>2059</c:v>
                      </c:pt>
                      <c:pt idx="44">
                        <c:v>2060</c:v>
                      </c:pt>
                      <c:pt idx="45">
                        <c:v>2061</c:v>
                      </c:pt>
                      <c:pt idx="46">
                        <c:v>2062</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'Probability of Restrictions'!$D$4:$D$50</c15:sqref>
                        </c15:formulaRef>
                      </c:ext>
                    </c:extLst>
                    <c:numCache>
                      <c:formatCode>0.0%</c:formatCode>
                      <c:ptCount val="47"/>
                      <c:pt idx="0">
                        <c:v>0</c:v>
                      </c:pt>
                      <c:pt idx="1">
                        <c:v>0</c:v>
                      </c:pt>
                      <c:pt idx="2">
                        <c:v>0</c:v>
                      </c:pt>
                      <c:pt idx="3">
                        <c:v>2E-3</c:v>
                      </c:pt>
                      <c:pt idx="4">
                        <c:v>3.0000000000000001E-3</c:v>
                      </c:pt>
                      <c:pt idx="5">
                        <c:v>8.0000000000000002E-3</c:v>
                      </c:pt>
                      <c:pt idx="6">
                        <c:v>7.0000000000000001E-3</c:v>
                      </c:pt>
                      <c:pt idx="7">
                        <c:v>7.0000000000000001E-3</c:v>
                      </c:pt>
                      <c:pt idx="8">
                        <c:v>7.0000000000000001E-3</c:v>
                      </c:pt>
                      <c:pt idx="9">
                        <c:v>6.0000000000000001E-3</c:v>
                      </c:pt>
                      <c:pt idx="10">
                        <c:v>4.0000000000000001E-3</c:v>
                      </c:pt>
                      <c:pt idx="11">
                        <c:v>1E-3</c:v>
                      </c:pt>
                      <c:pt idx="12">
                        <c:v>2E-3</c:v>
                      </c:pt>
                      <c:pt idx="13">
                        <c:v>2E-3</c:v>
                      </c:pt>
                      <c:pt idx="14">
                        <c:v>1E-3</c:v>
                      </c:pt>
                      <c:pt idx="15">
                        <c:v>3.0000000000000001E-3</c:v>
                      </c:pt>
                      <c:pt idx="16">
                        <c:v>4.0000000000000001E-3</c:v>
                      </c:pt>
                      <c:pt idx="17">
                        <c:v>3.0000000000000001E-3</c:v>
                      </c:pt>
                      <c:pt idx="18">
                        <c:v>4.0000000000000001E-3</c:v>
                      </c:pt>
                      <c:pt idx="19">
                        <c:v>3.0000000000000001E-3</c:v>
                      </c:pt>
                      <c:pt idx="20">
                        <c:v>4.0000000000000001E-3</c:v>
                      </c:pt>
                      <c:pt idx="21">
                        <c:v>6.0000000000000001E-3</c:v>
                      </c:pt>
                      <c:pt idx="22">
                        <c:v>4.0000000000000001E-3</c:v>
                      </c:pt>
                      <c:pt idx="23">
                        <c:v>2E-3</c:v>
                      </c:pt>
                      <c:pt idx="24">
                        <c:v>4.0000000000000001E-3</c:v>
                      </c:pt>
                      <c:pt idx="25">
                        <c:v>6.0000000000000001E-3</c:v>
                      </c:pt>
                      <c:pt idx="26">
                        <c:v>8.0000000000000002E-3</c:v>
                      </c:pt>
                      <c:pt idx="27">
                        <c:v>1.0999999999999999E-2</c:v>
                      </c:pt>
                      <c:pt idx="28">
                        <c:v>1.2E-2</c:v>
                      </c:pt>
                      <c:pt idx="29">
                        <c:v>1.2999999999999999E-2</c:v>
                      </c:pt>
                      <c:pt idx="30">
                        <c:v>1.0999999999999999E-2</c:v>
                      </c:pt>
                      <c:pt idx="31">
                        <c:v>7.0000000000000001E-3</c:v>
                      </c:pt>
                      <c:pt idx="32">
                        <c:v>6.0000000000000001E-3</c:v>
                      </c:pt>
                      <c:pt idx="33">
                        <c:v>6.0000000000000001E-3</c:v>
                      </c:pt>
                      <c:pt idx="34">
                        <c:v>8.9999999999999993E-3</c:v>
                      </c:pt>
                      <c:pt idx="35">
                        <c:v>0.01</c:v>
                      </c:pt>
                      <c:pt idx="36">
                        <c:v>8.9999999999999993E-3</c:v>
                      </c:pt>
                      <c:pt idx="37">
                        <c:v>8.9999999999999993E-3</c:v>
                      </c:pt>
                      <c:pt idx="38">
                        <c:v>7.0000000000000001E-3</c:v>
                      </c:pt>
                      <c:pt idx="39">
                        <c:v>8.9999999999999993E-3</c:v>
                      </c:pt>
                      <c:pt idx="40">
                        <c:v>6.0000000000000001E-3</c:v>
                      </c:pt>
                      <c:pt idx="41">
                        <c:v>5.0000000000000001E-3</c:v>
                      </c:pt>
                      <c:pt idx="42">
                        <c:v>7.0000000000000001E-3</c:v>
                      </c:pt>
                      <c:pt idx="43">
                        <c:v>0.01</c:v>
                      </c:pt>
                      <c:pt idx="44">
                        <c:v>1.2E-2</c:v>
                      </c:pt>
                      <c:pt idx="45">
                        <c:v>1.2999999999999999E-2</c:v>
                      </c:pt>
                      <c:pt idx="46">
                        <c:v>1.2999999999999999E-2</c:v>
                      </c:pt>
                    </c:numCache>
                  </c:numRef>
                </c:yVal>
                <c:smooth val="0"/>
                <c:extLst xmlns:c15="http://schemas.microsoft.com/office/drawing/2012/chart" xmlns:c16r2="http://schemas.microsoft.com/office/drawing/2015/06/chart">
                  <c:ext xmlns:c16="http://schemas.microsoft.com/office/drawing/2014/chart" uri="{C3380CC4-5D6E-409C-BE32-E72D297353CC}">
                    <c16:uniqueId val="{00000005-4ED1-4366-96F9-3217C57851DD}"/>
                  </c:ext>
                </c:extLst>
              </c15:ser>
            </c15:filteredScatterSeries>
            <c15:filteredScatterSeries>
              <c15:ser>
                <c:idx val="4"/>
                <c:order val="2"/>
                <c:tx>
                  <c:v>Scenario 5</c:v>
                </c:tx>
                <c:marker>
                  <c:symbol val="none"/>
                </c:marker>
                <c:xVal>
                  <c:numRef>
                    <c:extLst xmlns:c15="http://schemas.microsoft.com/office/drawing/2012/chart" xmlns:c16r2="http://schemas.microsoft.com/office/drawing/2015/06/chart">
                      <c:ext xmlns:c15="http://schemas.microsoft.com/office/drawing/2012/chart" uri="{02D57815-91ED-43cb-92C2-25804820EDAC}">
                        <c15:formulaRef>
                          <c15:sqref>'Probability of Restrictions'!$A$4:$A$50</c15:sqref>
                        </c15:formulaRef>
                      </c:ext>
                    </c:extLst>
                    <c:numCache>
                      <c:formatCode>General</c:formatCode>
                      <c:ptCount val="47"/>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pt idx="40">
                        <c:v>2056</c:v>
                      </c:pt>
                      <c:pt idx="41">
                        <c:v>2057</c:v>
                      </c:pt>
                      <c:pt idx="42">
                        <c:v>2058</c:v>
                      </c:pt>
                      <c:pt idx="43">
                        <c:v>2059</c:v>
                      </c:pt>
                      <c:pt idx="44">
                        <c:v>2060</c:v>
                      </c:pt>
                      <c:pt idx="45">
                        <c:v>2061</c:v>
                      </c:pt>
                      <c:pt idx="46">
                        <c:v>2062</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'Probability of Restrictions'!$F$4:$F$50</c15:sqref>
                        </c15:formulaRef>
                      </c:ext>
                    </c:extLst>
                    <c:numCache>
                      <c:formatCode>0.0%</c:formatCode>
                      <c:ptCount val="47"/>
                      <c:pt idx="0">
                        <c:v>0</c:v>
                      </c:pt>
                      <c:pt idx="1">
                        <c:v>0</c:v>
                      </c:pt>
                      <c:pt idx="2">
                        <c:v>0</c:v>
                      </c:pt>
                      <c:pt idx="3">
                        <c:v>2E-3</c:v>
                      </c:pt>
                      <c:pt idx="4">
                        <c:v>4.0000000000000001E-3</c:v>
                      </c:pt>
                      <c:pt idx="5">
                        <c:v>8.9999999999999993E-3</c:v>
                      </c:pt>
                      <c:pt idx="6">
                        <c:v>8.0000000000000002E-3</c:v>
                      </c:pt>
                      <c:pt idx="7">
                        <c:v>7.0000000000000001E-3</c:v>
                      </c:pt>
                      <c:pt idx="8">
                        <c:v>7.0000000000000001E-3</c:v>
                      </c:pt>
                      <c:pt idx="9">
                        <c:v>5.0000000000000001E-3</c:v>
                      </c:pt>
                      <c:pt idx="10">
                        <c:v>4.0000000000000001E-3</c:v>
                      </c:pt>
                      <c:pt idx="11">
                        <c:v>3.0000000000000001E-3</c:v>
                      </c:pt>
                      <c:pt idx="12">
                        <c:v>3.0000000000000001E-3</c:v>
                      </c:pt>
                      <c:pt idx="13">
                        <c:v>4.0000000000000001E-3</c:v>
                      </c:pt>
                      <c:pt idx="14">
                        <c:v>2E-3</c:v>
                      </c:pt>
                      <c:pt idx="15">
                        <c:v>3.0000000000000001E-3</c:v>
                      </c:pt>
                      <c:pt idx="16">
                        <c:v>5.0000000000000001E-3</c:v>
                      </c:pt>
                      <c:pt idx="17">
                        <c:v>6.0000000000000001E-3</c:v>
                      </c:pt>
                      <c:pt idx="18">
                        <c:v>8.0000000000000002E-3</c:v>
                      </c:pt>
                      <c:pt idx="19">
                        <c:v>5.0000000000000001E-3</c:v>
                      </c:pt>
                      <c:pt idx="20">
                        <c:v>0.01</c:v>
                      </c:pt>
                      <c:pt idx="21">
                        <c:v>0.01</c:v>
                      </c:pt>
                      <c:pt idx="22">
                        <c:v>0.01</c:v>
                      </c:pt>
                      <c:pt idx="23">
                        <c:v>7.0000000000000001E-3</c:v>
                      </c:pt>
                      <c:pt idx="24">
                        <c:v>1.2E-2</c:v>
                      </c:pt>
                      <c:pt idx="25">
                        <c:v>0.01</c:v>
                      </c:pt>
                      <c:pt idx="26">
                        <c:v>1.4999999999999999E-2</c:v>
                      </c:pt>
                      <c:pt idx="27">
                        <c:v>1.4999999999999999E-2</c:v>
                      </c:pt>
                      <c:pt idx="28">
                        <c:v>1.7000000000000001E-2</c:v>
                      </c:pt>
                      <c:pt idx="29">
                        <c:v>1.9E-2</c:v>
                      </c:pt>
                      <c:pt idx="30">
                        <c:v>0.02</c:v>
                      </c:pt>
                      <c:pt idx="31">
                        <c:v>1.7000000000000001E-2</c:v>
                      </c:pt>
                      <c:pt idx="32">
                        <c:v>1.4999999999999999E-2</c:v>
                      </c:pt>
                      <c:pt idx="33">
                        <c:v>1.2999999999999999E-2</c:v>
                      </c:pt>
                      <c:pt idx="34">
                        <c:v>1.9E-2</c:v>
                      </c:pt>
                      <c:pt idx="35">
                        <c:v>1.7000000000000001E-2</c:v>
                      </c:pt>
                      <c:pt idx="36">
                        <c:v>1.9E-2</c:v>
                      </c:pt>
                      <c:pt idx="37">
                        <c:v>0.02</c:v>
                      </c:pt>
                      <c:pt idx="38">
                        <c:v>1.7000000000000001E-2</c:v>
                      </c:pt>
                      <c:pt idx="39">
                        <c:v>2.1000000000000001E-2</c:v>
                      </c:pt>
                      <c:pt idx="40">
                        <c:v>1.7999999999999999E-2</c:v>
                      </c:pt>
                      <c:pt idx="41">
                        <c:v>1.6E-2</c:v>
                      </c:pt>
                      <c:pt idx="42">
                        <c:v>2.8000000000000001E-2</c:v>
                      </c:pt>
                      <c:pt idx="43">
                        <c:v>2.8000000000000001E-2</c:v>
                      </c:pt>
                      <c:pt idx="44">
                        <c:v>0.03</c:v>
                      </c:pt>
                      <c:pt idx="45">
                        <c:v>3.5000000000000003E-2</c:v>
                      </c:pt>
                      <c:pt idx="46">
                        <c:v>4.2000000000000003E-2</c:v>
                      </c:pt>
                    </c:numCache>
                  </c:numRef>
                </c:yVal>
                <c:smooth val="0"/>
                <c:extLst xmlns:c15="http://schemas.microsoft.com/office/drawing/2012/chart" xmlns:c16r2="http://schemas.microsoft.com/office/drawing/2015/06/chart">
                  <c:ext xmlns:c16="http://schemas.microsoft.com/office/drawing/2014/chart" uri="{C3380CC4-5D6E-409C-BE32-E72D297353CC}">
                    <c16:uniqueId val="{00000006-4ED1-4366-96F9-3217C57851DD}"/>
                  </c:ext>
                </c:extLst>
              </c15:ser>
            </c15:filteredScatterSeries>
            <c15:filteredScatterSeries>
              <c15:ser>
                <c:idx val="6"/>
                <c:order val="3"/>
                <c:tx>
                  <c:v>Scenario 7</c:v>
                </c:tx>
                <c:marker>
                  <c:symbol val="none"/>
                </c:marker>
                <c:xVal>
                  <c:numRef>
                    <c:extLst xmlns:c15="http://schemas.microsoft.com/office/drawing/2012/chart" xmlns:c16r2="http://schemas.microsoft.com/office/drawing/2015/06/chart">
                      <c:ext xmlns:c15="http://schemas.microsoft.com/office/drawing/2012/chart" uri="{02D57815-91ED-43cb-92C2-25804820EDAC}">
                        <c15:formulaRef>
                          <c15:sqref>'Probability of Restrictions'!$A$4:$A$50</c15:sqref>
                        </c15:formulaRef>
                      </c:ext>
                    </c:extLst>
                    <c:numCache>
                      <c:formatCode>General</c:formatCode>
                      <c:ptCount val="47"/>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pt idx="40">
                        <c:v>2056</c:v>
                      </c:pt>
                      <c:pt idx="41">
                        <c:v>2057</c:v>
                      </c:pt>
                      <c:pt idx="42">
                        <c:v>2058</c:v>
                      </c:pt>
                      <c:pt idx="43">
                        <c:v>2059</c:v>
                      </c:pt>
                      <c:pt idx="44">
                        <c:v>2060</c:v>
                      </c:pt>
                      <c:pt idx="45">
                        <c:v>2061</c:v>
                      </c:pt>
                      <c:pt idx="46">
                        <c:v>2062</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'Probability of Restrictions'!$H$4:$H$50</c15:sqref>
                        </c15:formulaRef>
                      </c:ext>
                    </c:extLst>
                    <c:numCache>
                      <c:formatCode>0.0%</c:formatCode>
                      <c:ptCount val="47"/>
                      <c:pt idx="0">
                        <c:v>0</c:v>
                      </c:pt>
                      <c:pt idx="1">
                        <c:v>0</c:v>
                      </c:pt>
                      <c:pt idx="2">
                        <c:v>0</c:v>
                      </c:pt>
                      <c:pt idx="3">
                        <c:v>1E-3</c:v>
                      </c:pt>
                      <c:pt idx="4">
                        <c:v>5.0000000000000001E-3</c:v>
                      </c:pt>
                      <c:pt idx="5">
                        <c:v>1.2E-2</c:v>
                      </c:pt>
                      <c:pt idx="6">
                        <c:v>8.9999999999999993E-3</c:v>
                      </c:pt>
                      <c:pt idx="7">
                        <c:v>7.0000000000000001E-3</c:v>
                      </c:pt>
                      <c:pt idx="8">
                        <c:v>7.0000000000000001E-3</c:v>
                      </c:pt>
                      <c:pt idx="9">
                        <c:v>6.0000000000000001E-3</c:v>
                      </c:pt>
                      <c:pt idx="10">
                        <c:v>4.0000000000000001E-3</c:v>
                      </c:pt>
                      <c:pt idx="11">
                        <c:v>4.0000000000000001E-3</c:v>
                      </c:pt>
                      <c:pt idx="12">
                        <c:v>8.0000000000000002E-3</c:v>
                      </c:pt>
                      <c:pt idx="13">
                        <c:v>8.9999999999999993E-3</c:v>
                      </c:pt>
                      <c:pt idx="14">
                        <c:v>8.0000000000000002E-3</c:v>
                      </c:pt>
                      <c:pt idx="15">
                        <c:v>8.9999999999999993E-3</c:v>
                      </c:pt>
                      <c:pt idx="16">
                        <c:v>1.4E-2</c:v>
                      </c:pt>
                      <c:pt idx="17">
                        <c:v>1.2999999999999999E-2</c:v>
                      </c:pt>
                      <c:pt idx="18">
                        <c:v>1.0999999999999999E-2</c:v>
                      </c:pt>
                      <c:pt idx="19">
                        <c:v>0.01</c:v>
                      </c:pt>
                      <c:pt idx="20">
                        <c:v>1.7999999999999999E-2</c:v>
                      </c:pt>
                      <c:pt idx="21">
                        <c:v>0.02</c:v>
                      </c:pt>
                      <c:pt idx="22">
                        <c:v>1.9E-2</c:v>
                      </c:pt>
                      <c:pt idx="23">
                        <c:v>1.7000000000000001E-2</c:v>
                      </c:pt>
                      <c:pt idx="24">
                        <c:v>1.9E-2</c:v>
                      </c:pt>
                      <c:pt idx="25">
                        <c:v>2.5000000000000001E-2</c:v>
                      </c:pt>
                      <c:pt idx="26">
                        <c:v>0.03</c:v>
                      </c:pt>
                      <c:pt idx="27">
                        <c:v>3.3000000000000002E-2</c:v>
                      </c:pt>
                      <c:pt idx="28">
                        <c:v>4.2000000000000003E-2</c:v>
                      </c:pt>
                      <c:pt idx="29">
                        <c:v>4.2999999999999997E-2</c:v>
                      </c:pt>
                      <c:pt idx="30">
                        <c:v>4.2999999999999997E-2</c:v>
                      </c:pt>
                      <c:pt idx="31">
                        <c:v>0.05</c:v>
                      </c:pt>
                      <c:pt idx="32">
                        <c:v>5.6000000000000001E-2</c:v>
                      </c:pt>
                      <c:pt idx="33">
                        <c:v>5.6000000000000001E-2</c:v>
                      </c:pt>
                      <c:pt idx="34">
                        <c:v>7.0000000000000007E-2</c:v>
                      </c:pt>
                      <c:pt idx="35">
                        <c:v>6.9000000000000006E-2</c:v>
                      </c:pt>
                      <c:pt idx="36">
                        <c:v>7.0000000000000007E-2</c:v>
                      </c:pt>
                      <c:pt idx="37">
                        <c:v>6.6000000000000003E-2</c:v>
                      </c:pt>
                      <c:pt idx="38">
                        <c:v>7.1999999999999995E-2</c:v>
                      </c:pt>
                      <c:pt idx="39">
                        <c:v>8.2000000000000003E-2</c:v>
                      </c:pt>
                      <c:pt idx="40">
                        <c:v>9.4E-2</c:v>
                      </c:pt>
                      <c:pt idx="41">
                        <c:v>0.11700000000000001</c:v>
                      </c:pt>
                      <c:pt idx="42">
                        <c:v>0.13200000000000001</c:v>
                      </c:pt>
                      <c:pt idx="43">
                        <c:v>0.13600000000000001</c:v>
                      </c:pt>
                      <c:pt idx="44">
                        <c:v>0.13800000000000001</c:v>
                      </c:pt>
                      <c:pt idx="45">
                        <c:v>0.14799999999999999</c:v>
                      </c:pt>
                      <c:pt idx="46">
                        <c:v>0.151</c:v>
                      </c:pt>
                    </c:numCache>
                  </c:numRef>
                </c:yVal>
                <c:smooth val="0"/>
                <c:extLst xmlns:c15="http://schemas.microsoft.com/office/drawing/2012/chart" xmlns:c16r2="http://schemas.microsoft.com/office/drawing/2015/06/chart">
                  <c:ext xmlns:c16="http://schemas.microsoft.com/office/drawing/2014/chart" uri="{C3380CC4-5D6E-409C-BE32-E72D297353CC}">
                    <c16:uniqueId val="{00000007-4ED1-4366-96F9-3217C57851DD}"/>
                  </c:ext>
                </c:extLst>
              </c15:ser>
            </c15:filteredScatterSeries>
          </c:ext>
        </c:extLst>
      </c:scatterChart>
      <c:valAx>
        <c:axId val="250406064"/>
        <c:scaling>
          <c:orientation val="minMax"/>
          <c:min val="2015"/>
        </c:scaling>
        <c:delete val="0"/>
        <c:axPos val="b"/>
        <c:numFmt formatCode="General" sourceLinked="1"/>
        <c:majorTickMark val="out"/>
        <c:minorTickMark val="none"/>
        <c:tickLblPos val="nextTo"/>
        <c:spPr>
          <a:ln>
            <a:solidFill>
              <a:schemeClr val="bg1">
                <a:lumMod val="65000"/>
              </a:schemeClr>
            </a:solidFill>
          </a:ln>
        </c:spPr>
        <c:txPr>
          <a:bodyPr/>
          <a:lstStyle/>
          <a:p>
            <a:pPr>
              <a:defRPr sz="800">
                <a:solidFill>
                  <a:schemeClr val="bg1">
                    <a:lumMod val="50000"/>
                  </a:schemeClr>
                </a:solidFill>
              </a:defRPr>
            </a:pPr>
            <a:endParaRPr lang="en-US"/>
          </a:p>
        </c:txPr>
        <c:crossAx val="250406456"/>
        <c:crosses val="autoZero"/>
        <c:crossBetween val="midCat"/>
      </c:valAx>
      <c:valAx>
        <c:axId val="250406456"/>
        <c:scaling>
          <c:orientation val="minMax"/>
        </c:scaling>
        <c:delete val="0"/>
        <c:axPos val="l"/>
        <c:majorGridlines>
          <c:spPr>
            <a:ln>
              <a:solidFill>
                <a:schemeClr val="bg1">
                  <a:lumMod val="85000"/>
                </a:schemeClr>
              </a:solidFill>
            </a:ln>
          </c:spPr>
        </c:majorGridlines>
        <c:title>
          <c:tx>
            <c:rich>
              <a:bodyPr rot="-5400000" vert="horz"/>
              <a:lstStyle/>
              <a:p>
                <a:pPr>
                  <a:defRPr sz="800">
                    <a:solidFill>
                      <a:schemeClr val="bg1">
                        <a:lumMod val="50000"/>
                      </a:schemeClr>
                    </a:solidFill>
                  </a:defRPr>
                </a:pPr>
                <a:r>
                  <a:rPr lang="en-AU" sz="800">
                    <a:solidFill>
                      <a:schemeClr val="bg1">
                        <a:lumMod val="50000"/>
                      </a:schemeClr>
                    </a:solidFill>
                  </a:rPr>
                  <a:t>Percentage</a:t>
                </a:r>
                <a:r>
                  <a:rPr lang="en-AU" sz="800" baseline="0">
                    <a:solidFill>
                      <a:schemeClr val="bg1">
                        <a:lumMod val="50000"/>
                      </a:schemeClr>
                    </a:solidFill>
                  </a:rPr>
                  <a:t> of years with water restrictions</a:t>
                </a:r>
                <a:endParaRPr lang="en-AU" sz="800">
                  <a:solidFill>
                    <a:schemeClr val="bg1">
                      <a:lumMod val="50000"/>
                    </a:schemeClr>
                  </a:solidFill>
                </a:endParaRPr>
              </a:p>
            </c:rich>
          </c:tx>
          <c:layout>
            <c:manualLayout>
              <c:xMode val="edge"/>
              <c:yMode val="edge"/>
              <c:x val="2.0493882118974894E-2"/>
              <c:y val="0.27123263227585959"/>
            </c:manualLayout>
          </c:layout>
          <c:overlay val="0"/>
        </c:title>
        <c:numFmt formatCode="0%" sourceLinked="0"/>
        <c:majorTickMark val="out"/>
        <c:minorTickMark val="none"/>
        <c:tickLblPos val="nextTo"/>
        <c:spPr>
          <a:ln>
            <a:solidFill>
              <a:schemeClr val="bg1">
                <a:lumMod val="65000"/>
              </a:schemeClr>
            </a:solidFill>
          </a:ln>
        </c:spPr>
        <c:txPr>
          <a:bodyPr/>
          <a:lstStyle/>
          <a:p>
            <a:pPr>
              <a:defRPr sz="800">
                <a:solidFill>
                  <a:schemeClr val="bg1">
                    <a:lumMod val="50000"/>
                  </a:schemeClr>
                </a:solidFill>
              </a:defRPr>
            </a:pPr>
            <a:endParaRPr lang="en-US"/>
          </a:p>
        </c:txPr>
        <c:crossAx val="250406064"/>
        <c:crosses val="autoZero"/>
        <c:crossBetween val="midCat"/>
      </c:valAx>
    </c:plotArea>
    <c:legend>
      <c:legendPos val="b"/>
      <c:layout>
        <c:manualLayout>
          <c:xMode val="edge"/>
          <c:yMode val="edge"/>
          <c:x val="0.21371820806149719"/>
          <c:y val="0.14625476301369436"/>
          <c:w val="0.46415845558969315"/>
          <c:h val="0.20591598340798906"/>
        </c:manualLayout>
      </c:layout>
      <c:overlay val="0"/>
      <c:txPr>
        <a:bodyPr/>
        <a:lstStyle/>
        <a:p>
          <a:pPr>
            <a:defRPr sz="800" b="0">
              <a:solidFill>
                <a:schemeClr val="bg1">
                  <a:lumMod val="50000"/>
                </a:schemeClr>
              </a:solidFill>
            </a:defRPr>
          </a:pPr>
          <a:endParaRPr lang="en-US"/>
        </a:p>
      </c:txPr>
    </c:legend>
    <c:plotVisOnly val="1"/>
    <c:dispBlanksAs val="gap"/>
    <c:showDLblsOverMax val="0"/>
  </c:chart>
  <c:spPr>
    <a:ln>
      <a:solidFill>
        <a:schemeClr val="bg1">
          <a:lumMod val="75000"/>
        </a:schemeClr>
      </a:solid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19199773153306"/>
          <c:y val="0.12384156807045771"/>
          <c:w val="0.81535998004323351"/>
          <c:h val="0.82538009387737166"/>
        </c:manualLayout>
      </c:layout>
      <c:lineChart>
        <c:grouping val="standard"/>
        <c:varyColors val="0"/>
        <c:ser>
          <c:idx val="0"/>
          <c:order val="0"/>
          <c:tx>
            <c:strRef>
              <c:f>Calcs!$S$2</c:f>
              <c:strCache>
                <c:ptCount val="1"/>
                <c:pt idx="0">
                  <c:v>1999-2015</c:v>
                </c:pt>
              </c:strCache>
            </c:strRef>
          </c:tx>
          <c:marker>
            <c:symbol val="none"/>
          </c:marker>
          <c:cat>
            <c:numRef>
              <c:f>Calcs!$A$2:$A$367</c:f>
              <c:numCache>
                <c:formatCode>m/d/yyyy</c:formatCode>
                <c:ptCount val="366"/>
                <c:pt idx="0">
                  <c:v>36342</c:v>
                </c:pt>
                <c:pt idx="1">
                  <c:v>36343</c:v>
                </c:pt>
                <c:pt idx="2">
                  <c:v>36344</c:v>
                </c:pt>
                <c:pt idx="3">
                  <c:v>36345</c:v>
                </c:pt>
                <c:pt idx="4">
                  <c:v>36346</c:v>
                </c:pt>
                <c:pt idx="5">
                  <c:v>36347</c:v>
                </c:pt>
                <c:pt idx="6">
                  <c:v>36348</c:v>
                </c:pt>
                <c:pt idx="7">
                  <c:v>36349</c:v>
                </c:pt>
                <c:pt idx="8">
                  <c:v>36350</c:v>
                </c:pt>
                <c:pt idx="9">
                  <c:v>36351</c:v>
                </c:pt>
                <c:pt idx="10">
                  <c:v>36352</c:v>
                </c:pt>
                <c:pt idx="11">
                  <c:v>36353</c:v>
                </c:pt>
                <c:pt idx="12">
                  <c:v>36354</c:v>
                </c:pt>
                <c:pt idx="13">
                  <c:v>36355</c:v>
                </c:pt>
                <c:pt idx="14">
                  <c:v>36356</c:v>
                </c:pt>
                <c:pt idx="15">
                  <c:v>36357</c:v>
                </c:pt>
                <c:pt idx="16">
                  <c:v>36358</c:v>
                </c:pt>
                <c:pt idx="17">
                  <c:v>36359</c:v>
                </c:pt>
                <c:pt idx="18">
                  <c:v>36360</c:v>
                </c:pt>
                <c:pt idx="19">
                  <c:v>36361</c:v>
                </c:pt>
                <c:pt idx="20">
                  <c:v>36362</c:v>
                </c:pt>
                <c:pt idx="21">
                  <c:v>36363</c:v>
                </c:pt>
                <c:pt idx="22">
                  <c:v>36364</c:v>
                </c:pt>
                <c:pt idx="23">
                  <c:v>36365</c:v>
                </c:pt>
                <c:pt idx="24">
                  <c:v>36366</c:v>
                </c:pt>
                <c:pt idx="25">
                  <c:v>36367</c:v>
                </c:pt>
                <c:pt idx="26">
                  <c:v>36368</c:v>
                </c:pt>
                <c:pt idx="27">
                  <c:v>36369</c:v>
                </c:pt>
                <c:pt idx="28">
                  <c:v>36370</c:v>
                </c:pt>
                <c:pt idx="29">
                  <c:v>36371</c:v>
                </c:pt>
                <c:pt idx="30">
                  <c:v>36372</c:v>
                </c:pt>
                <c:pt idx="31">
                  <c:v>36373</c:v>
                </c:pt>
                <c:pt idx="32">
                  <c:v>36374</c:v>
                </c:pt>
                <c:pt idx="33">
                  <c:v>36375</c:v>
                </c:pt>
                <c:pt idx="34">
                  <c:v>36376</c:v>
                </c:pt>
                <c:pt idx="35">
                  <c:v>36377</c:v>
                </c:pt>
                <c:pt idx="36">
                  <c:v>36378</c:v>
                </c:pt>
                <c:pt idx="37">
                  <c:v>36379</c:v>
                </c:pt>
                <c:pt idx="38">
                  <c:v>36380</c:v>
                </c:pt>
                <c:pt idx="39">
                  <c:v>36381</c:v>
                </c:pt>
                <c:pt idx="40">
                  <c:v>36382</c:v>
                </c:pt>
                <c:pt idx="41">
                  <c:v>36383</c:v>
                </c:pt>
                <c:pt idx="42">
                  <c:v>36384</c:v>
                </c:pt>
                <c:pt idx="43">
                  <c:v>36385</c:v>
                </c:pt>
                <c:pt idx="44">
                  <c:v>36386</c:v>
                </c:pt>
                <c:pt idx="45">
                  <c:v>36387</c:v>
                </c:pt>
                <c:pt idx="46">
                  <c:v>36388</c:v>
                </c:pt>
                <c:pt idx="47">
                  <c:v>36389</c:v>
                </c:pt>
                <c:pt idx="48">
                  <c:v>36390</c:v>
                </c:pt>
                <c:pt idx="49">
                  <c:v>36391</c:v>
                </c:pt>
                <c:pt idx="50">
                  <c:v>36392</c:v>
                </c:pt>
                <c:pt idx="51">
                  <c:v>36393</c:v>
                </c:pt>
                <c:pt idx="52">
                  <c:v>36394</c:v>
                </c:pt>
                <c:pt idx="53">
                  <c:v>36395</c:v>
                </c:pt>
                <c:pt idx="54">
                  <c:v>36396</c:v>
                </c:pt>
                <c:pt idx="55">
                  <c:v>36397</c:v>
                </c:pt>
                <c:pt idx="56">
                  <c:v>36398</c:v>
                </c:pt>
                <c:pt idx="57">
                  <c:v>36399</c:v>
                </c:pt>
                <c:pt idx="58">
                  <c:v>36400</c:v>
                </c:pt>
                <c:pt idx="59">
                  <c:v>36401</c:v>
                </c:pt>
                <c:pt idx="60">
                  <c:v>36402</c:v>
                </c:pt>
                <c:pt idx="61">
                  <c:v>36403</c:v>
                </c:pt>
                <c:pt idx="62">
                  <c:v>36404</c:v>
                </c:pt>
                <c:pt idx="63">
                  <c:v>36405</c:v>
                </c:pt>
                <c:pt idx="64">
                  <c:v>36406</c:v>
                </c:pt>
                <c:pt idx="65">
                  <c:v>36407</c:v>
                </c:pt>
                <c:pt idx="66">
                  <c:v>36408</c:v>
                </c:pt>
                <c:pt idx="67">
                  <c:v>36409</c:v>
                </c:pt>
                <c:pt idx="68">
                  <c:v>36410</c:v>
                </c:pt>
                <c:pt idx="69">
                  <c:v>36411</c:v>
                </c:pt>
                <c:pt idx="70">
                  <c:v>36412</c:v>
                </c:pt>
                <c:pt idx="71">
                  <c:v>36413</c:v>
                </c:pt>
                <c:pt idx="72">
                  <c:v>36414</c:v>
                </c:pt>
                <c:pt idx="73">
                  <c:v>36415</c:v>
                </c:pt>
                <c:pt idx="74">
                  <c:v>36416</c:v>
                </c:pt>
                <c:pt idx="75">
                  <c:v>36417</c:v>
                </c:pt>
                <c:pt idx="76">
                  <c:v>36418</c:v>
                </c:pt>
                <c:pt idx="77">
                  <c:v>36419</c:v>
                </c:pt>
                <c:pt idx="78">
                  <c:v>36420</c:v>
                </c:pt>
                <c:pt idx="79">
                  <c:v>36421</c:v>
                </c:pt>
                <c:pt idx="80">
                  <c:v>36422</c:v>
                </c:pt>
                <c:pt idx="81">
                  <c:v>36423</c:v>
                </c:pt>
                <c:pt idx="82">
                  <c:v>36424</c:v>
                </c:pt>
                <c:pt idx="83">
                  <c:v>36425</c:v>
                </c:pt>
                <c:pt idx="84">
                  <c:v>36426</c:v>
                </c:pt>
                <c:pt idx="85">
                  <c:v>36427</c:v>
                </c:pt>
                <c:pt idx="86">
                  <c:v>36428</c:v>
                </c:pt>
                <c:pt idx="87">
                  <c:v>36429</c:v>
                </c:pt>
                <c:pt idx="88">
                  <c:v>36430</c:v>
                </c:pt>
                <c:pt idx="89">
                  <c:v>36431</c:v>
                </c:pt>
                <c:pt idx="90">
                  <c:v>36432</c:v>
                </c:pt>
                <c:pt idx="91">
                  <c:v>36433</c:v>
                </c:pt>
                <c:pt idx="92">
                  <c:v>36434</c:v>
                </c:pt>
                <c:pt idx="93">
                  <c:v>36435</c:v>
                </c:pt>
                <c:pt idx="94">
                  <c:v>36436</c:v>
                </c:pt>
                <c:pt idx="95">
                  <c:v>36437</c:v>
                </c:pt>
                <c:pt idx="96">
                  <c:v>36438</c:v>
                </c:pt>
                <c:pt idx="97">
                  <c:v>36439</c:v>
                </c:pt>
                <c:pt idx="98">
                  <c:v>36440</c:v>
                </c:pt>
                <c:pt idx="99">
                  <c:v>36441</c:v>
                </c:pt>
                <c:pt idx="100">
                  <c:v>36442</c:v>
                </c:pt>
                <c:pt idx="101">
                  <c:v>36443</c:v>
                </c:pt>
                <c:pt idx="102">
                  <c:v>36444</c:v>
                </c:pt>
                <c:pt idx="103">
                  <c:v>36445</c:v>
                </c:pt>
                <c:pt idx="104">
                  <c:v>36446</c:v>
                </c:pt>
                <c:pt idx="105">
                  <c:v>36447</c:v>
                </c:pt>
                <c:pt idx="106">
                  <c:v>36448</c:v>
                </c:pt>
                <c:pt idx="107">
                  <c:v>36449</c:v>
                </c:pt>
                <c:pt idx="108">
                  <c:v>36450</c:v>
                </c:pt>
                <c:pt idx="109">
                  <c:v>36451</c:v>
                </c:pt>
                <c:pt idx="110">
                  <c:v>36452</c:v>
                </c:pt>
                <c:pt idx="111">
                  <c:v>36453</c:v>
                </c:pt>
                <c:pt idx="112">
                  <c:v>36454</c:v>
                </c:pt>
                <c:pt idx="113">
                  <c:v>36455</c:v>
                </c:pt>
                <c:pt idx="114">
                  <c:v>36456</c:v>
                </c:pt>
                <c:pt idx="115">
                  <c:v>36457</c:v>
                </c:pt>
                <c:pt idx="116">
                  <c:v>36458</c:v>
                </c:pt>
                <c:pt idx="117">
                  <c:v>36459</c:v>
                </c:pt>
                <c:pt idx="118">
                  <c:v>36460</c:v>
                </c:pt>
                <c:pt idx="119">
                  <c:v>36461</c:v>
                </c:pt>
                <c:pt idx="120">
                  <c:v>36462</c:v>
                </c:pt>
                <c:pt idx="121">
                  <c:v>36463</c:v>
                </c:pt>
                <c:pt idx="122">
                  <c:v>36464</c:v>
                </c:pt>
                <c:pt idx="123">
                  <c:v>36465</c:v>
                </c:pt>
                <c:pt idx="124">
                  <c:v>36466</c:v>
                </c:pt>
                <c:pt idx="125">
                  <c:v>36467</c:v>
                </c:pt>
                <c:pt idx="126">
                  <c:v>36468</c:v>
                </c:pt>
                <c:pt idx="127">
                  <c:v>36469</c:v>
                </c:pt>
                <c:pt idx="128">
                  <c:v>36470</c:v>
                </c:pt>
                <c:pt idx="129">
                  <c:v>36471</c:v>
                </c:pt>
                <c:pt idx="130">
                  <c:v>36472</c:v>
                </c:pt>
                <c:pt idx="131">
                  <c:v>36473</c:v>
                </c:pt>
                <c:pt idx="132">
                  <c:v>36474</c:v>
                </c:pt>
                <c:pt idx="133">
                  <c:v>36475</c:v>
                </c:pt>
                <c:pt idx="134">
                  <c:v>36476</c:v>
                </c:pt>
                <c:pt idx="135">
                  <c:v>36477</c:v>
                </c:pt>
                <c:pt idx="136">
                  <c:v>36478</c:v>
                </c:pt>
                <c:pt idx="137">
                  <c:v>36479</c:v>
                </c:pt>
                <c:pt idx="138">
                  <c:v>36480</c:v>
                </c:pt>
                <c:pt idx="139">
                  <c:v>36481</c:v>
                </c:pt>
                <c:pt idx="140">
                  <c:v>36482</c:v>
                </c:pt>
                <c:pt idx="141">
                  <c:v>36483</c:v>
                </c:pt>
                <c:pt idx="142">
                  <c:v>36484</c:v>
                </c:pt>
                <c:pt idx="143">
                  <c:v>36485</c:v>
                </c:pt>
                <c:pt idx="144">
                  <c:v>36486</c:v>
                </c:pt>
                <c:pt idx="145">
                  <c:v>36487</c:v>
                </c:pt>
                <c:pt idx="146">
                  <c:v>36488</c:v>
                </c:pt>
                <c:pt idx="147">
                  <c:v>36489</c:v>
                </c:pt>
                <c:pt idx="148">
                  <c:v>36490</c:v>
                </c:pt>
                <c:pt idx="149">
                  <c:v>36491</c:v>
                </c:pt>
                <c:pt idx="150">
                  <c:v>36492</c:v>
                </c:pt>
                <c:pt idx="151">
                  <c:v>36493</c:v>
                </c:pt>
                <c:pt idx="152">
                  <c:v>36494</c:v>
                </c:pt>
                <c:pt idx="153">
                  <c:v>36495</c:v>
                </c:pt>
                <c:pt idx="154">
                  <c:v>36496</c:v>
                </c:pt>
                <c:pt idx="155">
                  <c:v>36497</c:v>
                </c:pt>
                <c:pt idx="156">
                  <c:v>36498</c:v>
                </c:pt>
                <c:pt idx="157">
                  <c:v>36499</c:v>
                </c:pt>
                <c:pt idx="158">
                  <c:v>36500</c:v>
                </c:pt>
                <c:pt idx="159">
                  <c:v>36501</c:v>
                </c:pt>
                <c:pt idx="160">
                  <c:v>36502</c:v>
                </c:pt>
                <c:pt idx="161">
                  <c:v>36503</c:v>
                </c:pt>
                <c:pt idx="162">
                  <c:v>36504</c:v>
                </c:pt>
                <c:pt idx="163">
                  <c:v>36505</c:v>
                </c:pt>
                <c:pt idx="164">
                  <c:v>36506</c:v>
                </c:pt>
                <c:pt idx="165">
                  <c:v>36507</c:v>
                </c:pt>
                <c:pt idx="166">
                  <c:v>36508</c:v>
                </c:pt>
                <c:pt idx="167">
                  <c:v>36509</c:v>
                </c:pt>
                <c:pt idx="168">
                  <c:v>36510</c:v>
                </c:pt>
                <c:pt idx="169">
                  <c:v>36511</c:v>
                </c:pt>
                <c:pt idx="170">
                  <c:v>36512</c:v>
                </c:pt>
                <c:pt idx="171">
                  <c:v>36513</c:v>
                </c:pt>
                <c:pt idx="172">
                  <c:v>36514</c:v>
                </c:pt>
                <c:pt idx="173">
                  <c:v>36515</c:v>
                </c:pt>
                <c:pt idx="174">
                  <c:v>36516</c:v>
                </c:pt>
                <c:pt idx="175">
                  <c:v>36517</c:v>
                </c:pt>
                <c:pt idx="176">
                  <c:v>36518</c:v>
                </c:pt>
                <c:pt idx="177">
                  <c:v>36519</c:v>
                </c:pt>
                <c:pt idx="178">
                  <c:v>36520</c:v>
                </c:pt>
                <c:pt idx="179">
                  <c:v>36521</c:v>
                </c:pt>
                <c:pt idx="180">
                  <c:v>36522</c:v>
                </c:pt>
                <c:pt idx="181">
                  <c:v>36523</c:v>
                </c:pt>
                <c:pt idx="182">
                  <c:v>36524</c:v>
                </c:pt>
                <c:pt idx="183">
                  <c:v>36525</c:v>
                </c:pt>
                <c:pt idx="184">
                  <c:v>36526</c:v>
                </c:pt>
                <c:pt idx="185">
                  <c:v>36527</c:v>
                </c:pt>
                <c:pt idx="186">
                  <c:v>36528</c:v>
                </c:pt>
                <c:pt idx="187">
                  <c:v>36529</c:v>
                </c:pt>
                <c:pt idx="188">
                  <c:v>36530</c:v>
                </c:pt>
                <c:pt idx="189">
                  <c:v>36531</c:v>
                </c:pt>
                <c:pt idx="190">
                  <c:v>36532</c:v>
                </c:pt>
                <c:pt idx="191">
                  <c:v>36533</c:v>
                </c:pt>
                <c:pt idx="192">
                  <c:v>36534</c:v>
                </c:pt>
                <c:pt idx="193">
                  <c:v>36535</c:v>
                </c:pt>
                <c:pt idx="194">
                  <c:v>36536</c:v>
                </c:pt>
                <c:pt idx="195">
                  <c:v>36537</c:v>
                </c:pt>
                <c:pt idx="196">
                  <c:v>36538</c:v>
                </c:pt>
                <c:pt idx="197">
                  <c:v>36539</c:v>
                </c:pt>
                <c:pt idx="198">
                  <c:v>36540</c:v>
                </c:pt>
                <c:pt idx="199">
                  <c:v>36541</c:v>
                </c:pt>
                <c:pt idx="200">
                  <c:v>36542</c:v>
                </c:pt>
                <c:pt idx="201">
                  <c:v>36543</c:v>
                </c:pt>
                <c:pt idx="202">
                  <c:v>36544</c:v>
                </c:pt>
                <c:pt idx="203">
                  <c:v>36545</c:v>
                </c:pt>
                <c:pt idx="204">
                  <c:v>36546</c:v>
                </c:pt>
                <c:pt idx="205">
                  <c:v>36547</c:v>
                </c:pt>
                <c:pt idx="206">
                  <c:v>36548</c:v>
                </c:pt>
                <c:pt idx="207">
                  <c:v>36549</c:v>
                </c:pt>
                <c:pt idx="208">
                  <c:v>36550</c:v>
                </c:pt>
                <c:pt idx="209">
                  <c:v>36551</c:v>
                </c:pt>
                <c:pt idx="210">
                  <c:v>36552</c:v>
                </c:pt>
                <c:pt idx="211">
                  <c:v>36553</c:v>
                </c:pt>
                <c:pt idx="212">
                  <c:v>36554</c:v>
                </c:pt>
                <c:pt idx="213">
                  <c:v>36555</c:v>
                </c:pt>
                <c:pt idx="214">
                  <c:v>36556</c:v>
                </c:pt>
                <c:pt idx="215">
                  <c:v>36557</c:v>
                </c:pt>
                <c:pt idx="216">
                  <c:v>36558</c:v>
                </c:pt>
                <c:pt idx="217">
                  <c:v>36559</c:v>
                </c:pt>
                <c:pt idx="218">
                  <c:v>36560</c:v>
                </c:pt>
                <c:pt idx="219">
                  <c:v>36561</c:v>
                </c:pt>
                <c:pt idx="220">
                  <c:v>36562</c:v>
                </c:pt>
                <c:pt idx="221">
                  <c:v>36563</c:v>
                </c:pt>
                <c:pt idx="222">
                  <c:v>36564</c:v>
                </c:pt>
                <c:pt idx="223">
                  <c:v>36565</c:v>
                </c:pt>
                <c:pt idx="224">
                  <c:v>36566</c:v>
                </c:pt>
                <c:pt idx="225">
                  <c:v>36567</c:v>
                </c:pt>
                <c:pt idx="226">
                  <c:v>36568</c:v>
                </c:pt>
                <c:pt idx="227">
                  <c:v>36569</c:v>
                </c:pt>
                <c:pt idx="228">
                  <c:v>36570</c:v>
                </c:pt>
                <c:pt idx="229">
                  <c:v>36571</c:v>
                </c:pt>
                <c:pt idx="230">
                  <c:v>36572</c:v>
                </c:pt>
                <c:pt idx="231">
                  <c:v>36573</c:v>
                </c:pt>
                <c:pt idx="232">
                  <c:v>36574</c:v>
                </c:pt>
                <c:pt idx="233">
                  <c:v>36575</c:v>
                </c:pt>
                <c:pt idx="234">
                  <c:v>36576</c:v>
                </c:pt>
                <c:pt idx="235">
                  <c:v>36577</c:v>
                </c:pt>
                <c:pt idx="236">
                  <c:v>36578</c:v>
                </c:pt>
                <c:pt idx="237">
                  <c:v>36579</c:v>
                </c:pt>
                <c:pt idx="238">
                  <c:v>36580</c:v>
                </c:pt>
                <c:pt idx="239">
                  <c:v>36581</c:v>
                </c:pt>
                <c:pt idx="240">
                  <c:v>36582</c:v>
                </c:pt>
                <c:pt idx="241">
                  <c:v>36583</c:v>
                </c:pt>
                <c:pt idx="242">
                  <c:v>36584</c:v>
                </c:pt>
                <c:pt idx="243">
                  <c:v>36585</c:v>
                </c:pt>
                <c:pt idx="244">
                  <c:v>36586</c:v>
                </c:pt>
                <c:pt idx="245">
                  <c:v>36587</c:v>
                </c:pt>
                <c:pt idx="246">
                  <c:v>36588</c:v>
                </c:pt>
                <c:pt idx="247">
                  <c:v>36589</c:v>
                </c:pt>
                <c:pt idx="248">
                  <c:v>36590</c:v>
                </c:pt>
                <c:pt idx="249">
                  <c:v>36591</c:v>
                </c:pt>
                <c:pt idx="250">
                  <c:v>36592</c:v>
                </c:pt>
                <c:pt idx="251">
                  <c:v>36593</c:v>
                </c:pt>
                <c:pt idx="252">
                  <c:v>36594</c:v>
                </c:pt>
                <c:pt idx="253">
                  <c:v>36595</c:v>
                </c:pt>
                <c:pt idx="254">
                  <c:v>36596</c:v>
                </c:pt>
                <c:pt idx="255">
                  <c:v>36597</c:v>
                </c:pt>
                <c:pt idx="256">
                  <c:v>36598</c:v>
                </c:pt>
                <c:pt idx="257">
                  <c:v>36599</c:v>
                </c:pt>
                <c:pt idx="258">
                  <c:v>36600</c:v>
                </c:pt>
                <c:pt idx="259">
                  <c:v>36601</c:v>
                </c:pt>
                <c:pt idx="260">
                  <c:v>36602</c:v>
                </c:pt>
                <c:pt idx="261">
                  <c:v>36603</c:v>
                </c:pt>
                <c:pt idx="262">
                  <c:v>36604</c:v>
                </c:pt>
                <c:pt idx="263">
                  <c:v>36605</c:v>
                </c:pt>
                <c:pt idx="264">
                  <c:v>36606</c:v>
                </c:pt>
                <c:pt idx="265">
                  <c:v>36607</c:v>
                </c:pt>
                <c:pt idx="266">
                  <c:v>36608</c:v>
                </c:pt>
                <c:pt idx="267">
                  <c:v>36609</c:v>
                </c:pt>
                <c:pt idx="268">
                  <c:v>36610</c:v>
                </c:pt>
                <c:pt idx="269">
                  <c:v>36611</c:v>
                </c:pt>
                <c:pt idx="270">
                  <c:v>36612</c:v>
                </c:pt>
                <c:pt idx="271">
                  <c:v>36613</c:v>
                </c:pt>
                <c:pt idx="272">
                  <c:v>36614</c:v>
                </c:pt>
                <c:pt idx="273">
                  <c:v>36615</c:v>
                </c:pt>
                <c:pt idx="274">
                  <c:v>36616</c:v>
                </c:pt>
                <c:pt idx="275">
                  <c:v>36617</c:v>
                </c:pt>
                <c:pt idx="276">
                  <c:v>36618</c:v>
                </c:pt>
                <c:pt idx="277">
                  <c:v>36619</c:v>
                </c:pt>
                <c:pt idx="278">
                  <c:v>36620</c:v>
                </c:pt>
                <c:pt idx="279">
                  <c:v>36621</c:v>
                </c:pt>
                <c:pt idx="280">
                  <c:v>36622</c:v>
                </c:pt>
                <c:pt idx="281">
                  <c:v>36623</c:v>
                </c:pt>
                <c:pt idx="282">
                  <c:v>36624</c:v>
                </c:pt>
                <c:pt idx="283">
                  <c:v>36625</c:v>
                </c:pt>
                <c:pt idx="284">
                  <c:v>36626</c:v>
                </c:pt>
                <c:pt idx="285">
                  <c:v>36627</c:v>
                </c:pt>
                <c:pt idx="286">
                  <c:v>36628</c:v>
                </c:pt>
                <c:pt idx="287">
                  <c:v>36629</c:v>
                </c:pt>
                <c:pt idx="288">
                  <c:v>36630</c:v>
                </c:pt>
                <c:pt idx="289">
                  <c:v>36631</c:v>
                </c:pt>
                <c:pt idx="290">
                  <c:v>36632</c:v>
                </c:pt>
                <c:pt idx="291">
                  <c:v>36633</c:v>
                </c:pt>
                <c:pt idx="292">
                  <c:v>36634</c:v>
                </c:pt>
                <c:pt idx="293">
                  <c:v>36635</c:v>
                </c:pt>
                <c:pt idx="294">
                  <c:v>36636</c:v>
                </c:pt>
                <c:pt idx="295">
                  <c:v>36637</c:v>
                </c:pt>
                <c:pt idx="296">
                  <c:v>36638</c:v>
                </c:pt>
                <c:pt idx="297">
                  <c:v>36639</c:v>
                </c:pt>
                <c:pt idx="298">
                  <c:v>36640</c:v>
                </c:pt>
                <c:pt idx="299">
                  <c:v>36641</c:v>
                </c:pt>
                <c:pt idx="300">
                  <c:v>36642</c:v>
                </c:pt>
                <c:pt idx="301">
                  <c:v>36643</c:v>
                </c:pt>
                <c:pt idx="302">
                  <c:v>36644</c:v>
                </c:pt>
                <c:pt idx="303">
                  <c:v>36645</c:v>
                </c:pt>
                <c:pt idx="304">
                  <c:v>36646</c:v>
                </c:pt>
                <c:pt idx="305">
                  <c:v>36647</c:v>
                </c:pt>
                <c:pt idx="306">
                  <c:v>36648</c:v>
                </c:pt>
                <c:pt idx="307">
                  <c:v>36649</c:v>
                </c:pt>
                <c:pt idx="308">
                  <c:v>36650</c:v>
                </c:pt>
                <c:pt idx="309">
                  <c:v>36651</c:v>
                </c:pt>
                <c:pt idx="310">
                  <c:v>36652</c:v>
                </c:pt>
                <c:pt idx="311">
                  <c:v>36653</c:v>
                </c:pt>
                <c:pt idx="312">
                  <c:v>36654</c:v>
                </c:pt>
                <c:pt idx="313">
                  <c:v>36655</c:v>
                </c:pt>
                <c:pt idx="314">
                  <c:v>36656</c:v>
                </c:pt>
                <c:pt idx="315">
                  <c:v>36657</c:v>
                </c:pt>
                <c:pt idx="316">
                  <c:v>36658</c:v>
                </c:pt>
                <c:pt idx="317">
                  <c:v>36659</c:v>
                </c:pt>
                <c:pt idx="318">
                  <c:v>36660</c:v>
                </c:pt>
                <c:pt idx="319">
                  <c:v>36661</c:v>
                </c:pt>
                <c:pt idx="320">
                  <c:v>36662</c:v>
                </c:pt>
                <c:pt idx="321">
                  <c:v>36663</c:v>
                </c:pt>
                <c:pt idx="322">
                  <c:v>36664</c:v>
                </c:pt>
                <c:pt idx="323">
                  <c:v>36665</c:v>
                </c:pt>
                <c:pt idx="324">
                  <c:v>36666</c:v>
                </c:pt>
                <c:pt idx="325">
                  <c:v>36667</c:v>
                </c:pt>
                <c:pt idx="326">
                  <c:v>36668</c:v>
                </c:pt>
                <c:pt idx="327">
                  <c:v>36669</c:v>
                </c:pt>
                <c:pt idx="328">
                  <c:v>36670</c:v>
                </c:pt>
                <c:pt idx="329">
                  <c:v>36671</c:v>
                </c:pt>
                <c:pt idx="330">
                  <c:v>36672</c:v>
                </c:pt>
                <c:pt idx="331">
                  <c:v>36673</c:v>
                </c:pt>
                <c:pt idx="332">
                  <c:v>36674</c:v>
                </c:pt>
                <c:pt idx="333">
                  <c:v>36675</c:v>
                </c:pt>
                <c:pt idx="334">
                  <c:v>36676</c:v>
                </c:pt>
                <c:pt idx="335">
                  <c:v>36677</c:v>
                </c:pt>
                <c:pt idx="336">
                  <c:v>36678</c:v>
                </c:pt>
                <c:pt idx="337">
                  <c:v>36679</c:v>
                </c:pt>
                <c:pt idx="338">
                  <c:v>36680</c:v>
                </c:pt>
                <c:pt idx="339">
                  <c:v>36681</c:v>
                </c:pt>
                <c:pt idx="340">
                  <c:v>36682</c:v>
                </c:pt>
                <c:pt idx="341">
                  <c:v>36683</c:v>
                </c:pt>
                <c:pt idx="342">
                  <c:v>36684</c:v>
                </c:pt>
                <c:pt idx="343">
                  <c:v>36685</c:v>
                </c:pt>
                <c:pt idx="344">
                  <c:v>36686</c:v>
                </c:pt>
                <c:pt idx="345">
                  <c:v>36687</c:v>
                </c:pt>
                <c:pt idx="346">
                  <c:v>36688</c:v>
                </c:pt>
                <c:pt idx="347">
                  <c:v>36689</c:v>
                </c:pt>
                <c:pt idx="348">
                  <c:v>36690</c:v>
                </c:pt>
                <c:pt idx="349">
                  <c:v>36691</c:v>
                </c:pt>
                <c:pt idx="350">
                  <c:v>36692</c:v>
                </c:pt>
                <c:pt idx="351">
                  <c:v>36693</c:v>
                </c:pt>
                <c:pt idx="352">
                  <c:v>36694</c:v>
                </c:pt>
                <c:pt idx="353">
                  <c:v>36695</c:v>
                </c:pt>
                <c:pt idx="354">
                  <c:v>36696</c:v>
                </c:pt>
                <c:pt idx="355">
                  <c:v>36697</c:v>
                </c:pt>
                <c:pt idx="356">
                  <c:v>36698</c:v>
                </c:pt>
                <c:pt idx="357">
                  <c:v>36699</c:v>
                </c:pt>
                <c:pt idx="358">
                  <c:v>36700</c:v>
                </c:pt>
                <c:pt idx="359">
                  <c:v>36701</c:v>
                </c:pt>
                <c:pt idx="360">
                  <c:v>36702</c:v>
                </c:pt>
                <c:pt idx="361">
                  <c:v>36703</c:v>
                </c:pt>
                <c:pt idx="362">
                  <c:v>36704</c:v>
                </c:pt>
                <c:pt idx="363">
                  <c:v>36705</c:v>
                </c:pt>
                <c:pt idx="364">
                  <c:v>36706</c:v>
                </c:pt>
                <c:pt idx="365">
                  <c:v>36707</c:v>
                </c:pt>
              </c:numCache>
            </c:numRef>
          </c:cat>
          <c:val>
            <c:numRef>
              <c:f>Calcs!$S$3:$S$367</c:f>
              <c:numCache>
                <c:formatCode>General</c:formatCode>
                <c:ptCount val="365"/>
                <c:pt idx="0">
                  <c:v>-0.14288668896338047</c:v>
                </c:pt>
                <c:pt idx="1">
                  <c:v>-0.14287952383603178</c:v>
                </c:pt>
                <c:pt idx="2">
                  <c:v>-0.14913080418399732</c:v>
                </c:pt>
                <c:pt idx="3">
                  <c:v>-0.14228740187857905</c:v>
                </c:pt>
                <c:pt idx="4">
                  <c:v>-0.14212725912447222</c:v>
                </c:pt>
                <c:pt idx="5">
                  <c:v>-0.1419435959361921</c:v>
                </c:pt>
                <c:pt idx="6">
                  <c:v>-0.14173657454334068</c:v>
                </c:pt>
                <c:pt idx="7">
                  <c:v>-0.14150639169333087</c:v>
                </c:pt>
                <c:pt idx="8">
                  <c:v>-0.14125327843280727</c:v>
                </c:pt>
                <c:pt idx="9">
                  <c:v>-0.14097749984643332</c:v>
                </c:pt>
                <c:pt idx="10">
                  <c:v>-0.14067935475335089</c:v>
                </c:pt>
                <c:pt idx="11">
                  <c:v>-0.14035917536166767</c:v>
                </c:pt>
                <c:pt idx="12">
                  <c:v>-0.14001732688138008</c:v>
                </c:pt>
                <c:pt idx="13">
                  <c:v>-0.13965420709618706</c:v>
                </c:pt>
                <c:pt idx="14">
                  <c:v>-0.13927024589470072</c:v>
                </c:pt>
                <c:pt idx="15">
                  <c:v>-0.13886590476160793</c:v>
                </c:pt>
                <c:pt idx="16">
                  <c:v>-0.13844167622938564</c:v>
                </c:pt>
                <c:pt idx="17">
                  <c:v>-0.13799808329121849</c:v>
                </c:pt>
                <c:pt idx="18">
                  <c:v>-0.13753567877581599</c:v>
                </c:pt>
                <c:pt idx="19">
                  <c:v>-0.13705504468486973</c:v>
                </c:pt>
                <c:pt idx="20">
                  <c:v>-0.13655679149393865</c:v>
                </c:pt>
                <c:pt idx="21">
                  <c:v>-0.13604155741759166</c:v>
                </c:pt>
                <c:pt idx="22">
                  <c:v>-0.13551000763968155</c:v>
                </c:pt>
                <c:pt idx="23">
                  <c:v>-0.13496283350966573</c:v>
                </c:pt>
                <c:pt idx="24">
                  <c:v>-0.13440075170592908</c:v>
                </c:pt>
                <c:pt idx="25">
                  <c:v>-0.13382450336710541</c:v>
                </c:pt>
                <c:pt idx="26">
                  <c:v>-0.13323485319243147</c:v>
                </c:pt>
                <c:pt idx="27">
                  <c:v>-0.13263258851220455</c:v>
                </c:pt>
                <c:pt idx="28">
                  <c:v>-0.13201851832945177</c:v>
                </c:pt>
                <c:pt idx="29">
                  <c:v>-0.13139347233395265</c:v>
                </c:pt>
                <c:pt idx="30">
                  <c:v>-0.13075829988979057</c:v>
                </c:pt>
                <c:pt idx="31">
                  <c:v>-0.13011386899764041</c:v>
                </c:pt>
                <c:pt idx="32">
                  <c:v>-0.12946106523303016</c:v>
                </c:pt>
                <c:pt idx="33">
                  <c:v>-0.12880079066184341</c:v>
                </c:pt>
                <c:pt idx="34">
                  <c:v>-0.12813396273435673</c:v>
                </c:pt>
                <c:pt idx="35">
                  <c:v>-0.12746151315913284</c:v>
                </c:pt>
                <c:pt idx="36">
                  <c:v>-0.12678438675811388</c:v>
                </c:pt>
                <c:pt idx="37">
                  <c:v>-0.12610354030428225</c:v>
                </c:pt>
                <c:pt idx="38">
                  <c:v>-0.12541994134327836</c:v>
                </c:pt>
                <c:pt idx="39">
                  <c:v>-0.12473456700038286</c:v>
                </c:pt>
                <c:pt idx="40">
                  <c:v>-0.12404840277429011</c:v>
                </c:pt>
                <c:pt idx="41">
                  <c:v>-0.12336244131911495</c:v>
                </c:pt>
                <c:pt idx="42">
                  <c:v>-0.12267768121608978</c:v>
                </c:pt>
                <c:pt idx="43">
                  <c:v>-0.12199512573642164</c:v>
                </c:pt>
                <c:pt idx="44">
                  <c:v>-0.12131578159678925</c:v>
                </c:pt>
                <c:pt idx="45">
                  <c:v>-0.12064065770897099</c:v>
                </c:pt>
                <c:pt idx="46">
                  <c:v>-0.1199707639251</c:v>
                </c:pt>
                <c:pt idx="47">
                  <c:v>-0.11930710978005028</c:v>
                </c:pt>
                <c:pt idx="48">
                  <c:v>-0.11865070323246017</c:v>
                </c:pt>
                <c:pt idx="49">
                  <c:v>-0.11800254940590262</c:v>
                </c:pt>
                <c:pt idx="50">
                  <c:v>-0.11736364933171137</c:v>
                </c:pt>
                <c:pt idx="51">
                  <c:v>-0.1167349986949713</c:v>
                </c:pt>
                <c:pt idx="52">
                  <c:v>-0.11611758658517744</c:v>
                </c:pt>
                <c:pt idx="53">
                  <c:v>-0.11551239425306238</c:v>
                </c:pt>
                <c:pt idx="54">
                  <c:v>-0.11492039387508467</c:v>
                </c:pt>
                <c:pt idx="55">
                  <c:v>-0.11434254732706309</c:v>
                </c:pt>
                <c:pt idx="56">
                  <c:v>-0.1137798049684301</c:v>
                </c:pt>
                <c:pt idx="57">
                  <c:v>-0.11323310443856617</c:v>
                </c:pt>
                <c:pt idx="58">
                  <c:v>-0.11270336946666401</c:v>
                </c:pt>
                <c:pt idx="59">
                  <c:v>-0.11219150869655341</c:v>
                </c:pt>
                <c:pt idx="60">
                  <c:v>-0.11169841452790362</c:v>
                </c:pt>
                <c:pt idx="61">
                  <c:v>-0.11122496197519803</c:v>
                </c:pt>
                <c:pt idx="62">
                  <c:v>-0.11077200754585735</c:v>
                </c:pt>
                <c:pt idx="63">
                  <c:v>-0.11034038813886513</c:v>
                </c:pt>
                <c:pt idx="64">
                  <c:v>-0.10993091996522369</c:v>
                </c:pt>
                <c:pt idx="65">
                  <c:v>-0.10954439749154629</c:v>
                </c:pt>
                <c:pt idx="66">
                  <c:v>-0.10918159240806116</c:v>
                </c:pt>
                <c:pt idx="67">
                  <c:v>-0.10884325262227652</c:v>
                </c:pt>
                <c:pt idx="68">
                  <c:v>-0.10853010127952577</c:v>
                </c:pt>
                <c:pt idx="69">
                  <c:v>-0.10824283581157879</c:v>
                </c:pt>
                <c:pt idx="70">
                  <c:v>-0.10798212701447463</c:v>
                </c:pt>
                <c:pt idx="71">
                  <c:v>-0.10774861815669512</c:v>
                </c:pt>
                <c:pt idx="72">
                  <c:v>-0.10754292411876451</c:v>
                </c:pt>
                <c:pt idx="73">
                  <c:v>-0.10736563056532182</c:v>
                </c:pt>
                <c:pt idx="74">
                  <c:v>-0.10721729315067652</c:v>
                </c:pt>
                <c:pt idx="75">
                  <c:v>-0.10709843675881696</c:v>
                </c:pt>
                <c:pt idx="76">
                  <c:v>-0.10700955477880207</c:v>
                </c:pt>
                <c:pt idx="77">
                  <c:v>-0.10695110841642386</c:v>
                </c:pt>
                <c:pt idx="78">
                  <c:v>-0.10692352604298663</c:v>
                </c:pt>
                <c:pt idx="79">
                  <c:v>-0.10692720258200501</c:v>
                </c:pt>
                <c:pt idx="80">
                  <c:v>-0.10696249893457779</c:v>
                </c:pt>
                <c:pt idx="81">
                  <c:v>-0.10702974144414971</c:v>
                </c:pt>
                <c:pt idx="82">
                  <c:v>-0.10712922140132648</c:v>
                </c:pt>
                <c:pt idx="83">
                  <c:v>-0.10726119458936133</c:v>
                </c:pt>
                <c:pt idx="84">
                  <c:v>-0.10742588087088381</c:v>
                </c:pt>
                <c:pt idx="85">
                  <c:v>-0.1076234638163924</c:v>
                </c:pt>
                <c:pt idx="86">
                  <c:v>-0.10785409037498354</c:v>
                </c:pt>
                <c:pt idx="87">
                  <c:v>-0.10811787058774022</c:v>
                </c:pt>
                <c:pt idx="88">
                  <c:v>-0.10841487734415239</c:v>
                </c:pt>
                <c:pt idx="89">
                  <c:v>-0.10874514618189152</c:v>
                </c:pt>
                <c:pt idx="90">
                  <c:v>-0.10910867513020894</c:v>
                </c:pt>
                <c:pt idx="91">
                  <c:v>-0.10950542459717884</c:v>
                </c:pt>
                <c:pt idx="92">
                  <c:v>-0.10993531730095168</c:v>
                </c:pt>
                <c:pt idx="93">
                  <c:v>-0.11039823824513526</c:v>
                </c:pt>
                <c:pt idx="94">
                  <c:v>-0.11089403473836532</c:v>
                </c:pt>
                <c:pt idx="95">
                  <c:v>-0.11142251645807834</c:v>
                </c:pt>
                <c:pt idx="96">
                  <c:v>-0.11198345555844488</c:v>
                </c:pt>
                <c:pt idx="97">
                  <c:v>-0.11257658682237084</c:v>
                </c:pt>
                <c:pt idx="98">
                  <c:v>-0.1132016078574212</c:v>
                </c:pt>
                <c:pt idx="99">
                  <c:v>-0.11385817933546946</c:v>
                </c:pt>
                <c:pt idx="100">
                  <c:v>-0.11454592527582438</c:v>
                </c:pt>
                <c:pt idx="101">
                  <c:v>-0.11526443337153333</c:v>
                </c:pt>
                <c:pt idx="102">
                  <c:v>-0.1160132553585118</c:v>
                </c:pt>
                <c:pt idx="103">
                  <c:v>-0.11679190742709714</c:v>
                </c:pt>
                <c:pt idx="104">
                  <c:v>-0.11759987067557454</c:v>
                </c:pt>
                <c:pt idx="105">
                  <c:v>-0.11843659160517364</c:v>
                </c:pt>
                <c:pt idx="106">
                  <c:v>-0.11930148265598563</c:v>
                </c:pt>
                <c:pt idx="107">
                  <c:v>-0.12019392278320112</c:v>
                </c:pt>
                <c:pt idx="108">
                  <c:v>-0.12111325807302266</c:v>
                </c:pt>
                <c:pt idx="109">
                  <c:v>-0.12205880239755795</c:v>
                </c:pt>
                <c:pt idx="110">
                  <c:v>-0.12302983810795345</c:v>
                </c:pt>
                <c:pt idx="111">
                  <c:v>-0.12402561676498415</c:v>
                </c:pt>
                <c:pt idx="112">
                  <c:v>-0.12504535990626894</c:v>
                </c:pt>
                <c:pt idx="113">
                  <c:v>-0.12608825984923899</c:v>
                </c:pt>
                <c:pt idx="114">
                  <c:v>-0.12715348052894479</c:v>
                </c:pt>
                <c:pt idx="115">
                  <c:v>-0.12824015836974287</c:v>
                </c:pt>
                <c:pt idx="116">
                  <c:v>-0.12934740318986809</c:v>
                </c:pt>
                <c:pt idx="117">
                  <c:v>-0.13047429913785344</c:v>
                </c:pt>
                <c:pt idx="118">
                  <c:v>-0.13161990565972512</c:v>
                </c:pt>
                <c:pt idx="119">
                  <c:v>-0.13278325849586234</c:v>
                </c:pt>
                <c:pt idx="120">
                  <c:v>-0.13396337070637551</c:v>
                </c:pt>
                <c:pt idx="121">
                  <c:v>-0.13515923372382499</c:v>
                </c:pt>
                <c:pt idx="122">
                  <c:v>-0.13636981843206789</c:v>
                </c:pt>
                <c:pt idx="123">
                  <c:v>-0.13759407626998918</c:v>
                </c:pt>
                <c:pt idx="124">
                  <c:v>-0.13883094035884638</c:v>
                </c:pt>
                <c:pt idx="125">
                  <c:v>-0.1400793266519253</c:v>
                </c:pt>
                <c:pt idx="126">
                  <c:v>-0.1413381351051814</c:v>
                </c:pt>
                <c:pt idx="127">
                  <c:v>-0.14260625086751255</c:v>
                </c:pt>
                <c:pt idx="128">
                  <c:v>-0.14388254548928903</c:v>
                </c:pt>
                <c:pt idx="129">
                  <c:v>-0.14516587814774304</c:v>
                </c:pt>
                <c:pt idx="130">
                  <c:v>-0.14645509688779856</c:v>
                </c:pt>
                <c:pt idx="131">
                  <c:v>-0.14774903987690735</c:v>
                </c:pt>
                <c:pt idx="132">
                  <c:v>-0.14904653667243681</c:v>
                </c:pt>
                <c:pt idx="133">
                  <c:v>-0.15034640950014133</c:v>
                </c:pt>
                <c:pt idx="134">
                  <c:v>-0.15164747454223665</c:v>
                </c:pt>
                <c:pt idx="135">
                  <c:v>-0.15294854323358303</c:v>
                </c:pt>
                <c:pt idx="136">
                  <c:v>-0.15424842356447482</c:v>
                </c:pt>
                <c:pt idx="137">
                  <c:v>-0.15554592138852449</c:v>
                </c:pt>
                <c:pt idx="138">
                  <c:v>-0.1568398417341246</c:v>
                </c:pt>
                <c:pt idx="139">
                  <c:v>-0.15812899011796491</c:v>
                </c:pt>
                <c:pt idx="140">
                  <c:v>-0.15941217385907991</c:v>
                </c:pt>
                <c:pt idx="141">
                  <c:v>-0.16068820339190135</c:v>
                </c:pt>
                <c:pt idx="142">
                  <c:v>-0.16195589357679036</c:v>
                </c:pt>
                <c:pt idx="143">
                  <c:v>-0.16321406500652733</c:v>
                </c:pt>
                <c:pt idx="144">
                  <c:v>-0.16446154530724169</c:v>
                </c:pt>
                <c:pt idx="145">
                  <c:v>-0.16569717043226892</c:v>
                </c:pt>
                <c:pt idx="146">
                  <c:v>-0.16691978594743298</c:v>
                </c:pt>
                <c:pt idx="147">
                  <c:v>-0.16812824830625889</c:v>
                </c:pt>
                <c:pt idx="148">
                  <c:v>-0.16932142611363268</c:v>
                </c:pt>
                <c:pt idx="149">
                  <c:v>-0.17049820137644267</c:v>
                </c:pt>
                <c:pt idx="150">
                  <c:v>-0.17165747073974277</c:v>
                </c:pt>
                <c:pt idx="151">
                  <c:v>-0.17279814670700641</c:v>
                </c:pt>
                <c:pt idx="152">
                  <c:v>-0.17391915884304765</c:v>
                </c:pt>
                <c:pt idx="153">
                  <c:v>-0.17501945495821264</c:v>
                </c:pt>
                <c:pt idx="154">
                  <c:v>-0.17609800227246428</c:v>
                </c:pt>
                <c:pt idx="155">
                  <c:v>-0.17715378855800565</c:v>
                </c:pt>
                <c:pt idx="156">
                  <c:v>-0.17818582325911425</c:v>
                </c:pt>
                <c:pt idx="157">
                  <c:v>-0.17919313858788405</c:v>
                </c:pt>
                <c:pt idx="158">
                  <c:v>-0.18017479059460167</c:v>
                </c:pt>
                <c:pt idx="159">
                  <c:v>-0.18112986021151159</c:v>
                </c:pt>
                <c:pt idx="160">
                  <c:v>-0.18205745426875722</c:v>
                </c:pt>
                <c:pt idx="161">
                  <c:v>-0.18295670648131632</c:v>
                </c:pt>
                <c:pt idx="162">
                  <c:v>-0.18382677840578332</c:v>
                </c:pt>
                <c:pt idx="163">
                  <c:v>-0.1846668603658872</c:v>
                </c:pt>
                <c:pt idx="164">
                  <c:v>-0.18547617234566796</c:v>
                </c:pt>
                <c:pt idx="165">
                  <c:v>-0.18625396484927503</c:v>
                </c:pt>
                <c:pt idx="166">
                  <c:v>-0.18699951972638779</c:v>
                </c:pt>
                <c:pt idx="167">
                  <c:v>-0.18771215096230079</c:v>
                </c:pt>
                <c:pt idx="168">
                  <c:v>-0.18839120543175442</c:v>
                </c:pt>
                <c:pt idx="169">
                  <c:v>-0.18903606361563779</c:v>
                </c:pt>
                <c:pt idx="170">
                  <c:v>-0.18964614027973115</c:v>
                </c:pt>
                <c:pt idx="171">
                  <c:v>-0.19022088511470095</c:v>
                </c:pt>
                <c:pt idx="172">
                  <c:v>-0.1907597833366057</c:v>
                </c:pt>
                <c:pt idx="173">
                  <c:v>-0.19126235624721702</c:v>
                </c:pt>
                <c:pt idx="174">
                  <c:v>-0.1917281617535066</c:v>
                </c:pt>
                <c:pt idx="175">
                  <c:v>-0.19215679484569886</c:v>
                </c:pt>
                <c:pt idx="176">
                  <c:v>-0.19254788803333697</c:v>
                </c:pt>
                <c:pt idx="177">
                  <c:v>-0.19290111173885757</c:v>
                </c:pt>
                <c:pt idx="178">
                  <c:v>-0.19321617464822269</c:v>
                </c:pt>
                <c:pt idx="179">
                  <c:v>-0.19349282401820353</c:v>
                </c:pt>
                <c:pt idx="180">
                  <c:v>-0.1937308459399652</c:v>
                </c:pt>
                <c:pt idx="181">
                  <c:v>-0.1939300655586495</c:v>
                </c:pt>
                <c:pt idx="182">
                  <c:v>-0.19409034724870691</c:v>
                </c:pt>
                <c:pt idx="183">
                  <c:v>-0.19421159474477906</c:v>
                </c:pt>
                <c:pt idx="184">
                  <c:v>-0.19430817947927381</c:v>
                </c:pt>
                <c:pt idx="185">
                  <c:v>-0.19434145245280357</c:v>
                </c:pt>
                <c:pt idx="186">
                  <c:v>-0.1943356509402307</c:v>
                </c:pt>
                <c:pt idx="187">
                  <c:v>-0.19429084637933963</c:v>
                </c:pt>
                <c:pt idx="188">
                  <c:v>-0.19420714952239798</c:v>
                </c:pt>
                <c:pt idx="189">
                  <c:v>-0.19408471028799185</c:v>
                </c:pt>
                <c:pt idx="190">
                  <c:v>-0.1939237175685361</c:v>
                </c:pt>
                <c:pt idx="191">
                  <c:v>-0.1937243989936927</c:v>
                </c:pt>
                <c:pt idx="192">
                  <c:v>-0.19348702064997983</c:v>
                </c:pt>
                <c:pt idx="193">
                  <c:v>-0.1932118867569084</c:v>
                </c:pt>
                <c:pt idx="194">
                  <c:v>-0.19289933930003045</c:v>
                </c:pt>
                <c:pt idx="195">
                  <c:v>-0.19254975762133686</c:v>
                </c:pt>
                <c:pt idx="196">
                  <c:v>-0.19216355796748991</c:v>
                </c:pt>
                <c:pt idx="197">
                  <c:v>-0.19174119299642656</c:v>
                </c:pt>
                <c:pt idx="198">
                  <c:v>-0.19128315124291667</c:v>
                </c:pt>
                <c:pt idx="199">
                  <c:v>-0.19078995654370826</c:v>
                </c:pt>
                <c:pt idx="200">
                  <c:v>-0.19026216742293872</c:v>
                </c:pt>
                <c:pt idx="201">
                  <c:v>-0.18970037643853896</c:v>
                </c:pt>
                <c:pt idx="202">
                  <c:v>-0.18910520949040036</c:v>
                </c:pt>
                <c:pt idx="203">
                  <c:v>-0.18847732509112183</c:v>
                </c:pt>
                <c:pt idx="204">
                  <c:v>-0.18781741360019619</c:v>
                </c:pt>
                <c:pt idx="205">
                  <c:v>-0.18712619642253783</c:v>
                </c:pt>
                <c:pt idx="206">
                  <c:v>-0.18640442517229638</c:v>
                </c:pt>
                <c:pt idx="207">
                  <c:v>-0.18565288080294057</c:v>
                </c:pt>
                <c:pt idx="208">
                  <c:v>-0.18487237270463558</c:v>
                </c:pt>
                <c:pt idx="209">
                  <c:v>-0.18406373776997684</c:v>
                </c:pt>
                <c:pt idx="210">
                  <c:v>-0.18322783942917784</c:v>
                </c:pt>
                <c:pt idx="211">
                  <c:v>-0.1823655666558473</c:v>
                </c:pt>
                <c:pt idx="212">
                  <c:v>-0.18147783294452341</c:v>
                </c:pt>
                <c:pt idx="213">
                  <c:v>-0.18056557526116726</c:v>
                </c:pt>
                <c:pt idx="214">
                  <c:v>-0.17962975296784753</c:v>
                </c:pt>
                <c:pt idx="215">
                  <c:v>-0.1786713467228799</c:v>
                </c:pt>
                <c:pt idx="216">
                  <c:v>-0.17769135735771185</c:v>
                </c:pt>
                <c:pt idx="217">
                  <c:v>-0.17669080473187126</c:v>
                </c:pt>
                <c:pt idx="218">
                  <c:v>-0.17567072656732249</c:v>
                </c:pt>
                <c:pt idx="219">
                  <c:v>-0.17463217726359692</c:v>
                </c:pt>
                <c:pt idx="220">
                  <c:v>-0.17357622669508815</c:v>
                </c:pt>
                <c:pt idx="221">
                  <c:v>-0.17250395899192128</c:v>
                </c:pt>
                <c:pt idx="222">
                  <c:v>-0.17141647130582555</c:v>
                </c:pt>
                <c:pt idx="223">
                  <c:v>-0.17031487256245664</c:v>
                </c:pt>
                <c:pt idx="224">
                  <c:v>-0.16920028220163011</c:v>
                </c:pt>
                <c:pt idx="225">
                  <c:v>-0.16807382890694147</c:v>
                </c:pt>
                <c:pt idx="226">
                  <c:v>-0.16693664932626029</c:v>
                </c:pt>
                <c:pt idx="227">
                  <c:v>-0.16578988678459616</c:v>
                </c:pt>
                <c:pt idx="228">
                  <c:v>-0.16463468999084252</c:v>
                </c:pt>
                <c:pt idx="229">
                  <c:v>-0.16347221173991161</c:v>
                </c:pt>
                <c:pt idx="230">
                  <c:v>-0.16230360761177787</c:v>
                </c:pt>
                <c:pt idx="231">
                  <c:v>-0.16113003466895143</c:v>
                </c:pt>
                <c:pt idx="232">
                  <c:v>-0.15995265015390356</c:v>
                </c:pt>
                <c:pt idx="233">
                  <c:v>-0.15877261018796615</c:v>
                </c:pt>
                <c:pt idx="234">
                  <c:v>-0.1575910684732251</c:v>
                </c:pt>
                <c:pt idx="235">
                  <c:v>-0.15640917499892235</c:v>
                </c:pt>
                <c:pt idx="236">
                  <c:v>-0.15522807475387795</c:v>
                </c:pt>
                <c:pt idx="237">
                  <c:v>-0.15404890644643277</c:v>
                </c:pt>
                <c:pt idx="238">
                  <c:v>-0.15287280123340521</c:v>
                </c:pt>
                <c:pt idx="239">
                  <c:v>-0.15170088145954444</c:v>
                </c:pt>
                <c:pt idx="240">
                  <c:v>-0.15053425940894738</c:v>
                </c:pt>
                <c:pt idx="241">
                  <c:v>-0.14937403606989494</c:v>
                </c:pt>
                <c:pt idx="242">
                  <c:v>-0.14822129991454472</c:v>
                </c:pt>
                <c:pt idx="243">
                  <c:v>-0.14707712569490003</c:v>
                </c:pt>
                <c:pt idx="244">
                  <c:v>-0.14594257325645579</c:v>
                </c:pt>
                <c:pt idx="245">
                  <c:v>-0.14481868637089945</c:v>
                </c:pt>
                <c:pt idx="246">
                  <c:v>-0.14370649158922319</c:v>
                </c:pt>
                <c:pt idx="247">
                  <c:v>-0.14260699711657865</c:v>
                </c:pt>
                <c:pt idx="248">
                  <c:v>-0.14152119171017877</c:v>
                </c:pt>
                <c:pt idx="249">
                  <c:v>-0.1404500436015251</c:v>
                </c:pt>
                <c:pt idx="250">
                  <c:v>-0.13939449944420809</c:v>
                </c:pt>
                <c:pt idx="251">
                  <c:v>-0.13835548328849775</c:v>
                </c:pt>
                <c:pt idx="252">
                  <c:v>-0.13733389558391143</c:v>
                </c:pt>
                <c:pt idx="253">
                  <c:v>-0.13633061221090934</c:v>
                </c:pt>
                <c:pt idx="254">
                  <c:v>-0.13534648354283602</c:v>
                </c:pt>
                <c:pt idx="255">
                  <c:v>-0.13438233353918846</c:v>
                </c:pt>
                <c:pt idx="256">
                  <c:v>-0.13343895887125445</c:v>
                </c:pt>
                <c:pt idx="257">
                  <c:v>-0.13251712808112634</c:v>
                </c:pt>
                <c:pt idx="258">
                  <c:v>-0.13161758077505578</c:v>
                </c:pt>
                <c:pt idx="259">
                  <c:v>-0.13074102685207267</c:v>
                </c:pt>
                <c:pt idx="260">
                  <c:v>-0.12988814576875185</c:v>
                </c:pt>
                <c:pt idx="261">
                  <c:v>-0.12905958584096522</c:v>
                </c:pt>
                <c:pt idx="262">
                  <c:v>-0.12825596358341618</c:v>
                </c:pt>
                <c:pt idx="263">
                  <c:v>-0.12747786308770434</c:v>
                </c:pt>
                <c:pt idx="264">
                  <c:v>-0.12672583543962671</c:v>
                </c:pt>
                <c:pt idx="265">
                  <c:v>-0.12600039817637135</c:v>
                </c:pt>
                <c:pt idx="266">
                  <c:v>-0.12530203478421476</c:v>
                </c:pt>
                <c:pt idx="267">
                  <c:v>-0.12463119423728407</c:v>
                </c:pt>
                <c:pt idx="268">
                  <c:v>-0.12398829057789718</c:v>
                </c:pt>
                <c:pt idx="269">
                  <c:v>-0.12337370253894511</c:v>
                </c:pt>
                <c:pt idx="270">
                  <c:v>-0.12278777320872961</c:v>
                </c:pt>
                <c:pt idx="271">
                  <c:v>-0.12223080973861923</c:v>
                </c:pt>
                <c:pt idx="272">
                  <c:v>-0.12170308309383676</c:v>
                </c:pt>
                <c:pt idx="273">
                  <c:v>-0.12120482784763867</c:v>
                </c:pt>
                <c:pt idx="274">
                  <c:v>-0.12073624201909613</c:v>
                </c:pt>
                <c:pt idx="275">
                  <c:v>-0.12029748695463618</c:v>
                </c:pt>
                <c:pt idx="276">
                  <c:v>-0.11988868725344765</c:v>
                </c:pt>
                <c:pt idx="277">
                  <c:v>-0.11950993073680713</c:v>
                </c:pt>
                <c:pt idx="278">
                  <c:v>-0.11916126846132588</c:v>
                </c:pt>
                <c:pt idx="279">
                  <c:v>-0.11884271477606702</c:v>
                </c:pt>
                <c:pt idx="280">
                  <c:v>-0.11855424742343182</c:v>
                </c:pt>
                <c:pt idx="281">
                  <c:v>-0.11829580768365952</c:v>
                </c:pt>
                <c:pt idx="282">
                  <c:v>-0.11806730056273558</c:v>
                </c:pt>
                <c:pt idx="283">
                  <c:v>-0.11786859502345028</c:v>
                </c:pt>
                <c:pt idx="284">
                  <c:v>-0.11769952425929962</c:v>
                </c:pt>
                <c:pt idx="285">
                  <c:v>-0.11755988601086881</c:v>
                </c:pt>
                <c:pt idx="286">
                  <c:v>-0.11744944292428902</c:v>
                </c:pt>
                <c:pt idx="287">
                  <c:v>-0.11736792295130735</c:v>
                </c:pt>
                <c:pt idx="288">
                  <c:v>-0.11731501979046199</c:v>
                </c:pt>
                <c:pt idx="289">
                  <c:v>-0.11729039336880445</c:v>
                </c:pt>
                <c:pt idx="290">
                  <c:v>-0.11729367036356382</c:v>
                </c:pt>
                <c:pt idx="291">
                  <c:v>-0.11732444476310043</c:v>
                </c:pt>
                <c:pt idx="292">
                  <c:v>-0.11738227846644923</c:v>
                </c:pt>
                <c:pt idx="293">
                  <c:v>-0.11746670192070888</c:v>
                </c:pt>
                <c:pt idx="294">
                  <c:v>-0.11757721479548616</c:v>
                </c:pt>
                <c:pt idx="295">
                  <c:v>-0.11771328669356269</c:v>
                </c:pt>
                <c:pt idx="296">
                  <c:v>-0.11787435789690809</c:v>
                </c:pt>
                <c:pt idx="297">
                  <c:v>-0.11805984014712095</c:v>
                </c:pt>
                <c:pt idx="298">
                  <c:v>-0.11826911745933946</c:v>
                </c:pt>
                <c:pt idx="299">
                  <c:v>-0.11850154696862344</c:v>
                </c:pt>
                <c:pt idx="300">
                  <c:v>-0.11875645980777133</c:v>
                </c:pt>
                <c:pt idx="301">
                  <c:v>-0.11903316201549846</c:v>
                </c:pt>
                <c:pt idx="302">
                  <c:v>-0.11933093547386724</c:v>
                </c:pt>
                <c:pt idx="303">
                  <c:v>-0.11964903887382546</c:v>
                </c:pt>
                <c:pt idx="304">
                  <c:v>-0.11998670870767603</c:v>
                </c:pt>
                <c:pt idx="305">
                  <c:v>-0.12034316028726848</c:v>
                </c:pt>
                <c:pt idx="306">
                  <c:v>-0.12071758878667443</c:v>
                </c:pt>
                <c:pt idx="307">
                  <c:v>-0.12110917030807844</c:v>
                </c:pt>
                <c:pt idx="308">
                  <c:v>-0.12151706296958907</c:v>
                </c:pt>
                <c:pt idx="309">
                  <c:v>-0.12194040801365026</c:v>
                </c:pt>
                <c:pt idx="310">
                  <c:v>-0.12237833093470654</c:v>
                </c:pt>
                <c:pt idx="311">
                  <c:v>-0.12282994262475594</c:v>
                </c:pt>
                <c:pt idx="312">
                  <c:v>-0.12329434053540098</c:v>
                </c:pt>
                <c:pt idx="313">
                  <c:v>-0.12377060985499025</c:v>
                </c:pt>
                <c:pt idx="314">
                  <c:v>-0.12425782469942556</c:v>
                </c:pt>
                <c:pt idx="315">
                  <c:v>-0.12475504931519228</c:v>
                </c:pt>
                <c:pt idx="316">
                  <c:v>-0.12526133929315836</c:v>
                </c:pt>
                <c:pt idx="317">
                  <c:v>-0.1257757427916732</c:v>
                </c:pt>
                <c:pt idx="318">
                  <c:v>-0.12629730176748777</c:v>
                </c:pt>
                <c:pt idx="319">
                  <c:v>-0.12682505321300869</c:v>
                </c:pt>
                <c:pt idx="320">
                  <c:v>-0.12735803039839022</c:v>
                </c:pt>
                <c:pt idx="321">
                  <c:v>-0.12789526411696511</c:v>
                </c:pt>
                <c:pt idx="322">
                  <c:v>-0.12843578393250921</c:v>
                </c:pt>
                <c:pt idx="323">
                  <c:v>-0.12897861942683453</c:v>
                </c:pt>
                <c:pt idx="324">
                  <c:v>-0.12952280144620476</c:v>
                </c:pt>
                <c:pt idx="325">
                  <c:v>-0.13006736334506894</c:v>
                </c:pt>
                <c:pt idx="326">
                  <c:v>-0.13061134222561244</c:v>
                </c:pt>
                <c:pt idx="327">
                  <c:v>-0.13115378017163079</c:v>
                </c:pt>
                <c:pt idx="328">
                  <c:v>-0.13169372547523664</c:v>
                </c:pt>
                <c:pt idx="329">
                  <c:v>-0.13223023385492194</c:v>
                </c:pt>
                <c:pt idx="330">
                  <c:v>-0.13276236966350541</c:v>
                </c:pt>
                <c:pt idx="331">
                  <c:v>-0.13328920708450953</c:v>
                </c:pt>
                <c:pt idx="332">
                  <c:v>-0.13380983131552449</c:v>
                </c:pt>
                <c:pt idx="333">
                  <c:v>-0.13432333973713273</c:v>
                </c:pt>
                <c:pt idx="334">
                  <c:v>-0.13482884306598464</c:v>
                </c:pt>
                <c:pt idx="335">
                  <c:v>-0.13532546649063609</c:v>
                </c:pt>
                <c:pt idx="336">
                  <c:v>-0.13581235078877862</c:v>
                </c:pt>
                <c:pt idx="337">
                  <c:v>-0.13628865342451557</c:v>
                </c:pt>
                <c:pt idx="338">
                  <c:v>-0.13675354962436193</c:v>
                </c:pt>
                <c:pt idx="339">
                  <c:v>-0.13720623343067065</c:v>
                </c:pt>
                <c:pt idx="340">
                  <c:v>-0.13764591873121665</c:v>
                </c:pt>
                <c:pt idx="341">
                  <c:v>-0.1380718402636962</c:v>
                </c:pt>
                <c:pt idx="342">
                  <c:v>-0.13848325459393213</c:v>
                </c:pt>
                <c:pt idx="343">
                  <c:v>-0.13887944106660474</c:v>
                </c:pt>
                <c:pt idx="344">
                  <c:v>-0.13925970272736291</c:v>
                </c:pt>
                <c:pt idx="345">
                  <c:v>-0.13962336721520277</c:v>
                </c:pt>
                <c:pt idx="346">
                  <c:v>-0.13996978762403839</c:v>
                </c:pt>
                <c:pt idx="347">
                  <c:v>-0.14029834333242533</c:v>
                </c:pt>
                <c:pt idx="348">
                  <c:v>-0.14060844080043533</c:v>
                </c:pt>
                <c:pt idx="349">
                  <c:v>-0.14089951433272135</c:v>
                </c:pt>
                <c:pt idx="350">
                  <c:v>-0.14117102680685131</c:v>
                </c:pt>
                <c:pt idx="351">
                  <c:v>-0.14142247036603181</c:v>
                </c:pt>
                <c:pt idx="352">
                  <c:v>-0.14165336707538384</c:v>
                </c:pt>
                <c:pt idx="353">
                  <c:v>-0.14186326954097891</c:v>
                </c:pt>
                <c:pt idx="354">
                  <c:v>-0.14205176149088591</c:v>
                </c:pt>
                <c:pt idx="355">
                  <c:v>-0.14221845831752639</c:v>
                </c:pt>
                <c:pt idx="356">
                  <c:v>-0.14236300758068135</c:v>
                </c:pt>
                <c:pt idx="357">
                  <c:v>-0.14248508947054042</c:v>
                </c:pt>
                <c:pt idx="358">
                  <c:v>-0.14258441723023108</c:v>
                </c:pt>
                <c:pt idx="359">
                  <c:v>-0.14266073753731573</c:v>
                </c:pt>
                <c:pt idx="360">
                  <c:v>-0.14271383084379188</c:v>
                </c:pt>
                <c:pt idx="361">
                  <c:v>-0.14274351167418145</c:v>
                </c:pt>
                <c:pt idx="362">
                  <c:v>-0.14274962888134501</c:v>
                </c:pt>
                <c:pt idx="363">
                  <c:v>-0.14273206585970766</c:v>
                </c:pt>
                <c:pt idx="364">
                  <c:v>-0.14269074071563345</c:v>
                </c:pt>
              </c:numCache>
            </c:numRef>
          </c:val>
          <c:smooth val="0"/>
          <c:extLst xmlns:c16r2="http://schemas.microsoft.com/office/drawing/2015/06/chart">
            <c:ext xmlns:c16="http://schemas.microsoft.com/office/drawing/2014/chart" uri="{C3380CC4-5D6E-409C-BE32-E72D297353CC}">
              <c16:uniqueId val="{00000000-A97F-4061-8599-9316AF732EB9}"/>
            </c:ext>
          </c:extLst>
        </c:ser>
        <c:dLbls>
          <c:showLegendKey val="0"/>
          <c:showVal val="0"/>
          <c:showCatName val="0"/>
          <c:showSerName val="0"/>
          <c:showPercent val="0"/>
          <c:showBubbleSize val="0"/>
        </c:dLbls>
        <c:smooth val="0"/>
        <c:axId val="250407240"/>
        <c:axId val="250407632"/>
      </c:lineChart>
      <c:dateAx>
        <c:axId val="250407240"/>
        <c:scaling>
          <c:orientation val="minMax"/>
        </c:scaling>
        <c:delete val="0"/>
        <c:axPos val="b"/>
        <c:numFmt formatCode="m/d/yyyy" sourceLinked="1"/>
        <c:majorTickMark val="out"/>
        <c:minorTickMark val="none"/>
        <c:tickLblPos val="nextTo"/>
        <c:txPr>
          <a:bodyPr rot="-5400000"/>
          <a:lstStyle/>
          <a:p>
            <a:pPr>
              <a:defRPr sz="800"/>
            </a:pPr>
            <a:endParaRPr lang="en-US"/>
          </a:p>
        </c:txPr>
        <c:crossAx val="250407632"/>
        <c:crosses val="autoZero"/>
        <c:auto val="0"/>
        <c:lblOffset val="100"/>
        <c:baseTimeUnit val="days"/>
      </c:dateAx>
      <c:valAx>
        <c:axId val="250407632"/>
        <c:scaling>
          <c:orientation val="minMax"/>
        </c:scaling>
        <c:delete val="0"/>
        <c:axPos val="l"/>
        <c:majorGridlines/>
        <c:numFmt formatCode="#,##0.00" sourceLinked="0"/>
        <c:majorTickMark val="out"/>
        <c:minorTickMark val="none"/>
        <c:tickLblPos val="nextTo"/>
        <c:txPr>
          <a:bodyPr/>
          <a:lstStyle/>
          <a:p>
            <a:pPr>
              <a:defRPr sz="800"/>
            </a:pPr>
            <a:endParaRPr lang="en-US"/>
          </a:p>
        </c:txPr>
        <c:crossAx val="250407240"/>
        <c:crosses val="autoZero"/>
        <c:crossBetween val="between"/>
      </c:valAx>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67004079145489"/>
          <c:y val="0.13255684628690284"/>
          <c:w val="0.8452511210789001"/>
          <c:h val="0.70188857789807768"/>
        </c:manualLayout>
      </c:layout>
      <c:lineChart>
        <c:grouping val="standard"/>
        <c:varyColors val="0"/>
        <c:ser>
          <c:idx val="0"/>
          <c:order val="0"/>
          <c:tx>
            <c:strRef>
              <c:f>'9 Break chart'!$D$5</c:f>
              <c:strCache>
                <c:ptCount val="1"/>
                <c:pt idx="0">
                  <c:v>Pre July 2006</c:v>
                </c:pt>
              </c:strCache>
            </c:strRef>
          </c:tx>
          <c:spPr>
            <a:ln>
              <a:solidFill>
                <a:schemeClr val="tx1"/>
              </a:solidFill>
            </a:ln>
          </c:spPr>
          <c:marker>
            <c:symbol val="none"/>
          </c:marker>
          <c:cat>
            <c:numRef>
              <c:f>'9 Break chart'!$A$6:$A$184</c:f>
              <c:numCache>
                <c:formatCode>mmm\-yyyy</c:formatCode>
                <c:ptCount val="179"/>
                <c:pt idx="0">
                  <c:v>36495</c:v>
                </c:pt>
                <c:pt idx="1">
                  <c:v>36526</c:v>
                </c:pt>
                <c:pt idx="2">
                  <c:v>36557</c:v>
                </c:pt>
                <c:pt idx="3">
                  <c:v>36586</c:v>
                </c:pt>
                <c:pt idx="4">
                  <c:v>36617</c:v>
                </c:pt>
                <c:pt idx="5">
                  <c:v>36647</c:v>
                </c:pt>
                <c:pt idx="6">
                  <c:v>36678</c:v>
                </c:pt>
                <c:pt idx="7">
                  <c:v>36708</c:v>
                </c:pt>
                <c:pt idx="8">
                  <c:v>36739</c:v>
                </c:pt>
                <c:pt idx="9">
                  <c:v>36770</c:v>
                </c:pt>
                <c:pt idx="10">
                  <c:v>36800</c:v>
                </c:pt>
                <c:pt idx="11">
                  <c:v>36831</c:v>
                </c:pt>
                <c:pt idx="12">
                  <c:v>36861</c:v>
                </c:pt>
                <c:pt idx="13">
                  <c:v>36892</c:v>
                </c:pt>
                <c:pt idx="14">
                  <c:v>36923</c:v>
                </c:pt>
                <c:pt idx="15">
                  <c:v>36951</c:v>
                </c:pt>
                <c:pt idx="16">
                  <c:v>36982</c:v>
                </c:pt>
                <c:pt idx="17">
                  <c:v>37012</c:v>
                </c:pt>
                <c:pt idx="18">
                  <c:v>37043</c:v>
                </c:pt>
                <c:pt idx="19">
                  <c:v>37073</c:v>
                </c:pt>
                <c:pt idx="20">
                  <c:v>37104</c:v>
                </c:pt>
                <c:pt idx="21">
                  <c:v>37135</c:v>
                </c:pt>
                <c:pt idx="22">
                  <c:v>37165</c:v>
                </c:pt>
                <c:pt idx="23">
                  <c:v>37196</c:v>
                </c:pt>
                <c:pt idx="24">
                  <c:v>37226</c:v>
                </c:pt>
                <c:pt idx="25">
                  <c:v>37257</c:v>
                </c:pt>
                <c:pt idx="26">
                  <c:v>37288</c:v>
                </c:pt>
                <c:pt idx="27">
                  <c:v>37316</c:v>
                </c:pt>
                <c:pt idx="28">
                  <c:v>37347</c:v>
                </c:pt>
                <c:pt idx="29">
                  <c:v>37377</c:v>
                </c:pt>
                <c:pt idx="30">
                  <c:v>37408</c:v>
                </c:pt>
                <c:pt idx="31">
                  <c:v>37438</c:v>
                </c:pt>
                <c:pt idx="32">
                  <c:v>37469</c:v>
                </c:pt>
                <c:pt idx="33">
                  <c:v>37500</c:v>
                </c:pt>
                <c:pt idx="34">
                  <c:v>37530</c:v>
                </c:pt>
                <c:pt idx="35">
                  <c:v>37561</c:v>
                </c:pt>
                <c:pt idx="36">
                  <c:v>37591</c:v>
                </c:pt>
                <c:pt idx="37">
                  <c:v>37622</c:v>
                </c:pt>
                <c:pt idx="38">
                  <c:v>37653</c:v>
                </c:pt>
                <c:pt idx="39">
                  <c:v>37681</c:v>
                </c:pt>
                <c:pt idx="40">
                  <c:v>37712</c:v>
                </c:pt>
                <c:pt idx="41">
                  <c:v>37742</c:v>
                </c:pt>
                <c:pt idx="42">
                  <c:v>37773</c:v>
                </c:pt>
                <c:pt idx="43">
                  <c:v>37803</c:v>
                </c:pt>
                <c:pt idx="44">
                  <c:v>37834</c:v>
                </c:pt>
                <c:pt idx="45">
                  <c:v>37865</c:v>
                </c:pt>
                <c:pt idx="46">
                  <c:v>37895</c:v>
                </c:pt>
                <c:pt idx="47">
                  <c:v>37926</c:v>
                </c:pt>
                <c:pt idx="48">
                  <c:v>37956</c:v>
                </c:pt>
                <c:pt idx="49">
                  <c:v>37987</c:v>
                </c:pt>
                <c:pt idx="50">
                  <c:v>38018</c:v>
                </c:pt>
                <c:pt idx="51">
                  <c:v>38047</c:v>
                </c:pt>
                <c:pt idx="52">
                  <c:v>38078</c:v>
                </c:pt>
                <c:pt idx="53">
                  <c:v>38108</c:v>
                </c:pt>
                <c:pt idx="54">
                  <c:v>38139</c:v>
                </c:pt>
                <c:pt idx="55">
                  <c:v>38169</c:v>
                </c:pt>
                <c:pt idx="56">
                  <c:v>38200</c:v>
                </c:pt>
                <c:pt idx="57">
                  <c:v>38231</c:v>
                </c:pt>
                <c:pt idx="58">
                  <c:v>38261</c:v>
                </c:pt>
                <c:pt idx="59">
                  <c:v>38292</c:v>
                </c:pt>
                <c:pt idx="60">
                  <c:v>38322</c:v>
                </c:pt>
                <c:pt idx="61">
                  <c:v>38353</c:v>
                </c:pt>
                <c:pt idx="62">
                  <c:v>38384</c:v>
                </c:pt>
                <c:pt idx="63">
                  <c:v>38412</c:v>
                </c:pt>
                <c:pt idx="64">
                  <c:v>38443</c:v>
                </c:pt>
                <c:pt idx="65">
                  <c:v>38473</c:v>
                </c:pt>
                <c:pt idx="66">
                  <c:v>38504</c:v>
                </c:pt>
                <c:pt idx="67">
                  <c:v>38534</c:v>
                </c:pt>
                <c:pt idx="68">
                  <c:v>38565</c:v>
                </c:pt>
                <c:pt idx="69">
                  <c:v>38596</c:v>
                </c:pt>
                <c:pt idx="70">
                  <c:v>38626</c:v>
                </c:pt>
                <c:pt idx="71">
                  <c:v>38657</c:v>
                </c:pt>
                <c:pt idx="72">
                  <c:v>38687</c:v>
                </c:pt>
                <c:pt idx="73">
                  <c:v>38718</c:v>
                </c:pt>
                <c:pt idx="74">
                  <c:v>38749</c:v>
                </c:pt>
                <c:pt idx="75">
                  <c:v>38777</c:v>
                </c:pt>
                <c:pt idx="76">
                  <c:v>38808</c:v>
                </c:pt>
                <c:pt idx="77">
                  <c:v>38838</c:v>
                </c:pt>
                <c:pt idx="78">
                  <c:v>38869</c:v>
                </c:pt>
                <c:pt idx="79">
                  <c:v>38899</c:v>
                </c:pt>
                <c:pt idx="80">
                  <c:v>38930</c:v>
                </c:pt>
                <c:pt idx="81">
                  <c:v>38961</c:v>
                </c:pt>
                <c:pt idx="82">
                  <c:v>38991</c:v>
                </c:pt>
                <c:pt idx="83">
                  <c:v>39022</c:v>
                </c:pt>
                <c:pt idx="84">
                  <c:v>39052</c:v>
                </c:pt>
                <c:pt idx="85">
                  <c:v>39083</c:v>
                </c:pt>
                <c:pt idx="86">
                  <c:v>39114</c:v>
                </c:pt>
                <c:pt idx="87">
                  <c:v>39142</c:v>
                </c:pt>
                <c:pt idx="88">
                  <c:v>39173</c:v>
                </c:pt>
                <c:pt idx="89">
                  <c:v>39203</c:v>
                </c:pt>
                <c:pt idx="90">
                  <c:v>39234</c:v>
                </c:pt>
                <c:pt idx="91">
                  <c:v>39264</c:v>
                </c:pt>
                <c:pt idx="92">
                  <c:v>39295</c:v>
                </c:pt>
                <c:pt idx="93">
                  <c:v>39326</c:v>
                </c:pt>
                <c:pt idx="94">
                  <c:v>39356</c:v>
                </c:pt>
                <c:pt idx="95">
                  <c:v>39387</c:v>
                </c:pt>
                <c:pt idx="96">
                  <c:v>39417</c:v>
                </c:pt>
                <c:pt idx="97">
                  <c:v>39448</c:v>
                </c:pt>
                <c:pt idx="98">
                  <c:v>39479</c:v>
                </c:pt>
                <c:pt idx="99">
                  <c:v>39508</c:v>
                </c:pt>
                <c:pt idx="100">
                  <c:v>39539</c:v>
                </c:pt>
                <c:pt idx="101">
                  <c:v>39569</c:v>
                </c:pt>
                <c:pt idx="102">
                  <c:v>39600</c:v>
                </c:pt>
                <c:pt idx="103">
                  <c:v>39630</c:v>
                </c:pt>
                <c:pt idx="104">
                  <c:v>39661</c:v>
                </c:pt>
                <c:pt idx="105">
                  <c:v>39692</c:v>
                </c:pt>
                <c:pt idx="106">
                  <c:v>39722</c:v>
                </c:pt>
                <c:pt idx="107">
                  <c:v>39753</c:v>
                </c:pt>
                <c:pt idx="108">
                  <c:v>39783</c:v>
                </c:pt>
                <c:pt idx="109">
                  <c:v>39814</c:v>
                </c:pt>
                <c:pt idx="110">
                  <c:v>39845</c:v>
                </c:pt>
                <c:pt idx="111">
                  <c:v>39873</c:v>
                </c:pt>
                <c:pt idx="112">
                  <c:v>39904</c:v>
                </c:pt>
                <c:pt idx="113">
                  <c:v>39934</c:v>
                </c:pt>
                <c:pt idx="114">
                  <c:v>39965</c:v>
                </c:pt>
                <c:pt idx="115">
                  <c:v>39995</c:v>
                </c:pt>
                <c:pt idx="116">
                  <c:v>40026</c:v>
                </c:pt>
                <c:pt idx="117">
                  <c:v>40057</c:v>
                </c:pt>
                <c:pt idx="118">
                  <c:v>40087</c:v>
                </c:pt>
                <c:pt idx="119">
                  <c:v>40118</c:v>
                </c:pt>
                <c:pt idx="120">
                  <c:v>40148</c:v>
                </c:pt>
                <c:pt idx="121">
                  <c:v>40179</c:v>
                </c:pt>
                <c:pt idx="122">
                  <c:v>40210</c:v>
                </c:pt>
                <c:pt idx="123">
                  <c:v>40238</c:v>
                </c:pt>
                <c:pt idx="124">
                  <c:v>40269</c:v>
                </c:pt>
                <c:pt idx="125">
                  <c:v>40299</c:v>
                </c:pt>
                <c:pt idx="126">
                  <c:v>40330</c:v>
                </c:pt>
                <c:pt idx="127">
                  <c:v>40360</c:v>
                </c:pt>
                <c:pt idx="128">
                  <c:v>40391</c:v>
                </c:pt>
                <c:pt idx="129">
                  <c:v>40422</c:v>
                </c:pt>
                <c:pt idx="130">
                  <c:v>40452</c:v>
                </c:pt>
                <c:pt idx="131">
                  <c:v>40483</c:v>
                </c:pt>
                <c:pt idx="132">
                  <c:v>40513</c:v>
                </c:pt>
                <c:pt idx="133">
                  <c:v>40544</c:v>
                </c:pt>
                <c:pt idx="134">
                  <c:v>40575</c:v>
                </c:pt>
                <c:pt idx="135">
                  <c:v>40603</c:v>
                </c:pt>
                <c:pt idx="136">
                  <c:v>40634</c:v>
                </c:pt>
                <c:pt idx="137">
                  <c:v>40664</c:v>
                </c:pt>
                <c:pt idx="138">
                  <c:v>40695</c:v>
                </c:pt>
                <c:pt idx="139">
                  <c:v>40725</c:v>
                </c:pt>
                <c:pt idx="140">
                  <c:v>40756</c:v>
                </c:pt>
                <c:pt idx="141">
                  <c:v>40787</c:v>
                </c:pt>
                <c:pt idx="142">
                  <c:v>40817</c:v>
                </c:pt>
                <c:pt idx="143">
                  <c:v>40848</c:v>
                </c:pt>
                <c:pt idx="144">
                  <c:v>40878</c:v>
                </c:pt>
                <c:pt idx="145">
                  <c:v>40909</c:v>
                </c:pt>
                <c:pt idx="146">
                  <c:v>40940</c:v>
                </c:pt>
                <c:pt idx="147">
                  <c:v>40969</c:v>
                </c:pt>
                <c:pt idx="148">
                  <c:v>41000</c:v>
                </c:pt>
                <c:pt idx="149">
                  <c:v>41030</c:v>
                </c:pt>
                <c:pt idx="150">
                  <c:v>41061</c:v>
                </c:pt>
                <c:pt idx="151">
                  <c:v>41091</c:v>
                </c:pt>
                <c:pt idx="152">
                  <c:v>41122</c:v>
                </c:pt>
                <c:pt idx="153">
                  <c:v>41153</c:v>
                </c:pt>
                <c:pt idx="154">
                  <c:v>41183</c:v>
                </c:pt>
                <c:pt idx="155">
                  <c:v>41214</c:v>
                </c:pt>
                <c:pt idx="156">
                  <c:v>41244</c:v>
                </c:pt>
                <c:pt idx="157">
                  <c:v>41275</c:v>
                </c:pt>
                <c:pt idx="158">
                  <c:v>41306</c:v>
                </c:pt>
                <c:pt idx="159">
                  <c:v>41334</c:v>
                </c:pt>
                <c:pt idx="160">
                  <c:v>41365</c:v>
                </c:pt>
                <c:pt idx="161">
                  <c:v>41395</c:v>
                </c:pt>
                <c:pt idx="162">
                  <c:v>41426</c:v>
                </c:pt>
                <c:pt idx="163">
                  <c:v>41456</c:v>
                </c:pt>
                <c:pt idx="164">
                  <c:v>41487</c:v>
                </c:pt>
                <c:pt idx="165">
                  <c:v>41518</c:v>
                </c:pt>
                <c:pt idx="166">
                  <c:v>41548</c:v>
                </c:pt>
                <c:pt idx="167">
                  <c:v>41579</c:v>
                </c:pt>
                <c:pt idx="168">
                  <c:v>41609</c:v>
                </c:pt>
                <c:pt idx="169">
                  <c:v>41640</c:v>
                </c:pt>
                <c:pt idx="170">
                  <c:v>41671</c:v>
                </c:pt>
                <c:pt idx="171">
                  <c:v>41699</c:v>
                </c:pt>
                <c:pt idx="172">
                  <c:v>41730</c:v>
                </c:pt>
                <c:pt idx="173">
                  <c:v>41760</c:v>
                </c:pt>
                <c:pt idx="174">
                  <c:v>41791</c:v>
                </c:pt>
                <c:pt idx="175">
                  <c:v>41821</c:v>
                </c:pt>
                <c:pt idx="176">
                  <c:v>41852</c:v>
                </c:pt>
                <c:pt idx="177">
                  <c:v>41883</c:v>
                </c:pt>
                <c:pt idx="178">
                  <c:v>41913</c:v>
                </c:pt>
              </c:numCache>
            </c:numRef>
          </c:cat>
          <c:val>
            <c:numRef>
              <c:f>'9 Break chart'!$D$6:$D$184</c:f>
              <c:numCache>
                <c:formatCode>General</c:formatCode>
                <c:ptCount val="179"/>
                <c:pt idx="0">
                  <c:v>3992.0659999999998</c:v>
                </c:pt>
                <c:pt idx="1">
                  <c:v>4317.4049999999997</c:v>
                </c:pt>
                <c:pt idx="2">
                  <c:v>4795.058</c:v>
                </c:pt>
                <c:pt idx="3">
                  <c:v>5786.152</c:v>
                </c:pt>
                <c:pt idx="4">
                  <c:v>5346.4319999999998</c:v>
                </c:pt>
                <c:pt idx="5">
                  <c:v>4811.8010000000004</c:v>
                </c:pt>
                <c:pt idx="6">
                  <c:v>3747.261</c:v>
                </c:pt>
                <c:pt idx="7">
                  <c:v>2938.2060000000001</c:v>
                </c:pt>
                <c:pt idx="8">
                  <c:v>2639.576</c:v>
                </c:pt>
                <c:pt idx="9">
                  <c:v>2788.9940000000001</c:v>
                </c:pt>
                <c:pt idx="10">
                  <c:v>3114.9270000000001</c:v>
                </c:pt>
                <c:pt idx="11">
                  <c:v>3563.77</c:v>
                </c:pt>
                <c:pt idx="12">
                  <c:v>4140.8590000000004</c:v>
                </c:pt>
                <c:pt idx="13">
                  <c:v>4951.87</c:v>
                </c:pt>
                <c:pt idx="14">
                  <c:v>5721.1149999999998</c:v>
                </c:pt>
                <c:pt idx="15">
                  <c:v>6343.2860000000001</c:v>
                </c:pt>
                <c:pt idx="16">
                  <c:v>5332.4780000000001</c:v>
                </c:pt>
                <c:pt idx="17">
                  <c:v>4591.759</c:v>
                </c:pt>
                <c:pt idx="18">
                  <c:v>4046.64</c:v>
                </c:pt>
                <c:pt idx="19">
                  <c:v>3582.28</c:v>
                </c:pt>
                <c:pt idx="20">
                  <c:v>3128.212</c:v>
                </c:pt>
                <c:pt idx="21">
                  <c:v>3031.5540000000001</c:v>
                </c:pt>
                <c:pt idx="22">
                  <c:v>3273.0250000000001</c:v>
                </c:pt>
                <c:pt idx="23">
                  <c:v>3760.22</c:v>
                </c:pt>
                <c:pt idx="24">
                  <c:v>4389.12</c:v>
                </c:pt>
                <c:pt idx="25">
                  <c:v>5129.6080000000002</c:v>
                </c:pt>
                <c:pt idx="26">
                  <c:v>5654.1360000000004</c:v>
                </c:pt>
                <c:pt idx="27">
                  <c:v>5956.6360000000004</c:v>
                </c:pt>
                <c:pt idx="28">
                  <c:v>4868.683</c:v>
                </c:pt>
                <c:pt idx="29">
                  <c:v>4315.4430000000002</c:v>
                </c:pt>
                <c:pt idx="30">
                  <c:v>3881.22</c:v>
                </c:pt>
                <c:pt idx="31">
                  <c:v>3382.5639999999999</c:v>
                </c:pt>
                <c:pt idx="32">
                  <c:v>2984.1640000000002</c:v>
                </c:pt>
                <c:pt idx="33">
                  <c:v>3101.0729999999999</c:v>
                </c:pt>
                <c:pt idx="34">
                  <c:v>3553.05</c:v>
                </c:pt>
                <c:pt idx="35">
                  <c:v>4300.6909999999998</c:v>
                </c:pt>
                <c:pt idx="36">
                  <c:v>5153.576</c:v>
                </c:pt>
                <c:pt idx="37">
                  <c:v>5933.5190000000002</c:v>
                </c:pt>
                <c:pt idx="38">
                  <c:v>6383.4170000000004</c:v>
                </c:pt>
                <c:pt idx="39">
                  <c:v>6729.665</c:v>
                </c:pt>
                <c:pt idx="40">
                  <c:v>5561.6760000000004</c:v>
                </c:pt>
                <c:pt idx="41">
                  <c:v>4699.8050000000003</c:v>
                </c:pt>
                <c:pt idx="42">
                  <c:v>3946.944</c:v>
                </c:pt>
                <c:pt idx="43">
                  <c:v>3361.576</c:v>
                </c:pt>
                <c:pt idx="44">
                  <c:v>2911.4740000000002</c:v>
                </c:pt>
                <c:pt idx="45">
                  <c:v>2763.6219999999998</c:v>
                </c:pt>
                <c:pt idx="46">
                  <c:v>2991.6959999999999</c:v>
                </c:pt>
                <c:pt idx="47">
                  <c:v>3350.0639999999999</c:v>
                </c:pt>
                <c:pt idx="48">
                  <c:v>3590.723</c:v>
                </c:pt>
                <c:pt idx="49">
                  <c:v>3669.1149999999998</c:v>
                </c:pt>
                <c:pt idx="50">
                  <c:v>3817.3760000000002</c:v>
                </c:pt>
                <c:pt idx="51">
                  <c:v>4895.0690000000004</c:v>
                </c:pt>
                <c:pt idx="52">
                  <c:v>4987.8100000000004</c:v>
                </c:pt>
                <c:pt idx="53">
                  <c:v>5069.9530000000004</c:v>
                </c:pt>
                <c:pt idx="54">
                  <c:v>4439.3639999999996</c:v>
                </c:pt>
                <c:pt idx="55">
                  <c:v>3602.0680000000002</c:v>
                </c:pt>
                <c:pt idx="56">
                  <c:v>3144.4340000000002</c:v>
                </c:pt>
                <c:pt idx="57">
                  <c:v>2962.9349999999999</c:v>
                </c:pt>
                <c:pt idx="58">
                  <c:v>2882.5140000000001</c:v>
                </c:pt>
                <c:pt idx="59">
                  <c:v>2866.2359999999999</c:v>
                </c:pt>
                <c:pt idx="60">
                  <c:v>3024.558</c:v>
                </c:pt>
                <c:pt idx="61">
                  <c:v>3418.7150000000001</c:v>
                </c:pt>
                <c:pt idx="62">
                  <c:v>3688.8249999999998</c:v>
                </c:pt>
                <c:pt idx="63">
                  <c:v>4535.308</c:v>
                </c:pt>
                <c:pt idx="64">
                  <c:v>4462.6350000000002</c:v>
                </c:pt>
                <c:pt idx="65">
                  <c:v>4699.9340000000002</c:v>
                </c:pt>
                <c:pt idx="66">
                  <c:v>4475.3969999999999</c:v>
                </c:pt>
                <c:pt idx="67">
                  <c:v>3753.0329999999999</c:v>
                </c:pt>
                <c:pt idx="68">
                  <c:v>3017.0569999999998</c:v>
                </c:pt>
                <c:pt idx="69">
                  <c:v>2762.3670000000002</c:v>
                </c:pt>
                <c:pt idx="70">
                  <c:v>3000.4520000000002</c:v>
                </c:pt>
                <c:pt idx="71">
                  <c:v>3569.6669999999999</c:v>
                </c:pt>
                <c:pt idx="72">
                  <c:v>4298.6790000000001</c:v>
                </c:pt>
                <c:pt idx="73">
                  <c:v>5171.0540000000001</c:v>
                </c:pt>
                <c:pt idx="74">
                  <c:v>5900.0739999999996</c:v>
                </c:pt>
                <c:pt idx="75">
                  <c:v>6680.018</c:v>
                </c:pt>
                <c:pt idx="76">
                  <c:v>5793.3</c:v>
                </c:pt>
                <c:pt idx="77">
                  <c:v>4984.7020000000002</c:v>
                </c:pt>
                <c:pt idx="78">
                  <c:v>4062.1260000000002</c:v>
                </c:pt>
              </c:numCache>
            </c:numRef>
          </c:val>
          <c:smooth val="0"/>
          <c:extLst xmlns:c16r2="http://schemas.microsoft.com/office/drawing/2015/06/chart">
            <c:ext xmlns:c16="http://schemas.microsoft.com/office/drawing/2014/chart" uri="{C3380CC4-5D6E-409C-BE32-E72D297353CC}">
              <c16:uniqueId val="{00000000-0708-481C-BD19-325468E8CAF8}"/>
            </c:ext>
          </c:extLst>
        </c:ser>
        <c:ser>
          <c:idx val="1"/>
          <c:order val="1"/>
          <c:tx>
            <c:strRef>
              <c:f>'9 Break chart'!$E$5</c:f>
              <c:strCache>
                <c:ptCount val="1"/>
                <c:pt idx="0">
                  <c:v>Post July 2006</c:v>
                </c:pt>
              </c:strCache>
            </c:strRef>
          </c:tx>
          <c:spPr>
            <a:ln>
              <a:solidFill>
                <a:schemeClr val="tx1"/>
              </a:solidFill>
              <a:prstDash val="sysDash"/>
            </a:ln>
          </c:spPr>
          <c:marker>
            <c:symbol val="none"/>
          </c:marker>
          <c:cat>
            <c:numRef>
              <c:f>'9 Break chart'!$A$6:$A$184</c:f>
              <c:numCache>
                <c:formatCode>mmm\-yyyy</c:formatCode>
                <c:ptCount val="179"/>
                <c:pt idx="0">
                  <c:v>36495</c:v>
                </c:pt>
                <c:pt idx="1">
                  <c:v>36526</c:v>
                </c:pt>
                <c:pt idx="2">
                  <c:v>36557</c:v>
                </c:pt>
                <c:pt idx="3">
                  <c:v>36586</c:v>
                </c:pt>
                <c:pt idx="4">
                  <c:v>36617</c:v>
                </c:pt>
                <c:pt idx="5">
                  <c:v>36647</c:v>
                </c:pt>
                <c:pt idx="6">
                  <c:v>36678</c:v>
                </c:pt>
                <c:pt idx="7">
                  <c:v>36708</c:v>
                </c:pt>
                <c:pt idx="8">
                  <c:v>36739</c:v>
                </c:pt>
                <c:pt idx="9">
                  <c:v>36770</c:v>
                </c:pt>
                <c:pt idx="10">
                  <c:v>36800</c:v>
                </c:pt>
                <c:pt idx="11">
                  <c:v>36831</c:v>
                </c:pt>
                <c:pt idx="12">
                  <c:v>36861</c:v>
                </c:pt>
                <c:pt idx="13">
                  <c:v>36892</c:v>
                </c:pt>
                <c:pt idx="14">
                  <c:v>36923</c:v>
                </c:pt>
                <c:pt idx="15">
                  <c:v>36951</c:v>
                </c:pt>
                <c:pt idx="16">
                  <c:v>36982</c:v>
                </c:pt>
                <c:pt idx="17">
                  <c:v>37012</c:v>
                </c:pt>
                <c:pt idx="18">
                  <c:v>37043</c:v>
                </c:pt>
                <c:pt idx="19">
                  <c:v>37073</c:v>
                </c:pt>
                <c:pt idx="20">
                  <c:v>37104</c:v>
                </c:pt>
                <c:pt idx="21">
                  <c:v>37135</c:v>
                </c:pt>
                <c:pt idx="22">
                  <c:v>37165</c:v>
                </c:pt>
                <c:pt idx="23">
                  <c:v>37196</c:v>
                </c:pt>
                <c:pt idx="24">
                  <c:v>37226</c:v>
                </c:pt>
                <c:pt idx="25">
                  <c:v>37257</c:v>
                </c:pt>
                <c:pt idx="26">
                  <c:v>37288</c:v>
                </c:pt>
                <c:pt idx="27">
                  <c:v>37316</c:v>
                </c:pt>
                <c:pt idx="28">
                  <c:v>37347</c:v>
                </c:pt>
                <c:pt idx="29">
                  <c:v>37377</c:v>
                </c:pt>
                <c:pt idx="30">
                  <c:v>37408</c:v>
                </c:pt>
                <c:pt idx="31">
                  <c:v>37438</c:v>
                </c:pt>
                <c:pt idx="32">
                  <c:v>37469</c:v>
                </c:pt>
                <c:pt idx="33">
                  <c:v>37500</c:v>
                </c:pt>
                <c:pt idx="34">
                  <c:v>37530</c:v>
                </c:pt>
                <c:pt idx="35">
                  <c:v>37561</c:v>
                </c:pt>
                <c:pt idx="36">
                  <c:v>37591</c:v>
                </c:pt>
                <c:pt idx="37">
                  <c:v>37622</c:v>
                </c:pt>
                <c:pt idx="38">
                  <c:v>37653</c:v>
                </c:pt>
                <c:pt idx="39">
                  <c:v>37681</c:v>
                </c:pt>
                <c:pt idx="40">
                  <c:v>37712</c:v>
                </c:pt>
                <c:pt idx="41">
                  <c:v>37742</c:v>
                </c:pt>
                <c:pt idx="42">
                  <c:v>37773</c:v>
                </c:pt>
                <c:pt idx="43">
                  <c:v>37803</c:v>
                </c:pt>
                <c:pt idx="44">
                  <c:v>37834</c:v>
                </c:pt>
                <c:pt idx="45">
                  <c:v>37865</c:v>
                </c:pt>
                <c:pt idx="46">
                  <c:v>37895</c:v>
                </c:pt>
                <c:pt idx="47">
                  <c:v>37926</c:v>
                </c:pt>
                <c:pt idx="48">
                  <c:v>37956</c:v>
                </c:pt>
                <c:pt idx="49">
                  <c:v>37987</c:v>
                </c:pt>
                <c:pt idx="50">
                  <c:v>38018</c:v>
                </c:pt>
                <c:pt idx="51">
                  <c:v>38047</c:v>
                </c:pt>
                <c:pt idx="52">
                  <c:v>38078</c:v>
                </c:pt>
                <c:pt idx="53">
                  <c:v>38108</c:v>
                </c:pt>
                <c:pt idx="54">
                  <c:v>38139</c:v>
                </c:pt>
                <c:pt idx="55">
                  <c:v>38169</c:v>
                </c:pt>
                <c:pt idx="56">
                  <c:v>38200</c:v>
                </c:pt>
                <c:pt idx="57">
                  <c:v>38231</c:v>
                </c:pt>
                <c:pt idx="58">
                  <c:v>38261</c:v>
                </c:pt>
                <c:pt idx="59">
                  <c:v>38292</c:v>
                </c:pt>
                <c:pt idx="60">
                  <c:v>38322</c:v>
                </c:pt>
                <c:pt idx="61">
                  <c:v>38353</c:v>
                </c:pt>
                <c:pt idx="62">
                  <c:v>38384</c:v>
                </c:pt>
                <c:pt idx="63">
                  <c:v>38412</c:v>
                </c:pt>
                <c:pt idx="64">
                  <c:v>38443</c:v>
                </c:pt>
                <c:pt idx="65">
                  <c:v>38473</c:v>
                </c:pt>
                <c:pt idx="66">
                  <c:v>38504</c:v>
                </c:pt>
                <c:pt idx="67">
                  <c:v>38534</c:v>
                </c:pt>
                <c:pt idx="68">
                  <c:v>38565</c:v>
                </c:pt>
                <c:pt idx="69">
                  <c:v>38596</c:v>
                </c:pt>
                <c:pt idx="70">
                  <c:v>38626</c:v>
                </c:pt>
                <c:pt idx="71">
                  <c:v>38657</c:v>
                </c:pt>
                <c:pt idx="72">
                  <c:v>38687</c:v>
                </c:pt>
                <c:pt idx="73">
                  <c:v>38718</c:v>
                </c:pt>
                <c:pt idx="74">
                  <c:v>38749</c:v>
                </c:pt>
                <c:pt idx="75">
                  <c:v>38777</c:v>
                </c:pt>
                <c:pt idx="76">
                  <c:v>38808</c:v>
                </c:pt>
                <c:pt idx="77">
                  <c:v>38838</c:v>
                </c:pt>
                <c:pt idx="78">
                  <c:v>38869</c:v>
                </c:pt>
                <c:pt idx="79">
                  <c:v>38899</c:v>
                </c:pt>
                <c:pt idx="80">
                  <c:v>38930</c:v>
                </c:pt>
                <c:pt idx="81">
                  <c:v>38961</c:v>
                </c:pt>
                <c:pt idx="82">
                  <c:v>38991</c:v>
                </c:pt>
                <c:pt idx="83">
                  <c:v>39022</c:v>
                </c:pt>
                <c:pt idx="84">
                  <c:v>39052</c:v>
                </c:pt>
                <c:pt idx="85">
                  <c:v>39083</c:v>
                </c:pt>
                <c:pt idx="86">
                  <c:v>39114</c:v>
                </c:pt>
                <c:pt idx="87">
                  <c:v>39142</c:v>
                </c:pt>
                <c:pt idx="88">
                  <c:v>39173</c:v>
                </c:pt>
                <c:pt idx="89">
                  <c:v>39203</c:v>
                </c:pt>
                <c:pt idx="90">
                  <c:v>39234</c:v>
                </c:pt>
                <c:pt idx="91">
                  <c:v>39264</c:v>
                </c:pt>
                <c:pt idx="92">
                  <c:v>39295</c:v>
                </c:pt>
                <c:pt idx="93">
                  <c:v>39326</c:v>
                </c:pt>
                <c:pt idx="94">
                  <c:v>39356</c:v>
                </c:pt>
                <c:pt idx="95">
                  <c:v>39387</c:v>
                </c:pt>
                <c:pt idx="96">
                  <c:v>39417</c:v>
                </c:pt>
                <c:pt idx="97">
                  <c:v>39448</c:v>
                </c:pt>
                <c:pt idx="98">
                  <c:v>39479</c:v>
                </c:pt>
                <c:pt idx="99">
                  <c:v>39508</c:v>
                </c:pt>
                <c:pt idx="100">
                  <c:v>39539</c:v>
                </c:pt>
                <c:pt idx="101">
                  <c:v>39569</c:v>
                </c:pt>
                <c:pt idx="102">
                  <c:v>39600</c:v>
                </c:pt>
                <c:pt idx="103">
                  <c:v>39630</c:v>
                </c:pt>
                <c:pt idx="104">
                  <c:v>39661</c:v>
                </c:pt>
                <c:pt idx="105">
                  <c:v>39692</c:v>
                </c:pt>
                <c:pt idx="106">
                  <c:v>39722</c:v>
                </c:pt>
                <c:pt idx="107">
                  <c:v>39753</c:v>
                </c:pt>
                <c:pt idx="108">
                  <c:v>39783</c:v>
                </c:pt>
                <c:pt idx="109">
                  <c:v>39814</c:v>
                </c:pt>
                <c:pt idx="110">
                  <c:v>39845</c:v>
                </c:pt>
                <c:pt idx="111">
                  <c:v>39873</c:v>
                </c:pt>
                <c:pt idx="112">
                  <c:v>39904</c:v>
                </c:pt>
                <c:pt idx="113">
                  <c:v>39934</c:v>
                </c:pt>
                <c:pt idx="114">
                  <c:v>39965</c:v>
                </c:pt>
                <c:pt idx="115">
                  <c:v>39995</c:v>
                </c:pt>
                <c:pt idx="116">
                  <c:v>40026</c:v>
                </c:pt>
                <c:pt idx="117">
                  <c:v>40057</c:v>
                </c:pt>
                <c:pt idx="118">
                  <c:v>40087</c:v>
                </c:pt>
                <c:pt idx="119">
                  <c:v>40118</c:v>
                </c:pt>
                <c:pt idx="120">
                  <c:v>40148</c:v>
                </c:pt>
                <c:pt idx="121">
                  <c:v>40179</c:v>
                </c:pt>
                <c:pt idx="122">
                  <c:v>40210</c:v>
                </c:pt>
                <c:pt idx="123">
                  <c:v>40238</c:v>
                </c:pt>
                <c:pt idx="124">
                  <c:v>40269</c:v>
                </c:pt>
                <c:pt idx="125">
                  <c:v>40299</c:v>
                </c:pt>
                <c:pt idx="126">
                  <c:v>40330</c:v>
                </c:pt>
                <c:pt idx="127">
                  <c:v>40360</c:v>
                </c:pt>
                <c:pt idx="128">
                  <c:v>40391</c:v>
                </c:pt>
                <c:pt idx="129">
                  <c:v>40422</c:v>
                </c:pt>
                <c:pt idx="130">
                  <c:v>40452</c:v>
                </c:pt>
                <c:pt idx="131">
                  <c:v>40483</c:v>
                </c:pt>
                <c:pt idx="132">
                  <c:v>40513</c:v>
                </c:pt>
                <c:pt idx="133">
                  <c:v>40544</c:v>
                </c:pt>
                <c:pt idx="134">
                  <c:v>40575</c:v>
                </c:pt>
                <c:pt idx="135">
                  <c:v>40603</c:v>
                </c:pt>
                <c:pt idx="136">
                  <c:v>40634</c:v>
                </c:pt>
                <c:pt idx="137">
                  <c:v>40664</c:v>
                </c:pt>
                <c:pt idx="138">
                  <c:v>40695</c:v>
                </c:pt>
                <c:pt idx="139">
                  <c:v>40725</c:v>
                </c:pt>
                <c:pt idx="140">
                  <c:v>40756</c:v>
                </c:pt>
                <c:pt idx="141">
                  <c:v>40787</c:v>
                </c:pt>
                <c:pt idx="142">
                  <c:v>40817</c:v>
                </c:pt>
                <c:pt idx="143">
                  <c:v>40848</c:v>
                </c:pt>
                <c:pt idx="144">
                  <c:v>40878</c:v>
                </c:pt>
                <c:pt idx="145">
                  <c:v>40909</c:v>
                </c:pt>
                <c:pt idx="146">
                  <c:v>40940</c:v>
                </c:pt>
                <c:pt idx="147">
                  <c:v>40969</c:v>
                </c:pt>
                <c:pt idx="148">
                  <c:v>41000</c:v>
                </c:pt>
                <c:pt idx="149">
                  <c:v>41030</c:v>
                </c:pt>
                <c:pt idx="150">
                  <c:v>41061</c:v>
                </c:pt>
                <c:pt idx="151">
                  <c:v>41091</c:v>
                </c:pt>
                <c:pt idx="152">
                  <c:v>41122</c:v>
                </c:pt>
                <c:pt idx="153">
                  <c:v>41153</c:v>
                </c:pt>
                <c:pt idx="154">
                  <c:v>41183</c:v>
                </c:pt>
                <c:pt idx="155">
                  <c:v>41214</c:v>
                </c:pt>
                <c:pt idx="156">
                  <c:v>41244</c:v>
                </c:pt>
                <c:pt idx="157">
                  <c:v>41275</c:v>
                </c:pt>
                <c:pt idx="158">
                  <c:v>41306</c:v>
                </c:pt>
                <c:pt idx="159">
                  <c:v>41334</c:v>
                </c:pt>
                <c:pt idx="160">
                  <c:v>41365</c:v>
                </c:pt>
                <c:pt idx="161">
                  <c:v>41395</c:v>
                </c:pt>
                <c:pt idx="162">
                  <c:v>41426</c:v>
                </c:pt>
                <c:pt idx="163">
                  <c:v>41456</c:v>
                </c:pt>
                <c:pt idx="164">
                  <c:v>41487</c:v>
                </c:pt>
                <c:pt idx="165">
                  <c:v>41518</c:v>
                </c:pt>
                <c:pt idx="166">
                  <c:v>41548</c:v>
                </c:pt>
                <c:pt idx="167">
                  <c:v>41579</c:v>
                </c:pt>
                <c:pt idx="168">
                  <c:v>41609</c:v>
                </c:pt>
                <c:pt idx="169">
                  <c:v>41640</c:v>
                </c:pt>
                <c:pt idx="170">
                  <c:v>41671</c:v>
                </c:pt>
                <c:pt idx="171">
                  <c:v>41699</c:v>
                </c:pt>
                <c:pt idx="172">
                  <c:v>41730</c:v>
                </c:pt>
                <c:pt idx="173">
                  <c:v>41760</c:v>
                </c:pt>
                <c:pt idx="174">
                  <c:v>41791</c:v>
                </c:pt>
                <c:pt idx="175">
                  <c:v>41821</c:v>
                </c:pt>
                <c:pt idx="176">
                  <c:v>41852</c:v>
                </c:pt>
                <c:pt idx="177">
                  <c:v>41883</c:v>
                </c:pt>
                <c:pt idx="178">
                  <c:v>41913</c:v>
                </c:pt>
              </c:numCache>
            </c:numRef>
          </c:cat>
          <c:val>
            <c:numRef>
              <c:f>'9 Break chart'!$E$6:$E$184</c:f>
              <c:numCache>
                <c:formatCode>General</c:formatCode>
                <c:ptCount val="179"/>
                <c:pt idx="79">
                  <c:v>2839.25</c:v>
                </c:pt>
                <c:pt idx="80">
                  <c:v>2596.654</c:v>
                </c:pt>
                <c:pt idx="81">
                  <c:v>2673.623</c:v>
                </c:pt>
                <c:pt idx="82">
                  <c:v>3090.7919999999999</c:v>
                </c:pt>
                <c:pt idx="83">
                  <c:v>3713.991</c:v>
                </c:pt>
                <c:pt idx="84">
                  <c:v>4195.5529999999999</c:v>
                </c:pt>
                <c:pt idx="85">
                  <c:v>4416.5110000000004</c:v>
                </c:pt>
                <c:pt idx="86">
                  <c:v>4355.5140000000001</c:v>
                </c:pt>
                <c:pt idx="87">
                  <c:v>4604.326</c:v>
                </c:pt>
                <c:pt idx="88">
                  <c:v>3643.0749999999998</c:v>
                </c:pt>
                <c:pt idx="89">
                  <c:v>3294.828</c:v>
                </c:pt>
                <c:pt idx="90">
                  <c:v>2997.944</c:v>
                </c:pt>
                <c:pt idx="91">
                  <c:v>2645.0050000000001</c:v>
                </c:pt>
                <c:pt idx="92">
                  <c:v>2377.6019999999999</c:v>
                </c:pt>
                <c:pt idx="93">
                  <c:v>2475.7869999999998</c:v>
                </c:pt>
                <c:pt idx="94">
                  <c:v>2892.8029999999999</c:v>
                </c:pt>
                <c:pt idx="95">
                  <c:v>3318.0650000000001</c:v>
                </c:pt>
                <c:pt idx="96">
                  <c:v>3428.2809999999999</c:v>
                </c:pt>
                <c:pt idx="97">
                  <c:v>3349.0659999999998</c:v>
                </c:pt>
                <c:pt idx="98">
                  <c:v>3252.7759999999998</c:v>
                </c:pt>
                <c:pt idx="99">
                  <c:v>3872.145</c:v>
                </c:pt>
                <c:pt idx="100">
                  <c:v>3316.422</c:v>
                </c:pt>
                <c:pt idx="101">
                  <c:v>3235.82</c:v>
                </c:pt>
                <c:pt idx="102">
                  <c:v>3098.7040000000002</c:v>
                </c:pt>
                <c:pt idx="103">
                  <c:v>2925.6669999999999</c:v>
                </c:pt>
                <c:pt idx="104">
                  <c:v>2725.1149999999998</c:v>
                </c:pt>
                <c:pt idx="105">
                  <c:v>2661.6909999999998</c:v>
                </c:pt>
                <c:pt idx="106">
                  <c:v>2830.7910000000002</c:v>
                </c:pt>
                <c:pt idx="107">
                  <c:v>3125.502</c:v>
                </c:pt>
                <c:pt idx="108">
                  <c:v>3281.0529999999999</c:v>
                </c:pt>
                <c:pt idx="109">
                  <c:v>3256.308</c:v>
                </c:pt>
                <c:pt idx="110">
                  <c:v>3307.9009999999998</c:v>
                </c:pt>
                <c:pt idx="111">
                  <c:v>4125.1970000000001</c:v>
                </c:pt>
                <c:pt idx="112">
                  <c:v>3702.46</c:v>
                </c:pt>
                <c:pt idx="113">
                  <c:v>3497.9270000000001</c:v>
                </c:pt>
                <c:pt idx="114">
                  <c:v>3082.9470000000001</c:v>
                </c:pt>
                <c:pt idx="115">
                  <c:v>2750.0430000000001</c:v>
                </c:pt>
                <c:pt idx="116">
                  <c:v>2647.95</c:v>
                </c:pt>
                <c:pt idx="117">
                  <c:v>2699.913</c:v>
                </c:pt>
                <c:pt idx="118">
                  <c:v>2767.431</c:v>
                </c:pt>
                <c:pt idx="119">
                  <c:v>3004.924</c:v>
                </c:pt>
                <c:pt idx="120">
                  <c:v>3380.2779999999998</c:v>
                </c:pt>
                <c:pt idx="121">
                  <c:v>3721.453</c:v>
                </c:pt>
                <c:pt idx="122">
                  <c:v>3904.8470000000002</c:v>
                </c:pt>
                <c:pt idx="123">
                  <c:v>4284.9269999999997</c:v>
                </c:pt>
                <c:pt idx="124">
                  <c:v>3264.502</c:v>
                </c:pt>
                <c:pt idx="125">
                  <c:v>2920.98</c:v>
                </c:pt>
                <c:pt idx="126">
                  <c:v>2672.57</c:v>
                </c:pt>
                <c:pt idx="127">
                  <c:v>2582.8000000000002</c:v>
                </c:pt>
                <c:pt idx="128">
                  <c:v>2435.337</c:v>
                </c:pt>
                <c:pt idx="129">
                  <c:v>2422.7170000000001</c:v>
                </c:pt>
                <c:pt idx="130">
                  <c:v>2666.5120000000002</c:v>
                </c:pt>
                <c:pt idx="131">
                  <c:v>2975.221</c:v>
                </c:pt>
                <c:pt idx="132">
                  <c:v>3159.6329999999998</c:v>
                </c:pt>
                <c:pt idx="133">
                  <c:v>3009.7359999999999</c:v>
                </c:pt>
                <c:pt idx="134">
                  <c:v>2990.8310000000001</c:v>
                </c:pt>
                <c:pt idx="135">
                  <c:v>3695.5509999999999</c:v>
                </c:pt>
                <c:pt idx="136">
                  <c:v>3171.5259999999998</c:v>
                </c:pt>
                <c:pt idx="137">
                  <c:v>3146.3429999999998</c:v>
                </c:pt>
                <c:pt idx="138">
                  <c:v>3037.8879999999999</c:v>
                </c:pt>
                <c:pt idx="139">
                  <c:v>2972.788</c:v>
                </c:pt>
                <c:pt idx="140">
                  <c:v>2877.9830000000002</c:v>
                </c:pt>
                <c:pt idx="141">
                  <c:v>2874.7060000000001</c:v>
                </c:pt>
                <c:pt idx="142">
                  <c:v>3001.3249999999998</c:v>
                </c:pt>
                <c:pt idx="143">
                  <c:v>3285.145</c:v>
                </c:pt>
                <c:pt idx="144">
                  <c:v>3448.4229999999998</c:v>
                </c:pt>
                <c:pt idx="145">
                  <c:v>3490.2910000000002</c:v>
                </c:pt>
                <c:pt idx="146">
                  <c:v>3489.4279999999999</c:v>
                </c:pt>
                <c:pt idx="147">
                  <c:v>3990.55</c:v>
                </c:pt>
                <c:pt idx="148">
                  <c:v>3020.799</c:v>
                </c:pt>
                <c:pt idx="149">
                  <c:v>2574.2979999999998</c:v>
                </c:pt>
                <c:pt idx="150">
                  <c:v>2467.6750000000002</c:v>
                </c:pt>
                <c:pt idx="151">
                  <c:v>2595.6880000000001</c:v>
                </c:pt>
                <c:pt idx="152">
                  <c:v>2643.31</c:v>
                </c:pt>
                <c:pt idx="153">
                  <c:v>2632.538</c:v>
                </c:pt>
                <c:pt idx="154">
                  <c:v>2837.5320000000002</c:v>
                </c:pt>
                <c:pt idx="155">
                  <c:v>3148.0149999999999</c:v>
                </c:pt>
                <c:pt idx="156">
                  <c:v>3487.87</c:v>
                </c:pt>
                <c:pt idx="157">
                  <c:v>3869.835</c:v>
                </c:pt>
                <c:pt idx="158">
                  <c:v>4106.3649999999998</c:v>
                </c:pt>
                <c:pt idx="159">
                  <c:v>4705.3019999999997</c:v>
                </c:pt>
                <c:pt idx="160">
                  <c:v>3915.3290000000002</c:v>
                </c:pt>
                <c:pt idx="161">
                  <c:v>3668.5830000000001</c:v>
                </c:pt>
                <c:pt idx="162">
                  <c:v>3418.0419999999999</c:v>
                </c:pt>
                <c:pt idx="163">
                  <c:v>3006.3150000000001</c:v>
                </c:pt>
                <c:pt idx="164">
                  <c:v>2666.0129999999999</c:v>
                </c:pt>
                <c:pt idx="165">
                  <c:v>2642.5309999999999</c:v>
                </c:pt>
                <c:pt idx="166">
                  <c:v>2856.7179999999998</c:v>
                </c:pt>
                <c:pt idx="167">
                  <c:v>3200.931</c:v>
                </c:pt>
                <c:pt idx="168">
                  <c:v>3427.86</c:v>
                </c:pt>
                <c:pt idx="169">
                  <c:v>3728.4409999999998</c:v>
                </c:pt>
                <c:pt idx="170">
                  <c:v>4129.2269999999999</c:v>
                </c:pt>
                <c:pt idx="171">
                  <c:v>4810.3760000000002</c:v>
                </c:pt>
                <c:pt idx="172">
                  <c:v>3861.7469999999998</c:v>
                </c:pt>
                <c:pt idx="173">
                  <c:v>3229.9479999999999</c:v>
                </c:pt>
                <c:pt idx="174">
                  <c:v>2830.8409999999999</c:v>
                </c:pt>
                <c:pt idx="175">
                  <c:v>2671.4090000000001</c:v>
                </c:pt>
                <c:pt idx="176">
                  <c:v>2618.0070000000001</c:v>
                </c:pt>
                <c:pt idx="177">
                  <c:v>2705.6669999999999</c:v>
                </c:pt>
                <c:pt idx="178">
                  <c:v>2991.7350000000001</c:v>
                </c:pt>
              </c:numCache>
            </c:numRef>
          </c:val>
          <c:smooth val="0"/>
          <c:extLst xmlns:c16r2="http://schemas.microsoft.com/office/drawing/2015/06/chart">
            <c:ext xmlns:c16="http://schemas.microsoft.com/office/drawing/2014/chart" uri="{C3380CC4-5D6E-409C-BE32-E72D297353CC}">
              <c16:uniqueId val="{00000001-0708-481C-BD19-325468E8CAF8}"/>
            </c:ext>
          </c:extLst>
        </c:ser>
        <c:dLbls>
          <c:showLegendKey val="0"/>
          <c:showVal val="0"/>
          <c:showCatName val="0"/>
          <c:showSerName val="0"/>
          <c:showPercent val="0"/>
          <c:showBubbleSize val="0"/>
        </c:dLbls>
        <c:smooth val="0"/>
        <c:axId val="250408416"/>
        <c:axId val="250408808"/>
      </c:lineChart>
      <c:dateAx>
        <c:axId val="250408416"/>
        <c:scaling>
          <c:orientation val="minMax"/>
        </c:scaling>
        <c:delete val="0"/>
        <c:axPos val="b"/>
        <c:numFmt formatCode="mmm\-yyyy" sourceLinked="1"/>
        <c:majorTickMark val="out"/>
        <c:minorTickMark val="none"/>
        <c:tickLblPos val="nextTo"/>
        <c:txPr>
          <a:bodyPr rot="-2220000"/>
          <a:lstStyle/>
          <a:p>
            <a:pPr>
              <a:defRPr sz="700"/>
            </a:pPr>
            <a:endParaRPr lang="en-US"/>
          </a:p>
        </c:txPr>
        <c:crossAx val="250408808"/>
        <c:crosses val="autoZero"/>
        <c:auto val="1"/>
        <c:lblOffset val="100"/>
        <c:baseTimeUnit val="months"/>
        <c:majorUnit val="6"/>
        <c:majorTimeUnit val="months"/>
      </c:dateAx>
      <c:valAx>
        <c:axId val="250408808"/>
        <c:scaling>
          <c:orientation val="minMax"/>
        </c:scaling>
        <c:delete val="0"/>
        <c:axPos val="l"/>
        <c:majorGridlines>
          <c:spPr>
            <a:ln w="3175">
              <a:solidFill>
                <a:schemeClr val="bg1">
                  <a:lumMod val="75000"/>
                </a:schemeClr>
              </a:solidFill>
              <a:prstDash val="solid"/>
            </a:ln>
          </c:spPr>
        </c:majorGridlines>
        <c:title>
          <c:tx>
            <c:rich>
              <a:bodyPr rot="-5400000" vert="horz"/>
              <a:lstStyle/>
              <a:p>
                <a:pPr>
                  <a:defRPr sz="1000" b="1"/>
                </a:pPr>
                <a:r>
                  <a:rPr lang="en-US" sz="1000" b="1"/>
                  <a:t>Megalitres</a:t>
                </a:r>
              </a:p>
            </c:rich>
          </c:tx>
          <c:layout>
            <c:manualLayout>
              <c:xMode val="edge"/>
              <c:yMode val="edge"/>
              <c:x val="6.3725304989191217E-3"/>
              <c:y val="0.25782337565261126"/>
            </c:manualLayout>
          </c:layout>
          <c:overlay val="0"/>
        </c:title>
        <c:numFmt formatCode="#,##0" sourceLinked="0"/>
        <c:majorTickMark val="out"/>
        <c:minorTickMark val="none"/>
        <c:tickLblPos val="nextTo"/>
        <c:txPr>
          <a:bodyPr/>
          <a:lstStyle/>
          <a:p>
            <a:pPr>
              <a:defRPr sz="800"/>
            </a:pPr>
            <a:endParaRPr lang="en-US"/>
          </a:p>
        </c:txPr>
        <c:crossAx val="250408416"/>
        <c:crosses val="autoZero"/>
        <c:crossBetween val="between"/>
      </c:valAx>
    </c:plotArea>
    <c:legend>
      <c:legendPos val="t"/>
      <c:layout>
        <c:manualLayout>
          <c:xMode val="edge"/>
          <c:yMode val="edge"/>
          <c:x val="0.32043816469736935"/>
          <c:y val="0.10922480280354642"/>
          <c:w val="0.48045036388347967"/>
          <c:h val="0.11286719836844303"/>
        </c:manualLayout>
      </c:layout>
      <c:overlay val="0"/>
      <c:txPr>
        <a:bodyPr/>
        <a:lstStyle/>
        <a:p>
          <a:pPr>
            <a:defRPr sz="1000"/>
          </a:pPr>
          <a:endParaRPr lang="en-US"/>
        </a:p>
      </c:txPr>
    </c:legend>
    <c:plotVisOnly val="1"/>
    <c:dispBlanksAs val="gap"/>
    <c:showDLblsOverMax val="0"/>
  </c:chart>
  <c:spPr>
    <a:ln>
      <a:solidFill>
        <a:schemeClr val="tx1">
          <a:tint val="75000"/>
          <a:shade val="95000"/>
          <a:satMod val="105000"/>
        </a:schemeClr>
      </a:solidFill>
    </a:ln>
  </c:spPr>
  <c:txPr>
    <a:bodyPr/>
    <a:lstStyle/>
    <a:p>
      <a:pPr>
        <a:defRPr sz="14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55202977808341"/>
          <c:y val="4.3170821098510434E-2"/>
          <c:w val="0.82644918258259126"/>
          <c:h val="0.83474691762809561"/>
        </c:manualLayout>
      </c:layout>
      <c:barChart>
        <c:barDir val="col"/>
        <c:grouping val="clustered"/>
        <c:varyColors val="0"/>
        <c:ser>
          <c:idx val="1"/>
          <c:order val="0"/>
          <c:tx>
            <c:strRef>
              <c:f>'2 Price data 2016-17'!$D$36</c:f>
              <c:strCache>
                <c:ptCount val="1"/>
                <c:pt idx="0">
                  <c:v>Tier 1</c:v>
                </c:pt>
              </c:strCache>
            </c:strRef>
          </c:tx>
          <c:spPr>
            <a:solidFill>
              <a:schemeClr val="accent2">
                <a:lumMod val="75000"/>
              </a:schemeClr>
            </a:solidFill>
            <a:ln>
              <a:noFill/>
            </a:ln>
            <a:effectLst/>
          </c:spPr>
          <c:invertIfNegative val="0"/>
          <c:dPt>
            <c:idx val="5"/>
            <c:invertIfNegative val="0"/>
            <c:bubble3D val="0"/>
            <c:spPr>
              <a:solidFill>
                <a:schemeClr val="accent1">
                  <a:lumMod val="75000"/>
                </a:schemeClr>
              </a:solidFill>
              <a:ln>
                <a:noFill/>
              </a:ln>
              <a:effectLst/>
            </c:spPr>
            <c:extLst xmlns:c16r2="http://schemas.microsoft.com/office/drawing/2015/06/chart">
              <c:ext xmlns:c16="http://schemas.microsoft.com/office/drawing/2014/chart" uri="{C3380CC4-5D6E-409C-BE32-E72D297353CC}">
                <c16:uniqueId val="{00000001-3E3A-44D5-AA5D-5A43F2C141EE}"/>
              </c:ext>
            </c:extLst>
          </c:dPt>
          <c:dPt>
            <c:idx val="6"/>
            <c:invertIfNegative val="0"/>
            <c:bubble3D val="0"/>
            <c:spPr>
              <a:solidFill>
                <a:schemeClr val="accent1">
                  <a:lumMod val="75000"/>
                </a:schemeClr>
              </a:solidFill>
              <a:ln>
                <a:noFill/>
              </a:ln>
              <a:effectLst/>
            </c:spPr>
            <c:extLst xmlns:c16r2="http://schemas.microsoft.com/office/drawing/2015/06/chart">
              <c:ext xmlns:c16="http://schemas.microsoft.com/office/drawing/2014/chart" uri="{C3380CC4-5D6E-409C-BE32-E72D297353CC}">
                <c16:uniqueId val="{00000003-3E3A-44D5-AA5D-5A43F2C141EE}"/>
              </c:ext>
            </c:extLst>
          </c:dPt>
          <c:dLbls>
            <c:numFmt formatCode="#,##0.00"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 Price data 2016-17'!$C$37:$C$42</c:f>
              <c:strCache>
                <c:ptCount val="6"/>
                <c:pt idx="0">
                  <c:v>City West Water</c:v>
                </c:pt>
                <c:pt idx="1">
                  <c:v>Hunter Water</c:v>
                </c:pt>
                <c:pt idx="2">
                  <c:v>Icon Water</c:v>
                </c:pt>
                <c:pt idx="3">
                  <c:v>SA Water</c:v>
                </c:pt>
                <c:pt idx="4">
                  <c:v>Sydney Water</c:v>
                </c:pt>
                <c:pt idx="5">
                  <c:v>TasWater</c:v>
                </c:pt>
              </c:strCache>
            </c:strRef>
          </c:cat>
          <c:val>
            <c:numRef>
              <c:f>'2 Price data 2016-17'!$D$37:$D$42</c:f>
              <c:numCache>
                <c:formatCode>"$"#,##0.00</c:formatCode>
                <c:ptCount val="6"/>
                <c:pt idx="0">
                  <c:v>2.3932000000000002</c:v>
                </c:pt>
                <c:pt idx="1">
                  <c:v>2.25</c:v>
                </c:pt>
                <c:pt idx="2">
                  <c:v>2.61</c:v>
                </c:pt>
                <c:pt idx="3">
                  <c:v>2.27</c:v>
                </c:pt>
                <c:pt idx="4">
                  <c:v>2.2759999999999998</c:v>
                </c:pt>
                <c:pt idx="5">
                  <c:v>1</c:v>
                </c:pt>
              </c:numCache>
            </c:numRef>
          </c:val>
          <c:extLst xmlns:c16r2="http://schemas.microsoft.com/office/drawing/2015/06/chart">
            <c:ext xmlns:c16="http://schemas.microsoft.com/office/drawing/2014/chart" uri="{C3380CC4-5D6E-409C-BE32-E72D297353CC}">
              <c16:uniqueId val="{00000004-7BF5-4F58-8988-E1334F1B3604}"/>
            </c:ext>
          </c:extLst>
        </c:ser>
        <c:ser>
          <c:idx val="0"/>
          <c:order val="1"/>
          <c:tx>
            <c:strRef>
              <c:f>'2 Price data 2016-17'!$E$36</c:f>
              <c:strCache>
                <c:ptCount val="1"/>
                <c:pt idx="0">
                  <c:v>Tier 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AU" sz="7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 Price data 2016-17'!$C$37:$C$42</c:f>
              <c:strCache>
                <c:ptCount val="6"/>
                <c:pt idx="0">
                  <c:v>City West Water</c:v>
                </c:pt>
                <c:pt idx="1">
                  <c:v>Hunter Water</c:v>
                </c:pt>
                <c:pt idx="2">
                  <c:v>Icon Water</c:v>
                </c:pt>
                <c:pt idx="3">
                  <c:v>SA Water</c:v>
                </c:pt>
                <c:pt idx="4">
                  <c:v>Sydney Water</c:v>
                </c:pt>
                <c:pt idx="5">
                  <c:v>TasWater</c:v>
                </c:pt>
              </c:strCache>
            </c:strRef>
          </c:cat>
          <c:val>
            <c:numRef>
              <c:f>'2 Price data 2016-17'!$E$37:$E$42</c:f>
              <c:numCache>
                <c:formatCode>General</c:formatCode>
                <c:ptCount val="6"/>
                <c:pt idx="0" formatCode="&quot;$&quot;#,##0.00">
                  <c:v>2.8168000000000002</c:v>
                </c:pt>
                <c:pt idx="2" formatCode="&quot;$&quot;#,##0.00">
                  <c:v>5.24</c:v>
                </c:pt>
                <c:pt idx="3" formatCode="&quot;$&quot;#,##0.00">
                  <c:v>3.24</c:v>
                </c:pt>
              </c:numCache>
            </c:numRef>
          </c:val>
          <c:extLst xmlns:c16r2="http://schemas.microsoft.com/office/drawing/2015/06/chart">
            <c:ext xmlns:c16="http://schemas.microsoft.com/office/drawing/2014/chart" uri="{C3380CC4-5D6E-409C-BE32-E72D297353CC}">
              <c16:uniqueId val="{00000004-3E3A-44D5-AA5D-5A43F2C141EE}"/>
            </c:ext>
          </c:extLst>
        </c:ser>
        <c:ser>
          <c:idx val="2"/>
          <c:order val="2"/>
          <c:tx>
            <c:strRef>
              <c:f>'2 Price data 2016-17'!$F$36</c:f>
              <c:strCache>
                <c:ptCount val="1"/>
                <c:pt idx="0">
                  <c:v>Tier 3</c:v>
                </c:pt>
              </c:strCache>
            </c:strRef>
          </c:tx>
          <c:spPr>
            <a:solidFill>
              <a:schemeClr val="bg2">
                <a:lumMod val="10000"/>
              </a:schemeClr>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AU" sz="7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 Price data 2016-17'!$C$37:$C$42</c:f>
              <c:strCache>
                <c:ptCount val="6"/>
                <c:pt idx="0">
                  <c:v>City West Water</c:v>
                </c:pt>
                <c:pt idx="1">
                  <c:v>Hunter Water</c:v>
                </c:pt>
                <c:pt idx="2">
                  <c:v>Icon Water</c:v>
                </c:pt>
                <c:pt idx="3">
                  <c:v>SA Water</c:v>
                </c:pt>
                <c:pt idx="4">
                  <c:v>Sydney Water</c:v>
                </c:pt>
                <c:pt idx="5">
                  <c:v>TasWater</c:v>
                </c:pt>
              </c:strCache>
            </c:strRef>
          </c:cat>
          <c:val>
            <c:numRef>
              <c:f>'2 Price data 2016-17'!$F$37:$F$42</c:f>
              <c:numCache>
                <c:formatCode>General</c:formatCode>
                <c:ptCount val="6"/>
                <c:pt idx="0" formatCode="&quot;$&quot;#,##0.00">
                  <c:v>4.1855000000000002</c:v>
                </c:pt>
                <c:pt idx="3" formatCode="&quot;$&quot;#,##0.00">
                  <c:v>3.51</c:v>
                </c:pt>
              </c:numCache>
            </c:numRef>
          </c:val>
          <c:extLst xmlns:c16r2="http://schemas.microsoft.com/office/drawing/2015/06/chart">
            <c:ext xmlns:c16="http://schemas.microsoft.com/office/drawing/2014/chart" uri="{C3380CC4-5D6E-409C-BE32-E72D297353CC}">
              <c16:uniqueId val="{00000005-3E3A-44D5-AA5D-5A43F2C141EE}"/>
            </c:ext>
          </c:extLst>
        </c:ser>
        <c:dLbls>
          <c:dLblPos val="inEnd"/>
          <c:showLegendKey val="0"/>
          <c:showVal val="1"/>
          <c:showCatName val="0"/>
          <c:showSerName val="0"/>
          <c:showPercent val="0"/>
          <c:showBubbleSize val="0"/>
        </c:dLbls>
        <c:gapWidth val="20"/>
        <c:axId val="243785976"/>
        <c:axId val="243786368"/>
      </c:barChart>
      <c:catAx>
        <c:axId val="243785976"/>
        <c:scaling>
          <c:orientation val="minMax"/>
        </c:scaling>
        <c:delete val="0"/>
        <c:axPos val="b"/>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43786368"/>
        <c:crosses val="autoZero"/>
        <c:auto val="1"/>
        <c:lblAlgn val="ctr"/>
        <c:lblOffset val="100"/>
        <c:noMultiLvlLbl val="0"/>
      </c:catAx>
      <c:valAx>
        <c:axId val="2437863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 per kL</a:t>
                </a:r>
              </a:p>
            </c:rich>
          </c:tx>
          <c:layout>
            <c:manualLayout>
              <c:xMode val="edge"/>
              <c:yMode val="edge"/>
              <c:x val="2.2726170581204814E-2"/>
              <c:y val="0.3858683391934812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quot;$&quot;#,##0.00" sourceLinked="0"/>
        <c:majorTickMark val="none"/>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43785976"/>
        <c:crosses val="autoZero"/>
        <c:crossBetween val="between"/>
      </c:valAx>
      <c:spPr>
        <a:noFill/>
        <a:ln>
          <a:noFill/>
        </a:ln>
        <a:effectLst/>
      </c:spPr>
    </c:plotArea>
    <c:legend>
      <c:legendPos val="t"/>
      <c:layout>
        <c:manualLayout>
          <c:xMode val="edge"/>
          <c:yMode val="edge"/>
          <c:x val="0.33852345100618098"/>
          <c:y val="5.1013979568478821E-2"/>
          <c:w val="0.31700413664087607"/>
          <c:h val="6.1079380632518082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55202977808341"/>
          <c:y val="4.3170821098510434E-2"/>
          <c:w val="0.82644918258259126"/>
          <c:h val="0.83474691762809561"/>
        </c:manualLayout>
      </c:layout>
      <c:barChart>
        <c:barDir val="col"/>
        <c:grouping val="stacked"/>
        <c:varyColors val="0"/>
        <c:ser>
          <c:idx val="1"/>
          <c:order val="0"/>
          <c:tx>
            <c:strRef>
              <c:f>ICRC_info!$H$45</c:f>
              <c:strCache>
                <c:ptCount val="1"/>
                <c:pt idx="0">
                  <c:v>Supply charge</c:v>
                </c:pt>
              </c:strCache>
            </c:strRef>
          </c:tx>
          <c:spPr>
            <a:solidFill>
              <a:schemeClr val="accent2">
                <a:lumMod val="75000"/>
              </a:schemeClr>
            </a:solidFill>
            <a:ln>
              <a:noFill/>
            </a:ln>
            <a:effectLst/>
          </c:spPr>
          <c:invertIfNegative val="0"/>
          <c:dPt>
            <c:idx val="1"/>
            <c:invertIfNegative val="0"/>
            <c:bubble3D val="0"/>
            <c:spPr>
              <a:solidFill>
                <a:schemeClr val="accent1">
                  <a:lumMod val="75000"/>
                </a:schemeClr>
              </a:solidFill>
              <a:ln>
                <a:noFill/>
              </a:ln>
              <a:effectLst/>
            </c:spPr>
            <c:extLst xmlns:c16r2="http://schemas.microsoft.com/office/drawing/2015/06/chart">
              <c:ext xmlns:c16="http://schemas.microsoft.com/office/drawing/2014/chart" uri="{C3380CC4-5D6E-409C-BE32-E72D297353CC}">
                <c16:uniqueId val="{00000001-3403-44B7-93E6-33E2C96A9634}"/>
              </c:ext>
            </c:extLst>
          </c:dPt>
          <c:dPt>
            <c:idx val="3"/>
            <c:invertIfNegative val="0"/>
            <c:bubble3D val="0"/>
            <c:spPr>
              <a:solidFill>
                <a:schemeClr val="accent1">
                  <a:lumMod val="75000"/>
                </a:schemeClr>
              </a:solidFill>
              <a:ln>
                <a:noFill/>
              </a:ln>
              <a:effectLst/>
            </c:spPr>
            <c:extLst xmlns:c16r2="http://schemas.microsoft.com/office/drawing/2015/06/chart">
              <c:ext xmlns:c16="http://schemas.microsoft.com/office/drawing/2014/chart" uri="{C3380CC4-5D6E-409C-BE32-E72D297353CC}">
                <c16:uniqueId val="{0000000B-51CF-44BF-A845-3ED039999DD2}"/>
              </c:ext>
            </c:extLst>
          </c:dPt>
          <c:dPt>
            <c:idx val="5"/>
            <c:invertIfNegative val="0"/>
            <c:bubble3D val="0"/>
            <c:spPr>
              <a:solidFill>
                <a:schemeClr val="accent1">
                  <a:lumMod val="75000"/>
                </a:schemeClr>
              </a:solidFill>
              <a:ln>
                <a:noFill/>
              </a:ln>
              <a:effectLst/>
            </c:spPr>
            <c:extLst xmlns:c16r2="http://schemas.microsoft.com/office/drawing/2015/06/chart">
              <c:ext xmlns:c16="http://schemas.microsoft.com/office/drawing/2014/chart" uri="{C3380CC4-5D6E-409C-BE32-E72D297353CC}">
                <c16:uniqueId val="{00000001-51CF-44BF-A845-3ED039999DD2}"/>
              </c:ext>
            </c:extLst>
          </c:dPt>
          <c:dPt>
            <c:idx val="6"/>
            <c:invertIfNegative val="0"/>
            <c:bubble3D val="0"/>
            <c:spPr>
              <a:solidFill>
                <a:schemeClr val="accent1">
                  <a:lumMod val="75000"/>
                </a:schemeClr>
              </a:solidFill>
              <a:ln>
                <a:noFill/>
              </a:ln>
              <a:effectLst/>
            </c:spPr>
            <c:extLst xmlns:c16r2="http://schemas.microsoft.com/office/drawing/2015/06/chart">
              <c:ext xmlns:c16="http://schemas.microsoft.com/office/drawing/2014/chart" uri="{C3380CC4-5D6E-409C-BE32-E72D297353CC}">
                <c16:uniqueId val="{00000003-51CF-44BF-A845-3ED039999DD2}"/>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ICRC_info!$G$46:$G$49</c:f>
              <c:strCache>
                <c:ptCount val="4"/>
                <c:pt idx="0">
                  <c:v>Supply charge - SRMC</c:v>
                </c:pt>
                <c:pt idx="1">
                  <c:v>Supply charge 2015-16</c:v>
                </c:pt>
                <c:pt idx="2">
                  <c:v>Fixture charge - SRMC</c:v>
                </c:pt>
                <c:pt idx="3">
                  <c:v>Fixture charge 2015-16</c:v>
                </c:pt>
              </c:strCache>
            </c:strRef>
          </c:cat>
          <c:val>
            <c:numRef>
              <c:f>ICRC_info!$H$46:$H$49</c:f>
              <c:numCache>
                <c:formatCode>_(* #,##0.00_);_(* \(#,##0.00\);_(* "-"??_);_(@_)</c:formatCode>
                <c:ptCount val="4"/>
                <c:pt idx="0">
                  <c:v>490</c:v>
                </c:pt>
                <c:pt idx="1">
                  <c:v>523.17999999999995</c:v>
                </c:pt>
                <c:pt idx="2">
                  <c:v>480</c:v>
                </c:pt>
                <c:pt idx="3" formatCode="General">
                  <c:v>511.66</c:v>
                </c:pt>
              </c:numCache>
            </c:numRef>
          </c:val>
          <c:extLst xmlns:c16r2="http://schemas.microsoft.com/office/drawing/2015/06/chart">
            <c:ext xmlns:c16="http://schemas.microsoft.com/office/drawing/2014/chart" uri="{C3380CC4-5D6E-409C-BE32-E72D297353CC}">
              <c16:uniqueId val="{00000004-51CF-44BF-A845-3ED039999DD2}"/>
            </c:ext>
          </c:extLst>
        </c:ser>
        <c:dLbls>
          <c:dLblPos val="inEnd"/>
          <c:showLegendKey val="0"/>
          <c:showVal val="1"/>
          <c:showCatName val="0"/>
          <c:showSerName val="0"/>
          <c:showPercent val="0"/>
          <c:showBubbleSize val="0"/>
        </c:dLbls>
        <c:gapWidth val="150"/>
        <c:overlap val="100"/>
        <c:axId val="250409592"/>
        <c:axId val="250449712"/>
      </c:barChart>
      <c:catAx>
        <c:axId val="250409592"/>
        <c:scaling>
          <c:orientation val="minMax"/>
        </c:scaling>
        <c:delete val="0"/>
        <c:axPos val="b"/>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50449712"/>
        <c:crosses val="autoZero"/>
        <c:auto val="1"/>
        <c:lblAlgn val="ctr"/>
        <c:lblOffset val="100"/>
        <c:noMultiLvlLbl val="0"/>
      </c:catAx>
      <c:valAx>
        <c:axId val="2504497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 per year</a:t>
                </a:r>
              </a:p>
            </c:rich>
          </c:tx>
          <c:layout>
            <c:manualLayout>
              <c:xMode val="edge"/>
              <c:yMode val="edge"/>
              <c:x val="2.2726170581204814E-2"/>
              <c:y val="0.3858683391934812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quot;$&quot;#,##0" sourceLinked="0"/>
        <c:majorTickMark val="none"/>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504095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a:pPr>
            <a:r>
              <a:rPr lang="en-AU" sz="1000" b="1"/>
              <a:t>Standalone houses</a:t>
            </a:r>
          </a:p>
        </c:rich>
      </c:tx>
      <c:layout>
        <c:manualLayout>
          <c:xMode val="edge"/>
          <c:yMode val="edge"/>
          <c:x val="0.47786196255298496"/>
          <c:y val="4.1655164119706663E-2"/>
        </c:manualLayout>
      </c:layout>
      <c:overlay val="1"/>
    </c:title>
    <c:autoTitleDeleted val="0"/>
    <c:plotArea>
      <c:layout>
        <c:manualLayout>
          <c:layoutTarget val="inner"/>
          <c:xMode val="edge"/>
          <c:yMode val="edge"/>
          <c:x val="9.4619102696701166E-2"/>
          <c:y val="2.8314093347741025E-2"/>
          <c:w val="0.79383124545914663"/>
          <c:h val="0.90669604169564255"/>
        </c:manualLayout>
      </c:layout>
      <c:areaChart>
        <c:grouping val="standard"/>
        <c:varyColors val="0"/>
        <c:ser>
          <c:idx val="3"/>
          <c:order val="0"/>
          <c:tx>
            <c:strRef>
              <c:f>Houses_Chart!$C$2</c:f>
              <c:strCache>
                <c:ptCount val="1"/>
                <c:pt idx="0">
                  <c:v>Proportion of houses by water use</c:v>
                </c:pt>
              </c:strCache>
            </c:strRef>
          </c:tx>
          <c:spPr>
            <a:solidFill>
              <a:schemeClr val="accent6">
                <a:lumMod val="60000"/>
                <a:lumOff val="40000"/>
              </a:schemeClr>
            </a:solidFill>
          </c:spPr>
          <c:cat>
            <c:numRef>
              <c:f>Houses_Chart!$A$3:$A$43</c:f>
              <c:numCache>
                <c:formatCode>General</c:formatCode>
                <c:ptCount val="41"/>
                <c:pt idx="0">
                  <c:v>0</c:v>
                </c:pt>
                <c:pt idx="1">
                  <c:v>25</c:v>
                </c:pt>
                <c:pt idx="2">
                  <c:v>50</c:v>
                </c:pt>
                <c:pt idx="3">
                  <c:v>75</c:v>
                </c:pt>
                <c:pt idx="4">
                  <c:v>100</c:v>
                </c:pt>
                <c:pt idx="5">
                  <c:v>125</c:v>
                </c:pt>
                <c:pt idx="6">
                  <c:v>150</c:v>
                </c:pt>
                <c:pt idx="7">
                  <c:v>175</c:v>
                </c:pt>
                <c:pt idx="8">
                  <c:v>200</c:v>
                </c:pt>
                <c:pt idx="9">
                  <c:v>225</c:v>
                </c:pt>
                <c:pt idx="10">
                  <c:v>250</c:v>
                </c:pt>
                <c:pt idx="11">
                  <c:v>275</c:v>
                </c:pt>
                <c:pt idx="12">
                  <c:v>300</c:v>
                </c:pt>
                <c:pt idx="13">
                  <c:v>325</c:v>
                </c:pt>
                <c:pt idx="14">
                  <c:v>350</c:v>
                </c:pt>
                <c:pt idx="15">
                  <c:v>375</c:v>
                </c:pt>
                <c:pt idx="16">
                  <c:v>400</c:v>
                </c:pt>
                <c:pt idx="17">
                  <c:v>425</c:v>
                </c:pt>
                <c:pt idx="18">
                  <c:v>450</c:v>
                </c:pt>
                <c:pt idx="19">
                  <c:v>475</c:v>
                </c:pt>
                <c:pt idx="20">
                  <c:v>500</c:v>
                </c:pt>
                <c:pt idx="21">
                  <c:v>525</c:v>
                </c:pt>
                <c:pt idx="22">
                  <c:v>550</c:v>
                </c:pt>
                <c:pt idx="23">
                  <c:v>575</c:v>
                </c:pt>
                <c:pt idx="24">
                  <c:v>600</c:v>
                </c:pt>
                <c:pt idx="25">
                  <c:v>625</c:v>
                </c:pt>
                <c:pt idx="26">
                  <c:v>650</c:v>
                </c:pt>
                <c:pt idx="27">
                  <c:v>675</c:v>
                </c:pt>
                <c:pt idx="28">
                  <c:v>700</c:v>
                </c:pt>
                <c:pt idx="29">
                  <c:v>725</c:v>
                </c:pt>
                <c:pt idx="30">
                  <c:v>750</c:v>
                </c:pt>
                <c:pt idx="31">
                  <c:v>775</c:v>
                </c:pt>
                <c:pt idx="32">
                  <c:v>800</c:v>
                </c:pt>
                <c:pt idx="33">
                  <c:v>825</c:v>
                </c:pt>
                <c:pt idx="34">
                  <c:v>850</c:v>
                </c:pt>
                <c:pt idx="35">
                  <c:v>875</c:v>
                </c:pt>
                <c:pt idx="36">
                  <c:v>900</c:v>
                </c:pt>
                <c:pt idx="37">
                  <c:v>925</c:v>
                </c:pt>
                <c:pt idx="38">
                  <c:v>950</c:v>
                </c:pt>
                <c:pt idx="39">
                  <c:v>975</c:v>
                </c:pt>
                <c:pt idx="40">
                  <c:v>1000</c:v>
                </c:pt>
              </c:numCache>
            </c:numRef>
          </c:cat>
          <c:val>
            <c:numRef>
              <c:f>Houses_Chart!$C$3:$C$43</c:f>
              <c:numCache>
                <c:formatCode>0%</c:formatCode>
                <c:ptCount val="41"/>
                <c:pt idx="0">
                  <c:v>0</c:v>
                </c:pt>
                <c:pt idx="1">
                  <c:v>4.1903592364306915E-4</c:v>
                </c:pt>
                <c:pt idx="2">
                  <c:v>1.4979853673042566E-2</c:v>
                </c:pt>
                <c:pt idx="3">
                  <c:v>5.5478704522981377E-2</c:v>
                </c:pt>
                <c:pt idx="4">
                  <c:v>9.2802000008514074E-2</c:v>
                </c:pt>
                <c:pt idx="5">
                  <c:v>0.11074078106109245</c:v>
                </c:pt>
                <c:pt idx="6">
                  <c:v>0.1118483676734835</c:v>
                </c:pt>
                <c:pt idx="7">
                  <c:v>0.10312725804307143</c:v>
                </c:pt>
                <c:pt idx="8">
                  <c:v>9.0169423604616217E-2</c:v>
                </c:pt>
                <c:pt idx="9">
                  <c:v>7.6346809533506255E-2</c:v>
                </c:pt>
                <c:pt idx="10">
                  <c:v>6.3376771110822849E-2</c:v>
                </c:pt>
                <c:pt idx="11">
                  <c:v>5.1975084851649478E-2</c:v>
                </c:pt>
                <c:pt idx="12">
                  <c:v>4.2317310819734999E-2</c:v>
                </c:pt>
                <c:pt idx="13">
                  <c:v>3.4316876134293683E-2</c:v>
                </c:pt>
                <c:pt idx="14">
                  <c:v>2.7778932773125375E-2</c:v>
                </c:pt>
                <c:pt idx="15">
                  <c:v>2.2479856092628703E-2</c:v>
                </c:pt>
                <c:pt idx="16">
                  <c:v>1.8205093019795782E-2</c:v>
                </c:pt>
                <c:pt idx="17">
                  <c:v>1.4764789658042843E-2</c:v>
                </c:pt>
                <c:pt idx="18">
                  <c:v>1.1998144964437851E-2</c:v>
                </c:pt>
                <c:pt idx="19">
                  <c:v>9.7724363363674849E-3</c:v>
                </c:pt>
                <c:pt idx="20">
                  <c:v>7.9798389337698561E-3</c:v>
                </c:pt>
                <c:pt idx="21">
                  <c:v>6.5336104493038949E-3</c:v>
                </c:pt>
                <c:pt idx="22">
                  <c:v>5.3643825338888229E-3</c:v>
                </c:pt>
                <c:pt idx="23">
                  <c:v>4.4168670327578985E-3</c:v>
                </c:pt>
                <c:pt idx="24">
                  <c:v>3.6470677663990037E-3</c:v>
                </c:pt>
                <c:pt idx="25">
                  <c:v>3.0199860230103459E-3</c:v>
                </c:pt>
                <c:pt idx="26">
                  <c:v>2.5077651015728009E-3</c:v>
                </c:pt>
                <c:pt idx="27">
                  <c:v>2.0882064020127933E-3</c:v>
                </c:pt>
                <c:pt idx="28">
                  <c:v>1.7435908832846847E-3</c:v>
                </c:pt>
                <c:pt idx="29">
                  <c:v>1.4597469755025516E-3</c:v>
                </c:pt>
                <c:pt idx="30">
                  <c:v>1.2253151055794387E-3</c:v>
                </c:pt>
                <c:pt idx="31">
                  <c:v>1.0311679203472979E-3</c:v>
                </c:pt>
                <c:pt idx="32">
                  <c:v>8.6995324289640408E-4</c:v>
                </c:pt>
                <c:pt idx="33">
                  <c:v>7.357335229928319E-4</c:v>
                </c:pt>
                <c:pt idx="34">
                  <c:v>6.2370105762010741E-4</c:v>
                </c:pt>
                <c:pt idx="35">
                  <c:v>5.2995269401678868E-4</c:v>
                </c:pt>
                <c:pt idx="36">
                  <c:v>4.5131125169628472E-4</c:v>
                </c:pt>
                <c:pt idx="37">
                  <c:v>3.8518367669748699E-4</c:v>
                </c:pt>
                <c:pt idx="38">
                  <c:v>3.2944811774038296E-4</c:v>
                </c:pt>
                <c:pt idx="39">
                  <c:v>2.8236381439628033E-4</c:v>
                </c:pt>
                <c:pt idx="40">
                  <c:v>2.4249901356543369E-4</c:v>
                </c:pt>
              </c:numCache>
            </c:numRef>
          </c:val>
          <c:extLst xmlns:c16r2="http://schemas.microsoft.com/office/drawing/2015/06/chart">
            <c:ext xmlns:c16="http://schemas.microsoft.com/office/drawing/2014/chart" uri="{C3380CC4-5D6E-409C-BE32-E72D297353CC}">
              <c16:uniqueId val="{00000000-D454-4B2F-897E-2C9E30BC71D3}"/>
            </c:ext>
          </c:extLst>
        </c:ser>
        <c:dLbls>
          <c:showLegendKey val="0"/>
          <c:showVal val="0"/>
          <c:showCatName val="0"/>
          <c:showSerName val="0"/>
          <c:showPercent val="0"/>
          <c:showBubbleSize val="0"/>
        </c:dLbls>
        <c:axId val="250451280"/>
        <c:axId val="250451672"/>
      </c:areaChart>
      <c:lineChart>
        <c:grouping val="standard"/>
        <c:varyColors val="0"/>
        <c:ser>
          <c:idx val="0"/>
          <c:order val="1"/>
          <c:tx>
            <c:strRef>
              <c:f>Houses_Chart!$E$2</c:f>
              <c:strCache>
                <c:ptCount val="1"/>
                <c:pt idx="0">
                  <c:v>Water charges impact</c:v>
                </c:pt>
              </c:strCache>
            </c:strRef>
          </c:tx>
          <c:spPr>
            <a:ln>
              <a:solidFill>
                <a:schemeClr val="tx1"/>
              </a:solidFill>
              <a:prstDash val="solid"/>
            </a:ln>
          </c:spPr>
          <c:marker>
            <c:symbol val="none"/>
          </c:marker>
          <c:val>
            <c:numRef>
              <c:f>Houses_Chart!$E$3:$E$43</c:f>
              <c:numCache>
                <c:formatCode>0%</c:formatCode>
                <c:ptCount val="41"/>
                <c:pt idx="0">
                  <c:v>0.23373778372801302</c:v>
                </c:pt>
                <c:pt idx="1">
                  <c:v>0.14226420135979589</c:v>
                </c:pt>
                <c:pt idx="2">
                  <c:v>0.10224894513629956</c:v>
                </c:pt>
                <c:pt idx="3">
                  <c:v>7.9802544469665726E-2</c:v>
                </c:pt>
                <c:pt idx="4">
                  <c:v>6.5437293899577087E-2</c:v>
                </c:pt>
                <c:pt idx="5">
                  <c:v>5.5454867072028513E-2</c:v>
                </c:pt>
                <c:pt idx="6">
                  <c:v>4.8114954547281208E-2</c:v>
                </c:pt>
                <c:pt idx="7">
                  <c:v>4.2131039800703762E-2</c:v>
                </c:pt>
                <c:pt idx="8">
                  <c:v>3.3911398479004706E-2</c:v>
                </c:pt>
                <c:pt idx="9">
                  <c:v>2.3904979113660074E-2</c:v>
                </c:pt>
                <c:pt idx="10">
                  <c:v>1.4392761633914342E-2</c:v>
                </c:pt>
                <c:pt idx="11">
                  <c:v>7.1392439704061061E-3</c:v>
                </c:pt>
                <c:pt idx="12">
                  <c:v>1.5418960247486346E-3</c:v>
                </c:pt>
                <c:pt idx="13">
                  <c:v>-2.9083826184859163E-3</c:v>
                </c:pt>
                <c:pt idx="14">
                  <c:v>-6.5314249727853602E-3</c:v>
                </c:pt>
                <c:pt idx="15">
                  <c:v>-9.5382716628596986E-3</c:v>
                </c:pt>
                <c:pt idx="16">
                  <c:v>-1.2073803211382628E-2</c:v>
                </c:pt>
                <c:pt idx="17">
                  <c:v>-1.4240781840753836E-2</c:v>
                </c:pt>
                <c:pt idx="18">
                  <c:v>-1.6114119780335057E-2</c:v>
                </c:pt>
                <c:pt idx="19">
                  <c:v>-1.7749715266528354E-2</c:v>
                </c:pt>
                <c:pt idx="20">
                  <c:v>-1.9190125181738016E-2</c:v>
                </c:pt>
                <c:pt idx="21">
                  <c:v>-2.0468321195351802E-2</c:v>
                </c:pt>
                <c:pt idx="22">
                  <c:v>-2.1610244541205637E-2</c:v>
                </c:pt>
                <c:pt idx="23">
                  <c:v>-2.2636585028929068E-2</c:v>
                </c:pt>
                <c:pt idx="24">
                  <c:v>-2.3564045875035688E-2</c:v>
                </c:pt>
                <c:pt idx="25">
                  <c:v>-2.440625976565447E-2</c:v>
                </c:pt>
                <c:pt idx="26">
                  <c:v>-2.5174463419966764E-2</c:v>
                </c:pt>
                <c:pt idx="27">
                  <c:v>-2.5878001804966688E-2</c:v>
                </c:pt>
                <c:pt idx="28">
                  <c:v>-2.6524710162690424E-2</c:v>
                </c:pt>
                <c:pt idx="29">
                  <c:v>-2.7121207053840246E-2</c:v>
                </c:pt>
                <c:pt idx="30">
                  <c:v>-2.7673121695061198E-2</c:v>
                </c:pt>
                <c:pt idx="31">
                  <c:v>-2.8185272158835928E-2</c:v>
                </c:pt>
                <c:pt idx="32">
                  <c:v>-2.8661806395979039E-2</c:v>
                </c:pt>
                <c:pt idx="33">
                  <c:v>-2.9106314825594559E-2</c:v>
                </c:pt>
                <c:pt idx="34">
                  <c:v>-2.9521920962963688E-2</c:v>
                </c:pt>
                <c:pt idx="35">
                  <c:v>-2.9911354925970857E-2</c:v>
                </c:pt>
                <c:pt idx="36">
                  <c:v>-3.027701347855849E-2</c:v>
                </c:pt>
                <c:pt idx="37">
                  <c:v>-3.0621009402761135E-2</c:v>
                </c:pt>
                <c:pt idx="38">
                  <c:v>-3.0945212348376328E-2</c:v>
                </c:pt>
                <c:pt idx="39">
                  <c:v>-3.1251282828540949E-2</c:v>
                </c:pt>
                <c:pt idx="40">
                  <c:v>-3.1540700666434773E-2</c:v>
                </c:pt>
              </c:numCache>
            </c:numRef>
          </c:val>
          <c:smooth val="0"/>
          <c:extLst xmlns:c16r2="http://schemas.microsoft.com/office/drawing/2015/06/chart">
            <c:ext xmlns:c16="http://schemas.microsoft.com/office/drawing/2014/chart" uri="{C3380CC4-5D6E-409C-BE32-E72D297353CC}">
              <c16:uniqueId val="{00000001-D454-4B2F-897E-2C9E30BC71D3}"/>
            </c:ext>
          </c:extLst>
        </c:ser>
        <c:ser>
          <c:idx val="1"/>
          <c:order val="2"/>
          <c:tx>
            <c:strRef>
              <c:f>Houses_Chart!$D$2</c:f>
              <c:strCache>
                <c:ptCount val="1"/>
                <c:pt idx="0">
                  <c:v>Combined bill impact</c:v>
                </c:pt>
              </c:strCache>
            </c:strRef>
          </c:tx>
          <c:spPr>
            <a:ln w="38100">
              <a:solidFill>
                <a:schemeClr val="tx2">
                  <a:lumMod val="60000"/>
                  <a:lumOff val="40000"/>
                </a:schemeClr>
              </a:solidFill>
              <a:prstDash val="dash"/>
            </a:ln>
          </c:spPr>
          <c:marker>
            <c:symbol val="none"/>
          </c:marker>
          <c:cat>
            <c:numRef>
              <c:f>Houses_Chart!$A$3:$A$43</c:f>
              <c:numCache>
                <c:formatCode>General</c:formatCode>
                <c:ptCount val="41"/>
                <c:pt idx="0">
                  <c:v>0</c:v>
                </c:pt>
                <c:pt idx="1">
                  <c:v>25</c:v>
                </c:pt>
                <c:pt idx="2">
                  <c:v>50</c:v>
                </c:pt>
                <c:pt idx="3">
                  <c:v>75</c:v>
                </c:pt>
                <c:pt idx="4">
                  <c:v>100</c:v>
                </c:pt>
                <c:pt idx="5">
                  <c:v>125</c:v>
                </c:pt>
                <c:pt idx="6">
                  <c:v>150</c:v>
                </c:pt>
                <c:pt idx="7">
                  <c:v>175</c:v>
                </c:pt>
                <c:pt idx="8">
                  <c:v>200</c:v>
                </c:pt>
                <c:pt idx="9">
                  <c:v>225</c:v>
                </c:pt>
                <c:pt idx="10">
                  <c:v>250</c:v>
                </c:pt>
                <c:pt idx="11">
                  <c:v>275</c:v>
                </c:pt>
                <c:pt idx="12">
                  <c:v>300</c:v>
                </c:pt>
                <c:pt idx="13">
                  <c:v>325</c:v>
                </c:pt>
                <c:pt idx="14">
                  <c:v>350</c:v>
                </c:pt>
                <c:pt idx="15">
                  <c:v>375</c:v>
                </c:pt>
                <c:pt idx="16">
                  <c:v>400</c:v>
                </c:pt>
                <c:pt idx="17">
                  <c:v>425</c:v>
                </c:pt>
                <c:pt idx="18">
                  <c:v>450</c:v>
                </c:pt>
                <c:pt idx="19">
                  <c:v>475</c:v>
                </c:pt>
                <c:pt idx="20">
                  <c:v>500</c:v>
                </c:pt>
                <c:pt idx="21">
                  <c:v>525</c:v>
                </c:pt>
                <c:pt idx="22">
                  <c:v>550</c:v>
                </c:pt>
                <c:pt idx="23">
                  <c:v>575</c:v>
                </c:pt>
                <c:pt idx="24">
                  <c:v>600</c:v>
                </c:pt>
                <c:pt idx="25">
                  <c:v>625</c:v>
                </c:pt>
                <c:pt idx="26">
                  <c:v>650</c:v>
                </c:pt>
                <c:pt idx="27">
                  <c:v>675</c:v>
                </c:pt>
                <c:pt idx="28">
                  <c:v>700</c:v>
                </c:pt>
                <c:pt idx="29">
                  <c:v>725</c:v>
                </c:pt>
                <c:pt idx="30">
                  <c:v>750</c:v>
                </c:pt>
                <c:pt idx="31">
                  <c:v>775</c:v>
                </c:pt>
                <c:pt idx="32">
                  <c:v>800</c:v>
                </c:pt>
                <c:pt idx="33">
                  <c:v>825</c:v>
                </c:pt>
                <c:pt idx="34">
                  <c:v>850</c:v>
                </c:pt>
                <c:pt idx="35">
                  <c:v>875</c:v>
                </c:pt>
                <c:pt idx="36">
                  <c:v>900</c:v>
                </c:pt>
                <c:pt idx="37">
                  <c:v>925</c:v>
                </c:pt>
                <c:pt idx="38">
                  <c:v>950</c:v>
                </c:pt>
                <c:pt idx="39">
                  <c:v>975</c:v>
                </c:pt>
                <c:pt idx="40">
                  <c:v>1000</c:v>
                </c:pt>
              </c:numCache>
            </c:numRef>
          </c:cat>
          <c:val>
            <c:numRef>
              <c:f>Houses_Chart!$D$3:$D$43</c:f>
              <c:numCache>
                <c:formatCode>0%</c:formatCode>
                <c:ptCount val="41"/>
                <c:pt idx="0">
                  <c:v>5.8577513699899608E-2</c:v>
                </c:pt>
                <c:pt idx="1">
                  <c:v>5.3086739585293419E-2</c:v>
                </c:pt>
                <c:pt idx="2">
                  <c:v>4.8537105039296424E-2</c:v>
                </c:pt>
                <c:pt idx="3">
                  <c:v>4.4705738247442728E-2</c:v>
                </c:pt>
                <c:pt idx="4">
                  <c:v>4.1434990124816107E-2</c:v>
                </c:pt>
                <c:pt idx="5">
                  <c:v>3.8610201850068027E-2</c:v>
                </c:pt>
                <c:pt idx="6">
                  <c:v>3.6145986044757938E-2</c:v>
                </c:pt>
                <c:pt idx="7">
                  <c:v>3.3804974986560765E-2</c:v>
                </c:pt>
                <c:pt idx="8">
                  <c:v>2.9895850346364217E-2</c:v>
                </c:pt>
                <c:pt idx="9">
                  <c:v>2.4355852193421956E-2</c:v>
                </c:pt>
                <c:pt idx="10">
                  <c:v>1.8361535820928365E-2</c:v>
                </c:pt>
                <c:pt idx="11">
                  <c:v>1.3255662680345059E-2</c:v>
                </c:pt>
                <c:pt idx="12">
                  <c:v>8.9475536720289295E-3</c:v>
                </c:pt>
                <c:pt idx="13">
                  <c:v>5.2637875664698353E-3</c:v>
                </c:pt>
                <c:pt idx="14">
                  <c:v>2.077812286270575E-3</c:v>
                </c:pt>
                <c:pt idx="15">
                  <c:v>-7.0488667407564431E-4</c:v>
                </c:pt>
                <c:pt idx="16">
                  <c:v>-3.1563209798721736E-3</c:v>
                </c:pt>
                <c:pt idx="17">
                  <c:v>-5.3323203161091959E-3</c:v>
                </c:pt>
                <c:pt idx="18">
                  <c:v>-7.2768360007806621E-3</c:v>
                </c:pt>
                <c:pt idx="19">
                  <c:v>-9.0249405031275209E-3</c:v>
                </c:pt>
                <c:pt idx="20">
                  <c:v>-1.0604961735282803E-2</c:v>
                </c:pt>
                <c:pt idx="21">
                  <c:v>-1.204002993653841E-2</c:v>
                </c:pt>
                <c:pt idx="22">
                  <c:v>-1.3349217490984611E-2</c:v>
                </c:pt>
                <c:pt idx="23">
                  <c:v>-1.454839140169284E-2</c:v>
                </c:pt>
                <c:pt idx="24">
                  <c:v>-1.5650859524953931E-2</c:v>
                </c:pt>
                <c:pt idx="25">
                  <c:v>-1.6667866520152619E-2</c:v>
                </c:pt>
                <c:pt idx="26">
                  <c:v>-1.7608978767983507E-2</c:v>
                </c:pt>
                <c:pt idx="27">
                  <c:v>-1.8482386214166091E-2</c:v>
                </c:pt>
                <c:pt idx="28">
                  <c:v>-1.9295141330047505E-2</c:v>
                </c:pt>
                <c:pt idx="29">
                  <c:v>-2.0053349961075329E-2</c:v>
                </c:pt>
                <c:pt idx="30">
                  <c:v>-2.0762324997547266E-2</c:v>
                </c:pt>
                <c:pt idx="31">
                  <c:v>-2.1426711051298786E-2</c:v>
                </c:pt>
                <c:pt idx="32">
                  <c:v>-2.205058632599699E-2</c:v>
                </c:pt>
                <c:pt idx="33">
                  <c:v>-2.2637546404196129E-2</c:v>
                </c:pt>
                <c:pt idx="34">
                  <c:v>-2.3190773588538161E-2</c:v>
                </c:pt>
                <c:pt idx="35">
                  <c:v>-2.3713094621673925E-2</c:v>
                </c:pt>
                <c:pt idx="36">
                  <c:v>-2.4207028995441582E-2</c:v>
                </c:pt>
                <c:pt idx="37">
                  <c:v>-2.4674829592016612E-2</c:v>
                </c:pt>
                <c:pt idx="38">
                  <c:v>-2.5118517040423116E-2</c:v>
                </c:pt>
                <c:pt idx="39">
                  <c:v>-2.5539908893726371E-2</c:v>
                </c:pt>
                <c:pt idx="40">
                  <c:v>-2.5940644515516587E-2</c:v>
                </c:pt>
              </c:numCache>
            </c:numRef>
          </c:val>
          <c:smooth val="0"/>
          <c:extLst xmlns:c16r2="http://schemas.microsoft.com/office/drawing/2015/06/chart">
            <c:ext xmlns:c16="http://schemas.microsoft.com/office/drawing/2014/chart" uri="{C3380CC4-5D6E-409C-BE32-E72D297353CC}">
              <c16:uniqueId val="{00000002-D454-4B2F-897E-2C9E30BC71D3}"/>
            </c:ext>
          </c:extLst>
        </c:ser>
        <c:dLbls>
          <c:showLegendKey val="0"/>
          <c:showVal val="0"/>
          <c:showCatName val="0"/>
          <c:showSerName val="0"/>
          <c:showPercent val="0"/>
          <c:showBubbleSize val="0"/>
        </c:dLbls>
        <c:marker val="1"/>
        <c:smooth val="0"/>
        <c:axId val="250450496"/>
        <c:axId val="250450888"/>
      </c:lineChart>
      <c:catAx>
        <c:axId val="250450496"/>
        <c:scaling>
          <c:orientation val="minMax"/>
        </c:scaling>
        <c:delete val="0"/>
        <c:axPos val="b"/>
        <c:title>
          <c:tx>
            <c:rich>
              <a:bodyPr/>
              <a:lstStyle/>
              <a:p>
                <a:pPr>
                  <a:defRPr sz="800" b="1" i="0" u="none" strike="noStrike" baseline="0">
                    <a:solidFill>
                      <a:srgbClr val="000000"/>
                    </a:solidFill>
                    <a:latin typeface="Calibri"/>
                    <a:ea typeface="Calibri"/>
                    <a:cs typeface="Calibri"/>
                  </a:defRPr>
                </a:pPr>
                <a:r>
                  <a:rPr lang="en-AU" sz="800"/>
                  <a:t>Water consumption (kL/a)</a:t>
                </a:r>
              </a:p>
            </c:rich>
          </c:tx>
          <c:layout/>
          <c:overlay val="0"/>
        </c:title>
        <c:numFmt formatCode="General" sourceLinked="1"/>
        <c:majorTickMark val="out"/>
        <c:minorTickMark val="none"/>
        <c:tickLblPos val="nextTo"/>
        <c:txPr>
          <a:bodyPr rot="-5400000" vert="horz"/>
          <a:lstStyle/>
          <a:p>
            <a:pPr>
              <a:defRPr sz="700" b="0" i="0" u="none" strike="noStrike" baseline="0">
                <a:solidFill>
                  <a:srgbClr val="000000"/>
                </a:solidFill>
                <a:latin typeface="Calibri"/>
                <a:ea typeface="Calibri"/>
                <a:cs typeface="Calibri"/>
              </a:defRPr>
            </a:pPr>
            <a:endParaRPr lang="en-US"/>
          </a:p>
        </c:txPr>
        <c:crossAx val="250450888"/>
        <c:crosses val="autoZero"/>
        <c:auto val="1"/>
        <c:lblAlgn val="ctr"/>
        <c:lblOffset val="100"/>
        <c:noMultiLvlLbl val="0"/>
      </c:catAx>
      <c:valAx>
        <c:axId val="250450888"/>
        <c:scaling>
          <c:orientation val="minMax"/>
          <c:max val="1"/>
          <c:min val="-0.4"/>
        </c:scaling>
        <c:delete val="0"/>
        <c:axPos val="l"/>
        <c:majorGridlines>
          <c:spPr>
            <a:ln w="6350">
              <a:solidFill>
                <a:schemeClr val="bg1">
                  <a:lumMod val="85000"/>
                </a:schemeClr>
              </a:solidFill>
              <a:prstDash val="solid"/>
            </a:ln>
          </c:spPr>
        </c:majorGridlines>
        <c:title>
          <c:tx>
            <c:rich>
              <a:bodyPr/>
              <a:lstStyle/>
              <a:p>
                <a:pPr>
                  <a:defRPr sz="800" b="1" i="0" u="none" strike="noStrike" baseline="0">
                    <a:solidFill>
                      <a:srgbClr val="000000"/>
                    </a:solidFill>
                    <a:latin typeface="Calibri"/>
                    <a:ea typeface="Calibri"/>
                    <a:cs typeface="Calibri"/>
                  </a:defRPr>
                </a:pPr>
                <a:r>
                  <a:rPr lang="en-AU" sz="800"/>
                  <a:t>Change in water chargess and combined bills</a:t>
                </a:r>
              </a:p>
            </c:rich>
          </c:tx>
          <c:layout>
            <c:manualLayout>
              <c:xMode val="edge"/>
              <c:yMode val="edge"/>
              <c:x val="3.2174517744907073E-3"/>
              <c:y val="0.11692801364452617"/>
            </c:manualLayout>
          </c:layout>
          <c:overlay val="0"/>
        </c:title>
        <c:numFmt formatCode="0%" sourceLinked="0"/>
        <c:majorTickMark val="out"/>
        <c:minorTickMark val="none"/>
        <c:tickLblPos val="nextTo"/>
        <c:txPr>
          <a:bodyPr rot="0" vert="horz"/>
          <a:lstStyle/>
          <a:p>
            <a:pPr>
              <a:defRPr sz="700" b="0" i="0" u="none" strike="noStrike" baseline="0">
                <a:solidFill>
                  <a:srgbClr val="000000"/>
                </a:solidFill>
                <a:latin typeface="Calibri"/>
                <a:ea typeface="Calibri"/>
                <a:cs typeface="Calibri"/>
              </a:defRPr>
            </a:pPr>
            <a:endParaRPr lang="en-US"/>
          </a:p>
        </c:txPr>
        <c:crossAx val="250450496"/>
        <c:crosses val="autoZero"/>
        <c:crossBetween val="between"/>
        <c:majorUnit val="0.1"/>
      </c:valAx>
      <c:catAx>
        <c:axId val="250451280"/>
        <c:scaling>
          <c:orientation val="minMax"/>
        </c:scaling>
        <c:delete val="1"/>
        <c:axPos val="b"/>
        <c:numFmt formatCode="General" sourceLinked="1"/>
        <c:majorTickMark val="out"/>
        <c:minorTickMark val="none"/>
        <c:tickLblPos val="none"/>
        <c:crossAx val="250451672"/>
        <c:crosses val="autoZero"/>
        <c:auto val="1"/>
        <c:lblAlgn val="ctr"/>
        <c:lblOffset val="100"/>
        <c:noMultiLvlLbl val="0"/>
      </c:catAx>
      <c:valAx>
        <c:axId val="250451672"/>
        <c:scaling>
          <c:orientation val="minMax"/>
          <c:max val="0.12000000000000002"/>
          <c:min val="-4.8000000000000015E-2"/>
        </c:scaling>
        <c:delete val="0"/>
        <c:axPos val="r"/>
        <c:title>
          <c:tx>
            <c:rich>
              <a:bodyPr/>
              <a:lstStyle/>
              <a:p>
                <a:pPr>
                  <a:defRPr sz="800" b="1">
                    <a:solidFill>
                      <a:schemeClr val="accent6">
                        <a:lumMod val="50000"/>
                      </a:schemeClr>
                    </a:solidFill>
                  </a:defRPr>
                </a:pPr>
                <a:r>
                  <a:rPr lang="en-AU" sz="800" b="1">
                    <a:solidFill>
                      <a:schemeClr val="accent6">
                        <a:lumMod val="50000"/>
                      </a:schemeClr>
                    </a:solidFill>
                  </a:rPr>
                  <a:t>Proportion</a:t>
                </a:r>
                <a:r>
                  <a:rPr lang="en-AU" sz="800" b="1" baseline="0">
                    <a:solidFill>
                      <a:schemeClr val="accent6">
                        <a:lumMod val="50000"/>
                      </a:schemeClr>
                    </a:solidFill>
                  </a:rPr>
                  <a:t> of houses</a:t>
                </a:r>
                <a:endParaRPr lang="en-AU" sz="800" b="1">
                  <a:solidFill>
                    <a:schemeClr val="accent6">
                      <a:lumMod val="50000"/>
                    </a:schemeClr>
                  </a:solidFill>
                </a:endParaRPr>
              </a:p>
            </c:rich>
          </c:tx>
          <c:layout>
            <c:manualLayout>
              <c:xMode val="edge"/>
              <c:yMode val="edge"/>
              <c:x val="0.93796875496450849"/>
              <c:y val="0.29188144024691898"/>
            </c:manualLayout>
          </c:layout>
          <c:overlay val="0"/>
        </c:title>
        <c:numFmt formatCode="0%" sourceLinked="0"/>
        <c:majorTickMark val="out"/>
        <c:minorTickMark val="none"/>
        <c:tickLblPos val="nextTo"/>
        <c:txPr>
          <a:bodyPr/>
          <a:lstStyle/>
          <a:p>
            <a:pPr>
              <a:defRPr sz="700" b="0" cap="none" spc="0">
                <a:ln w="0"/>
                <a:solidFill>
                  <a:schemeClr val="accent6">
                    <a:lumMod val="50000"/>
                  </a:schemeClr>
                </a:solidFill>
                <a:effectLst>
                  <a:outerShdw blurRad="38100" dist="25400" dir="5400000" algn="ctr" rotWithShape="0">
                    <a:srgbClr val="6E747A">
                      <a:alpha val="43000"/>
                    </a:srgbClr>
                  </a:outerShdw>
                </a:effectLst>
              </a:defRPr>
            </a:pPr>
            <a:endParaRPr lang="en-US"/>
          </a:p>
        </c:txPr>
        <c:crossAx val="250451280"/>
        <c:crosses val="max"/>
        <c:crossBetween val="between"/>
        <c:majorUnit val="2.0000000000000007E-2"/>
      </c:valAx>
    </c:plotArea>
    <c:legend>
      <c:legendPos val="r"/>
      <c:layout>
        <c:manualLayout>
          <c:xMode val="edge"/>
          <c:yMode val="edge"/>
          <c:x val="0.42997211891607928"/>
          <c:y val="0.1076493531696464"/>
          <c:w val="0.41206192545228437"/>
          <c:h val="0.24530053763587811"/>
        </c:manualLayout>
      </c:layout>
      <c:overlay val="0"/>
      <c:txPr>
        <a:bodyPr/>
        <a:lstStyle/>
        <a:p>
          <a:pPr>
            <a:defRPr sz="800" b="0" i="0" u="none" strike="noStrike" baseline="0">
              <a:solidFill>
                <a:srgbClr val="000000"/>
              </a:solidFill>
              <a:latin typeface="Calibri"/>
              <a:ea typeface="Calibri"/>
              <a:cs typeface="Calibri"/>
            </a:defRPr>
          </a:pPr>
          <a:endParaRPr lang="en-US"/>
        </a:p>
      </c:txPr>
    </c:legend>
    <c:plotVisOnly val="1"/>
    <c:dispBlanksAs val="gap"/>
    <c:showDLblsOverMax val="0"/>
  </c:chart>
  <c:spPr>
    <a:ln>
      <a:solidFill>
        <a:schemeClr val="bg1">
          <a:lumMod val="75000"/>
        </a:schemeClr>
      </a:solidFill>
    </a:ln>
  </c:spPr>
  <c:txPr>
    <a:bodyPr/>
    <a:lstStyle/>
    <a:p>
      <a:pPr>
        <a:defRPr sz="14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a:pPr>
            <a:r>
              <a:rPr lang="en-AU" sz="1000" b="1"/>
              <a:t>Units and flats</a:t>
            </a:r>
          </a:p>
        </c:rich>
      </c:tx>
      <c:layout>
        <c:manualLayout>
          <c:xMode val="edge"/>
          <c:yMode val="edge"/>
          <c:x val="0.51577112728289232"/>
          <c:y val="2.3544174194049017E-2"/>
        </c:manualLayout>
      </c:layout>
      <c:overlay val="1"/>
    </c:title>
    <c:autoTitleDeleted val="0"/>
    <c:plotArea>
      <c:layout>
        <c:manualLayout>
          <c:layoutTarget val="inner"/>
          <c:xMode val="edge"/>
          <c:yMode val="edge"/>
          <c:x val="9.4619102696701166E-2"/>
          <c:y val="2.8314093347741025E-2"/>
          <c:w val="0.80098302758744189"/>
          <c:h val="0.90669604169564255"/>
        </c:manualLayout>
      </c:layout>
      <c:areaChart>
        <c:grouping val="standard"/>
        <c:varyColors val="0"/>
        <c:ser>
          <c:idx val="3"/>
          <c:order val="0"/>
          <c:tx>
            <c:strRef>
              <c:f>Units_Chart!$C$2</c:f>
              <c:strCache>
                <c:ptCount val="1"/>
                <c:pt idx="0">
                  <c:v>Proportion of units and flats by water use</c:v>
                </c:pt>
              </c:strCache>
            </c:strRef>
          </c:tx>
          <c:spPr>
            <a:solidFill>
              <a:schemeClr val="tx2">
                <a:lumMod val="20000"/>
                <a:lumOff val="80000"/>
              </a:schemeClr>
            </a:solidFill>
          </c:spPr>
          <c:cat>
            <c:numRef>
              <c:f>Units_Chart!$A$3:$A$33</c:f>
              <c:numCache>
                <c:formatCode>#,##0</c:formatCode>
                <c:ptCount val="31"/>
                <c:pt idx="0">
                  <c:v>1</c:v>
                </c:pt>
                <c:pt idx="1">
                  <c:v>10</c:v>
                </c:pt>
                <c:pt idx="2">
                  <c:v>30</c:v>
                </c:pt>
                <c:pt idx="3">
                  <c:v>50</c:v>
                </c:pt>
                <c:pt idx="4">
                  <c:v>70</c:v>
                </c:pt>
                <c:pt idx="5">
                  <c:v>90</c:v>
                </c:pt>
                <c:pt idx="6">
                  <c:v>110</c:v>
                </c:pt>
                <c:pt idx="7">
                  <c:v>130</c:v>
                </c:pt>
                <c:pt idx="8">
                  <c:v>150</c:v>
                </c:pt>
                <c:pt idx="9">
                  <c:v>170</c:v>
                </c:pt>
                <c:pt idx="10">
                  <c:v>190</c:v>
                </c:pt>
                <c:pt idx="11">
                  <c:v>220</c:v>
                </c:pt>
                <c:pt idx="12">
                  <c:v>260</c:v>
                </c:pt>
                <c:pt idx="13">
                  <c:v>300</c:v>
                </c:pt>
                <c:pt idx="14">
                  <c:v>340</c:v>
                </c:pt>
                <c:pt idx="15">
                  <c:v>380</c:v>
                </c:pt>
                <c:pt idx="16">
                  <c:v>440</c:v>
                </c:pt>
                <c:pt idx="17">
                  <c:v>520</c:v>
                </c:pt>
                <c:pt idx="18">
                  <c:v>600</c:v>
                </c:pt>
                <c:pt idx="19">
                  <c:v>680</c:v>
                </c:pt>
                <c:pt idx="20">
                  <c:v>760</c:v>
                </c:pt>
                <c:pt idx="21">
                  <c:v>1000</c:v>
                </c:pt>
                <c:pt idx="22">
                  <c:v>1400</c:v>
                </c:pt>
                <c:pt idx="23">
                  <c:v>1800</c:v>
                </c:pt>
                <c:pt idx="24">
                  <c:v>2500</c:v>
                </c:pt>
                <c:pt idx="25">
                  <c:v>3500</c:v>
                </c:pt>
                <c:pt idx="26">
                  <c:v>7000</c:v>
                </c:pt>
                <c:pt idx="27">
                  <c:v>15000</c:v>
                </c:pt>
                <c:pt idx="28">
                  <c:v>30000</c:v>
                </c:pt>
                <c:pt idx="29">
                  <c:v>60000</c:v>
                </c:pt>
                <c:pt idx="30">
                  <c:v>80000</c:v>
                </c:pt>
              </c:numCache>
            </c:numRef>
          </c:cat>
          <c:val>
            <c:numRef>
              <c:f>Units_Chart!$C$3:$C$33</c:f>
              <c:numCache>
                <c:formatCode>0%</c:formatCode>
                <c:ptCount val="31"/>
                <c:pt idx="0">
                  <c:v>0</c:v>
                </c:pt>
                <c:pt idx="1">
                  <c:v>0</c:v>
                </c:pt>
                <c:pt idx="2">
                  <c:v>9.3457943925233638E-3</c:v>
                </c:pt>
                <c:pt idx="3">
                  <c:v>2.8037383177570093E-2</c:v>
                </c:pt>
                <c:pt idx="4">
                  <c:v>4.2056074766355138E-2</c:v>
                </c:pt>
                <c:pt idx="5">
                  <c:v>4.6728971962616821E-2</c:v>
                </c:pt>
                <c:pt idx="6">
                  <c:v>0.11682242990654206</c:v>
                </c:pt>
                <c:pt idx="7">
                  <c:v>0.12616822429906541</c:v>
                </c:pt>
                <c:pt idx="8">
                  <c:v>0.13084112149532709</c:v>
                </c:pt>
                <c:pt idx="9">
                  <c:v>8.4112149532710276E-2</c:v>
                </c:pt>
                <c:pt idx="10">
                  <c:v>7.476635514018691E-2</c:v>
                </c:pt>
                <c:pt idx="11">
                  <c:v>0.19626168224299065</c:v>
                </c:pt>
                <c:pt idx="12">
                  <c:v>7.476635514018691E-2</c:v>
                </c:pt>
                <c:pt idx="13">
                  <c:v>3.2710280373831772E-2</c:v>
                </c:pt>
                <c:pt idx="14">
                  <c:v>2.336448598130841E-2</c:v>
                </c:pt>
                <c:pt idx="15">
                  <c:v>4.6728971962616819E-3</c:v>
                </c:pt>
                <c:pt idx="16">
                  <c:v>0</c:v>
                </c:pt>
                <c:pt idx="17">
                  <c:v>4.6728971962616819E-3</c:v>
                </c:pt>
                <c:pt idx="18">
                  <c:v>0</c:v>
                </c:pt>
                <c:pt idx="19">
                  <c:v>0</c:v>
                </c:pt>
                <c:pt idx="20">
                  <c:v>0</c:v>
                </c:pt>
                <c:pt idx="21">
                  <c:v>4.6728971962616819E-3</c:v>
                </c:pt>
                <c:pt idx="22">
                  <c:v>0</c:v>
                </c:pt>
                <c:pt idx="23">
                  <c:v>0</c:v>
                </c:pt>
                <c:pt idx="24">
                  <c:v>0</c:v>
                </c:pt>
                <c:pt idx="25">
                  <c:v>0</c:v>
                </c:pt>
                <c:pt idx="26">
                  <c:v>0</c:v>
                </c:pt>
                <c:pt idx="27">
                  <c:v>0</c:v>
                </c:pt>
                <c:pt idx="28">
                  <c:v>0</c:v>
                </c:pt>
                <c:pt idx="29">
                  <c:v>0</c:v>
                </c:pt>
                <c:pt idx="30">
                  <c:v>0</c:v>
                </c:pt>
              </c:numCache>
            </c:numRef>
          </c:val>
          <c:extLst xmlns:c16r2="http://schemas.microsoft.com/office/drawing/2015/06/chart">
            <c:ext xmlns:c16="http://schemas.microsoft.com/office/drawing/2014/chart" uri="{C3380CC4-5D6E-409C-BE32-E72D297353CC}">
              <c16:uniqueId val="{00000000-7B68-4714-8B60-A62E5BAEEA16}"/>
            </c:ext>
          </c:extLst>
        </c:ser>
        <c:dLbls>
          <c:showLegendKey val="0"/>
          <c:showVal val="0"/>
          <c:showCatName val="0"/>
          <c:showSerName val="0"/>
          <c:showPercent val="0"/>
          <c:showBubbleSize val="0"/>
        </c:dLbls>
        <c:axId val="250453240"/>
        <c:axId val="246996616"/>
      </c:areaChart>
      <c:lineChart>
        <c:grouping val="standard"/>
        <c:varyColors val="0"/>
        <c:ser>
          <c:idx val="1"/>
          <c:order val="1"/>
          <c:tx>
            <c:strRef>
              <c:f>Units_Chart!$E$2</c:f>
              <c:strCache>
                <c:ptCount val="1"/>
                <c:pt idx="0">
                  <c:v>Water charge impact</c:v>
                </c:pt>
              </c:strCache>
            </c:strRef>
          </c:tx>
          <c:spPr>
            <a:ln w="28575">
              <a:solidFill>
                <a:schemeClr val="tx1"/>
              </a:solidFill>
              <a:prstDash val="solid"/>
            </a:ln>
          </c:spPr>
          <c:marker>
            <c:symbol val="none"/>
          </c:marker>
          <c:cat>
            <c:numRef>
              <c:f>Units_Chart!$A$3:$A$33</c:f>
              <c:numCache>
                <c:formatCode>#,##0</c:formatCode>
                <c:ptCount val="31"/>
                <c:pt idx="0">
                  <c:v>1</c:v>
                </c:pt>
                <c:pt idx="1">
                  <c:v>10</c:v>
                </c:pt>
                <c:pt idx="2">
                  <c:v>30</c:v>
                </c:pt>
                <c:pt idx="3">
                  <c:v>50</c:v>
                </c:pt>
                <c:pt idx="4">
                  <c:v>70</c:v>
                </c:pt>
                <c:pt idx="5">
                  <c:v>90</c:v>
                </c:pt>
                <c:pt idx="6">
                  <c:v>110</c:v>
                </c:pt>
                <c:pt idx="7">
                  <c:v>130</c:v>
                </c:pt>
                <c:pt idx="8">
                  <c:v>150</c:v>
                </c:pt>
                <c:pt idx="9">
                  <c:v>170</c:v>
                </c:pt>
                <c:pt idx="10">
                  <c:v>190</c:v>
                </c:pt>
                <c:pt idx="11">
                  <c:v>220</c:v>
                </c:pt>
                <c:pt idx="12">
                  <c:v>260</c:v>
                </c:pt>
                <c:pt idx="13">
                  <c:v>300</c:v>
                </c:pt>
                <c:pt idx="14">
                  <c:v>340</c:v>
                </c:pt>
                <c:pt idx="15">
                  <c:v>380</c:v>
                </c:pt>
                <c:pt idx="16">
                  <c:v>440</c:v>
                </c:pt>
                <c:pt idx="17">
                  <c:v>520</c:v>
                </c:pt>
                <c:pt idx="18">
                  <c:v>600</c:v>
                </c:pt>
                <c:pt idx="19">
                  <c:v>680</c:v>
                </c:pt>
                <c:pt idx="20">
                  <c:v>760</c:v>
                </c:pt>
                <c:pt idx="21">
                  <c:v>1000</c:v>
                </c:pt>
                <c:pt idx="22">
                  <c:v>1400</c:v>
                </c:pt>
                <c:pt idx="23">
                  <c:v>1800</c:v>
                </c:pt>
                <c:pt idx="24">
                  <c:v>2500</c:v>
                </c:pt>
                <c:pt idx="25">
                  <c:v>3500</c:v>
                </c:pt>
                <c:pt idx="26">
                  <c:v>7000</c:v>
                </c:pt>
                <c:pt idx="27">
                  <c:v>15000</c:v>
                </c:pt>
                <c:pt idx="28">
                  <c:v>30000</c:v>
                </c:pt>
                <c:pt idx="29">
                  <c:v>60000</c:v>
                </c:pt>
                <c:pt idx="30">
                  <c:v>80000</c:v>
                </c:pt>
              </c:numCache>
            </c:numRef>
          </c:cat>
          <c:val>
            <c:numRef>
              <c:f>Units_Chart!$E$3:$E$33</c:f>
              <c:numCache>
                <c:formatCode>0%</c:formatCode>
                <c:ptCount val="31"/>
                <c:pt idx="0">
                  <c:v>0.23373778372801302</c:v>
                </c:pt>
                <c:pt idx="1">
                  <c:v>0.18592028760557122</c:v>
                </c:pt>
                <c:pt idx="2">
                  <c:v>0.13193742514583806</c:v>
                </c:pt>
                <c:pt idx="3">
                  <c:v>0.10224894513629956</c:v>
                </c:pt>
                <c:pt idx="4">
                  <c:v>8.3467204914908777E-2</c:v>
                </c:pt>
                <c:pt idx="5">
                  <c:v>7.0514627185679357E-2</c:v>
                </c:pt>
                <c:pt idx="6">
                  <c:v>6.1042025561580004E-2</c:v>
                </c:pt>
                <c:pt idx="7">
                  <c:v>5.3813036645761425E-2</c:v>
                </c:pt>
                <c:pt idx="8">
                  <c:v>4.8114954547281208E-2</c:v>
                </c:pt>
                <c:pt idx="9">
                  <c:v>4.3508034580723498E-2</c:v>
                </c:pt>
                <c:pt idx="10">
                  <c:v>3.7081368893868483E-2</c:v>
                </c:pt>
                <c:pt idx="11">
                  <c:v>2.5834670317911756E-2</c:v>
                </c:pt>
                <c:pt idx="12">
                  <c:v>1.1248199159140437E-2</c:v>
                </c:pt>
                <c:pt idx="13">
                  <c:v>1.5418960247486346E-3</c:v>
                </c:pt>
                <c:pt idx="14">
                  <c:v>-5.1661444619459651E-3</c:v>
                </c:pt>
                <c:pt idx="15">
                  <c:v>-1.0079299859137691E-2</c:v>
                </c:pt>
                <c:pt idx="16">
                  <c:v>-1.5396095205232108E-2</c:v>
                </c:pt>
                <c:pt idx="17">
                  <c:v>-2.0224328830599214E-2</c:v>
                </c:pt>
                <c:pt idx="18">
                  <c:v>-2.3564045875035688E-2</c:v>
                </c:pt>
                <c:pt idx="19">
                  <c:v>-2.6011662173281325E-2</c:v>
                </c:pt>
                <c:pt idx="20">
                  <c:v>-2.7882507612349672E-2</c:v>
                </c:pt>
                <c:pt idx="21">
                  <c:v>-3.1540700666434773E-2</c:v>
                </c:pt>
                <c:pt idx="22">
                  <c:v>-3.4679298068454933E-2</c:v>
                </c:pt>
                <c:pt idx="23">
                  <c:v>-3.6357220530395473E-2</c:v>
                </c:pt>
                <c:pt idx="24">
                  <c:v>-3.7958313600653382E-2</c:v>
                </c:pt>
                <c:pt idx="25">
                  <c:v>-3.9108301831779602E-2</c:v>
                </c:pt>
                <c:pt idx="26">
                  <c:v>-4.0515490066043047E-2</c:v>
                </c:pt>
                <c:pt idx="27">
                  <c:v>-4.1252599602315865E-2</c:v>
                </c:pt>
                <c:pt idx="28">
                  <c:v>-4.1572215830529724E-2</c:v>
                </c:pt>
                <c:pt idx="29">
                  <c:v>-4.1731375724521569E-2</c:v>
                </c:pt>
                <c:pt idx="30">
                  <c:v>-4.1771098471704016E-2</c:v>
                </c:pt>
              </c:numCache>
            </c:numRef>
          </c:val>
          <c:smooth val="0"/>
          <c:extLst xmlns:c16r2="http://schemas.microsoft.com/office/drawing/2015/06/chart">
            <c:ext xmlns:c16="http://schemas.microsoft.com/office/drawing/2014/chart" uri="{C3380CC4-5D6E-409C-BE32-E72D297353CC}">
              <c16:uniqueId val="{00000001-7B68-4714-8B60-A62E5BAEEA16}"/>
            </c:ext>
          </c:extLst>
        </c:ser>
        <c:ser>
          <c:idx val="0"/>
          <c:order val="2"/>
          <c:tx>
            <c:strRef>
              <c:f>Units_Chart!$D$2</c:f>
              <c:strCache>
                <c:ptCount val="1"/>
                <c:pt idx="0">
                  <c:v>Combined bill impact</c:v>
                </c:pt>
              </c:strCache>
            </c:strRef>
          </c:tx>
          <c:spPr>
            <a:ln>
              <a:solidFill>
                <a:schemeClr val="tx2">
                  <a:lumMod val="60000"/>
                  <a:lumOff val="40000"/>
                </a:schemeClr>
              </a:solidFill>
              <a:prstDash val="dash"/>
            </a:ln>
          </c:spPr>
          <c:marker>
            <c:symbol val="none"/>
          </c:marker>
          <c:val>
            <c:numRef>
              <c:f>Units_Chart!$D$3:$D$33</c:f>
              <c:numCache>
                <c:formatCode>0%</c:formatCode>
                <c:ptCount val="31"/>
                <c:pt idx="0">
                  <c:v>5.8577513699899608E-2</c:v>
                </c:pt>
                <c:pt idx="1">
                  <c:v>5.6250320099730189E-2</c:v>
                </c:pt>
                <c:pt idx="2">
                  <c:v>5.2109834582772185E-2</c:v>
                </c:pt>
                <c:pt idx="3">
                  <c:v>4.8537105039296424E-2</c:v>
                </c:pt>
                <c:pt idx="4">
                  <c:v>4.5422845632428821E-2</c:v>
                </c:pt>
                <c:pt idx="5">
                  <c:v>4.2684127578911824E-2</c:v>
                </c:pt>
                <c:pt idx="6">
                  <c:v>4.0256885150462551E-2</c:v>
                </c:pt>
                <c:pt idx="7">
                  <c:v>3.8090840987794472E-2</c:v>
                </c:pt>
                <c:pt idx="8">
                  <c:v>3.6145986044757938E-2</c:v>
                </c:pt>
                <c:pt idx="9">
                  <c:v>3.4390085516600832E-2</c:v>
                </c:pt>
                <c:pt idx="10">
                  <c:v>3.1470021492631561E-2</c:v>
                </c:pt>
                <c:pt idx="11">
                  <c:v>2.5484647839568719E-2</c:v>
                </c:pt>
                <c:pt idx="12">
                  <c:v>1.6209779471514807E-2</c:v>
                </c:pt>
                <c:pt idx="13">
                  <c:v>8.9475536720289295E-3</c:v>
                </c:pt>
                <c:pt idx="14">
                  <c:v>3.2991044992112251E-3</c:v>
                </c:pt>
                <c:pt idx="15">
                  <c:v>-1.2196871765666195E-3</c:v>
                </c:pt>
                <c:pt idx="16">
                  <c:v>-6.524392343643215E-3</c:v>
                </c:pt>
                <c:pt idx="17">
                  <c:v>-1.1763646205710465E-2</c:v>
                </c:pt>
                <c:pt idx="18">
                  <c:v>-1.5650859524953931E-2</c:v>
                </c:pt>
                <c:pt idx="19">
                  <c:v>-1.8649581476321231E-2</c:v>
                </c:pt>
                <c:pt idx="20">
                  <c:v>-2.1033190005976254E-2</c:v>
                </c:pt>
                <c:pt idx="21">
                  <c:v>-2.5940644515516587E-2</c:v>
                </c:pt>
                <c:pt idx="22">
                  <c:v>-3.0433414284661398E-2</c:v>
                </c:pt>
                <c:pt idx="23">
                  <c:v>-3.2951352623727947E-2</c:v>
                </c:pt>
                <c:pt idx="24">
                  <c:v>-3.5434328336597987E-2</c:v>
                </c:pt>
                <c:pt idx="25">
                  <c:v>-3.7268350060733035E-2</c:v>
                </c:pt>
                <c:pt idx="26">
                  <c:v>-3.9572640477077203E-2</c:v>
                </c:pt>
                <c:pt idx="27">
                  <c:v>-4.0806975263774747E-2</c:v>
                </c:pt>
                <c:pt idx="28">
                  <c:v>-4.1348179525380835E-2</c:v>
                </c:pt>
                <c:pt idx="29">
                  <c:v>-4.1619052322965699E-2</c:v>
                </c:pt>
                <c:pt idx="30">
                  <c:v>-4.1686798747372245E-2</c:v>
                </c:pt>
              </c:numCache>
            </c:numRef>
          </c:val>
          <c:smooth val="0"/>
          <c:extLst xmlns:c16r2="http://schemas.microsoft.com/office/drawing/2015/06/chart">
            <c:ext xmlns:c16="http://schemas.microsoft.com/office/drawing/2014/chart" uri="{C3380CC4-5D6E-409C-BE32-E72D297353CC}">
              <c16:uniqueId val="{00000002-7B68-4714-8B60-A62E5BAEEA16}"/>
            </c:ext>
          </c:extLst>
        </c:ser>
        <c:dLbls>
          <c:showLegendKey val="0"/>
          <c:showVal val="0"/>
          <c:showCatName val="0"/>
          <c:showSerName val="0"/>
          <c:showPercent val="0"/>
          <c:showBubbleSize val="0"/>
        </c:dLbls>
        <c:marker val="1"/>
        <c:smooth val="0"/>
        <c:axId val="250452456"/>
        <c:axId val="250452848"/>
      </c:lineChart>
      <c:catAx>
        <c:axId val="250452456"/>
        <c:scaling>
          <c:orientation val="minMax"/>
        </c:scaling>
        <c:delete val="0"/>
        <c:axPos val="b"/>
        <c:title>
          <c:tx>
            <c:rich>
              <a:bodyPr/>
              <a:lstStyle/>
              <a:p>
                <a:pPr>
                  <a:defRPr sz="800" b="1"/>
                </a:pPr>
                <a:r>
                  <a:rPr lang="en-AU" sz="800" b="1"/>
                  <a:t>Water consumption (kL/a)</a:t>
                </a:r>
              </a:p>
            </c:rich>
          </c:tx>
          <c:layout/>
          <c:overlay val="0"/>
        </c:title>
        <c:numFmt formatCode="#,##0" sourceLinked="1"/>
        <c:majorTickMark val="out"/>
        <c:minorTickMark val="none"/>
        <c:tickLblPos val="nextTo"/>
        <c:txPr>
          <a:bodyPr rot="-5400000" vert="horz"/>
          <a:lstStyle/>
          <a:p>
            <a:pPr>
              <a:defRPr sz="700"/>
            </a:pPr>
            <a:endParaRPr lang="en-US"/>
          </a:p>
        </c:txPr>
        <c:crossAx val="250452848"/>
        <c:crosses val="autoZero"/>
        <c:auto val="1"/>
        <c:lblAlgn val="ctr"/>
        <c:lblOffset val="100"/>
        <c:noMultiLvlLbl val="0"/>
      </c:catAx>
      <c:valAx>
        <c:axId val="250452848"/>
        <c:scaling>
          <c:orientation val="minMax"/>
          <c:max val="1"/>
          <c:min val="-0.4"/>
        </c:scaling>
        <c:delete val="0"/>
        <c:axPos val="l"/>
        <c:majorGridlines>
          <c:spPr>
            <a:ln w="6350">
              <a:solidFill>
                <a:schemeClr val="bg1">
                  <a:lumMod val="85000"/>
                </a:schemeClr>
              </a:solidFill>
              <a:prstDash val="solid"/>
            </a:ln>
          </c:spPr>
        </c:majorGridlines>
        <c:title>
          <c:tx>
            <c:rich>
              <a:bodyPr/>
              <a:lstStyle/>
              <a:p>
                <a:pPr>
                  <a:defRPr sz="800" b="1"/>
                </a:pPr>
                <a:r>
                  <a:rPr lang="en-AU" sz="800" b="1"/>
                  <a:t>Change in water charges and combined bills</a:t>
                </a:r>
              </a:p>
            </c:rich>
          </c:tx>
          <c:layout>
            <c:manualLayout>
              <c:xMode val="edge"/>
              <c:yMode val="edge"/>
              <c:x val="6.9426001612262608E-3"/>
              <c:y val="0.12101096406375093"/>
            </c:manualLayout>
          </c:layout>
          <c:overlay val="0"/>
        </c:title>
        <c:numFmt formatCode="0%" sourceLinked="0"/>
        <c:majorTickMark val="out"/>
        <c:minorTickMark val="none"/>
        <c:tickLblPos val="nextTo"/>
        <c:txPr>
          <a:bodyPr rot="0" vert="horz"/>
          <a:lstStyle/>
          <a:p>
            <a:pPr>
              <a:defRPr sz="700"/>
            </a:pPr>
            <a:endParaRPr lang="en-US"/>
          </a:p>
        </c:txPr>
        <c:crossAx val="250452456"/>
        <c:crosses val="autoZero"/>
        <c:crossBetween val="between"/>
        <c:majorUnit val="0.1"/>
      </c:valAx>
      <c:catAx>
        <c:axId val="250453240"/>
        <c:scaling>
          <c:orientation val="minMax"/>
        </c:scaling>
        <c:delete val="1"/>
        <c:axPos val="b"/>
        <c:numFmt formatCode="#,##0" sourceLinked="1"/>
        <c:majorTickMark val="out"/>
        <c:minorTickMark val="none"/>
        <c:tickLblPos val="none"/>
        <c:crossAx val="246996616"/>
        <c:crosses val="autoZero"/>
        <c:auto val="1"/>
        <c:lblAlgn val="ctr"/>
        <c:lblOffset val="100"/>
        <c:noMultiLvlLbl val="0"/>
      </c:catAx>
      <c:valAx>
        <c:axId val="246996616"/>
        <c:scaling>
          <c:orientation val="minMax"/>
          <c:max val="0.23"/>
          <c:min val="-9.2000000000000026E-2"/>
        </c:scaling>
        <c:delete val="0"/>
        <c:axPos val="r"/>
        <c:title>
          <c:tx>
            <c:rich>
              <a:bodyPr/>
              <a:lstStyle/>
              <a:p>
                <a:pPr>
                  <a:defRPr sz="800" b="1">
                    <a:solidFill>
                      <a:schemeClr val="accent6">
                        <a:lumMod val="50000"/>
                      </a:schemeClr>
                    </a:solidFill>
                  </a:defRPr>
                </a:pPr>
                <a:r>
                  <a:rPr lang="en-US" sz="800" b="1">
                    <a:solidFill>
                      <a:schemeClr val="accent6">
                        <a:lumMod val="50000"/>
                      </a:schemeClr>
                    </a:solidFill>
                  </a:rPr>
                  <a:t>Proportion of units/flats</a:t>
                </a:r>
              </a:p>
            </c:rich>
          </c:tx>
          <c:layout>
            <c:manualLayout>
              <c:xMode val="edge"/>
              <c:yMode val="edge"/>
              <c:x val="0.94487919989083835"/>
              <c:y val="0.27109302438291877"/>
            </c:manualLayout>
          </c:layout>
          <c:overlay val="0"/>
        </c:title>
        <c:numFmt formatCode="0%" sourceLinked="0"/>
        <c:majorTickMark val="out"/>
        <c:minorTickMark val="none"/>
        <c:tickLblPos val="nextTo"/>
        <c:txPr>
          <a:bodyPr/>
          <a:lstStyle/>
          <a:p>
            <a:pPr>
              <a:defRPr sz="700">
                <a:solidFill>
                  <a:schemeClr val="accent6">
                    <a:lumMod val="50000"/>
                  </a:schemeClr>
                </a:solidFill>
              </a:defRPr>
            </a:pPr>
            <a:endParaRPr lang="en-US"/>
          </a:p>
        </c:txPr>
        <c:crossAx val="250453240"/>
        <c:crosses val="max"/>
        <c:crossBetween val="between"/>
      </c:valAx>
    </c:plotArea>
    <c:legend>
      <c:legendPos val="r"/>
      <c:layout>
        <c:manualLayout>
          <c:xMode val="edge"/>
          <c:yMode val="edge"/>
          <c:x val="0.40865498413657958"/>
          <c:y val="8.5206827407443633E-2"/>
          <c:w val="0.47598313757677052"/>
          <c:h val="0.19133389002460618"/>
        </c:manualLayout>
      </c:layout>
      <c:overlay val="0"/>
      <c:txPr>
        <a:bodyPr/>
        <a:lstStyle/>
        <a:p>
          <a:pPr>
            <a:defRPr sz="800"/>
          </a:pPr>
          <a:endParaRPr lang="en-US"/>
        </a:p>
      </c:txPr>
    </c:legend>
    <c:plotVisOnly val="1"/>
    <c:dispBlanksAs val="gap"/>
    <c:showDLblsOverMax val="0"/>
  </c:chart>
  <c:spPr>
    <a:ln>
      <a:solidFill>
        <a:schemeClr val="bg1">
          <a:lumMod val="75000"/>
        </a:schemeClr>
      </a:solidFill>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4619102696701166E-2"/>
          <c:y val="2.8314093347741025E-2"/>
          <c:w val="0.83616326331364543"/>
          <c:h val="0.90669604169564255"/>
        </c:manualLayout>
      </c:layout>
      <c:areaChart>
        <c:grouping val="standard"/>
        <c:varyColors val="0"/>
        <c:ser>
          <c:idx val="3"/>
          <c:order val="0"/>
          <c:tx>
            <c:strRef>
              <c:f>Comm_Chart!$C$2</c:f>
              <c:strCache>
                <c:ptCount val="1"/>
                <c:pt idx="0">
                  <c:v>Proportion of commercial premises by water use</c:v>
                </c:pt>
              </c:strCache>
            </c:strRef>
          </c:tx>
          <c:spPr>
            <a:solidFill>
              <a:schemeClr val="bg1">
                <a:lumMod val="85000"/>
              </a:schemeClr>
            </a:solidFill>
          </c:spPr>
          <c:cat>
            <c:numRef>
              <c:f>Comm_Chart!$A$3:$A$33</c:f>
              <c:numCache>
                <c:formatCode>#,##0</c:formatCode>
                <c:ptCount val="31"/>
                <c:pt idx="0">
                  <c:v>1</c:v>
                </c:pt>
                <c:pt idx="1">
                  <c:v>10</c:v>
                </c:pt>
                <c:pt idx="2">
                  <c:v>30</c:v>
                </c:pt>
                <c:pt idx="3">
                  <c:v>50</c:v>
                </c:pt>
                <c:pt idx="4">
                  <c:v>70</c:v>
                </c:pt>
                <c:pt idx="5">
                  <c:v>90</c:v>
                </c:pt>
                <c:pt idx="6">
                  <c:v>110</c:v>
                </c:pt>
                <c:pt idx="7">
                  <c:v>130</c:v>
                </c:pt>
                <c:pt idx="8">
                  <c:v>150</c:v>
                </c:pt>
                <c:pt idx="9">
                  <c:v>170</c:v>
                </c:pt>
                <c:pt idx="10">
                  <c:v>190</c:v>
                </c:pt>
                <c:pt idx="11">
                  <c:v>220</c:v>
                </c:pt>
                <c:pt idx="12">
                  <c:v>260</c:v>
                </c:pt>
                <c:pt idx="13">
                  <c:v>300</c:v>
                </c:pt>
                <c:pt idx="14">
                  <c:v>340</c:v>
                </c:pt>
                <c:pt idx="15">
                  <c:v>380</c:v>
                </c:pt>
                <c:pt idx="16">
                  <c:v>440</c:v>
                </c:pt>
                <c:pt idx="17">
                  <c:v>520</c:v>
                </c:pt>
                <c:pt idx="18">
                  <c:v>600</c:v>
                </c:pt>
                <c:pt idx="19">
                  <c:v>680</c:v>
                </c:pt>
                <c:pt idx="20">
                  <c:v>760</c:v>
                </c:pt>
                <c:pt idx="21">
                  <c:v>1000</c:v>
                </c:pt>
                <c:pt idx="22">
                  <c:v>1400</c:v>
                </c:pt>
                <c:pt idx="23">
                  <c:v>1800</c:v>
                </c:pt>
                <c:pt idx="24">
                  <c:v>2500</c:v>
                </c:pt>
                <c:pt idx="25">
                  <c:v>3500</c:v>
                </c:pt>
                <c:pt idx="26">
                  <c:v>7000</c:v>
                </c:pt>
                <c:pt idx="27">
                  <c:v>15000</c:v>
                </c:pt>
                <c:pt idx="28">
                  <c:v>30000</c:v>
                </c:pt>
                <c:pt idx="29">
                  <c:v>60000</c:v>
                </c:pt>
                <c:pt idx="30">
                  <c:v>80000</c:v>
                </c:pt>
              </c:numCache>
            </c:numRef>
          </c:cat>
          <c:val>
            <c:numRef>
              <c:f>Comm_Chart!$C$3:$C$33</c:f>
              <c:numCache>
                <c:formatCode>0%</c:formatCode>
                <c:ptCount val="31"/>
                <c:pt idx="0">
                  <c:v>6.8657635467980302E-2</c:v>
                </c:pt>
                <c:pt idx="1">
                  <c:v>6.4039408866995079E-2</c:v>
                </c:pt>
                <c:pt idx="2">
                  <c:v>4.4027093596059115E-2</c:v>
                </c:pt>
                <c:pt idx="3">
                  <c:v>3.9408866995073892E-2</c:v>
                </c:pt>
                <c:pt idx="4">
                  <c:v>3.5714285714285712E-2</c:v>
                </c:pt>
                <c:pt idx="5">
                  <c:v>3.2943349753694583E-2</c:v>
                </c:pt>
                <c:pt idx="6">
                  <c:v>3.0788177339901478E-2</c:v>
                </c:pt>
                <c:pt idx="7">
                  <c:v>2.4630541871921183E-2</c:v>
                </c:pt>
                <c:pt idx="8">
                  <c:v>2.1551724137931036E-2</c:v>
                </c:pt>
                <c:pt idx="9">
                  <c:v>2.2167487684729065E-2</c:v>
                </c:pt>
                <c:pt idx="10">
                  <c:v>1.5394088669950739E-2</c:v>
                </c:pt>
                <c:pt idx="11">
                  <c:v>3.2635467980295568E-2</c:v>
                </c:pt>
                <c:pt idx="12">
                  <c:v>2.5246305418719212E-2</c:v>
                </c:pt>
                <c:pt idx="13">
                  <c:v>2.7401477832512317E-2</c:v>
                </c:pt>
                <c:pt idx="14">
                  <c:v>1.9704433497536946E-2</c:v>
                </c:pt>
                <c:pt idx="15">
                  <c:v>1.7241379310344827E-2</c:v>
                </c:pt>
                <c:pt idx="16">
                  <c:v>3.4790640394088669E-2</c:v>
                </c:pt>
                <c:pt idx="17">
                  <c:v>3.0480295566502464E-2</c:v>
                </c:pt>
                <c:pt idx="18">
                  <c:v>3.0480295566502464E-2</c:v>
                </c:pt>
                <c:pt idx="19">
                  <c:v>2.0628078817733989E-2</c:v>
                </c:pt>
                <c:pt idx="20">
                  <c:v>1.7241379310344827E-2</c:v>
                </c:pt>
                <c:pt idx="21">
                  <c:v>7.2660098522167482E-2</c:v>
                </c:pt>
                <c:pt idx="22">
                  <c:v>3.8177339901477834E-2</c:v>
                </c:pt>
                <c:pt idx="23">
                  <c:v>2.5246305418719212E-2</c:v>
                </c:pt>
                <c:pt idx="24">
                  <c:v>4.7413793103448273E-2</c:v>
                </c:pt>
                <c:pt idx="25">
                  <c:v>2.5862068965517241E-2</c:v>
                </c:pt>
                <c:pt idx="26">
                  <c:v>6.988916256157636E-2</c:v>
                </c:pt>
                <c:pt idx="27">
                  <c:v>3.4482758620689655E-2</c:v>
                </c:pt>
                <c:pt idx="28">
                  <c:v>2.001231527093596E-2</c:v>
                </c:pt>
                <c:pt idx="29">
                  <c:v>7.6970443349753696E-3</c:v>
                </c:pt>
                <c:pt idx="30">
                  <c:v>3.3866995073891628E-3</c:v>
                </c:pt>
              </c:numCache>
            </c:numRef>
          </c:val>
          <c:extLst xmlns:c16r2="http://schemas.microsoft.com/office/drawing/2015/06/chart">
            <c:ext xmlns:c16="http://schemas.microsoft.com/office/drawing/2014/chart" uri="{C3380CC4-5D6E-409C-BE32-E72D297353CC}">
              <c16:uniqueId val="{00000000-1F3E-4AED-89E6-8A1C21FEF458}"/>
            </c:ext>
          </c:extLst>
        </c:ser>
        <c:dLbls>
          <c:showLegendKey val="0"/>
          <c:showVal val="0"/>
          <c:showCatName val="0"/>
          <c:showSerName val="0"/>
          <c:showPercent val="0"/>
          <c:showBubbleSize val="0"/>
        </c:dLbls>
        <c:axId val="246998184"/>
        <c:axId val="246998576"/>
      </c:areaChart>
      <c:lineChart>
        <c:grouping val="standard"/>
        <c:varyColors val="0"/>
        <c:ser>
          <c:idx val="1"/>
          <c:order val="1"/>
          <c:tx>
            <c:strRef>
              <c:f>Comm_Chart!$G$2</c:f>
              <c:strCache>
                <c:ptCount val="1"/>
                <c:pt idx="0">
                  <c:v>Water charge impact</c:v>
                </c:pt>
              </c:strCache>
            </c:strRef>
          </c:tx>
          <c:spPr>
            <a:ln w="28575">
              <a:solidFill>
                <a:schemeClr val="tx1"/>
              </a:solidFill>
              <a:prstDash val="solid"/>
            </a:ln>
          </c:spPr>
          <c:marker>
            <c:symbol val="none"/>
          </c:marker>
          <c:cat>
            <c:numRef>
              <c:f>Comm_Chart!$A$3:$A$33</c:f>
              <c:numCache>
                <c:formatCode>#,##0</c:formatCode>
                <c:ptCount val="31"/>
                <c:pt idx="0">
                  <c:v>1</c:v>
                </c:pt>
                <c:pt idx="1">
                  <c:v>10</c:v>
                </c:pt>
                <c:pt idx="2">
                  <c:v>30</c:v>
                </c:pt>
                <c:pt idx="3">
                  <c:v>50</c:v>
                </c:pt>
                <c:pt idx="4">
                  <c:v>70</c:v>
                </c:pt>
                <c:pt idx="5">
                  <c:v>90</c:v>
                </c:pt>
                <c:pt idx="6">
                  <c:v>110</c:v>
                </c:pt>
                <c:pt idx="7">
                  <c:v>130</c:v>
                </c:pt>
                <c:pt idx="8">
                  <c:v>150</c:v>
                </c:pt>
                <c:pt idx="9">
                  <c:v>170</c:v>
                </c:pt>
                <c:pt idx="10">
                  <c:v>190</c:v>
                </c:pt>
                <c:pt idx="11">
                  <c:v>220</c:v>
                </c:pt>
                <c:pt idx="12">
                  <c:v>260</c:v>
                </c:pt>
                <c:pt idx="13">
                  <c:v>300</c:v>
                </c:pt>
                <c:pt idx="14">
                  <c:v>340</c:v>
                </c:pt>
                <c:pt idx="15">
                  <c:v>380</c:v>
                </c:pt>
                <c:pt idx="16">
                  <c:v>440</c:v>
                </c:pt>
                <c:pt idx="17">
                  <c:v>520</c:v>
                </c:pt>
                <c:pt idx="18">
                  <c:v>600</c:v>
                </c:pt>
                <c:pt idx="19">
                  <c:v>680</c:v>
                </c:pt>
                <c:pt idx="20">
                  <c:v>760</c:v>
                </c:pt>
                <c:pt idx="21">
                  <c:v>1000</c:v>
                </c:pt>
                <c:pt idx="22">
                  <c:v>1400</c:v>
                </c:pt>
                <c:pt idx="23">
                  <c:v>1800</c:v>
                </c:pt>
                <c:pt idx="24">
                  <c:v>2500</c:v>
                </c:pt>
                <c:pt idx="25">
                  <c:v>3500</c:v>
                </c:pt>
                <c:pt idx="26">
                  <c:v>7000</c:v>
                </c:pt>
                <c:pt idx="27">
                  <c:v>15000</c:v>
                </c:pt>
                <c:pt idx="28">
                  <c:v>30000</c:v>
                </c:pt>
                <c:pt idx="29">
                  <c:v>60000</c:v>
                </c:pt>
                <c:pt idx="30">
                  <c:v>80000</c:v>
                </c:pt>
              </c:numCache>
            </c:numRef>
          </c:cat>
          <c:val>
            <c:numRef>
              <c:f>Comm_Chart!$G$3:$G$33</c:f>
              <c:numCache>
                <c:formatCode>0%</c:formatCode>
                <c:ptCount val="31"/>
                <c:pt idx="0">
                  <c:v>0.22787693623516936</c:v>
                </c:pt>
                <c:pt idx="1">
                  <c:v>0.18592028760557122</c:v>
                </c:pt>
                <c:pt idx="2">
                  <c:v>0.13193742514583806</c:v>
                </c:pt>
                <c:pt idx="3">
                  <c:v>0.10224894513629956</c:v>
                </c:pt>
                <c:pt idx="4">
                  <c:v>8.3467204914908777E-2</c:v>
                </c:pt>
                <c:pt idx="5">
                  <c:v>7.0514627185679357E-2</c:v>
                </c:pt>
                <c:pt idx="6">
                  <c:v>6.1042025561580004E-2</c:v>
                </c:pt>
                <c:pt idx="7">
                  <c:v>5.3813036645761425E-2</c:v>
                </c:pt>
                <c:pt idx="8">
                  <c:v>4.8114954547281208E-2</c:v>
                </c:pt>
                <c:pt idx="9">
                  <c:v>4.3508034580723498E-2</c:v>
                </c:pt>
                <c:pt idx="10">
                  <c:v>3.7081368893868483E-2</c:v>
                </c:pt>
                <c:pt idx="11">
                  <c:v>2.5834670317911756E-2</c:v>
                </c:pt>
                <c:pt idx="12">
                  <c:v>1.1248199159140437E-2</c:v>
                </c:pt>
                <c:pt idx="13">
                  <c:v>1.5418960247486346E-3</c:v>
                </c:pt>
                <c:pt idx="14">
                  <c:v>-5.1661444619459651E-3</c:v>
                </c:pt>
                <c:pt idx="15">
                  <c:v>-1.0079299859137691E-2</c:v>
                </c:pt>
                <c:pt idx="16">
                  <c:v>-1.5396095205232108E-2</c:v>
                </c:pt>
                <c:pt idx="17">
                  <c:v>-2.0224328830599214E-2</c:v>
                </c:pt>
                <c:pt idx="18">
                  <c:v>-2.3564045875035688E-2</c:v>
                </c:pt>
                <c:pt idx="19">
                  <c:v>-2.6011662173281325E-2</c:v>
                </c:pt>
                <c:pt idx="20">
                  <c:v>-2.7882507612349672E-2</c:v>
                </c:pt>
                <c:pt idx="21">
                  <c:v>-3.1540700666434773E-2</c:v>
                </c:pt>
                <c:pt idx="22">
                  <c:v>-3.4679298068454933E-2</c:v>
                </c:pt>
                <c:pt idx="23">
                  <c:v>-3.6357220530395473E-2</c:v>
                </c:pt>
                <c:pt idx="24">
                  <c:v>-3.7958313600653382E-2</c:v>
                </c:pt>
                <c:pt idx="25">
                  <c:v>-3.9108301831779602E-2</c:v>
                </c:pt>
                <c:pt idx="26">
                  <c:v>-4.0515490066043047E-2</c:v>
                </c:pt>
                <c:pt idx="27">
                  <c:v>-4.1252599602315865E-2</c:v>
                </c:pt>
                <c:pt idx="28">
                  <c:v>-4.1572215830529724E-2</c:v>
                </c:pt>
                <c:pt idx="29">
                  <c:v>-4.1731375724521569E-2</c:v>
                </c:pt>
                <c:pt idx="30">
                  <c:v>-4.1771098471704016E-2</c:v>
                </c:pt>
              </c:numCache>
            </c:numRef>
          </c:val>
          <c:smooth val="0"/>
          <c:extLst xmlns:c16r2="http://schemas.microsoft.com/office/drawing/2015/06/chart">
            <c:ext xmlns:c16="http://schemas.microsoft.com/office/drawing/2014/chart" uri="{C3380CC4-5D6E-409C-BE32-E72D297353CC}">
              <c16:uniqueId val="{00000001-1F3E-4AED-89E6-8A1C21FEF458}"/>
            </c:ext>
          </c:extLst>
        </c:ser>
        <c:ser>
          <c:idx val="0"/>
          <c:order val="2"/>
          <c:tx>
            <c:strRef>
              <c:f>Comm_Chart!$D$2</c:f>
              <c:strCache>
                <c:ptCount val="1"/>
                <c:pt idx="0">
                  <c:v>Combined bill impact (10 fixtures)</c:v>
                </c:pt>
              </c:strCache>
            </c:strRef>
          </c:tx>
          <c:spPr>
            <a:ln>
              <a:prstDash val="dash"/>
            </a:ln>
          </c:spPr>
          <c:marker>
            <c:symbol val="none"/>
          </c:marker>
          <c:val>
            <c:numRef>
              <c:f>Comm_Chart!$D$3:$D$33</c:f>
              <c:numCache>
                <c:formatCode>0%</c:formatCode>
                <c:ptCount val="31"/>
                <c:pt idx="0">
                  <c:v>2.8634193109126294E-2</c:v>
                </c:pt>
                <c:pt idx="1">
                  <c:v>2.8518905618316381E-2</c:v>
                </c:pt>
                <c:pt idx="2">
                  <c:v>2.8266005424774532E-2</c:v>
                </c:pt>
                <c:pt idx="3">
                  <c:v>2.8017551146675812E-2</c:v>
                </c:pt>
                <c:pt idx="4">
                  <c:v>2.7773426568592274E-2</c:v>
                </c:pt>
                <c:pt idx="5">
                  <c:v>2.7533519490575475E-2</c:v>
                </c:pt>
                <c:pt idx="6">
                  <c:v>2.729772155621224E-2</c:v>
                </c:pt>
                <c:pt idx="7">
                  <c:v>2.7065928089441416E-2</c:v>
                </c:pt>
                <c:pt idx="8">
                  <c:v>2.6838037939615811E-2</c:v>
                </c:pt>
                <c:pt idx="9">
                  <c:v>2.6613953334322371E-2</c:v>
                </c:pt>
                <c:pt idx="10">
                  <c:v>2.6167365029079015E-2</c:v>
                </c:pt>
                <c:pt idx="11">
                  <c:v>2.5095005610299426E-2</c:v>
                </c:pt>
                <c:pt idx="12">
                  <c:v>2.3058932574523183E-2</c:v>
                </c:pt>
                <c:pt idx="13">
                  <c:v>2.1072792997315126E-2</c:v>
                </c:pt>
                <c:pt idx="14">
                  <c:v>1.9204521200264724E-2</c:v>
                </c:pt>
                <c:pt idx="15">
                  <c:v>1.7443927221625799E-2</c:v>
                </c:pt>
                <c:pt idx="16">
                  <c:v>1.4985412457871661E-2</c:v>
                </c:pt>
                <c:pt idx="17">
                  <c:v>1.2007725888170784E-2</c:v>
                </c:pt>
                <c:pt idx="18">
                  <c:v>9.3263181002682938E-3</c:v>
                </c:pt>
                <c:pt idx="19">
                  <c:v>6.8990652918550222E-3</c:v>
                </c:pt>
                <c:pt idx="20">
                  <c:v>4.6914676807288114E-3</c:v>
                </c:pt>
                <c:pt idx="21">
                  <c:v>-8.7592407311842813E-4</c:v>
                </c:pt>
                <c:pt idx="22">
                  <c:v>-7.6887814874884164E-3</c:v>
                </c:pt>
                <c:pt idx="23">
                  <c:v>-1.2560685542574612E-2</c:v>
                </c:pt>
                <c:pt idx="24">
                  <c:v>-1.8413116025473131E-2</c:v>
                </c:pt>
                <c:pt idx="25">
                  <c:v>-2.362091355325735E-2</c:v>
                </c:pt>
                <c:pt idx="26">
                  <c:v>-3.1605654708423581E-2</c:v>
                </c:pt>
                <c:pt idx="27">
                  <c:v>-3.6745295723892402E-2</c:v>
                </c:pt>
                <c:pt idx="28">
                  <c:v>-3.9234074014617204E-2</c:v>
                </c:pt>
                <c:pt idx="29">
                  <c:v>-4.0540146888919271E-2</c:v>
                </c:pt>
                <c:pt idx="30">
                  <c:v>-4.0873436972274857E-2</c:v>
                </c:pt>
              </c:numCache>
            </c:numRef>
          </c:val>
          <c:smooth val="0"/>
          <c:extLst xmlns:c16r2="http://schemas.microsoft.com/office/drawing/2015/06/chart">
            <c:ext xmlns:c16="http://schemas.microsoft.com/office/drawing/2014/chart" uri="{C3380CC4-5D6E-409C-BE32-E72D297353CC}">
              <c16:uniqueId val="{00000002-1F3E-4AED-89E6-8A1C21FEF458}"/>
            </c:ext>
          </c:extLst>
        </c:ser>
        <c:ser>
          <c:idx val="2"/>
          <c:order val="3"/>
          <c:tx>
            <c:strRef>
              <c:f>Comm_Chart!$E$2</c:f>
              <c:strCache>
                <c:ptCount val="1"/>
                <c:pt idx="0">
                  <c:v>Combined bill impact (50 fixtures)</c:v>
                </c:pt>
              </c:strCache>
            </c:strRef>
          </c:tx>
          <c:spPr>
            <a:ln>
              <a:solidFill>
                <a:srgbClr val="00B050"/>
              </a:solidFill>
              <a:prstDash val="dashDot"/>
            </a:ln>
          </c:spPr>
          <c:marker>
            <c:symbol val="none"/>
          </c:marker>
          <c:val>
            <c:numRef>
              <c:f>Comm_Chart!$E$3:$E$33</c:f>
              <c:numCache>
                <c:formatCode>0%</c:formatCode>
                <c:ptCount val="31"/>
                <c:pt idx="0">
                  <c:v>2.5796285225538229E-2</c:v>
                </c:pt>
                <c:pt idx="1">
                  <c:v>2.5773456448131338E-2</c:v>
                </c:pt>
                <c:pt idx="2">
                  <c:v>2.5722870208624959E-2</c:v>
                </c:pt>
                <c:pt idx="3">
                  <c:v>2.5672482154015963E-2</c:v>
                </c:pt>
                <c:pt idx="4">
                  <c:v>2.5622291121919494E-2</c:v>
                </c:pt>
                <c:pt idx="5">
                  <c:v>2.5572295959022329E-2</c:v>
                </c:pt>
                <c:pt idx="6">
                  <c:v>2.5522495520996058E-2</c:v>
                </c:pt>
                <c:pt idx="7">
                  <c:v>2.5472888672408267E-2</c:v>
                </c:pt>
                <c:pt idx="8">
                  <c:v>2.5423474286637049E-2</c:v>
                </c:pt>
                <c:pt idx="9">
                  <c:v>2.5374251245786184E-2</c:v>
                </c:pt>
                <c:pt idx="10">
                  <c:v>2.5272857665980419E-2</c:v>
                </c:pt>
                <c:pt idx="11">
                  <c:v>2.5022535183126804E-2</c:v>
                </c:pt>
                <c:pt idx="12">
                  <c:v>2.4528491184662604E-2</c:v>
                </c:pt>
                <c:pt idx="13">
                  <c:v>2.4023424388408099E-2</c:v>
                </c:pt>
                <c:pt idx="14">
                  <c:v>2.3525980978389871E-2</c:v>
                </c:pt>
                <c:pt idx="15">
                  <c:v>2.3035989648434008E-2</c:v>
                </c:pt>
                <c:pt idx="16">
                  <c:v>2.2314613062015987E-2</c:v>
                </c:pt>
                <c:pt idx="17">
                  <c:v>2.1377349230452314E-2</c:v>
                </c:pt>
                <c:pt idx="18">
                  <c:v>2.0467056131235672E-2</c:v>
                </c:pt>
                <c:pt idx="19">
                  <c:v>1.9582586110906908E-2</c:v>
                </c:pt>
                <c:pt idx="20">
                  <c:v>1.8722855718340758E-2</c:v>
                </c:pt>
                <c:pt idx="21">
                  <c:v>1.6282140347227747E-2</c:v>
                </c:pt>
                <c:pt idx="22">
                  <c:v>1.2623613901186159E-2</c:v>
                </c:pt>
                <c:pt idx="23">
                  <c:v>9.3980374311435355E-3</c:v>
                </c:pt>
                <c:pt idx="24">
                  <c:v>4.5855952599547223E-3</c:v>
                </c:pt>
                <c:pt idx="25">
                  <c:v>-9.0786746224835735E-4</c:v>
                </c:pt>
                <c:pt idx="26">
                  <c:v>-1.2900813701499647E-2</c:v>
                </c:pt>
                <c:pt idx="27">
                  <c:v>-2.451966180723586E-2</c:v>
                </c:pt>
                <c:pt idx="28">
                  <c:v>-3.1972616456883651E-2</c:v>
                </c:pt>
                <c:pt idx="29">
                  <c:v>-3.6552724852261242E-2</c:v>
                </c:pt>
                <c:pt idx="30">
                  <c:v>-3.7809167753424244E-2</c:v>
                </c:pt>
              </c:numCache>
            </c:numRef>
          </c:val>
          <c:smooth val="0"/>
          <c:extLst xmlns:c16r2="http://schemas.microsoft.com/office/drawing/2015/06/chart">
            <c:ext xmlns:c16="http://schemas.microsoft.com/office/drawing/2014/chart" uri="{C3380CC4-5D6E-409C-BE32-E72D297353CC}">
              <c16:uniqueId val="{00000003-1F3E-4AED-89E6-8A1C21FEF458}"/>
            </c:ext>
          </c:extLst>
        </c:ser>
        <c:ser>
          <c:idx val="4"/>
          <c:order val="4"/>
          <c:tx>
            <c:strRef>
              <c:f>Comm_Chart!$F$2</c:f>
              <c:strCache>
                <c:ptCount val="1"/>
                <c:pt idx="0">
                  <c:v>Combined bill impact (100 fixtures)</c:v>
                </c:pt>
              </c:strCache>
            </c:strRef>
          </c:tx>
          <c:spPr>
            <a:ln>
              <a:solidFill>
                <a:srgbClr val="FF0000"/>
              </a:solidFill>
              <a:prstDash val="lgDashDot"/>
            </a:ln>
          </c:spPr>
          <c:marker>
            <c:symbol val="none"/>
          </c:marker>
          <c:val>
            <c:numRef>
              <c:f>Comm_Chart!$F$3:$F$33</c:f>
              <c:numCache>
                <c:formatCode>0%</c:formatCode>
                <c:ptCount val="31"/>
                <c:pt idx="0">
                  <c:v>2.5402955213215339E-2</c:v>
                </c:pt>
                <c:pt idx="1">
                  <c:v>2.5391574021660812E-2</c:v>
                </c:pt>
                <c:pt idx="2">
                  <c:v>2.5366318960437395E-2</c:v>
                </c:pt>
                <c:pt idx="3">
                  <c:v>2.5341114087860106E-2</c:v>
                </c:pt>
                <c:pt idx="4">
                  <c:v>2.5315959254469611E-2</c:v>
                </c:pt>
                <c:pt idx="5">
                  <c:v>2.5290854311399213E-2</c:v>
                </c:pt>
                <c:pt idx="6">
                  <c:v>2.5265799110373299E-2</c:v>
                </c:pt>
                <c:pt idx="7">
                  <c:v>2.5240793503702008E-2</c:v>
                </c:pt>
                <c:pt idx="8">
                  <c:v>2.5215837344280123E-2</c:v>
                </c:pt>
                <c:pt idx="9">
                  <c:v>2.519093048558374E-2</c:v>
                </c:pt>
                <c:pt idx="10">
                  <c:v>2.5139367579997129E-2</c:v>
                </c:pt>
                <c:pt idx="11">
                  <c:v>2.5011535787416772E-2</c:v>
                </c:pt>
                <c:pt idx="12">
                  <c:v>2.4757748384913514E-2</c:v>
                </c:pt>
                <c:pt idx="13">
                  <c:v>2.4496393346034484E-2</c:v>
                </c:pt>
                <c:pt idx="14">
                  <c:v>2.4237080072620598E-2</c:v>
                </c:pt>
                <c:pt idx="15">
                  <c:v>2.3979784731656517E-2</c:v>
                </c:pt>
                <c:pt idx="16">
                  <c:v>2.3597574116369424E-2</c:v>
                </c:pt>
                <c:pt idx="17">
                  <c:v>2.3094806752593122E-2</c:v>
                </c:pt>
                <c:pt idx="18">
                  <c:v>2.2599700346803253E-2</c:v>
                </c:pt>
                <c:pt idx="19">
                  <c:v>2.2112081121283822E-2</c:v>
                </c:pt>
                <c:pt idx="20">
                  <c:v>2.1631780514737464E-2</c:v>
                </c:pt>
                <c:pt idx="21">
                  <c:v>2.0233179022372205E-2</c:v>
                </c:pt>
                <c:pt idx="22">
                  <c:v>1.8034193767908935E-2</c:v>
                </c:pt>
                <c:pt idx="23">
                  <c:v>1.598556191804823E-2</c:v>
                </c:pt>
                <c:pt idx="24">
                  <c:v>1.2718480650504294E-2</c:v>
                </c:pt>
                <c:pt idx="25">
                  <c:v>8.6433209542242651E-3</c:v>
                </c:pt>
                <c:pt idx="26">
                  <c:v>-1.821961819985396E-3</c:v>
                </c:pt>
                <c:pt idx="27">
                  <c:v>-1.469507757989641E-2</c:v>
                </c:pt>
                <c:pt idx="28">
                  <c:v>-2.4918681449556224E-2</c:v>
                </c:pt>
                <c:pt idx="29">
                  <c:v>-3.2202517575501188E-2</c:v>
                </c:pt>
                <c:pt idx="30">
                  <c:v>-3.4357701108294614E-2</c:v>
                </c:pt>
              </c:numCache>
            </c:numRef>
          </c:val>
          <c:smooth val="0"/>
          <c:extLst xmlns:c16r2="http://schemas.microsoft.com/office/drawing/2015/06/chart">
            <c:ext xmlns:c16="http://schemas.microsoft.com/office/drawing/2014/chart" uri="{C3380CC4-5D6E-409C-BE32-E72D297353CC}">
              <c16:uniqueId val="{00000004-1F3E-4AED-89E6-8A1C21FEF458}"/>
            </c:ext>
          </c:extLst>
        </c:ser>
        <c:dLbls>
          <c:showLegendKey val="0"/>
          <c:showVal val="0"/>
          <c:showCatName val="0"/>
          <c:showSerName val="0"/>
          <c:showPercent val="0"/>
          <c:showBubbleSize val="0"/>
        </c:dLbls>
        <c:marker val="1"/>
        <c:smooth val="0"/>
        <c:axId val="246997400"/>
        <c:axId val="246997792"/>
      </c:lineChart>
      <c:catAx>
        <c:axId val="246997400"/>
        <c:scaling>
          <c:orientation val="minMax"/>
        </c:scaling>
        <c:delete val="0"/>
        <c:axPos val="b"/>
        <c:title>
          <c:tx>
            <c:rich>
              <a:bodyPr/>
              <a:lstStyle/>
              <a:p>
                <a:pPr>
                  <a:defRPr sz="800" b="1"/>
                </a:pPr>
                <a:r>
                  <a:rPr lang="en-AU" sz="800" b="1"/>
                  <a:t>Water consumption (kL/a)</a:t>
                </a:r>
              </a:p>
            </c:rich>
          </c:tx>
          <c:layout/>
          <c:overlay val="0"/>
        </c:title>
        <c:numFmt formatCode="#,##0" sourceLinked="1"/>
        <c:majorTickMark val="out"/>
        <c:minorTickMark val="none"/>
        <c:tickLblPos val="nextTo"/>
        <c:txPr>
          <a:bodyPr rot="-5400000" vert="horz"/>
          <a:lstStyle/>
          <a:p>
            <a:pPr>
              <a:defRPr sz="700"/>
            </a:pPr>
            <a:endParaRPr lang="en-US"/>
          </a:p>
        </c:txPr>
        <c:crossAx val="246997792"/>
        <c:crosses val="autoZero"/>
        <c:auto val="1"/>
        <c:lblAlgn val="ctr"/>
        <c:lblOffset val="100"/>
        <c:noMultiLvlLbl val="0"/>
      </c:catAx>
      <c:valAx>
        <c:axId val="246997792"/>
        <c:scaling>
          <c:orientation val="minMax"/>
          <c:max val="1"/>
          <c:min val="-0.4"/>
        </c:scaling>
        <c:delete val="0"/>
        <c:axPos val="l"/>
        <c:majorGridlines>
          <c:spPr>
            <a:ln w="6350">
              <a:solidFill>
                <a:schemeClr val="bg1">
                  <a:lumMod val="85000"/>
                </a:schemeClr>
              </a:solidFill>
              <a:prstDash val="solid"/>
            </a:ln>
          </c:spPr>
        </c:majorGridlines>
        <c:title>
          <c:tx>
            <c:rich>
              <a:bodyPr/>
              <a:lstStyle/>
              <a:p>
                <a:pPr>
                  <a:defRPr sz="800" b="1"/>
                </a:pPr>
                <a:r>
                  <a:rPr lang="en-AU" sz="800" b="1"/>
                  <a:t>Change in water charges and combined bills</a:t>
                </a:r>
              </a:p>
            </c:rich>
          </c:tx>
          <c:layout>
            <c:manualLayout>
              <c:xMode val="edge"/>
              <c:yMode val="edge"/>
              <c:x val="8.6871884023674018E-3"/>
              <c:y val="0.20841821197175558"/>
            </c:manualLayout>
          </c:layout>
          <c:overlay val="0"/>
        </c:title>
        <c:numFmt formatCode="0%" sourceLinked="0"/>
        <c:majorTickMark val="out"/>
        <c:minorTickMark val="none"/>
        <c:tickLblPos val="nextTo"/>
        <c:txPr>
          <a:bodyPr rot="0" vert="horz"/>
          <a:lstStyle/>
          <a:p>
            <a:pPr>
              <a:defRPr sz="700"/>
            </a:pPr>
            <a:endParaRPr lang="en-US"/>
          </a:p>
        </c:txPr>
        <c:crossAx val="246997400"/>
        <c:crosses val="autoZero"/>
        <c:crossBetween val="between"/>
        <c:majorUnit val="0.1"/>
      </c:valAx>
      <c:catAx>
        <c:axId val="246998184"/>
        <c:scaling>
          <c:orientation val="minMax"/>
        </c:scaling>
        <c:delete val="1"/>
        <c:axPos val="b"/>
        <c:numFmt formatCode="#,##0" sourceLinked="1"/>
        <c:majorTickMark val="out"/>
        <c:minorTickMark val="none"/>
        <c:tickLblPos val="none"/>
        <c:crossAx val="246998576"/>
        <c:crosses val="autoZero"/>
        <c:auto val="1"/>
        <c:lblAlgn val="ctr"/>
        <c:lblOffset val="100"/>
        <c:noMultiLvlLbl val="0"/>
      </c:catAx>
      <c:valAx>
        <c:axId val="246998576"/>
        <c:scaling>
          <c:orientation val="minMax"/>
          <c:max val="0.18000000000000005"/>
          <c:min val="-7.1000000000000008E-2"/>
        </c:scaling>
        <c:delete val="0"/>
        <c:axPos val="r"/>
        <c:title>
          <c:tx>
            <c:rich>
              <a:bodyPr/>
              <a:lstStyle/>
              <a:p>
                <a:pPr>
                  <a:defRPr sz="800" b="1">
                    <a:solidFill>
                      <a:schemeClr val="accent6">
                        <a:lumMod val="50000"/>
                      </a:schemeClr>
                    </a:solidFill>
                  </a:defRPr>
                </a:pPr>
                <a:r>
                  <a:rPr lang="en-US" sz="800" b="1">
                    <a:solidFill>
                      <a:schemeClr val="accent6">
                        <a:lumMod val="50000"/>
                      </a:schemeClr>
                    </a:solidFill>
                  </a:rPr>
                  <a:t>Proportion of commercial premises</a:t>
                </a:r>
              </a:p>
            </c:rich>
          </c:tx>
          <c:layout/>
          <c:overlay val="0"/>
        </c:title>
        <c:numFmt formatCode="0%" sourceLinked="0"/>
        <c:majorTickMark val="out"/>
        <c:minorTickMark val="none"/>
        <c:tickLblPos val="nextTo"/>
        <c:txPr>
          <a:bodyPr/>
          <a:lstStyle/>
          <a:p>
            <a:pPr>
              <a:defRPr sz="700">
                <a:solidFill>
                  <a:schemeClr val="accent6">
                    <a:lumMod val="50000"/>
                  </a:schemeClr>
                </a:solidFill>
              </a:defRPr>
            </a:pPr>
            <a:endParaRPr lang="en-US"/>
          </a:p>
        </c:txPr>
        <c:crossAx val="246998184"/>
        <c:crosses val="max"/>
        <c:crossBetween val="between"/>
      </c:valAx>
    </c:plotArea>
    <c:legend>
      <c:legendPos val="r"/>
      <c:layout>
        <c:manualLayout>
          <c:xMode val="edge"/>
          <c:yMode val="edge"/>
          <c:x val="0.24298443121130278"/>
          <c:y val="3.0190989810639692E-2"/>
          <c:w val="0.51503251822480811"/>
          <c:h val="0.38519179236638584"/>
        </c:manualLayout>
      </c:layout>
      <c:overlay val="0"/>
      <c:txPr>
        <a:bodyPr/>
        <a:lstStyle/>
        <a:p>
          <a:pPr>
            <a:defRPr sz="800"/>
          </a:pPr>
          <a:endParaRPr lang="en-US"/>
        </a:p>
      </c:txPr>
    </c:legend>
    <c:plotVisOnly val="1"/>
    <c:dispBlanksAs val="gap"/>
    <c:showDLblsOverMax val="0"/>
  </c:chart>
  <c:spPr>
    <a:ln>
      <a:solidFill>
        <a:schemeClr val="bg1">
          <a:lumMod val="75000"/>
        </a:schemeClr>
      </a:solidFill>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127984470546572"/>
          <c:y val="2.5353139383402609E-2"/>
          <c:w val="0.82894620282010678"/>
          <c:h val="0.80333782640150364"/>
        </c:manualLayout>
      </c:layout>
      <c:barChart>
        <c:barDir val="col"/>
        <c:grouping val="clustered"/>
        <c:varyColors val="0"/>
        <c:ser>
          <c:idx val="0"/>
          <c:order val="0"/>
          <c:tx>
            <c:strRef>
              <c:f>'2 Chart data'!$B$10</c:f>
              <c:strCache>
                <c:ptCount val="1"/>
                <c:pt idx="0">
                  <c:v>Actual billed</c:v>
                </c:pt>
              </c:strCache>
            </c:strRef>
          </c:tx>
          <c:spPr>
            <a:solidFill>
              <a:srgbClr val="0070C0"/>
            </a:solidFill>
          </c:spPr>
          <c:invertIfNegative val="0"/>
          <c:cat>
            <c:numRef>
              <c:f>'2 Chart data'!$A$12:$A$30</c:f>
              <c:numCache>
                <c:formatCode>General</c:formatCode>
                <c:ptCount val="19"/>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numCache>
            </c:numRef>
          </c:cat>
          <c:val>
            <c:numRef>
              <c:f>'2 Chart data'!$B$12:$B$30</c:f>
              <c:numCache>
                <c:formatCode>_-* #,##0_-;\-* #,##0_-;_-* "-"??_-;_-@_-</c:formatCode>
                <c:ptCount val="19"/>
                <c:pt idx="0">
                  <c:v>48184.502999999997</c:v>
                </c:pt>
                <c:pt idx="1">
                  <c:v>51450.843000000008</c:v>
                </c:pt>
                <c:pt idx="2">
                  <c:v>55868.677000000003</c:v>
                </c:pt>
                <c:pt idx="3">
                  <c:v>55901.78</c:v>
                </c:pt>
                <c:pt idx="4">
                  <c:v>44236.487999999998</c:v>
                </c:pt>
                <c:pt idx="5">
                  <c:v>43511.422999999995</c:v>
                </c:pt>
                <c:pt idx="6">
                  <c:v>48169.311000000009</c:v>
                </c:pt>
                <c:pt idx="7">
                  <c:v>45588.679000000004</c:v>
                </c:pt>
                <c:pt idx="8">
                  <c:v>36734.146999999997</c:v>
                </c:pt>
                <c:pt idx="9">
                  <c:v>38616.466999999997</c:v>
                </c:pt>
                <c:pt idx="10">
                  <c:v>37796.440999999999</c:v>
                </c:pt>
                <c:pt idx="11">
                  <c:v>33844.976999999999</c:v>
                </c:pt>
                <c:pt idx="12">
                  <c:v>35429.337999999996</c:v>
                </c:pt>
                <c:pt idx="13">
                  <c:v>40473.969000000005</c:v>
                </c:pt>
                <c:pt idx="14">
                  <c:v>41966.108999999997</c:v>
                </c:pt>
                <c:pt idx="15">
                  <c:v>39202.650999999998</c:v>
                </c:pt>
                <c:pt idx="16">
                  <c:v>41825.403000000006</c:v>
                </c:pt>
              </c:numCache>
            </c:numRef>
          </c:val>
          <c:extLst xmlns:c16r2="http://schemas.microsoft.com/office/drawing/2015/06/chart">
            <c:ext xmlns:c16="http://schemas.microsoft.com/office/drawing/2014/chart" uri="{C3380CC4-5D6E-409C-BE32-E72D297353CC}">
              <c16:uniqueId val="{00000000-6600-4796-A157-6BC17659798A}"/>
            </c:ext>
          </c:extLst>
        </c:ser>
        <c:ser>
          <c:idx val="1"/>
          <c:order val="1"/>
          <c:tx>
            <c:strRef>
              <c:f>'2 Chart data'!$D$10</c:f>
              <c:strCache>
                <c:ptCount val="1"/>
                <c:pt idx="0">
                  <c:v>Industry Panel forecasts</c:v>
                </c:pt>
              </c:strCache>
            </c:strRef>
          </c:tx>
          <c:spPr>
            <a:solidFill>
              <a:sysClr val="windowText" lastClr="000000"/>
            </a:solidFill>
          </c:spPr>
          <c:invertIfNegative val="0"/>
          <c:cat>
            <c:numRef>
              <c:f>'2 Chart data'!$A$12:$A$27</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'2 Chart data'!$D$12:$D$30</c:f>
              <c:numCache>
                <c:formatCode>General</c:formatCode>
                <c:ptCount val="19"/>
                <c:pt idx="15" formatCode="_-* #,##0_-;\-* #,##0_-;_-* &quot;-&quot;??_-;_-@_-">
                  <c:v>43146.339</c:v>
                </c:pt>
                <c:pt idx="16" formatCode="_-* #,##0_-;\-* #,##0_-;_-* &quot;-&quot;??_-;_-@_-">
                  <c:v>43668.11</c:v>
                </c:pt>
                <c:pt idx="17" formatCode="_-* #,##0_-;\-* #,##0_-;_-* &quot;-&quot;??_-;_-@_-">
                  <c:v>44204.653999999995</c:v>
                </c:pt>
                <c:pt idx="18" formatCode="_-* #,##0_-;\-* #,##0_-;_-* &quot;-&quot;??_-;_-@_-">
                  <c:v>44756.512999999999</c:v>
                </c:pt>
              </c:numCache>
            </c:numRef>
          </c:val>
          <c:extLst xmlns:c16r2="http://schemas.microsoft.com/office/drawing/2015/06/chart">
            <c:ext xmlns:c16="http://schemas.microsoft.com/office/drawing/2014/chart" uri="{C3380CC4-5D6E-409C-BE32-E72D297353CC}">
              <c16:uniqueId val="{00000001-6600-4796-A157-6BC17659798A}"/>
            </c:ext>
          </c:extLst>
        </c:ser>
        <c:dLbls>
          <c:showLegendKey val="0"/>
          <c:showVal val="0"/>
          <c:showCatName val="0"/>
          <c:showSerName val="0"/>
          <c:showPercent val="0"/>
          <c:showBubbleSize val="0"/>
        </c:dLbls>
        <c:gapWidth val="15"/>
        <c:axId val="246999360"/>
        <c:axId val="246999752"/>
      </c:barChart>
      <c:catAx>
        <c:axId val="246999360"/>
        <c:scaling>
          <c:orientation val="minMax"/>
        </c:scaling>
        <c:delete val="0"/>
        <c:axPos val="b"/>
        <c:title>
          <c:tx>
            <c:rich>
              <a:bodyPr/>
              <a:lstStyle/>
              <a:p>
                <a:pPr>
                  <a:defRPr sz="900"/>
                </a:pPr>
                <a:r>
                  <a:rPr lang="en-US" sz="900"/>
                  <a:t>Year ending 30 June</a:t>
                </a:r>
              </a:p>
            </c:rich>
          </c:tx>
          <c:layout>
            <c:manualLayout>
              <c:xMode val="edge"/>
              <c:yMode val="edge"/>
              <c:x val="0.48501618293326504"/>
              <c:y val="0.92382998888719103"/>
            </c:manualLayout>
          </c:layout>
          <c:overlay val="0"/>
        </c:title>
        <c:numFmt formatCode="General" sourceLinked="1"/>
        <c:majorTickMark val="out"/>
        <c:minorTickMark val="none"/>
        <c:tickLblPos val="nextTo"/>
        <c:txPr>
          <a:bodyPr/>
          <a:lstStyle/>
          <a:p>
            <a:pPr>
              <a:defRPr sz="700"/>
            </a:pPr>
            <a:endParaRPr lang="en-US"/>
          </a:p>
        </c:txPr>
        <c:crossAx val="246999752"/>
        <c:crosses val="autoZero"/>
        <c:auto val="1"/>
        <c:lblAlgn val="ctr"/>
        <c:lblOffset val="100"/>
        <c:noMultiLvlLbl val="0"/>
      </c:catAx>
      <c:valAx>
        <c:axId val="246999752"/>
        <c:scaling>
          <c:orientation val="minMax"/>
        </c:scaling>
        <c:delete val="0"/>
        <c:axPos val="l"/>
        <c:majorGridlines>
          <c:spPr>
            <a:ln>
              <a:solidFill>
                <a:schemeClr val="bg1">
                  <a:lumMod val="65000"/>
                </a:schemeClr>
              </a:solidFill>
              <a:prstDash val="solid"/>
            </a:ln>
          </c:spPr>
        </c:majorGridlines>
        <c:title>
          <c:tx>
            <c:rich>
              <a:bodyPr rot="-5400000" vert="horz"/>
              <a:lstStyle/>
              <a:p>
                <a:pPr>
                  <a:defRPr sz="1000"/>
                </a:pPr>
                <a:r>
                  <a:rPr lang="en-US" sz="1000"/>
                  <a:t>Megalitres</a:t>
                </a:r>
              </a:p>
            </c:rich>
          </c:tx>
          <c:layout>
            <c:manualLayout>
              <c:xMode val="edge"/>
              <c:yMode val="edge"/>
              <c:x val="1.3452023155524344E-2"/>
              <c:y val="0.33186688650486551"/>
            </c:manualLayout>
          </c:layout>
          <c:overlay val="0"/>
        </c:title>
        <c:numFmt formatCode="#,##0" sourceLinked="0"/>
        <c:majorTickMark val="out"/>
        <c:minorTickMark val="none"/>
        <c:tickLblPos val="nextTo"/>
        <c:txPr>
          <a:bodyPr/>
          <a:lstStyle/>
          <a:p>
            <a:pPr>
              <a:defRPr sz="800"/>
            </a:pPr>
            <a:endParaRPr lang="en-US"/>
          </a:p>
        </c:txPr>
        <c:crossAx val="246999360"/>
        <c:crosses val="autoZero"/>
        <c:crossBetween val="between"/>
      </c:valAx>
    </c:plotArea>
    <c:legend>
      <c:legendPos val="t"/>
      <c:layout>
        <c:manualLayout>
          <c:xMode val="edge"/>
          <c:yMode val="edge"/>
          <c:x val="0.43436636209457713"/>
          <c:y val="5.6634299396554795E-2"/>
          <c:w val="0.50912207747523119"/>
          <c:h val="5.9153856810653563E-2"/>
        </c:manualLayout>
      </c:layout>
      <c:overlay val="0"/>
      <c:txPr>
        <a:bodyPr/>
        <a:lstStyle/>
        <a:p>
          <a:pPr>
            <a:defRPr sz="900"/>
          </a:pPr>
          <a:endParaRPr lang="en-US"/>
        </a:p>
      </c:txPr>
    </c:legend>
    <c:plotVisOnly val="1"/>
    <c:dispBlanksAs val="gap"/>
    <c:showDLblsOverMax val="0"/>
  </c:chart>
  <c:spPr>
    <a:ln>
      <a:solidFill>
        <a:schemeClr val="bg1">
          <a:lumMod val="50000"/>
        </a:schemeClr>
      </a:solidFill>
    </a:ln>
  </c:spPr>
  <c:txPr>
    <a:bodyPr/>
    <a:lstStyle/>
    <a:p>
      <a:pPr>
        <a:defRPr sz="14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Dams!$D$4</c:f>
              <c:strCache>
                <c:ptCount val="1"/>
                <c:pt idx="0">
                  <c:v>Capacity</c:v>
                </c:pt>
              </c:strCache>
            </c:strRef>
          </c:tx>
          <c:spPr>
            <a:solidFill>
              <a:schemeClr val="accent1">
                <a:lumMod val="40000"/>
                <a:lumOff val="60000"/>
              </a:schemeClr>
            </a:solidFill>
            <a:ln>
              <a:noFill/>
              <a:prstDash val="dash"/>
            </a:ln>
            <a:effectLst/>
          </c:spPr>
          <c:invertIfNegative val="0"/>
          <c:dLbls>
            <c:dLbl>
              <c:idx val="0"/>
              <c:tx>
                <c:strRef>
                  <c:f>Dams!$F$5</c:f>
                  <c:strCache>
                    <c:ptCount val="1"/>
                    <c:pt idx="0">
                      <c:v>62%</c:v>
                    </c:pt>
                  </c:strCache>
                </c:strRef>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6BE-44EE-BFB4-A4E1C38DC1BA}"/>
                </c:ext>
                <c:ext xmlns:c15="http://schemas.microsoft.com/office/drawing/2012/chart" uri="{CE6537A1-D6FC-4f65-9D91-7224C49458BB}">
                  <c15:dlblFieldTable>
                    <c15:dlblFTEntry>
                      <c15:txfldGUID>{2F400ADE-45A3-4472-A223-C18166C0B7B4}</c15:txfldGUID>
                      <c15:f>Dams!$F$5</c15:f>
                      <c15:dlblFieldTableCache>
                        <c:ptCount val="1"/>
                        <c:pt idx="0">
                          <c:v>62%</c:v>
                        </c:pt>
                      </c15:dlblFieldTableCache>
                    </c15:dlblFTEntry>
                  </c15:dlblFieldTable>
                  <c15:showDataLabelsRange val="0"/>
                </c:ext>
              </c:extLst>
            </c:dLbl>
            <c:dLbl>
              <c:idx val="1"/>
              <c:tx>
                <c:strRef>
                  <c:f>Dams!$F$6</c:f>
                  <c:strCache>
                    <c:ptCount val="1"/>
                    <c:pt idx="0">
                      <c:v>98%</c:v>
                    </c:pt>
                  </c:strCache>
                </c:strRef>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6BE-44EE-BFB4-A4E1C38DC1BA}"/>
                </c:ext>
                <c:ext xmlns:c15="http://schemas.microsoft.com/office/drawing/2012/chart" uri="{CE6537A1-D6FC-4f65-9D91-7224C49458BB}">
                  <c15:dlblFieldTable>
                    <c15:dlblFTEntry>
                      <c15:txfldGUID>{ACDA3822-D2A6-466E-B627-31C54755E919}</c15:txfldGUID>
                      <c15:f>Dams!$F$6</c15:f>
                      <c15:dlblFieldTableCache>
                        <c:ptCount val="1"/>
                        <c:pt idx="0">
                          <c:v>98%</c:v>
                        </c:pt>
                      </c15:dlblFieldTableCache>
                    </c15:dlblFTEntry>
                  </c15:dlblFieldTable>
                  <c15:showDataLabelsRange val="0"/>
                </c:ext>
              </c:extLst>
            </c:dLbl>
            <c:dLbl>
              <c:idx val="2"/>
              <c:layout>
                <c:manualLayout>
                  <c:x val="1.2952382428652709E-3"/>
                  <c:y val="1.5639715995269299E-7"/>
                </c:manualLayout>
              </c:layout>
              <c:tx>
                <c:strRef>
                  <c:f>Dams!$F$7</c:f>
                  <c:strCache>
                    <c:ptCount val="1"/>
                    <c:pt idx="0">
                      <c:v>100%</c:v>
                    </c:pt>
                  </c:strCache>
                </c:strRef>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6BE-44EE-BFB4-A4E1C38DC1BA}"/>
                </c:ext>
                <c:ext xmlns:c15="http://schemas.microsoft.com/office/drawing/2012/chart" uri="{CE6537A1-D6FC-4f65-9D91-7224C49458BB}">
                  <c15:layout>
                    <c:manualLayout>
                      <c:w val="6.9950207619521185E-2"/>
                      <c:h val="5.5555399158395594E-2"/>
                    </c:manualLayout>
                  </c15:layout>
                  <c15:dlblFieldTable>
                    <c15:dlblFTEntry>
                      <c15:txfldGUID>{53109949-B81A-4F65-AB43-58D041A333DA}</c15:txfldGUID>
                      <c15:f>Dams!$F$7</c15:f>
                      <c15:dlblFieldTableCache>
                        <c:ptCount val="1"/>
                        <c:pt idx="0">
                          <c:v>100%</c:v>
                        </c:pt>
                      </c15:dlblFieldTableCache>
                    </c15:dlblFTEntry>
                  </c15:dlblFieldTable>
                  <c15:showDataLabelsRange val="0"/>
                </c:ext>
              </c:extLst>
            </c:dLbl>
            <c:dLbl>
              <c:idx val="3"/>
              <c:tx>
                <c:strRef>
                  <c:f>Dams!$F$8</c:f>
                  <c:strCache>
                    <c:ptCount val="1"/>
                    <c:pt idx="0">
                      <c:v>100%</c:v>
                    </c:pt>
                  </c:strCache>
                </c:strRef>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6BE-44EE-BFB4-A4E1C38DC1BA}"/>
                </c:ext>
                <c:ext xmlns:c15="http://schemas.microsoft.com/office/drawing/2012/chart" uri="{CE6537A1-D6FC-4f65-9D91-7224C49458BB}">
                  <c15:dlblFieldTable>
                    <c15:dlblFTEntry>
                      <c15:txfldGUID>{D8937AB8-300E-4B5F-9DC3-78F2803128BA}</c15:txfldGUID>
                      <c15:f>Dams!$F$8</c15:f>
                      <c15:dlblFieldTableCache>
                        <c:ptCount val="1"/>
                        <c:pt idx="0">
                          <c:v>100%</c:v>
                        </c:pt>
                      </c15:dlblFieldTableCache>
                    </c15:dlblFTEntry>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Dams!$C$5:$C$8</c:f>
              <c:strCache>
                <c:ptCount val="4"/>
                <c:pt idx="0">
                  <c:v>Corin Dam</c:v>
                </c:pt>
                <c:pt idx="1">
                  <c:v>Bendora Dam</c:v>
                </c:pt>
                <c:pt idx="2">
                  <c:v>Cotter Dam</c:v>
                </c:pt>
                <c:pt idx="3">
                  <c:v>Googong Dam</c:v>
                </c:pt>
              </c:strCache>
            </c:strRef>
          </c:cat>
          <c:val>
            <c:numRef>
              <c:f>Dams!$D$5:$D$8</c:f>
              <c:numCache>
                <c:formatCode>_(* #,##0.00_);_(* \(#,##0.00\);_(* "-"??_);_(@_)</c:formatCode>
                <c:ptCount val="4"/>
                <c:pt idx="0">
                  <c:v>70.787000000000006</c:v>
                </c:pt>
                <c:pt idx="1">
                  <c:v>11.446</c:v>
                </c:pt>
                <c:pt idx="2">
                  <c:v>76.195999999999998</c:v>
                </c:pt>
                <c:pt idx="3">
                  <c:v>119.40900000000001</c:v>
                </c:pt>
              </c:numCache>
            </c:numRef>
          </c:val>
          <c:extLst xmlns:c16r2="http://schemas.microsoft.com/office/drawing/2015/06/chart">
            <c:ext xmlns:c16="http://schemas.microsoft.com/office/drawing/2014/chart" uri="{C3380CC4-5D6E-409C-BE32-E72D297353CC}">
              <c16:uniqueId val="{00000004-E6BE-44EE-BFB4-A4E1C38DC1BA}"/>
            </c:ext>
          </c:extLst>
        </c:ser>
        <c:ser>
          <c:idx val="1"/>
          <c:order val="1"/>
          <c:tx>
            <c:strRef>
              <c:f>Dams!$E$4</c:f>
              <c:strCache>
                <c:ptCount val="1"/>
                <c:pt idx="0">
                  <c:v>Volume (as at 19 August 2016)</c:v>
                </c:pt>
              </c:strCache>
            </c:strRef>
          </c:tx>
          <c:spPr>
            <a:solidFill>
              <a:schemeClr val="accent1">
                <a:lumMod val="50000"/>
              </a:schemeClr>
            </a:solidFill>
            <a:ln>
              <a:noFill/>
            </a:ln>
            <a:effectLst/>
          </c:spPr>
          <c:invertIfNegative val="0"/>
          <c:dLbls>
            <c:delete val="1"/>
          </c:dLbls>
          <c:cat>
            <c:strRef>
              <c:f>Dams!$C$5:$C$8</c:f>
              <c:strCache>
                <c:ptCount val="4"/>
                <c:pt idx="0">
                  <c:v>Corin Dam</c:v>
                </c:pt>
                <c:pt idx="1">
                  <c:v>Bendora Dam</c:v>
                </c:pt>
                <c:pt idx="2">
                  <c:v>Cotter Dam</c:v>
                </c:pt>
                <c:pt idx="3">
                  <c:v>Googong Dam</c:v>
                </c:pt>
              </c:strCache>
            </c:strRef>
          </c:cat>
          <c:val>
            <c:numRef>
              <c:f>Dams!$E$5:$E$8</c:f>
              <c:numCache>
                <c:formatCode>_(* #,##0.00_);_(* \(#,##0.00\);_(* "-"??_);_(@_)</c:formatCode>
                <c:ptCount val="4"/>
                <c:pt idx="0">
                  <c:v>43.89</c:v>
                </c:pt>
                <c:pt idx="1">
                  <c:v>11.26</c:v>
                </c:pt>
                <c:pt idx="2">
                  <c:v>76.2</c:v>
                </c:pt>
                <c:pt idx="3">
                  <c:v>119.37</c:v>
                </c:pt>
              </c:numCache>
            </c:numRef>
          </c:val>
          <c:extLst xmlns:c16r2="http://schemas.microsoft.com/office/drawing/2015/06/chart">
            <c:ext xmlns:c16="http://schemas.microsoft.com/office/drawing/2014/chart" uri="{C3380CC4-5D6E-409C-BE32-E72D297353CC}">
              <c16:uniqueId val="{00000005-E6BE-44EE-BFB4-A4E1C38DC1BA}"/>
            </c:ext>
          </c:extLst>
        </c:ser>
        <c:dLbls>
          <c:dLblPos val="outEnd"/>
          <c:showLegendKey val="0"/>
          <c:showVal val="1"/>
          <c:showCatName val="0"/>
          <c:showSerName val="0"/>
          <c:showPercent val="0"/>
          <c:showBubbleSize val="0"/>
        </c:dLbls>
        <c:gapWidth val="150"/>
        <c:overlap val="100"/>
        <c:axId val="246471360"/>
        <c:axId val="246471752"/>
      </c:barChart>
      <c:catAx>
        <c:axId val="246471360"/>
        <c:scaling>
          <c:orientation val="minMax"/>
        </c:scaling>
        <c:delete val="0"/>
        <c:axPos val="b"/>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46471752"/>
        <c:crosses val="autoZero"/>
        <c:auto val="1"/>
        <c:lblAlgn val="ctr"/>
        <c:lblOffset val="100"/>
        <c:noMultiLvlLbl val="0"/>
      </c:catAx>
      <c:valAx>
        <c:axId val="246471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Gigalitres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none"/>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46471360"/>
        <c:crosses val="autoZero"/>
        <c:crossBetween val="between"/>
      </c:valAx>
      <c:spPr>
        <a:noFill/>
        <a:ln>
          <a:noFill/>
        </a:ln>
        <a:effectLst/>
      </c:spPr>
    </c:plotArea>
    <c:legend>
      <c:legendPos val="b"/>
      <c:layout>
        <c:manualLayout>
          <c:xMode val="edge"/>
          <c:yMode val="edge"/>
          <c:x val="0.16864285424373321"/>
          <c:y val="0.10668632266172952"/>
          <c:w val="0.58880972779453011"/>
          <c:h val="6.703620187620290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67000586927388"/>
          <c:y val="8.9088398257784765E-2"/>
          <c:w val="0.8452511210789001"/>
          <c:h val="0.74312822593262051"/>
        </c:manualLayout>
      </c:layout>
      <c:barChart>
        <c:barDir val="col"/>
        <c:grouping val="clustered"/>
        <c:varyColors val="0"/>
        <c:ser>
          <c:idx val="0"/>
          <c:order val="0"/>
          <c:tx>
            <c:strRef>
              <c:f>'2 Chart data'!$E$37</c:f>
              <c:strCache>
                <c:ptCount val="1"/>
                <c:pt idx="0">
                  <c:v>ACT &amp;Qb kL/capita</c:v>
                </c:pt>
              </c:strCache>
            </c:strRef>
          </c:tx>
          <c:spPr>
            <a:solidFill>
              <a:schemeClr val="accent1"/>
            </a:solidFill>
          </c:spPr>
          <c:invertIfNegative val="0"/>
          <c:dPt>
            <c:idx val="0"/>
            <c:invertIfNegative val="0"/>
            <c:bubble3D val="0"/>
            <c:spPr>
              <a:solidFill>
                <a:schemeClr val="accent1"/>
              </a:solidFill>
            </c:spPr>
            <c:extLst xmlns:c16r2="http://schemas.microsoft.com/office/drawing/2015/06/chart">
              <c:ext xmlns:c16="http://schemas.microsoft.com/office/drawing/2014/chart" uri="{C3380CC4-5D6E-409C-BE32-E72D297353CC}">
                <c16:uniqueId val="{00000001-B8A5-49F2-8E2F-F014A9EF6968}"/>
              </c:ext>
            </c:extLst>
          </c:dPt>
          <c:cat>
            <c:numRef>
              <c:f>'2 Chart data'!$A$38:$A$55</c:f>
              <c:numCache>
                <c:formatCode>General</c:formatCode>
                <c:ptCount val="18"/>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numCache>
            </c:numRef>
          </c:cat>
          <c:val>
            <c:numRef>
              <c:f>'2 Chart data'!$E$38:$E$55</c:f>
              <c:numCache>
                <c:formatCode>_(* #,##0.00_);_(* \(#,##0.00\);_(* "-"??_);_(@_)</c:formatCode>
                <c:ptCount val="18"/>
                <c:pt idx="0">
                  <c:v>174.79233763525562</c:v>
                </c:pt>
                <c:pt idx="1">
                  <c:v>165.72154601579413</c:v>
                </c:pt>
                <c:pt idx="2">
                  <c:v>176.81134091506411</c:v>
                </c:pt>
                <c:pt idx="3">
                  <c:v>183.4089267604823</c:v>
                </c:pt>
                <c:pt idx="4">
                  <c:v>180.53895084538652</c:v>
                </c:pt>
                <c:pt idx="5">
                  <c:v>143.24032705146666</c:v>
                </c:pt>
                <c:pt idx="6">
                  <c:v>140.53287942327395</c:v>
                </c:pt>
                <c:pt idx="7">
                  <c:v>145.86824180897958</c:v>
                </c:pt>
                <c:pt idx="8">
                  <c:v>134.25818719011448</c:v>
                </c:pt>
                <c:pt idx="9">
                  <c:v>112.59079402265685</c:v>
                </c:pt>
                <c:pt idx="10">
                  <c:v>114.19403011609099</c:v>
                </c:pt>
                <c:pt idx="11">
                  <c:v>112.3507504515165</c:v>
                </c:pt>
                <c:pt idx="12">
                  <c:v>100.26202778622073</c:v>
                </c:pt>
                <c:pt idx="13">
                  <c:v>100.23565773542302</c:v>
                </c:pt>
                <c:pt idx="14">
                  <c:v>113.44652661449908</c:v>
                </c:pt>
                <c:pt idx="15">
                  <c:v>114.34236398875574</c:v>
                </c:pt>
                <c:pt idx="16">
                  <c:v>108.54392186931727</c:v>
                </c:pt>
                <c:pt idx="17">
                  <c:v>113.44647490205882</c:v>
                </c:pt>
              </c:numCache>
            </c:numRef>
          </c:val>
          <c:extLst xmlns:c16r2="http://schemas.microsoft.com/office/drawing/2015/06/chart">
            <c:ext xmlns:c16="http://schemas.microsoft.com/office/drawing/2014/chart" uri="{C3380CC4-5D6E-409C-BE32-E72D297353CC}">
              <c16:uniqueId val="{00000002-B8A5-49F2-8E2F-F014A9EF6968}"/>
            </c:ext>
          </c:extLst>
        </c:ser>
        <c:dLbls>
          <c:showLegendKey val="0"/>
          <c:showVal val="0"/>
          <c:showCatName val="0"/>
          <c:showSerName val="0"/>
          <c:showPercent val="0"/>
          <c:showBubbleSize val="0"/>
        </c:dLbls>
        <c:gapWidth val="150"/>
        <c:axId val="250602144"/>
        <c:axId val="250168744"/>
      </c:barChart>
      <c:lineChart>
        <c:grouping val="standard"/>
        <c:varyColors val="0"/>
        <c:ser>
          <c:idx val="1"/>
          <c:order val="1"/>
          <c:tx>
            <c:strRef>
              <c:f>'2 Chart data'!$F$37</c:f>
              <c:strCache>
                <c:ptCount val="1"/>
                <c:pt idx="0">
                  <c:v>Average</c:v>
                </c:pt>
              </c:strCache>
            </c:strRef>
          </c:tx>
          <c:spPr>
            <a:ln>
              <a:solidFill>
                <a:srgbClr val="C00000"/>
              </a:solidFill>
            </a:ln>
          </c:spPr>
          <c:marker>
            <c:symbol val="none"/>
          </c:marker>
          <c:val>
            <c:numRef>
              <c:f>'2 Chart data'!$F$38:$F$55</c:f>
              <c:numCache>
                <c:formatCode>_-* #,##0_-;\-* #,##0_-;_-* "-"??_-;_-@_-</c:formatCode>
                <c:ptCount val="18"/>
                <c:pt idx="0">
                  <c:v>163.86431880696287</c:v>
                </c:pt>
                <c:pt idx="1">
                  <c:v>163.86431880696287</c:v>
                </c:pt>
                <c:pt idx="2">
                  <c:v>163.86431880696287</c:v>
                </c:pt>
                <c:pt idx="3">
                  <c:v>163.86431880696287</c:v>
                </c:pt>
                <c:pt idx="4">
                  <c:v>163.86431880696287</c:v>
                </c:pt>
                <c:pt idx="5">
                  <c:v>163.86431880696287</c:v>
                </c:pt>
                <c:pt idx="6">
                  <c:v>163.86431880696287</c:v>
                </c:pt>
                <c:pt idx="7">
                  <c:v>163.86431880696287</c:v>
                </c:pt>
                <c:pt idx="8">
                  <c:v>112.36707346766534</c:v>
                </c:pt>
                <c:pt idx="9">
                  <c:v>112.36707346766534</c:v>
                </c:pt>
                <c:pt idx="10">
                  <c:v>112.36707346766534</c:v>
                </c:pt>
                <c:pt idx="11">
                  <c:v>112.36707346766534</c:v>
                </c:pt>
                <c:pt idx="12">
                  <c:v>112.36707346766534</c:v>
                </c:pt>
                <c:pt idx="13">
                  <c:v>112.36707346766534</c:v>
                </c:pt>
                <c:pt idx="14">
                  <c:v>112.36707346766534</c:v>
                </c:pt>
                <c:pt idx="15">
                  <c:v>112.36707346766534</c:v>
                </c:pt>
                <c:pt idx="16">
                  <c:v>112.36707346766534</c:v>
                </c:pt>
                <c:pt idx="17">
                  <c:v>112.36707346766534</c:v>
                </c:pt>
              </c:numCache>
            </c:numRef>
          </c:val>
          <c:smooth val="0"/>
          <c:extLst xmlns:c16r2="http://schemas.microsoft.com/office/drawing/2015/06/chart">
            <c:ext xmlns:c16="http://schemas.microsoft.com/office/drawing/2014/chart" uri="{C3380CC4-5D6E-409C-BE32-E72D297353CC}">
              <c16:uniqueId val="{00000003-B8A5-49F2-8E2F-F014A9EF6968}"/>
            </c:ext>
          </c:extLst>
        </c:ser>
        <c:dLbls>
          <c:showLegendKey val="0"/>
          <c:showVal val="0"/>
          <c:showCatName val="0"/>
          <c:showSerName val="0"/>
          <c:showPercent val="0"/>
          <c:showBubbleSize val="0"/>
        </c:dLbls>
        <c:marker val="1"/>
        <c:smooth val="0"/>
        <c:axId val="250579824"/>
        <c:axId val="250169136"/>
      </c:lineChart>
      <c:catAx>
        <c:axId val="250602144"/>
        <c:scaling>
          <c:orientation val="minMax"/>
        </c:scaling>
        <c:delete val="0"/>
        <c:axPos val="b"/>
        <c:numFmt formatCode="General" sourceLinked="1"/>
        <c:majorTickMark val="out"/>
        <c:minorTickMark val="none"/>
        <c:tickLblPos val="nextTo"/>
        <c:txPr>
          <a:bodyPr/>
          <a:lstStyle/>
          <a:p>
            <a:pPr>
              <a:defRPr sz="700"/>
            </a:pPr>
            <a:endParaRPr lang="en-US"/>
          </a:p>
        </c:txPr>
        <c:crossAx val="250168744"/>
        <c:crosses val="autoZero"/>
        <c:auto val="1"/>
        <c:lblAlgn val="ctr"/>
        <c:lblOffset val="100"/>
        <c:noMultiLvlLbl val="0"/>
      </c:catAx>
      <c:valAx>
        <c:axId val="250168744"/>
        <c:scaling>
          <c:orientation val="minMax"/>
        </c:scaling>
        <c:delete val="0"/>
        <c:axPos val="l"/>
        <c:majorGridlines>
          <c:spPr>
            <a:ln w="3175"/>
          </c:spPr>
        </c:majorGridlines>
        <c:title>
          <c:tx>
            <c:rich>
              <a:bodyPr rot="-5400000" vert="horz"/>
              <a:lstStyle/>
              <a:p>
                <a:pPr>
                  <a:defRPr sz="1000" b="0"/>
                </a:pPr>
                <a:r>
                  <a:rPr lang="en-US" sz="1000" b="0"/>
                  <a:t>Megalitres</a:t>
                </a:r>
              </a:p>
            </c:rich>
          </c:tx>
          <c:layout>
            <c:manualLayout>
              <c:xMode val="edge"/>
              <c:yMode val="edge"/>
              <c:x val="1.9662216444789875E-2"/>
              <c:y val="0.29373231896003482"/>
            </c:manualLayout>
          </c:layout>
          <c:overlay val="0"/>
        </c:title>
        <c:numFmt formatCode="#,##0" sourceLinked="0"/>
        <c:majorTickMark val="out"/>
        <c:minorTickMark val="none"/>
        <c:tickLblPos val="nextTo"/>
        <c:txPr>
          <a:bodyPr/>
          <a:lstStyle/>
          <a:p>
            <a:pPr>
              <a:defRPr sz="800"/>
            </a:pPr>
            <a:endParaRPr lang="en-US"/>
          </a:p>
        </c:txPr>
        <c:crossAx val="250602144"/>
        <c:crosses val="autoZero"/>
        <c:crossBetween val="between"/>
        <c:majorUnit val="30"/>
      </c:valAx>
      <c:valAx>
        <c:axId val="250169136"/>
        <c:scaling>
          <c:orientation val="minMax"/>
        </c:scaling>
        <c:delete val="1"/>
        <c:axPos val="r"/>
        <c:numFmt formatCode="_-* #,##0_-;\-* #,##0_-;_-* &quot;-&quot;??_-;_-@_-" sourceLinked="1"/>
        <c:majorTickMark val="out"/>
        <c:minorTickMark val="none"/>
        <c:tickLblPos val="none"/>
        <c:crossAx val="250579824"/>
        <c:crosses val="max"/>
        <c:crossBetween val="between"/>
      </c:valAx>
      <c:catAx>
        <c:axId val="250579824"/>
        <c:scaling>
          <c:orientation val="minMax"/>
        </c:scaling>
        <c:delete val="1"/>
        <c:axPos val="b"/>
        <c:majorTickMark val="out"/>
        <c:minorTickMark val="none"/>
        <c:tickLblPos val="none"/>
        <c:crossAx val="250169136"/>
        <c:crosses val="autoZero"/>
        <c:auto val="1"/>
        <c:lblAlgn val="ctr"/>
        <c:lblOffset val="100"/>
        <c:noMultiLvlLbl val="0"/>
      </c:catAx>
    </c:plotArea>
    <c:plotVisOnly val="1"/>
    <c:dispBlanksAs val="gap"/>
    <c:showDLblsOverMax val="0"/>
  </c:chart>
  <c:spPr>
    <a:ln>
      <a:solidFill>
        <a:schemeClr val="tx1">
          <a:tint val="75000"/>
          <a:shade val="95000"/>
          <a:satMod val="105000"/>
        </a:schemeClr>
      </a:solidFill>
    </a:ln>
  </c:spPr>
  <c:txPr>
    <a:bodyPr/>
    <a:lstStyle/>
    <a:p>
      <a:pPr>
        <a:defRPr sz="1400"/>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310055070116624"/>
          <c:y val="2.3210519055565853E-2"/>
          <c:w val="0.84030238017680026"/>
          <c:h val="0.87407056358620805"/>
        </c:manualLayout>
      </c:layout>
      <c:scatterChart>
        <c:scatterStyle val="lineMarker"/>
        <c:varyColors val="0"/>
        <c:ser>
          <c:idx val="3"/>
          <c:order val="4"/>
          <c:tx>
            <c:strRef>
              <c:f>'Probability of Restrictions'!$E$1</c:f>
              <c:strCache>
                <c:ptCount val="1"/>
                <c:pt idx="0">
                  <c:v>1 Minor demand growth</c:v>
                </c:pt>
              </c:strCache>
            </c:strRef>
          </c:tx>
          <c:spPr>
            <a:ln w="31750">
              <a:prstDash val="sysDash"/>
            </a:ln>
          </c:spPr>
          <c:marker>
            <c:symbol val="none"/>
          </c:marker>
          <c:xVal>
            <c:numRef>
              <c:f>'Probability of Restrictions'!$A$4:$A$50</c:f>
              <c:numCache>
                <c:formatCode>General</c:formatCode>
                <c:ptCount val="47"/>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pt idx="40">
                  <c:v>2056</c:v>
                </c:pt>
                <c:pt idx="41">
                  <c:v>2057</c:v>
                </c:pt>
                <c:pt idx="42">
                  <c:v>2058</c:v>
                </c:pt>
                <c:pt idx="43">
                  <c:v>2059</c:v>
                </c:pt>
                <c:pt idx="44">
                  <c:v>2060</c:v>
                </c:pt>
                <c:pt idx="45">
                  <c:v>2061</c:v>
                </c:pt>
                <c:pt idx="46">
                  <c:v>2062</c:v>
                </c:pt>
              </c:numCache>
            </c:numRef>
          </c:xVal>
          <c:yVal>
            <c:numRef>
              <c:f>'Probability of Restrictions'!$E$4:$E$50</c:f>
              <c:numCache>
                <c:formatCode>0.0%</c:formatCode>
                <c:ptCount val="47"/>
                <c:pt idx="0">
                  <c:v>0</c:v>
                </c:pt>
                <c:pt idx="1">
                  <c:v>1E-3</c:v>
                </c:pt>
                <c:pt idx="2">
                  <c:v>3.0000000000000001E-3</c:v>
                </c:pt>
                <c:pt idx="3">
                  <c:v>8.9999999999999993E-3</c:v>
                </c:pt>
                <c:pt idx="4">
                  <c:v>1.2999999999999999E-2</c:v>
                </c:pt>
                <c:pt idx="5">
                  <c:v>1.7000000000000001E-2</c:v>
                </c:pt>
                <c:pt idx="6">
                  <c:v>1.7000000000000001E-2</c:v>
                </c:pt>
                <c:pt idx="7">
                  <c:v>1.7000000000000001E-2</c:v>
                </c:pt>
                <c:pt idx="8">
                  <c:v>1.4999999999999999E-2</c:v>
                </c:pt>
                <c:pt idx="9">
                  <c:v>1.2E-2</c:v>
                </c:pt>
                <c:pt idx="10">
                  <c:v>1.4999999999999999E-2</c:v>
                </c:pt>
                <c:pt idx="11">
                  <c:v>1.7000000000000001E-2</c:v>
                </c:pt>
                <c:pt idx="12">
                  <c:v>1.7999999999999999E-2</c:v>
                </c:pt>
                <c:pt idx="13">
                  <c:v>1.4E-2</c:v>
                </c:pt>
                <c:pt idx="14">
                  <c:v>1.2E-2</c:v>
                </c:pt>
                <c:pt idx="15">
                  <c:v>1.2E-2</c:v>
                </c:pt>
                <c:pt idx="16">
                  <c:v>1.2999999999999999E-2</c:v>
                </c:pt>
                <c:pt idx="17">
                  <c:v>1.2999999999999999E-2</c:v>
                </c:pt>
                <c:pt idx="18">
                  <c:v>1.2999999999999999E-2</c:v>
                </c:pt>
                <c:pt idx="19">
                  <c:v>1.4E-2</c:v>
                </c:pt>
                <c:pt idx="20">
                  <c:v>0.02</c:v>
                </c:pt>
                <c:pt idx="21">
                  <c:v>2.4E-2</c:v>
                </c:pt>
                <c:pt idx="22">
                  <c:v>2.7E-2</c:v>
                </c:pt>
                <c:pt idx="23">
                  <c:v>2.5999999999999999E-2</c:v>
                </c:pt>
                <c:pt idx="24">
                  <c:v>2.4E-2</c:v>
                </c:pt>
                <c:pt idx="25">
                  <c:v>2.4E-2</c:v>
                </c:pt>
                <c:pt idx="26">
                  <c:v>2.4E-2</c:v>
                </c:pt>
                <c:pt idx="27">
                  <c:v>2.7E-2</c:v>
                </c:pt>
                <c:pt idx="28">
                  <c:v>3.2000000000000001E-2</c:v>
                </c:pt>
                <c:pt idx="29">
                  <c:v>3.7999999999999999E-2</c:v>
                </c:pt>
                <c:pt idx="30">
                  <c:v>3.2000000000000001E-2</c:v>
                </c:pt>
                <c:pt idx="31">
                  <c:v>2.5000000000000001E-2</c:v>
                </c:pt>
                <c:pt idx="32">
                  <c:v>2.5999999999999999E-2</c:v>
                </c:pt>
                <c:pt idx="33">
                  <c:v>0.03</c:v>
                </c:pt>
                <c:pt idx="34">
                  <c:v>3.4000000000000002E-2</c:v>
                </c:pt>
                <c:pt idx="35">
                  <c:v>2.9000000000000001E-2</c:v>
                </c:pt>
                <c:pt idx="36">
                  <c:v>2.9000000000000001E-2</c:v>
                </c:pt>
                <c:pt idx="37">
                  <c:v>0.03</c:v>
                </c:pt>
                <c:pt idx="38">
                  <c:v>2.9000000000000001E-2</c:v>
                </c:pt>
                <c:pt idx="39">
                  <c:v>3.1E-2</c:v>
                </c:pt>
                <c:pt idx="40">
                  <c:v>2.9000000000000001E-2</c:v>
                </c:pt>
                <c:pt idx="41">
                  <c:v>3.3000000000000002E-2</c:v>
                </c:pt>
                <c:pt idx="42">
                  <c:v>0.04</c:v>
                </c:pt>
                <c:pt idx="43">
                  <c:v>4.5999999999999999E-2</c:v>
                </c:pt>
                <c:pt idx="44">
                  <c:v>3.7999999999999999E-2</c:v>
                </c:pt>
                <c:pt idx="45">
                  <c:v>5.2999999999999999E-2</c:v>
                </c:pt>
                <c:pt idx="46">
                  <c:v>5.2999999999999999E-2</c:v>
                </c:pt>
              </c:numCache>
            </c:numRef>
          </c:yVal>
          <c:smooth val="0"/>
          <c:extLst xmlns:c16r2="http://schemas.microsoft.com/office/drawing/2015/06/chart">
            <c:ext xmlns:c16="http://schemas.microsoft.com/office/drawing/2014/chart" uri="{C3380CC4-5D6E-409C-BE32-E72D297353CC}">
              <c16:uniqueId val="{00000000-4ED1-4366-96F9-3217C57851DD}"/>
            </c:ext>
          </c:extLst>
        </c:ser>
        <c:ser>
          <c:idx val="5"/>
          <c:order val="5"/>
          <c:tx>
            <c:strRef>
              <c:f>'Probability of Restrictions'!$G$1</c:f>
              <c:strCache>
                <c:ptCount val="1"/>
                <c:pt idx="0">
                  <c:v>2 Medium demand growth</c:v>
                </c:pt>
              </c:strCache>
            </c:strRef>
          </c:tx>
          <c:spPr>
            <a:ln w="31750"/>
          </c:spPr>
          <c:marker>
            <c:symbol val="none"/>
          </c:marker>
          <c:xVal>
            <c:numRef>
              <c:f>'Probability of Restrictions'!$A$4:$A$50</c:f>
              <c:numCache>
                <c:formatCode>General</c:formatCode>
                <c:ptCount val="47"/>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pt idx="40">
                  <c:v>2056</c:v>
                </c:pt>
                <c:pt idx="41">
                  <c:v>2057</c:v>
                </c:pt>
                <c:pt idx="42">
                  <c:v>2058</c:v>
                </c:pt>
                <c:pt idx="43">
                  <c:v>2059</c:v>
                </c:pt>
                <c:pt idx="44">
                  <c:v>2060</c:v>
                </c:pt>
                <c:pt idx="45">
                  <c:v>2061</c:v>
                </c:pt>
                <c:pt idx="46">
                  <c:v>2062</c:v>
                </c:pt>
              </c:numCache>
            </c:numRef>
          </c:xVal>
          <c:yVal>
            <c:numRef>
              <c:f>'Probability of Restrictions'!$G$4:$G$50</c:f>
              <c:numCache>
                <c:formatCode>0.0%</c:formatCode>
                <c:ptCount val="47"/>
                <c:pt idx="0">
                  <c:v>0</c:v>
                </c:pt>
                <c:pt idx="1">
                  <c:v>1E-3</c:v>
                </c:pt>
                <c:pt idx="2">
                  <c:v>7.0000000000000001E-3</c:v>
                </c:pt>
                <c:pt idx="3">
                  <c:v>0.01</c:v>
                </c:pt>
                <c:pt idx="4">
                  <c:v>1.4E-2</c:v>
                </c:pt>
                <c:pt idx="5">
                  <c:v>0.02</c:v>
                </c:pt>
                <c:pt idx="6">
                  <c:v>2.1000000000000001E-2</c:v>
                </c:pt>
                <c:pt idx="7">
                  <c:v>2.3E-2</c:v>
                </c:pt>
                <c:pt idx="8">
                  <c:v>2.1999999999999999E-2</c:v>
                </c:pt>
                <c:pt idx="9">
                  <c:v>1.7000000000000001E-2</c:v>
                </c:pt>
                <c:pt idx="10">
                  <c:v>1.9E-2</c:v>
                </c:pt>
                <c:pt idx="11">
                  <c:v>0.02</c:v>
                </c:pt>
                <c:pt idx="12">
                  <c:v>2.3E-2</c:v>
                </c:pt>
                <c:pt idx="13">
                  <c:v>0.02</c:v>
                </c:pt>
                <c:pt idx="14">
                  <c:v>1.9E-2</c:v>
                </c:pt>
                <c:pt idx="15">
                  <c:v>0.02</c:v>
                </c:pt>
                <c:pt idx="16">
                  <c:v>2.1999999999999999E-2</c:v>
                </c:pt>
                <c:pt idx="17">
                  <c:v>2.5000000000000001E-2</c:v>
                </c:pt>
                <c:pt idx="18">
                  <c:v>2.7E-2</c:v>
                </c:pt>
                <c:pt idx="19">
                  <c:v>2.5999999999999999E-2</c:v>
                </c:pt>
                <c:pt idx="20">
                  <c:v>3.7999999999999999E-2</c:v>
                </c:pt>
                <c:pt idx="21">
                  <c:v>3.9E-2</c:v>
                </c:pt>
                <c:pt idx="22">
                  <c:v>3.6999999999999998E-2</c:v>
                </c:pt>
                <c:pt idx="23">
                  <c:v>3.9E-2</c:v>
                </c:pt>
                <c:pt idx="24">
                  <c:v>4.1000000000000002E-2</c:v>
                </c:pt>
                <c:pt idx="25">
                  <c:v>4.2999999999999997E-2</c:v>
                </c:pt>
                <c:pt idx="26">
                  <c:v>4.3999999999999997E-2</c:v>
                </c:pt>
                <c:pt idx="27">
                  <c:v>4.7E-2</c:v>
                </c:pt>
                <c:pt idx="28">
                  <c:v>5.3999999999999999E-2</c:v>
                </c:pt>
                <c:pt idx="29">
                  <c:v>6.2E-2</c:v>
                </c:pt>
                <c:pt idx="30">
                  <c:v>5.6000000000000001E-2</c:v>
                </c:pt>
                <c:pt idx="31">
                  <c:v>0.06</c:v>
                </c:pt>
                <c:pt idx="32">
                  <c:v>5.5E-2</c:v>
                </c:pt>
                <c:pt idx="33">
                  <c:v>5.5E-2</c:v>
                </c:pt>
                <c:pt idx="34">
                  <c:v>5.5E-2</c:v>
                </c:pt>
                <c:pt idx="35">
                  <c:v>0.06</c:v>
                </c:pt>
                <c:pt idx="36">
                  <c:v>5.7000000000000002E-2</c:v>
                </c:pt>
                <c:pt idx="37">
                  <c:v>5.7000000000000002E-2</c:v>
                </c:pt>
                <c:pt idx="38">
                  <c:v>0.06</c:v>
                </c:pt>
                <c:pt idx="39">
                  <c:v>6.3E-2</c:v>
                </c:pt>
                <c:pt idx="40">
                  <c:v>6.5000000000000002E-2</c:v>
                </c:pt>
                <c:pt idx="41">
                  <c:v>7.4999999999999997E-2</c:v>
                </c:pt>
                <c:pt idx="42">
                  <c:v>9.1999999999999998E-2</c:v>
                </c:pt>
                <c:pt idx="43">
                  <c:v>0.10199999999999999</c:v>
                </c:pt>
                <c:pt idx="44">
                  <c:v>0.1</c:v>
                </c:pt>
                <c:pt idx="45">
                  <c:v>0.112</c:v>
                </c:pt>
                <c:pt idx="46">
                  <c:v>0.112</c:v>
                </c:pt>
              </c:numCache>
            </c:numRef>
          </c:yVal>
          <c:smooth val="0"/>
          <c:extLst xmlns:c16r2="http://schemas.microsoft.com/office/drawing/2015/06/chart">
            <c:ext xmlns:c16="http://schemas.microsoft.com/office/drawing/2014/chart" uri="{C3380CC4-5D6E-409C-BE32-E72D297353CC}">
              <c16:uniqueId val="{00000001-4ED1-4366-96F9-3217C57851DD}"/>
            </c:ext>
          </c:extLst>
        </c:ser>
        <c:ser>
          <c:idx val="7"/>
          <c:order val="6"/>
          <c:tx>
            <c:strRef>
              <c:f>'Probability of Restrictions'!$I$1</c:f>
              <c:strCache>
                <c:ptCount val="1"/>
                <c:pt idx="0">
                  <c:v>3 High demand growth</c:v>
                </c:pt>
              </c:strCache>
            </c:strRef>
          </c:tx>
          <c:spPr>
            <a:ln w="31750">
              <a:solidFill>
                <a:srgbClr val="0070C0"/>
              </a:solidFill>
              <a:prstDash val="dash"/>
            </a:ln>
          </c:spPr>
          <c:marker>
            <c:symbol val="none"/>
          </c:marker>
          <c:xVal>
            <c:numRef>
              <c:f>'Probability of Restrictions'!$A$4:$A$50</c:f>
              <c:numCache>
                <c:formatCode>General</c:formatCode>
                <c:ptCount val="47"/>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pt idx="40">
                  <c:v>2056</c:v>
                </c:pt>
                <c:pt idx="41">
                  <c:v>2057</c:v>
                </c:pt>
                <c:pt idx="42">
                  <c:v>2058</c:v>
                </c:pt>
                <c:pt idx="43">
                  <c:v>2059</c:v>
                </c:pt>
                <c:pt idx="44">
                  <c:v>2060</c:v>
                </c:pt>
                <c:pt idx="45">
                  <c:v>2061</c:v>
                </c:pt>
                <c:pt idx="46">
                  <c:v>2062</c:v>
                </c:pt>
              </c:numCache>
            </c:numRef>
          </c:xVal>
          <c:yVal>
            <c:numRef>
              <c:f>'Probability of Restrictions'!$I$4:$I$50</c:f>
              <c:numCache>
                <c:formatCode>0.0%</c:formatCode>
                <c:ptCount val="47"/>
                <c:pt idx="0">
                  <c:v>0</c:v>
                </c:pt>
                <c:pt idx="1">
                  <c:v>2E-3</c:v>
                </c:pt>
                <c:pt idx="2">
                  <c:v>6.0000000000000001E-3</c:v>
                </c:pt>
                <c:pt idx="3">
                  <c:v>1.0999999999999999E-2</c:v>
                </c:pt>
                <c:pt idx="4">
                  <c:v>1.4999999999999999E-2</c:v>
                </c:pt>
                <c:pt idx="5">
                  <c:v>2.1999999999999999E-2</c:v>
                </c:pt>
                <c:pt idx="6">
                  <c:v>2.1999999999999999E-2</c:v>
                </c:pt>
                <c:pt idx="7">
                  <c:v>2.4E-2</c:v>
                </c:pt>
                <c:pt idx="8">
                  <c:v>2.9000000000000001E-2</c:v>
                </c:pt>
                <c:pt idx="9">
                  <c:v>2.4E-2</c:v>
                </c:pt>
                <c:pt idx="10">
                  <c:v>2.4E-2</c:v>
                </c:pt>
                <c:pt idx="11">
                  <c:v>2.9000000000000001E-2</c:v>
                </c:pt>
                <c:pt idx="12">
                  <c:v>3.1E-2</c:v>
                </c:pt>
                <c:pt idx="13">
                  <c:v>3.5999999999999997E-2</c:v>
                </c:pt>
                <c:pt idx="14">
                  <c:v>3.3000000000000002E-2</c:v>
                </c:pt>
                <c:pt idx="15">
                  <c:v>3.6999999999999998E-2</c:v>
                </c:pt>
                <c:pt idx="16">
                  <c:v>4.3999999999999997E-2</c:v>
                </c:pt>
                <c:pt idx="17">
                  <c:v>4.2000000000000003E-2</c:v>
                </c:pt>
                <c:pt idx="18">
                  <c:v>4.1000000000000002E-2</c:v>
                </c:pt>
                <c:pt idx="19">
                  <c:v>4.7E-2</c:v>
                </c:pt>
                <c:pt idx="20">
                  <c:v>5.7000000000000002E-2</c:v>
                </c:pt>
                <c:pt idx="21">
                  <c:v>0.06</c:v>
                </c:pt>
                <c:pt idx="22">
                  <c:v>6.2E-2</c:v>
                </c:pt>
                <c:pt idx="23">
                  <c:v>7.1999999999999995E-2</c:v>
                </c:pt>
                <c:pt idx="24">
                  <c:v>8.2000000000000003E-2</c:v>
                </c:pt>
                <c:pt idx="25">
                  <c:v>8.5999999999999993E-2</c:v>
                </c:pt>
                <c:pt idx="26">
                  <c:v>9.6000000000000002E-2</c:v>
                </c:pt>
                <c:pt idx="27">
                  <c:v>0.107</c:v>
                </c:pt>
                <c:pt idx="28">
                  <c:v>0.11799999999999999</c:v>
                </c:pt>
                <c:pt idx="29">
                  <c:v>0.126</c:v>
                </c:pt>
                <c:pt idx="30">
                  <c:v>0.13900000000000001</c:v>
                </c:pt>
                <c:pt idx="31">
                  <c:v>0.14699999999999999</c:v>
                </c:pt>
                <c:pt idx="32">
                  <c:v>0.151</c:v>
                </c:pt>
                <c:pt idx="33">
                  <c:v>0.153</c:v>
                </c:pt>
                <c:pt idx="34">
                  <c:v>0.16800000000000001</c:v>
                </c:pt>
                <c:pt idx="35">
                  <c:v>0.189</c:v>
                </c:pt>
                <c:pt idx="36">
                  <c:v>0.188</c:v>
                </c:pt>
                <c:pt idx="37">
                  <c:v>0.20200000000000001</c:v>
                </c:pt>
                <c:pt idx="38">
                  <c:v>0.223</c:v>
                </c:pt>
                <c:pt idx="39">
                  <c:v>0.23300000000000001</c:v>
                </c:pt>
                <c:pt idx="40">
                  <c:v>0.23300000000000001</c:v>
                </c:pt>
                <c:pt idx="41">
                  <c:v>0.26300000000000001</c:v>
                </c:pt>
                <c:pt idx="42">
                  <c:v>0.28699999999999998</c:v>
                </c:pt>
                <c:pt idx="43">
                  <c:v>0.29899999999999999</c:v>
                </c:pt>
                <c:pt idx="44">
                  <c:v>0.313</c:v>
                </c:pt>
                <c:pt idx="45">
                  <c:v>0.33400000000000002</c:v>
                </c:pt>
                <c:pt idx="46">
                  <c:v>0.33300000000000002</c:v>
                </c:pt>
              </c:numCache>
            </c:numRef>
          </c:yVal>
          <c:smooth val="0"/>
          <c:extLst xmlns:c16r2="http://schemas.microsoft.com/office/drawing/2015/06/chart">
            <c:ext xmlns:c16="http://schemas.microsoft.com/office/drawing/2014/chart" uri="{C3380CC4-5D6E-409C-BE32-E72D297353CC}">
              <c16:uniqueId val="{00000002-4ED1-4366-96F9-3217C57851DD}"/>
            </c:ext>
          </c:extLst>
        </c:ser>
        <c:ser>
          <c:idx val="8"/>
          <c:order val="7"/>
          <c:tx>
            <c:strRef>
              <c:f>'Probability of Restrictions'!$J$1</c:f>
              <c:strCache>
                <c:ptCount val="1"/>
                <c:pt idx="0">
                  <c:v>5 per cent water security target</c:v>
                </c:pt>
              </c:strCache>
            </c:strRef>
          </c:tx>
          <c:spPr>
            <a:ln w="19050" cmpd="sng">
              <a:solidFill>
                <a:srgbClr val="C00000"/>
              </a:solidFill>
              <a:prstDash val="solid"/>
            </a:ln>
          </c:spPr>
          <c:marker>
            <c:symbol val="none"/>
          </c:marker>
          <c:xVal>
            <c:numRef>
              <c:f>'Probability of Restrictions'!$A$4:$A$50</c:f>
              <c:numCache>
                <c:formatCode>General</c:formatCode>
                <c:ptCount val="47"/>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pt idx="40">
                  <c:v>2056</c:v>
                </c:pt>
                <c:pt idx="41">
                  <c:v>2057</c:v>
                </c:pt>
                <c:pt idx="42">
                  <c:v>2058</c:v>
                </c:pt>
                <c:pt idx="43">
                  <c:v>2059</c:v>
                </c:pt>
                <c:pt idx="44">
                  <c:v>2060</c:v>
                </c:pt>
                <c:pt idx="45">
                  <c:v>2061</c:v>
                </c:pt>
                <c:pt idx="46">
                  <c:v>2062</c:v>
                </c:pt>
              </c:numCache>
            </c:numRef>
          </c:xVal>
          <c:yVal>
            <c:numRef>
              <c:f>'Probability of Restrictions'!$J$4:$J$50</c:f>
              <c:numCache>
                <c:formatCode>0.0%</c:formatCode>
                <c:ptCount val="47"/>
                <c:pt idx="0">
                  <c:v>0.05</c:v>
                </c:pt>
                <c:pt idx="1">
                  <c:v>0.05</c:v>
                </c:pt>
                <c:pt idx="2">
                  <c:v>0.05</c:v>
                </c:pt>
                <c:pt idx="3">
                  <c:v>0.05</c:v>
                </c:pt>
                <c:pt idx="4">
                  <c:v>0.05</c:v>
                </c:pt>
                <c:pt idx="5">
                  <c:v>0.05</c:v>
                </c:pt>
                <c:pt idx="6">
                  <c:v>0.05</c:v>
                </c:pt>
                <c:pt idx="7">
                  <c:v>0.05</c:v>
                </c:pt>
                <c:pt idx="8">
                  <c:v>0.05</c:v>
                </c:pt>
                <c:pt idx="9">
                  <c:v>0.05</c:v>
                </c:pt>
                <c:pt idx="10">
                  <c:v>0.05</c:v>
                </c:pt>
                <c:pt idx="11">
                  <c:v>0.05</c:v>
                </c:pt>
                <c:pt idx="12">
                  <c:v>0.05</c:v>
                </c:pt>
                <c:pt idx="13">
                  <c:v>0.05</c:v>
                </c:pt>
                <c:pt idx="14">
                  <c:v>0.05</c:v>
                </c:pt>
                <c:pt idx="15">
                  <c:v>0.05</c:v>
                </c:pt>
                <c:pt idx="16">
                  <c:v>0.05</c:v>
                </c:pt>
                <c:pt idx="17">
                  <c:v>0.05</c:v>
                </c:pt>
                <c:pt idx="18">
                  <c:v>0.05</c:v>
                </c:pt>
                <c:pt idx="19">
                  <c:v>0.05</c:v>
                </c:pt>
                <c:pt idx="20">
                  <c:v>0.05</c:v>
                </c:pt>
                <c:pt idx="21">
                  <c:v>0.05</c:v>
                </c:pt>
                <c:pt idx="22">
                  <c:v>0.05</c:v>
                </c:pt>
                <c:pt idx="23">
                  <c:v>0.05</c:v>
                </c:pt>
                <c:pt idx="24">
                  <c:v>0.05</c:v>
                </c:pt>
                <c:pt idx="25">
                  <c:v>0.05</c:v>
                </c:pt>
                <c:pt idx="26">
                  <c:v>0.05</c:v>
                </c:pt>
                <c:pt idx="27">
                  <c:v>0.05</c:v>
                </c:pt>
                <c:pt idx="28">
                  <c:v>0.05</c:v>
                </c:pt>
                <c:pt idx="29">
                  <c:v>0.05</c:v>
                </c:pt>
                <c:pt idx="30">
                  <c:v>0.05</c:v>
                </c:pt>
                <c:pt idx="31">
                  <c:v>0.05</c:v>
                </c:pt>
                <c:pt idx="32">
                  <c:v>0.05</c:v>
                </c:pt>
                <c:pt idx="33">
                  <c:v>0.05</c:v>
                </c:pt>
                <c:pt idx="34">
                  <c:v>0.05</c:v>
                </c:pt>
                <c:pt idx="35">
                  <c:v>0.05</c:v>
                </c:pt>
                <c:pt idx="36">
                  <c:v>0.05</c:v>
                </c:pt>
                <c:pt idx="37">
                  <c:v>0.05</c:v>
                </c:pt>
                <c:pt idx="38">
                  <c:v>0.05</c:v>
                </c:pt>
                <c:pt idx="39">
                  <c:v>0.05</c:v>
                </c:pt>
                <c:pt idx="40">
                  <c:v>0.05</c:v>
                </c:pt>
                <c:pt idx="41">
                  <c:v>0.05</c:v>
                </c:pt>
                <c:pt idx="42">
                  <c:v>0.05</c:v>
                </c:pt>
                <c:pt idx="43">
                  <c:v>0.05</c:v>
                </c:pt>
                <c:pt idx="44">
                  <c:v>0.05</c:v>
                </c:pt>
                <c:pt idx="45">
                  <c:v>0.05</c:v>
                </c:pt>
                <c:pt idx="46">
                  <c:v>0.05</c:v>
                </c:pt>
              </c:numCache>
            </c:numRef>
          </c:yVal>
          <c:smooth val="0"/>
          <c:extLst xmlns:c16r2="http://schemas.microsoft.com/office/drawing/2015/06/chart">
            <c:ext xmlns:c16="http://schemas.microsoft.com/office/drawing/2014/chart" uri="{C3380CC4-5D6E-409C-BE32-E72D297353CC}">
              <c16:uniqueId val="{00000003-4ED1-4366-96F9-3217C57851DD}"/>
            </c:ext>
          </c:extLst>
        </c:ser>
        <c:dLbls>
          <c:showLegendKey val="0"/>
          <c:showVal val="0"/>
          <c:showCatName val="0"/>
          <c:showSerName val="0"/>
          <c:showPercent val="0"/>
          <c:showBubbleSize val="0"/>
        </c:dLbls>
        <c:axId val="245724680"/>
        <c:axId val="245725072"/>
        <c:extLst xmlns:c16r2="http://schemas.microsoft.com/office/drawing/2015/06/chart">
          <c:ext xmlns:c15="http://schemas.microsoft.com/office/drawing/2012/chart" uri="{02D57815-91ED-43cb-92C2-25804820EDAC}">
            <c15:filteredScatterSeries>
              <c15:ser>
                <c:idx val="0"/>
                <c:order val="0"/>
                <c:tx>
                  <c:v>Scenario 1</c:v>
                </c:tx>
                <c:marker>
                  <c:symbol val="none"/>
                </c:marker>
                <c:xVal>
                  <c:numRef>
                    <c:extLst xmlns:c16r2="http://schemas.microsoft.com/office/drawing/2015/06/chart">
                      <c:ext uri="{02D57815-91ED-43cb-92C2-25804820EDAC}">
                        <c15:formulaRef>
                          <c15:sqref>'Probability of Restrictions'!$A$4:$A$50</c15:sqref>
                        </c15:formulaRef>
                      </c:ext>
                    </c:extLst>
                    <c:numCache>
                      <c:formatCode>General</c:formatCode>
                      <c:ptCount val="47"/>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pt idx="40">
                        <c:v>2056</c:v>
                      </c:pt>
                      <c:pt idx="41">
                        <c:v>2057</c:v>
                      </c:pt>
                      <c:pt idx="42">
                        <c:v>2058</c:v>
                      </c:pt>
                      <c:pt idx="43">
                        <c:v>2059</c:v>
                      </c:pt>
                      <c:pt idx="44">
                        <c:v>2060</c:v>
                      </c:pt>
                      <c:pt idx="45">
                        <c:v>2061</c:v>
                      </c:pt>
                      <c:pt idx="46">
                        <c:v>2062</c:v>
                      </c:pt>
                    </c:numCache>
                  </c:numRef>
                </c:xVal>
                <c:yVal>
                  <c:numRef>
                    <c:extLst xmlns:c16r2="http://schemas.microsoft.com/office/drawing/2015/06/chart">
                      <c:ext uri="{02D57815-91ED-43cb-92C2-25804820EDAC}">
                        <c15:formulaRef>
                          <c15:sqref>'Probability of Restrictions'!$B$4:$B$50</c15:sqref>
                        </c15:formulaRef>
                      </c:ext>
                    </c:extLst>
                    <c:numCache>
                      <c:formatCode>0.0%</c:formatCode>
                      <c:ptCount val="47"/>
                      <c:pt idx="0">
                        <c:v>0</c:v>
                      </c:pt>
                      <c:pt idx="1">
                        <c:v>0</c:v>
                      </c:pt>
                      <c:pt idx="2">
                        <c:v>0</c:v>
                      </c:pt>
                      <c:pt idx="3">
                        <c:v>2E-3</c:v>
                      </c:pt>
                      <c:pt idx="4">
                        <c:v>2E-3</c:v>
                      </c:pt>
                      <c:pt idx="5">
                        <c:v>6.0000000000000001E-3</c:v>
                      </c:pt>
                      <c:pt idx="6">
                        <c:v>6.0000000000000001E-3</c:v>
                      </c:pt>
                      <c:pt idx="7">
                        <c:v>6.0000000000000001E-3</c:v>
                      </c:pt>
                      <c:pt idx="8">
                        <c:v>6.0000000000000001E-3</c:v>
                      </c:pt>
                      <c:pt idx="9">
                        <c:v>3.0000000000000001E-3</c:v>
                      </c:pt>
                      <c:pt idx="10">
                        <c:v>2E-3</c:v>
                      </c:pt>
                      <c:pt idx="11">
                        <c:v>2E-3</c:v>
                      </c:pt>
                      <c:pt idx="12">
                        <c:v>1E-3</c:v>
                      </c:pt>
                      <c:pt idx="13">
                        <c:v>2E-3</c:v>
                      </c:pt>
                      <c:pt idx="14">
                        <c:v>1E-3</c:v>
                      </c:pt>
                      <c:pt idx="15">
                        <c:v>1E-3</c:v>
                      </c:pt>
                      <c:pt idx="16">
                        <c:v>1E-3</c:v>
                      </c:pt>
                      <c:pt idx="17">
                        <c:v>0</c:v>
                      </c:pt>
                      <c:pt idx="18">
                        <c:v>0</c:v>
                      </c:pt>
                      <c:pt idx="19">
                        <c:v>0</c:v>
                      </c:pt>
                      <c:pt idx="20">
                        <c:v>0</c:v>
                      </c:pt>
                      <c:pt idx="21">
                        <c:v>2E-3</c:v>
                      </c:pt>
                      <c:pt idx="22">
                        <c:v>2E-3</c:v>
                      </c:pt>
                      <c:pt idx="23">
                        <c:v>2E-3</c:v>
                      </c:pt>
                      <c:pt idx="24">
                        <c:v>3.0000000000000001E-3</c:v>
                      </c:pt>
                      <c:pt idx="25">
                        <c:v>4.0000000000000001E-3</c:v>
                      </c:pt>
                      <c:pt idx="26">
                        <c:v>4.0000000000000001E-3</c:v>
                      </c:pt>
                      <c:pt idx="27">
                        <c:v>7.0000000000000001E-3</c:v>
                      </c:pt>
                      <c:pt idx="28">
                        <c:v>6.0000000000000001E-3</c:v>
                      </c:pt>
                      <c:pt idx="29">
                        <c:v>7.0000000000000001E-3</c:v>
                      </c:pt>
                      <c:pt idx="30">
                        <c:v>7.0000000000000001E-3</c:v>
                      </c:pt>
                      <c:pt idx="31">
                        <c:v>3.0000000000000001E-3</c:v>
                      </c:pt>
                      <c:pt idx="32">
                        <c:v>2E-3</c:v>
                      </c:pt>
                      <c:pt idx="33">
                        <c:v>3.0000000000000001E-3</c:v>
                      </c:pt>
                      <c:pt idx="34">
                        <c:v>3.0000000000000001E-3</c:v>
                      </c:pt>
                      <c:pt idx="35">
                        <c:v>4.0000000000000001E-3</c:v>
                      </c:pt>
                      <c:pt idx="36">
                        <c:v>3.0000000000000001E-3</c:v>
                      </c:pt>
                      <c:pt idx="37">
                        <c:v>1E-3</c:v>
                      </c:pt>
                      <c:pt idx="38">
                        <c:v>2E-3</c:v>
                      </c:pt>
                      <c:pt idx="39">
                        <c:v>3.0000000000000001E-3</c:v>
                      </c:pt>
                      <c:pt idx="40">
                        <c:v>2E-3</c:v>
                      </c:pt>
                      <c:pt idx="41">
                        <c:v>2E-3</c:v>
                      </c:pt>
                      <c:pt idx="42">
                        <c:v>3.0000000000000001E-3</c:v>
                      </c:pt>
                      <c:pt idx="43">
                        <c:v>2E-3</c:v>
                      </c:pt>
                      <c:pt idx="44">
                        <c:v>3.0000000000000001E-3</c:v>
                      </c:pt>
                      <c:pt idx="45">
                        <c:v>4.0000000000000001E-3</c:v>
                      </c:pt>
                      <c:pt idx="46">
                        <c:v>3.0000000000000001E-3</c:v>
                      </c:pt>
                    </c:numCache>
                  </c:numRef>
                </c:yVal>
                <c:smooth val="0"/>
                <c:extLst xmlns:c16r2="http://schemas.microsoft.com/office/drawing/2015/06/chart">
                  <c:ext xmlns:c16="http://schemas.microsoft.com/office/drawing/2014/chart" uri="{C3380CC4-5D6E-409C-BE32-E72D297353CC}">
                    <c16:uniqueId val="{00000004-4ED1-4366-96F9-3217C57851DD}"/>
                  </c:ext>
                </c:extLst>
              </c15:ser>
            </c15:filteredScatterSeries>
            <c15:filteredScatterSeries>
              <c15:ser>
                <c:idx val="2"/>
                <c:order val="1"/>
                <c:tx>
                  <c:v>Scenario 3</c:v>
                </c:tx>
                <c:marker>
                  <c:symbol val="none"/>
                </c:marker>
                <c:xVal>
                  <c:numRef>
                    <c:extLst xmlns:c15="http://schemas.microsoft.com/office/drawing/2012/chart" xmlns:c16r2="http://schemas.microsoft.com/office/drawing/2015/06/chart">
                      <c:ext xmlns:c15="http://schemas.microsoft.com/office/drawing/2012/chart" uri="{02D57815-91ED-43cb-92C2-25804820EDAC}">
                        <c15:formulaRef>
                          <c15:sqref>'Probability of Restrictions'!$A$4:$A$50</c15:sqref>
                        </c15:formulaRef>
                      </c:ext>
                    </c:extLst>
                    <c:numCache>
                      <c:formatCode>General</c:formatCode>
                      <c:ptCount val="47"/>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pt idx="40">
                        <c:v>2056</c:v>
                      </c:pt>
                      <c:pt idx="41">
                        <c:v>2057</c:v>
                      </c:pt>
                      <c:pt idx="42">
                        <c:v>2058</c:v>
                      </c:pt>
                      <c:pt idx="43">
                        <c:v>2059</c:v>
                      </c:pt>
                      <c:pt idx="44">
                        <c:v>2060</c:v>
                      </c:pt>
                      <c:pt idx="45">
                        <c:v>2061</c:v>
                      </c:pt>
                      <c:pt idx="46">
                        <c:v>2062</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'Probability of Restrictions'!$D$4:$D$50</c15:sqref>
                        </c15:formulaRef>
                      </c:ext>
                    </c:extLst>
                    <c:numCache>
                      <c:formatCode>0.0%</c:formatCode>
                      <c:ptCount val="47"/>
                      <c:pt idx="0">
                        <c:v>0</c:v>
                      </c:pt>
                      <c:pt idx="1">
                        <c:v>0</c:v>
                      </c:pt>
                      <c:pt idx="2">
                        <c:v>0</c:v>
                      </c:pt>
                      <c:pt idx="3">
                        <c:v>2E-3</c:v>
                      </c:pt>
                      <c:pt idx="4">
                        <c:v>3.0000000000000001E-3</c:v>
                      </c:pt>
                      <c:pt idx="5">
                        <c:v>8.0000000000000002E-3</c:v>
                      </c:pt>
                      <c:pt idx="6">
                        <c:v>7.0000000000000001E-3</c:v>
                      </c:pt>
                      <c:pt idx="7">
                        <c:v>7.0000000000000001E-3</c:v>
                      </c:pt>
                      <c:pt idx="8">
                        <c:v>7.0000000000000001E-3</c:v>
                      </c:pt>
                      <c:pt idx="9">
                        <c:v>6.0000000000000001E-3</c:v>
                      </c:pt>
                      <c:pt idx="10">
                        <c:v>4.0000000000000001E-3</c:v>
                      </c:pt>
                      <c:pt idx="11">
                        <c:v>1E-3</c:v>
                      </c:pt>
                      <c:pt idx="12">
                        <c:v>2E-3</c:v>
                      </c:pt>
                      <c:pt idx="13">
                        <c:v>2E-3</c:v>
                      </c:pt>
                      <c:pt idx="14">
                        <c:v>1E-3</c:v>
                      </c:pt>
                      <c:pt idx="15">
                        <c:v>3.0000000000000001E-3</c:v>
                      </c:pt>
                      <c:pt idx="16">
                        <c:v>4.0000000000000001E-3</c:v>
                      </c:pt>
                      <c:pt idx="17">
                        <c:v>3.0000000000000001E-3</c:v>
                      </c:pt>
                      <c:pt idx="18">
                        <c:v>4.0000000000000001E-3</c:v>
                      </c:pt>
                      <c:pt idx="19">
                        <c:v>3.0000000000000001E-3</c:v>
                      </c:pt>
                      <c:pt idx="20">
                        <c:v>4.0000000000000001E-3</c:v>
                      </c:pt>
                      <c:pt idx="21">
                        <c:v>6.0000000000000001E-3</c:v>
                      </c:pt>
                      <c:pt idx="22">
                        <c:v>4.0000000000000001E-3</c:v>
                      </c:pt>
                      <c:pt idx="23">
                        <c:v>2E-3</c:v>
                      </c:pt>
                      <c:pt idx="24">
                        <c:v>4.0000000000000001E-3</c:v>
                      </c:pt>
                      <c:pt idx="25">
                        <c:v>6.0000000000000001E-3</c:v>
                      </c:pt>
                      <c:pt idx="26">
                        <c:v>8.0000000000000002E-3</c:v>
                      </c:pt>
                      <c:pt idx="27">
                        <c:v>1.0999999999999999E-2</c:v>
                      </c:pt>
                      <c:pt idx="28">
                        <c:v>1.2E-2</c:v>
                      </c:pt>
                      <c:pt idx="29">
                        <c:v>1.2999999999999999E-2</c:v>
                      </c:pt>
                      <c:pt idx="30">
                        <c:v>1.0999999999999999E-2</c:v>
                      </c:pt>
                      <c:pt idx="31">
                        <c:v>7.0000000000000001E-3</c:v>
                      </c:pt>
                      <c:pt idx="32">
                        <c:v>6.0000000000000001E-3</c:v>
                      </c:pt>
                      <c:pt idx="33">
                        <c:v>6.0000000000000001E-3</c:v>
                      </c:pt>
                      <c:pt idx="34">
                        <c:v>8.9999999999999993E-3</c:v>
                      </c:pt>
                      <c:pt idx="35">
                        <c:v>0.01</c:v>
                      </c:pt>
                      <c:pt idx="36">
                        <c:v>8.9999999999999993E-3</c:v>
                      </c:pt>
                      <c:pt idx="37">
                        <c:v>8.9999999999999993E-3</c:v>
                      </c:pt>
                      <c:pt idx="38">
                        <c:v>7.0000000000000001E-3</c:v>
                      </c:pt>
                      <c:pt idx="39">
                        <c:v>8.9999999999999993E-3</c:v>
                      </c:pt>
                      <c:pt idx="40">
                        <c:v>6.0000000000000001E-3</c:v>
                      </c:pt>
                      <c:pt idx="41">
                        <c:v>5.0000000000000001E-3</c:v>
                      </c:pt>
                      <c:pt idx="42">
                        <c:v>7.0000000000000001E-3</c:v>
                      </c:pt>
                      <c:pt idx="43">
                        <c:v>0.01</c:v>
                      </c:pt>
                      <c:pt idx="44">
                        <c:v>1.2E-2</c:v>
                      </c:pt>
                      <c:pt idx="45">
                        <c:v>1.2999999999999999E-2</c:v>
                      </c:pt>
                      <c:pt idx="46">
                        <c:v>1.2999999999999999E-2</c:v>
                      </c:pt>
                    </c:numCache>
                  </c:numRef>
                </c:yVal>
                <c:smooth val="0"/>
                <c:extLst xmlns:c15="http://schemas.microsoft.com/office/drawing/2012/chart" xmlns:c16r2="http://schemas.microsoft.com/office/drawing/2015/06/chart">
                  <c:ext xmlns:c16="http://schemas.microsoft.com/office/drawing/2014/chart" uri="{C3380CC4-5D6E-409C-BE32-E72D297353CC}">
                    <c16:uniqueId val="{00000005-4ED1-4366-96F9-3217C57851DD}"/>
                  </c:ext>
                </c:extLst>
              </c15:ser>
            </c15:filteredScatterSeries>
            <c15:filteredScatterSeries>
              <c15:ser>
                <c:idx val="4"/>
                <c:order val="2"/>
                <c:tx>
                  <c:v>Scenario 5</c:v>
                </c:tx>
                <c:marker>
                  <c:symbol val="none"/>
                </c:marker>
                <c:xVal>
                  <c:numRef>
                    <c:extLst xmlns:c15="http://schemas.microsoft.com/office/drawing/2012/chart" xmlns:c16r2="http://schemas.microsoft.com/office/drawing/2015/06/chart">
                      <c:ext xmlns:c15="http://schemas.microsoft.com/office/drawing/2012/chart" uri="{02D57815-91ED-43cb-92C2-25804820EDAC}">
                        <c15:formulaRef>
                          <c15:sqref>'Probability of Restrictions'!$A$4:$A$50</c15:sqref>
                        </c15:formulaRef>
                      </c:ext>
                    </c:extLst>
                    <c:numCache>
                      <c:formatCode>General</c:formatCode>
                      <c:ptCount val="47"/>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pt idx="40">
                        <c:v>2056</c:v>
                      </c:pt>
                      <c:pt idx="41">
                        <c:v>2057</c:v>
                      </c:pt>
                      <c:pt idx="42">
                        <c:v>2058</c:v>
                      </c:pt>
                      <c:pt idx="43">
                        <c:v>2059</c:v>
                      </c:pt>
                      <c:pt idx="44">
                        <c:v>2060</c:v>
                      </c:pt>
                      <c:pt idx="45">
                        <c:v>2061</c:v>
                      </c:pt>
                      <c:pt idx="46">
                        <c:v>2062</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'Probability of Restrictions'!$F$4:$F$50</c15:sqref>
                        </c15:formulaRef>
                      </c:ext>
                    </c:extLst>
                    <c:numCache>
                      <c:formatCode>0.0%</c:formatCode>
                      <c:ptCount val="47"/>
                      <c:pt idx="0">
                        <c:v>0</c:v>
                      </c:pt>
                      <c:pt idx="1">
                        <c:v>0</c:v>
                      </c:pt>
                      <c:pt idx="2">
                        <c:v>0</c:v>
                      </c:pt>
                      <c:pt idx="3">
                        <c:v>2E-3</c:v>
                      </c:pt>
                      <c:pt idx="4">
                        <c:v>4.0000000000000001E-3</c:v>
                      </c:pt>
                      <c:pt idx="5">
                        <c:v>8.9999999999999993E-3</c:v>
                      </c:pt>
                      <c:pt idx="6">
                        <c:v>8.0000000000000002E-3</c:v>
                      </c:pt>
                      <c:pt idx="7">
                        <c:v>7.0000000000000001E-3</c:v>
                      </c:pt>
                      <c:pt idx="8">
                        <c:v>7.0000000000000001E-3</c:v>
                      </c:pt>
                      <c:pt idx="9">
                        <c:v>5.0000000000000001E-3</c:v>
                      </c:pt>
                      <c:pt idx="10">
                        <c:v>4.0000000000000001E-3</c:v>
                      </c:pt>
                      <c:pt idx="11">
                        <c:v>3.0000000000000001E-3</c:v>
                      </c:pt>
                      <c:pt idx="12">
                        <c:v>3.0000000000000001E-3</c:v>
                      </c:pt>
                      <c:pt idx="13">
                        <c:v>4.0000000000000001E-3</c:v>
                      </c:pt>
                      <c:pt idx="14">
                        <c:v>2E-3</c:v>
                      </c:pt>
                      <c:pt idx="15">
                        <c:v>3.0000000000000001E-3</c:v>
                      </c:pt>
                      <c:pt idx="16">
                        <c:v>5.0000000000000001E-3</c:v>
                      </c:pt>
                      <c:pt idx="17">
                        <c:v>6.0000000000000001E-3</c:v>
                      </c:pt>
                      <c:pt idx="18">
                        <c:v>8.0000000000000002E-3</c:v>
                      </c:pt>
                      <c:pt idx="19">
                        <c:v>5.0000000000000001E-3</c:v>
                      </c:pt>
                      <c:pt idx="20">
                        <c:v>0.01</c:v>
                      </c:pt>
                      <c:pt idx="21">
                        <c:v>0.01</c:v>
                      </c:pt>
                      <c:pt idx="22">
                        <c:v>0.01</c:v>
                      </c:pt>
                      <c:pt idx="23">
                        <c:v>7.0000000000000001E-3</c:v>
                      </c:pt>
                      <c:pt idx="24">
                        <c:v>1.2E-2</c:v>
                      </c:pt>
                      <c:pt idx="25">
                        <c:v>0.01</c:v>
                      </c:pt>
                      <c:pt idx="26">
                        <c:v>1.4999999999999999E-2</c:v>
                      </c:pt>
                      <c:pt idx="27">
                        <c:v>1.4999999999999999E-2</c:v>
                      </c:pt>
                      <c:pt idx="28">
                        <c:v>1.7000000000000001E-2</c:v>
                      </c:pt>
                      <c:pt idx="29">
                        <c:v>1.9E-2</c:v>
                      </c:pt>
                      <c:pt idx="30">
                        <c:v>0.02</c:v>
                      </c:pt>
                      <c:pt idx="31">
                        <c:v>1.7000000000000001E-2</c:v>
                      </c:pt>
                      <c:pt idx="32">
                        <c:v>1.4999999999999999E-2</c:v>
                      </c:pt>
                      <c:pt idx="33">
                        <c:v>1.2999999999999999E-2</c:v>
                      </c:pt>
                      <c:pt idx="34">
                        <c:v>1.9E-2</c:v>
                      </c:pt>
                      <c:pt idx="35">
                        <c:v>1.7000000000000001E-2</c:v>
                      </c:pt>
                      <c:pt idx="36">
                        <c:v>1.9E-2</c:v>
                      </c:pt>
                      <c:pt idx="37">
                        <c:v>0.02</c:v>
                      </c:pt>
                      <c:pt idx="38">
                        <c:v>1.7000000000000001E-2</c:v>
                      </c:pt>
                      <c:pt idx="39">
                        <c:v>2.1000000000000001E-2</c:v>
                      </c:pt>
                      <c:pt idx="40">
                        <c:v>1.7999999999999999E-2</c:v>
                      </c:pt>
                      <c:pt idx="41">
                        <c:v>1.6E-2</c:v>
                      </c:pt>
                      <c:pt idx="42">
                        <c:v>2.8000000000000001E-2</c:v>
                      </c:pt>
                      <c:pt idx="43">
                        <c:v>2.8000000000000001E-2</c:v>
                      </c:pt>
                      <c:pt idx="44">
                        <c:v>0.03</c:v>
                      </c:pt>
                      <c:pt idx="45">
                        <c:v>3.5000000000000003E-2</c:v>
                      </c:pt>
                      <c:pt idx="46">
                        <c:v>4.2000000000000003E-2</c:v>
                      </c:pt>
                    </c:numCache>
                  </c:numRef>
                </c:yVal>
                <c:smooth val="0"/>
                <c:extLst xmlns:c15="http://schemas.microsoft.com/office/drawing/2012/chart" xmlns:c16r2="http://schemas.microsoft.com/office/drawing/2015/06/chart">
                  <c:ext xmlns:c16="http://schemas.microsoft.com/office/drawing/2014/chart" uri="{C3380CC4-5D6E-409C-BE32-E72D297353CC}">
                    <c16:uniqueId val="{00000006-4ED1-4366-96F9-3217C57851DD}"/>
                  </c:ext>
                </c:extLst>
              </c15:ser>
            </c15:filteredScatterSeries>
            <c15:filteredScatterSeries>
              <c15:ser>
                <c:idx val="6"/>
                <c:order val="3"/>
                <c:tx>
                  <c:v>Scenario 7</c:v>
                </c:tx>
                <c:marker>
                  <c:symbol val="none"/>
                </c:marker>
                <c:xVal>
                  <c:numRef>
                    <c:extLst xmlns:c15="http://schemas.microsoft.com/office/drawing/2012/chart" xmlns:c16r2="http://schemas.microsoft.com/office/drawing/2015/06/chart">
                      <c:ext xmlns:c15="http://schemas.microsoft.com/office/drawing/2012/chart" uri="{02D57815-91ED-43cb-92C2-25804820EDAC}">
                        <c15:formulaRef>
                          <c15:sqref>'Probability of Restrictions'!$A$4:$A$50</c15:sqref>
                        </c15:formulaRef>
                      </c:ext>
                    </c:extLst>
                    <c:numCache>
                      <c:formatCode>General</c:formatCode>
                      <c:ptCount val="47"/>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pt idx="40">
                        <c:v>2056</c:v>
                      </c:pt>
                      <c:pt idx="41">
                        <c:v>2057</c:v>
                      </c:pt>
                      <c:pt idx="42">
                        <c:v>2058</c:v>
                      </c:pt>
                      <c:pt idx="43">
                        <c:v>2059</c:v>
                      </c:pt>
                      <c:pt idx="44">
                        <c:v>2060</c:v>
                      </c:pt>
                      <c:pt idx="45">
                        <c:v>2061</c:v>
                      </c:pt>
                      <c:pt idx="46">
                        <c:v>2062</c:v>
                      </c:pt>
                    </c:numCache>
                  </c:numRef>
                </c:xVal>
                <c:yVal>
                  <c:numRef>
                    <c:extLst xmlns:c15="http://schemas.microsoft.com/office/drawing/2012/chart" xmlns:c16r2="http://schemas.microsoft.com/office/drawing/2015/06/chart">
                      <c:ext xmlns:c15="http://schemas.microsoft.com/office/drawing/2012/chart" uri="{02D57815-91ED-43cb-92C2-25804820EDAC}">
                        <c15:formulaRef>
                          <c15:sqref>'Probability of Restrictions'!$H$4:$H$50</c15:sqref>
                        </c15:formulaRef>
                      </c:ext>
                    </c:extLst>
                    <c:numCache>
                      <c:formatCode>0.0%</c:formatCode>
                      <c:ptCount val="47"/>
                      <c:pt idx="0">
                        <c:v>0</c:v>
                      </c:pt>
                      <c:pt idx="1">
                        <c:v>0</c:v>
                      </c:pt>
                      <c:pt idx="2">
                        <c:v>0</c:v>
                      </c:pt>
                      <c:pt idx="3">
                        <c:v>1E-3</c:v>
                      </c:pt>
                      <c:pt idx="4">
                        <c:v>5.0000000000000001E-3</c:v>
                      </c:pt>
                      <c:pt idx="5">
                        <c:v>1.2E-2</c:v>
                      </c:pt>
                      <c:pt idx="6">
                        <c:v>8.9999999999999993E-3</c:v>
                      </c:pt>
                      <c:pt idx="7">
                        <c:v>7.0000000000000001E-3</c:v>
                      </c:pt>
                      <c:pt idx="8">
                        <c:v>7.0000000000000001E-3</c:v>
                      </c:pt>
                      <c:pt idx="9">
                        <c:v>6.0000000000000001E-3</c:v>
                      </c:pt>
                      <c:pt idx="10">
                        <c:v>4.0000000000000001E-3</c:v>
                      </c:pt>
                      <c:pt idx="11">
                        <c:v>4.0000000000000001E-3</c:v>
                      </c:pt>
                      <c:pt idx="12">
                        <c:v>8.0000000000000002E-3</c:v>
                      </c:pt>
                      <c:pt idx="13">
                        <c:v>8.9999999999999993E-3</c:v>
                      </c:pt>
                      <c:pt idx="14">
                        <c:v>8.0000000000000002E-3</c:v>
                      </c:pt>
                      <c:pt idx="15">
                        <c:v>8.9999999999999993E-3</c:v>
                      </c:pt>
                      <c:pt idx="16">
                        <c:v>1.4E-2</c:v>
                      </c:pt>
                      <c:pt idx="17">
                        <c:v>1.2999999999999999E-2</c:v>
                      </c:pt>
                      <c:pt idx="18">
                        <c:v>1.0999999999999999E-2</c:v>
                      </c:pt>
                      <c:pt idx="19">
                        <c:v>0.01</c:v>
                      </c:pt>
                      <c:pt idx="20">
                        <c:v>1.7999999999999999E-2</c:v>
                      </c:pt>
                      <c:pt idx="21">
                        <c:v>0.02</c:v>
                      </c:pt>
                      <c:pt idx="22">
                        <c:v>1.9E-2</c:v>
                      </c:pt>
                      <c:pt idx="23">
                        <c:v>1.7000000000000001E-2</c:v>
                      </c:pt>
                      <c:pt idx="24">
                        <c:v>1.9E-2</c:v>
                      </c:pt>
                      <c:pt idx="25">
                        <c:v>2.5000000000000001E-2</c:v>
                      </c:pt>
                      <c:pt idx="26">
                        <c:v>0.03</c:v>
                      </c:pt>
                      <c:pt idx="27">
                        <c:v>3.3000000000000002E-2</c:v>
                      </c:pt>
                      <c:pt idx="28">
                        <c:v>4.2000000000000003E-2</c:v>
                      </c:pt>
                      <c:pt idx="29">
                        <c:v>4.2999999999999997E-2</c:v>
                      </c:pt>
                      <c:pt idx="30">
                        <c:v>4.2999999999999997E-2</c:v>
                      </c:pt>
                      <c:pt idx="31">
                        <c:v>0.05</c:v>
                      </c:pt>
                      <c:pt idx="32">
                        <c:v>5.6000000000000001E-2</c:v>
                      </c:pt>
                      <c:pt idx="33">
                        <c:v>5.6000000000000001E-2</c:v>
                      </c:pt>
                      <c:pt idx="34">
                        <c:v>7.0000000000000007E-2</c:v>
                      </c:pt>
                      <c:pt idx="35">
                        <c:v>6.9000000000000006E-2</c:v>
                      </c:pt>
                      <c:pt idx="36">
                        <c:v>7.0000000000000007E-2</c:v>
                      </c:pt>
                      <c:pt idx="37">
                        <c:v>6.6000000000000003E-2</c:v>
                      </c:pt>
                      <c:pt idx="38">
                        <c:v>7.1999999999999995E-2</c:v>
                      </c:pt>
                      <c:pt idx="39">
                        <c:v>8.2000000000000003E-2</c:v>
                      </c:pt>
                      <c:pt idx="40">
                        <c:v>9.4E-2</c:v>
                      </c:pt>
                      <c:pt idx="41">
                        <c:v>0.11700000000000001</c:v>
                      </c:pt>
                      <c:pt idx="42">
                        <c:v>0.13200000000000001</c:v>
                      </c:pt>
                      <c:pt idx="43">
                        <c:v>0.13600000000000001</c:v>
                      </c:pt>
                      <c:pt idx="44">
                        <c:v>0.13800000000000001</c:v>
                      </c:pt>
                      <c:pt idx="45">
                        <c:v>0.14799999999999999</c:v>
                      </c:pt>
                      <c:pt idx="46">
                        <c:v>0.151</c:v>
                      </c:pt>
                    </c:numCache>
                  </c:numRef>
                </c:yVal>
                <c:smooth val="0"/>
                <c:extLst xmlns:c15="http://schemas.microsoft.com/office/drawing/2012/chart" xmlns:c16r2="http://schemas.microsoft.com/office/drawing/2015/06/chart">
                  <c:ext xmlns:c16="http://schemas.microsoft.com/office/drawing/2014/chart" uri="{C3380CC4-5D6E-409C-BE32-E72D297353CC}">
                    <c16:uniqueId val="{00000007-4ED1-4366-96F9-3217C57851DD}"/>
                  </c:ext>
                </c:extLst>
              </c15:ser>
            </c15:filteredScatterSeries>
          </c:ext>
        </c:extLst>
      </c:scatterChart>
      <c:valAx>
        <c:axId val="245724680"/>
        <c:scaling>
          <c:orientation val="minMax"/>
          <c:min val="2015"/>
        </c:scaling>
        <c:delete val="0"/>
        <c:axPos val="b"/>
        <c:numFmt formatCode="General" sourceLinked="1"/>
        <c:majorTickMark val="out"/>
        <c:minorTickMark val="none"/>
        <c:tickLblPos val="nextTo"/>
        <c:spPr>
          <a:ln>
            <a:solidFill>
              <a:schemeClr val="bg1">
                <a:lumMod val="65000"/>
              </a:schemeClr>
            </a:solidFill>
          </a:ln>
        </c:spPr>
        <c:txPr>
          <a:bodyPr/>
          <a:lstStyle/>
          <a:p>
            <a:pPr>
              <a:defRPr sz="800">
                <a:solidFill>
                  <a:schemeClr val="bg1">
                    <a:lumMod val="50000"/>
                  </a:schemeClr>
                </a:solidFill>
              </a:defRPr>
            </a:pPr>
            <a:endParaRPr lang="en-US"/>
          </a:p>
        </c:txPr>
        <c:crossAx val="245725072"/>
        <c:crosses val="autoZero"/>
        <c:crossBetween val="midCat"/>
      </c:valAx>
      <c:valAx>
        <c:axId val="245725072"/>
        <c:scaling>
          <c:orientation val="minMax"/>
        </c:scaling>
        <c:delete val="0"/>
        <c:axPos val="l"/>
        <c:majorGridlines>
          <c:spPr>
            <a:ln>
              <a:solidFill>
                <a:schemeClr val="bg1">
                  <a:lumMod val="85000"/>
                </a:schemeClr>
              </a:solidFill>
            </a:ln>
          </c:spPr>
        </c:majorGridlines>
        <c:title>
          <c:tx>
            <c:rich>
              <a:bodyPr rot="-5400000" vert="horz"/>
              <a:lstStyle/>
              <a:p>
                <a:pPr>
                  <a:defRPr sz="800">
                    <a:solidFill>
                      <a:schemeClr val="bg1">
                        <a:lumMod val="50000"/>
                      </a:schemeClr>
                    </a:solidFill>
                  </a:defRPr>
                </a:pPr>
                <a:r>
                  <a:rPr lang="en-AU" sz="800">
                    <a:solidFill>
                      <a:schemeClr val="bg1">
                        <a:lumMod val="50000"/>
                      </a:schemeClr>
                    </a:solidFill>
                  </a:rPr>
                  <a:t>Percentage</a:t>
                </a:r>
                <a:r>
                  <a:rPr lang="en-AU" sz="800" baseline="0">
                    <a:solidFill>
                      <a:schemeClr val="bg1">
                        <a:lumMod val="50000"/>
                      </a:schemeClr>
                    </a:solidFill>
                  </a:rPr>
                  <a:t> of years with water restrictions</a:t>
                </a:r>
                <a:endParaRPr lang="en-AU" sz="800">
                  <a:solidFill>
                    <a:schemeClr val="bg1">
                      <a:lumMod val="50000"/>
                    </a:schemeClr>
                  </a:solidFill>
                </a:endParaRPr>
              </a:p>
            </c:rich>
          </c:tx>
          <c:layout>
            <c:manualLayout>
              <c:xMode val="edge"/>
              <c:yMode val="edge"/>
              <c:x val="2.0493882118974894E-2"/>
              <c:y val="0.27123263227585959"/>
            </c:manualLayout>
          </c:layout>
          <c:overlay val="0"/>
        </c:title>
        <c:numFmt formatCode="0%" sourceLinked="0"/>
        <c:majorTickMark val="out"/>
        <c:minorTickMark val="none"/>
        <c:tickLblPos val="nextTo"/>
        <c:spPr>
          <a:ln>
            <a:solidFill>
              <a:schemeClr val="bg1">
                <a:lumMod val="65000"/>
              </a:schemeClr>
            </a:solidFill>
          </a:ln>
        </c:spPr>
        <c:txPr>
          <a:bodyPr/>
          <a:lstStyle/>
          <a:p>
            <a:pPr>
              <a:defRPr sz="800">
                <a:solidFill>
                  <a:schemeClr val="bg1">
                    <a:lumMod val="50000"/>
                  </a:schemeClr>
                </a:solidFill>
              </a:defRPr>
            </a:pPr>
            <a:endParaRPr lang="en-US"/>
          </a:p>
        </c:txPr>
        <c:crossAx val="245724680"/>
        <c:crosses val="autoZero"/>
        <c:crossBetween val="midCat"/>
      </c:valAx>
    </c:plotArea>
    <c:legend>
      <c:legendPos val="b"/>
      <c:layout>
        <c:manualLayout>
          <c:xMode val="edge"/>
          <c:yMode val="edge"/>
          <c:x val="0.21371820806149719"/>
          <c:y val="0.14625476301369436"/>
          <c:w val="0.46415845558969315"/>
          <c:h val="0.20591598340798906"/>
        </c:manualLayout>
      </c:layout>
      <c:overlay val="0"/>
      <c:txPr>
        <a:bodyPr/>
        <a:lstStyle/>
        <a:p>
          <a:pPr>
            <a:defRPr sz="800" b="0">
              <a:solidFill>
                <a:schemeClr val="bg1">
                  <a:lumMod val="50000"/>
                </a:schemeClr>
              </a:solidFill>
            </a:defRPr>
          </a:pPr>
          <a:endParaRPr lang="en-US"/>
        </a:p>
      </c:txPr>
    </c:legend>
    <c:plotVisOnly val="1"/>
    <c:dispBlanksAs val="gap"/>
    <c:showDLblsOverMax val="0"/>
  </c:chart>
  <c:spPr>
    <a:ln>
      <a:solidFill>
        <a:schemeClr val="bg1">
          <a:lumMod val="75000"/>
        </a:schemeClr>
      </a:solid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a:pPr>
            <a:r>
              <a:rPr lang="en-AU" sz="1000" b="1"/>
              <a:t>Standalone houses</a:t>
            </a:r>
          </a:p>
        </c:rich>
      </c:tx>
      <c:layout>
        <c:manualLayout>
          <c:xMode val="edge"/>
          <c:yMode val="edge"/>
          <c:x val="0.47786196255298496"/>
          <c:y val="4.1655164119706663E-2"/>
        </c:manualLayout>
      </c:layout>
      <c:overlay val="1"/>
    </c:title>
    <c:autoTitleDeleted val="0"/>
    <c:plotArea>
      <c:layout>
        <c:manualLayout>
          <c:layoutTarget val="inner"/>
          <c:xMode val="edge"/>
          <c:yMode val="edge"/>
          <c:x val="9.4619102696701166E-2"/>
          <c:y val="2.8314093347741025E-2"/>
          <c:w val="0.79383124545914663"/>
          <c:h val="0.90669604169564255"/>
        </c:manualLayout>
      </c:layout>
      <c:areaChart>
        <c:grouping val="standard"/>
        <c:varyColors val="0"/>
        <c:ser>
          <c:idx val="3"/>
          <c:order val="0"/>
          <c:tx>
            <c:strRef>
              <c:f>Houses_Chart!$C$2</c:f>
              <c:strCache>
                <c:ptCount val="1"/>
                <c:pt idx="0">
                  <c:v>Proportion of houses by water use</c:v>
                </c:pt>
              </c:strCache>
            </c:strRef>
          </c:tx>
          <c:spPr>
            <a:solidFill>
              <a:schemeClr val="accent6">
                <a:lumMod val="60000"/>
                <a:lumOff val="40000"/>
              </a:schemeClr>
            </a:solidFill>
          </c:spPr>
          <c:cat>
            <c:numRef>
              <c:f>Houses_Chart!$A$3:$A$43</c:f>
              <c:numCache>
                <c:formatCode>General</c:formatCode>
                <c:ptCount val="41"/>
                <c:pt idx="0">
                  <c:v>0</c:v>
                </c:pt>
                <c:pt idx="1">
                  <c:v>25</c:v>
                </c:pt>
                <c:pt idx="2">
                  <c:v>50</c:v>
                </c:pt>
                <c:pt idx="3">
                  <c:v>75</c:v>
                </c:pt>
                <c:pt idx="4">
                  <c:v>100</c:v>
                </c:pt>
                <c:pt idx="5">
                  <c:v>125</c:v>
                </c:pt>
                <c:pt idx="6">
                  <c:v>150</c:v>
                </c:pt>
                <c:pt idx="7">
                  <c:v>175</c:v>
                </c:pt>
                <c:pt idx="8">
                  <c:v>200</c:v>
                </c:pt>
                <c:pt idx="9">
                  <c:v>225</c:v>
                </c:pt>
                <c:pt idx="10">
                  <c:v>250</c:v>
                </c:pt>
                <c:pt idx="11">
                  <c:v>275</c:v>
                </c:pt>
                <c:pt idx="12">
                  <c:v>300</c:v>
                </c:pt>
                <c:pt idx="13">
                  <c:v>325</c:v>
                </c:pt>
                <c:pt idx="14">
                  <c:v>350</c:v>
                </c:pt>
                <c:pt idx="15">
                  <c:v>375</c:v>
                </c:pt>
                <c:pt idx="16">
                  <c:v>400</c:v>
                </c:pt>
                <c:pt idx="17">
                  <c:v>425</c:v>
                </c:pt>
                <c:pt idx="18">
                  <c:v>450</c:v>
                </c:pt>
                <c:pt idx="19">
                  <c:v>475</c:v>
                </c:pt>
                <c:pt idx="20">
                  <c:v>500</c:v>
                </c:pt>
                <c:pt idx="21">
                  <c:v>525</c:v>
                </c:pt>
                <c:pt idx="22">
                  <c:v>550</c:v>
                </c:pt>
                <c:pt idx="23">
                  <c:v>575</c:v>
                </c:pt>
                <c:pt idx="24">
                  <c:v>600</c:v>
                </c:pt>
                <c:pt idx="25">
                  <c:v>625</c:v>
                </c:pt>
                <c:pt idx="26">
                  <c:v>650</c:v>
                </c:pt>
                <c:pt idx="27">
                  <c:v>675</c:v>
                </c:pt>
                <c:pt idx="28">
                  <c:v>700</c:v>
                </c:pt>
                <c:pt idx="29">
                  <c:v>725</c:v>
                </c:pt>
                <c:pt idx="30">
                  <c:v>750</c:v>
                </c:pt>
                <c:pt idx="31">
                  <c:v>775</c:v>
                </c:pt>
                <c:pt idx="32">
                  <c:v>800</c:v>
                </c:pt>
                <c:pt idx="33">
                  <c:v>825</c:v>
                </c:pt>
                <c:pt idx="34">
                  <c:v>850</c:v>
                </c:pt>
                <c:pt idx="35">
                  <c:v>875</c:v>
                </c:pt>
                <c:pt idx="36">
                  <c:v>900</c:v>
                </c:pt>
                <c:pt idx="37">
                  <c:v>925</c:v>
                </c:pt>
                <c:pt idx="38">
                  <c:v>950</c:v>
                </c:pt>
                <c:pt idx="39">
                  <c:v>975</c:v>
                </c:pt>
                <c:pt idx="40">
                  <c:v>1000</c:v>
                </c:pt>
              </c:numCache>
            </c:numRef>
          </c:cat>
          <c:val>
            <c:numRef>
              <c:f>Houses_Chart!$C$3:$C$43</c:f>
              <c:numCache>
                <c:formatCode>0%</c:formatCode>
                <c:ptCount val="41"/>
                <c:pt idx="0">
                  <c:v>0</c:v>
                </c:pt>
                <c:pt idx="1">
                  <c:v>4.1903592364306915E-4</c:v>
                </c:pt>
                <c:pt idx="2">
                  <c:v>1.4979853673042566E-2</c:v>
                </c:pt>
                <c:pt idx="3">
                  <c:v>5.5478704522981377E-2</c:v>
                </c:pt>
                <c:pt idx="4">
                  <c:v>9.2802000008514074E-2</c:v>
                </c:pt>
                <c:pt idx="5">
                  <c:v>0.11074078106109245</c:v>
                </c:pt>
                <c:pt idx="6">
                  <c:v>0.1118483676734835</c:v>
                </c:pt>
                <c:pt idx="7">
                  <c:v>0.10312725804307143</c:v>
                </c:pt>
                <c:pt idx="8">
                  <c:v>9.0169423604616217E-2</c:v>
                </c:pt>
                <c:pt idx="9">
                  <c:v>7.6346809533506255E-2</c:v>
                </c:pt>
                <c:pt idx="10">
                  <c:v>6.3376771110822849E-2</c:v>
                </c:pt>
                <c:pt idx="11">
                  <c:v>5.1975084851649478E-2</c:v>
                </c:pt>
                <c:pt idx="12">
                  <c:v>4.2317310819734999E-2</c:v>
                </c:pt>
                <c:pt idx="13">
                  <c:v>3.4316876134293683E-2</c:v>
                </c:pt>
                <c:pt idx="14">
                  <c:v>2.7778932773125375E-2</c:v>
                </c:pt>
                <c:pt idx="15">
                  <c:v>2.2479856092628703E-2</c:v>
                </c:pt>
                <c:pt idx="16">
                  <c:v>1.8205093019795782E-2</c:v>
                </c:pt>
                <c:pt idx="17">
                  <c:v>1.4764789658042843E-2</c:v>
                </c:pt>
                <c:pt idx="18">
                  <c:v>1.1998144964437851E-2</c:v>
                </c:pt>
                <c:pt idx="19">
                  <c:v>9.7724363363674849E-3</c:v>
                </c:pt>
                <c:pt idx="20">
                  <c:v>7.9798389337698561E-3</c:v>
                </c:pt>
                <c:pt idx="21">
                  <c:v>6.5336104493038949E-3</c:v>
                </c:pt>
                <c:pt idx="22">
                  <c:v>5.3643825338888229E-3</c:v>
                </c:pt>
                <c:pt idx="23">
                  <c:v>4.4168670327578985E-3</c:v>
                </c:pt>
                <c:pt idx="24">
                  <c:v>3.6470677663990037E-3</c:v>
                </c:pt>
                <c:pt idx="25">
                  <c:v>3.0199860230103459E-3</c:v>
                </c:pt>
                <c:pt idx="26">
                  <c:v>2.5077651015728009E-3</c:v>
                </c:pt>
                <c:pt idx="27">
                  <c:v>2.0882064020127933E-3</c:v>
                </c:pt>
                <c:pt idx="28">
                  <c:v>1.7435908832846847E-3</c:v>
                </c:pt>
                <c:pt idx="29">
                  <c:v>1.4597469755025516E-3</c:v>
                </c:pt>
                <c:pt idx="30">
                  <c:v>1.2253151055794387E-3</c:v>
                </c:pt>
                <c:pt idx="31">
                  <c:v>1.0311679203472979E-3</c:v>
                </c:pt>
                <c:pt idx="32">
                  <c:v>8.6995324289640408E-4</c:v>
                </c:pt>
                <c:pt idx="33">
                  <c:v>7.357335229928319E-4</c:v>
                </c:pt>
                <c:pt idx="34">
                  <c:v>6.2370105762010741E-4</c:v>
                </c:pt>
                <c:pt idx="35">
                  <c:v>5.2995269401678868E-4</c:v>
                </c:pt>
                <c:pt idx="36">
                  <c:v>4.5131125169628472E-4</c:v>
                </c:pt>
                <c:pt idx="37">
                  <c:v>3.8518367669748699E-4</c:v>
                </c:pt>
                <c:pt idx="38">
                  <c:v>3.2944811774038296E-4</c:v>
                </c:pt>
                <c:pt idx="39">
                  <c:v>2.8236381439628033E-4</c:v>
                </c:pt>
                <c:pt idx="40">
                  <c:v>2.4249901356543369E-4</c:v>
                </c:pt>
              </c:numCache>
            </c:numRef>
          </c:val>
          <c:extLst xmlns:c16r2="http://schemas.microsoft.com/office/drawing/2015/06/chart">
            <c:ext xmlns:c16="http://schemas.microsoft.com/office/drawing/2014/chart" uri="{C3380CC4-5D6E-409C-BE32-E72D297353CC}">
              <c16:uniqueId val="{00000000-96BC-4595-9FA8-36DF917F53D2}"/>
            </c:ext>
          </c:extLst>
        </c:ser>
        <c:dLbls>
          <c:showLegendKey val="0"/>
          <c:showVal val="0"/>
          <c:showCatName val="0"/>
          <c:showSerName val="0"/>
          <c:showPercent val="0"/>
          <c:showBubbleSize val="0"/>
        </c:dLbls>
        <c:axId val="146379072"/>
        <c:axId val="146379464"/>
      </c:areaChart>
      <c:lineChart>
        <c:grouping val="standard"/>
        <c:varyColors val="0"/>
        <c:ser>
          <c:idx val="0"/>
          <c:order val="1"/>
          <c:tx>
            <c:strRef>
              <c:f>Houses_Chart!$E$2</c:f>
              <c:strCache>
                <c:ptCount val="1"/>
                <c:pt idx="0">
                  <c:v>Water charges impact</c:v>
                </c:pt>
              </c:strCache>
            </c:strRef>
          </c:tx>
          <c:spPr>
            <a:ln>
              <a:solidFill>
                <a:schemeClr val="tx1"/>
              </a:solidFill>
              <a:prstDash val="solid"/>
            </a:ln>
          </c:spPr>
          <c:marker>
            <c:symbol val="none"/>
          </c:marker>
          <c:val>
            <c:numRef>
              <c:f>Houses_Chart!$E$3:$E$43</c:f>
              <c:numCache>
                <c:formatCode>0%</c:formatCode>
                <c:ptCount val="41"/>
                <c:pt idx="0">
                  <c:v>0.23373778372801302</c:v>
                </c:pt>
                <c:pt idx="1">
                  <c:v>0.14226420135979589</c:v>
                </c:pt>
                <c:pt idx="2">
                  <c:v>0.10224894513629956</c:v>
                </c:pt>
                <c:pt idx="3">
                  <c:v>7.9802544469665726E-2</c:v>
                </c:pt>
                <c:pt idx="4">
                  <c:v>6.5437293899577087E-2</c:v>
                </c:pt>
                <c:pt idx="5">
                  <c:v>5.5454867072028513E-2</c:v>
                </c:pt>
                <c:pt idx="6">
                  <c:v>4.8114954547281208E-2</c:v>
                </c:pt>
                <c:pt idx="7">
                  <c:v>4.2131039800703762E-2</c:v>
                </c:pt>
                <c:pt idx="8">
                  <c:v>3.3911398479004706E-2</c:v>
                </c:pt>
                <c:pt idx="9">
                  <c:v>2.3904979113660074E-2</c:v>
                </c:pt>
                <c:pt idx="10">
                  <c:v>1.4392761633914342E-2</c:v>
                </c:pt>
                <c:pt idx="11">
                  <c:v>7.1392439704061061E-3</c:v>
                </c:pt>
                <c:pt idx="12">
                  <c:v>1.5418960247486346E-3</c:v>
                </c:pt>
                <c:pt idx="13">
                  <c:v>-2.9083826184859163E-3</c:v>
                </c:pt>
                <c:pt idx="14">
                  <c:v>-6.5314249727853602E-3</c:v>
                </c:pt>
                <c:pt idx="15">
                  <c:v>-9.5382716628596986E-3</c:v>
                </c:pt>
                <c:pt idx="16">
                  <c:v>-1.2073803211382628E-2</c:v>
                </c:pt>
                <c:pt idx="17">
                  <c:v>-1.4240781840753836E-2</c:v>
                </c:pt>
                <c:pt idx="18">
                  <c:v>-1.6114119780335057E-2</c:v>
                </c:pt>
                <c:pt idx="19">
                  <c:v>-1.7749715266528354E-2</c:v>
                </c:pt>
                <c:pt idx="20">
                  <c:v>-1.9190125181738016E-2</c:v>
                </c:pt>
                <c:pt idx="21">
                  <c:v>-2.0468321195351802E-2</c:v>
                </c:pt>
                <c:pt idx="22">
                  <c:v>-2.1610244541205637E-2</c:v>
                </c:pt>
                <c:pt idx="23">
                  <c:v>-2.2636585028929068E-2</c:v>
                </c:pt>
                <c:pt idx="24">
                  <c:v>-2.3564045875035688E-2</c:v>
                </c:pt>
                <c:pt idx="25">
                  <c:v>-2.440625976565447E-2</c:v>
                </c:pt>
                <c:pt idx="26">
                  <c:v>-2.5174463419966764E-2</c:v>
                </c:pt>
                <c:pt idx="27">
                  <c:v>-2.5878001804966688E-2</c:v>
                </c:pt>
                <c:pt idx="28">
                  <c:v>-2.6524710162690424E-2</c:v>
                </c:pt>
                <c:pt idx="29">
                  <c:v>-2.7121207053840246E-2</c:v>
                </c:pt>
                <c:pt idx="30">
                  <c:v>-2.7673121695061198E-2</c:v>
                </c:pt>
                <c:pt idx="31">
                  <c:v>-2.8185272158835928E-2</c:v>
                </c:pt>
                <c:pt idx="32">
                  <c:v>-2.8661806395979039E-2</c:v>
                </c:pt>
                <c:pt idx="33">
                  <c:v>-2.9106314825594559E-2</c:v>
                </c:pt>
                <c:pt idx="34">
                  <c:v>-2.9521920962963688E-2</c:v>
                </c:pt>
                <c:pt idx="35">
                  <c:v>-2.9911354925970857E-2</c:v>
                </c:pt>
                <c:pt idx="36">
                  <c:v>-3.027701347855849E-2</c:v>
                </c:pt>
                <c:pt idx="37">
                  <c:v>-3.0621009402761135E-2</c:v>
                </c:pt>
                <c:pt idx="38">
                  <c:v>-3.0945212348376328E-2</c:v>
                </c:pt>
                <c:pt idx="39">
                  <c:v>-3.1251282828540949E-2</c:v>
                </c:pt>
                <c:pt idx="40">
                  <c:v>-3.1540700666434773E-2</c:v>
                </c:pt>
              </c:numCache>
            </c:numRef>
          </c:val>
          <c:smooth val="0"/>
          <c:extLst xmlns:c16r2="http://schemas.microsoft.com/office/drawing/2015/06/chart">
            <c:ext xmlns:c16="http://schemas.microsoft.com/office/drawing/2014/chart" uri="{C3380CC4-5D6E-409C-BE32-E72D297353CC}">
              <c16:uniqueId val="{00000001-96BC-4595-9FA8-36DF917F53D2}"/>
            </c:ext>
          </c:extLst>
        </c:ser>
        <c:ser>
          <c:idx val="1"/>
          <c:order val="2"/>
          <c:tx>
            <c:strRef>
              <c:f>Houses_Chart!$D$2</c:f>
              <c:strCache>
                <c:ptCount val="1"/>
                <c:pt idx="0">
                  <c:v>Combined bill impact</c:v>
                </c:pt>
              </c:strCache>
            </c:strRef>
          </c:tx>
          <c:spPr>
            <a:ln w="38100">
              <a:solidFill>
                <a:schemeClr val="tx2">
                  <a:lumMod val="60000"/>
                  <a:lumOff val="40000"/>
                </a:schemeClr>
              </a:solidFill>
              <a:prstDash val="dash"/>
            </a:ln>
          </c:spPr>
          <c:marker>
            <c:symbol val="none"/>
          </c:marker>
          <c:cat>
            <c:numRef>
              <c:f>Houses_Chart!$A$3:$A$43</c:f>
              <c:numCache>
                <c:formatCode>General</c:formatCode>
                <c:ptCount val="41"/>
                <c:pt idx="0">
                  <c:v>0</c:v>
                </c:pt>
                <c:pt idx="1">
                  <c:v>25</c:v>
                </c:pt>
                <c:pt idx="2">
                  <c:v>50</c:v>
                </c:pt>
                <c:pt idx="3">
                  <c:v>75</c:v>
                </c:pt>
                <c:pt idx="4">
                  <c:v>100</c:v>
                </c:pt>
                <c:pt idx="5">
                  <c:v>125</c:v>
                </c:pt>
                <c:pt idx="6">
                  <c:v>150</c:v>
                </c:pt>
                <c:pt idx="7">
                  <c:v>175</c:v>
                </c:pt>
                <c:pt idx="8">
                  <c:v>200</c:v>
                </c:pt>
                <c:pt idx="9">
                  <c:v>225</c:v>
                </c:pt>
                <c:pt idx="10">
                  <c:v>250</c:v>
                </c:pt>
                <c:pt idx="11">
                  <c:v>275</c:v>
                </c:pt>
                <c:pt idx="12">
                  <c:v>300</c:v>
                </c:pt>
                <c:pt idx="13">
                  <c:v>325</c:v>
                </c:pt>
                <c:pt idx="14">
                  <c:v>350</c:v>
                </c:pt>
                <c:pt idx="15">
                  <c:v>375</c:v>
                </c:pt>
                <c:pt idx="16">
                  <c:v>400</c:v>
                </c:pt>
                <c:pt idx="17">
                  <c:v>425</c:v>
                </c:pt>
                <c:pt idx="18">
                  <c:v>450</c:v>
                </c:pt>
                <c:pt idx="19">
                  <c:v>475</c:v>
                </c:pt>
                <c:pt idx="20">
                  <c:v>500</c:v>
                </c:pt>
                <c:pt idx="21">
                  <c:v>525</c:v>
                </c:pt>
                <c:pt idx="22">
                  <c:v>550</c:v>
                </c:pt>
                <c:pt idx="23">
                  <c:v>575</c:v>
                </c:pt>
                <c:pt idx="24">
                  <c:v>600</c:v>
                </c:pt>
                <c:pt idx="25">
                  <c:v>625</c:v>
                </c:pt>
                <c:pt idx="26">
                  <c:v>650</c:v>
                </c:pt>
                <c:pt idx="27">
                  <c:v>675</c:v>
                </c:pt>
                <c:pt idx="28">
                  <c:v>700</c:v>
                </c:pt>
                <c:pt idx="29">
                  <c:v>725</c:v>
                </c:pt>
                <c:pt idx="30">
                  <c:v>750</c:v>
                </c:pt>
                <c:pt idx="31">
                  <c:v>775</c:v>
                </c:pt>
                <c:pt idx="32">
                  <c:v>800</c:v>
                </c:pt>
                <c:pt idx="33">
                  <c:v>825</c:v>
                </c:pt>
                <c:pt idx="34">
                  <c:v>850</c:v>
                </c:pt>
                <c:pt idx="35">
                  <c:v>875</c:v>
                </c:pt>
                <c:pt idx="36">
                  <c:v>900</c:v>
                </c:pt>
                <c:pt idx="37">
                  <c:v>925</c:v>
                </c:pt>
                <c:pt idx="38">
                  <c:v>950</c:v>
                </c:pt>
                <c:pt idx="39">
                  <c:v>975</c:v>
                </c:pt>
                <c:pt idx="40">
                  <c:v>1000</c:v>
                </c:pt>
              </c:numCache>
            </c:numRef>
          </c:cat>
          <c:val>
            <c:numRef>
              <c:f>Houses_Chart!$D$3:$D$43</c:f>
              <c:numCache>
                <c:formatCode>0%</c:formatCode>
                <c:ptCount val="41"/>
                <c:pt idx="0">
                  <c:v>5.8577513699899608E-2</c:v>
                </c:pt>
                <c:pt idx="1">
                  <c:v>5.3086739585293419E-2</c:v>
                </c:pt>
                <c:pt idx="2">
                  <c:v>4.8537105039296424E-2</c:v>
                </c:pt>
                <c:pt idx="3">
                  <c:v>4.4705738247442728E-2</c:v>
                </c:pt>
                <c:pt idx="4">
                  <c:v>4.1434990124816107E-2</c:v>
                </c:pt>
                <c:pt idx="5">
                  <c:v>3.8610201850068027E-2</c:v>
                </c:pt>
                <c:pt idx="6">
                  <c:v>3.6145986044757938E-2</c:v>
                </c:pt>
                <c:pt idx="7">
                  <c:v>3.3804974986560765E-2</c:v>
                </c:pt>
                <c:pt idx="8">
                  <c:v>2.9895850346364217E-2</c:v>
                </c:pt>
                <c:pt idx="9">
                  <c:v>2.4355852193421956E-2</c:v>
                </c:pt>
                <c:pt idx="10">
                  <c:v>1.8361535820928365E-2</c:v>
                </c:pt>
                <c:pt idx="11">
                  <c:v>1.3255662680345059E-2</c:v>
                </c:pt>
                <c:pt idx="12">
                  <c:v>8.9475536720289295E-3</c:v>
                </c:pt>
                <c:pt idx="13">
                  <c:v>5.2637875664698353E-3</c:v>
                </c:pt>
                <c:pt idx="14">
                  <c:v>2.077812286270575E-3</c:v>
                </c:pt>
                <c:pt idx="15">
                  <c:v>-7.0488667407564431E-4</c:v>
                </c:pt>
                <c:pt idx="16">
                  <c:v>-3.1563209798721736E-3</c:v>
                </c:pt>
                <c:pt idx="17">
                  <c:v>-5.3323203161091959E-3</c:v>
                </c:pt>
                <c:pt idx="18">
                  <c:v>-7.2768360007806621E-3</c:v>
                </c:pt>
                <c:pt idx="19">
                  <c:v>-9.0249405031275209E-3</c:v>
                </c:pt>
                <c:pt idx="20">
                  <c:v>-1.0604961735282803E-2</c:v>
                </c:pt>
                <c:pt idx="21">
                  <c:v>-1.204002993653841E-2</c:v>
                </c:pt>
                <c:pt idx="22">
                  <c:v>-1.3349217490984611E-2</c:v>
                </c:pt>
                <c:pt idx="23">
                  <c:v>-1.454839140169284E-2</c:v>
                </c:pt>
                <c:pt idx="24">
                  <c:v>-1.5650859524953931E-2</c:v>
                </c:pt>
                <c:pt idx="25">
                  <c:v>-1.6667866520152619E-2</c:v>
                </c:pt>
                <c:pt idx="26">
                  <c:v>-1.7608978767983507E-2</c:v>
                </c:pt>
                <c:pt idx="27">
                  <c:v>-1.8482386214166091E-2</c:v>
                </c:pt>
                <c:pt idx="28">
                  <c:v>-1.9295141330047505E-2</c:v>
                </c:pt>
                <c:pt idx="29">
                  <c:v>-2.0053349961075329E-2</c:v>
                </c:pt>
                <c:pt idx="30">
                  <c:v>-2.0762324997547266E-2</c:v>
                </c:pt>
                <c:pt idx="31">
                  <c:v>-2.1426711051298786E-2</c:v>
                </c:pt>
                <c:pt idx="32">
                  <c:v>-2.205058632599699E-2</c:v>
                </c:pt>
                <c:pt idx="33">
                  <c:v>-2.2637546404196129E-2</c:v>
                </c:pt>
                <c:pt idx="34">
                  <c:v>-2.3190773588538161E-2</c:v>
                </c:pt>
                <c:pt idx="35">
                  <c:v>-2.3713094621673925E-2</c:v>
                </c:pt>
                <c:pt idx="36">
                  <c:v>-2.4207028995441582E-2</c:v>
                </c:pt>
                <c:pt idx="37">
                  <c:v>-2.4674829592016612E-2</c:v>
                </c:pt>
                <c:pt idx="38">
                  <c:v>-2.5118517040423116E-2</c:v>
                </c:pt>
                <c:pt idx="39">
                  <c:v>-2.5539908893726371E-2</c:v>
                </c:pt>
                <c:pt idx="40">
                  <c:v>-2.5940644515516587E-2</c:v>
                </c:pt>
              </c:numCache>
            </c:numRef>
          </c:val>
          <c:smooth val="0"/>
          <c:extLst xmlns:c16r2="http://schemas.microsoft.com/office/drawing/2015/06/chart">
            <c:ext xmlns:c16="http://schemas.microsoft.com/office/drawing/2014/chart" uri="{C3380CC4-5D6E-409C-BE32-E72D297353CC}">
              <c16:uniqueId val="{00000002-96BC-4595-9FA8-36DF917F53D2}"/>
            </c:ext>
          </c:extLst>
        </c:ser>
        <c:dLbls>
          <c:showLegendKey val="0"/>
          <c:showVal val="0"/>
          <c:showCatName val="0"/>
          <c:showSerName val="0"/>
          <c:showPercent val="0"/>
          <c:showBubbleSize val="0"/>
        </c:dLbls>
        <c:marker val="1"/>
        <c:smooth val="0"/>
        <c:axId val="248214296"/>
        <c:axId val="248214688"/>
      </c:lineChart>
      <c:catAx>
        <c:axId val="248214296"/>
        <c:scaling>
          <c:orientation val="minMax"/>
        </c:scaling>
        <c:delete val="0"/>
        <c:axPos val="b"/>
        <c:title>
          <c:tx>
            <c:rich>
              <a:bodyPr/>
              <a:lstStyle/>
              <a:p>
                <a:pPr>
                  <a:defRPr sz="800" b="1" i="0" u="none" strike="noStrike" baseline="0">
                    <a:solidFill>
                      <a:srgbClr val="000000"/>
                    </a:solidFill>
                    <a:latin typeface="Calibri"/>
                    <a:ea typeface="Calibri"/>
                    <a:cs typeface="Calibri"/>
                  </a:defRPr>
                </a:pPr>
                <a:r>
                  <a:rPr lang="en-AU" sz="800"/>
                  <a:t>Water consumption (kL/a)</a:t>
                </a:r>
              </a:p>
            </c:rich>
          </c:tx>
          <c:overlay val="0"/>
        </c:title>
        <c:numFmt formatCode="General" sourceLinked="1"/>
        <c:majorTickMark val="out"/>
        <c:minorTickMark val="none"/>
        <c:tickLblPos val="nextTo"/>
        <c:txPr>
          <a:bodyPr rot="-5400000" vert="horz"/>
          <a:lstStyle/>
          <a:p>
            <a:pPr>
              <a:defRPr sz="700" b="0" i="0" u="none" strike="noStrike" baseline="0">
                <a:solidFill>
                  <a:srgbClr val="000000"/>
                </a:solidFill>
                <a:latin typeface="Calibri"/>
                <a:ea typeface="Calibri"/>
                <a:cs typeface="Calibri"/>
              </a:defRPr>
            </a:pPr>
            <a:endParaRPr lang="en-US"/>
          </a:p>
        </c:txPr>
        <c:crossAx val="248214688"/>
        <c:crosses val="autoZero"/>
        <c:auto val="1"/>
        <c:lblAlgn val="ctr"/>
        <c:lblOffset val="100"/>
        <c:noMultiLvlLbl val="0"/>
      </c:catAx>
      <c:valAx>
        <c:axId val="248214688"/>
        <c:scaling>
          <c:orientation val="minMax"/>
          <c:max val="1"/>
          <c:min val="-0.4"/>
        </c:scaling>
        <c:delete val="0"/>
        <c:axPos val="l"/>
        <c:majorGridlines>
          <c:spPr>
            <a:ln w="6350">
              <a:solidFill>
                <a:schemeClr val="bg1">
                  <a:lumMod val="85000"/>
                </a:schemeClr>
              </a:solidFill>
              <a:prstDash val="solid"/>
            </a:ln>
          </c:spPr>
        </c:majorGridlines>
        <c:title>
          <c:tx>
            <c:rich>
              <a:bodyPr/>
              <a:lstStyle/>
              <a:p>
                <a:pPr>
                  <a:defRPr sz="800" b="1" i="0" u="none" strike="noStrike" baseline="0">
                    <a:solidFill>
                      <a:srgbClr val="000000"/>
                    </a:solidFill>
                    <a:latin typeface="Calibri"/>
                    <a:ea typeface="Calibri"/>
                    <a:cs typeface="Calibri"/>
                  </a:defRPr>
                </a:pPr>
                <a:r>
                  <a:rPr lang="en-AU" sz="800"/>
                  <a:t>Change in water chargess and combined bills</a:t>
                </a:r>
              </a:p>
            </c:rich>
          </c:tx>
          <c:layout>
            <c:manualLayout>
              <c:xMode val="edge"/>
              <c:yMode val="edge"/>
              <c:x val="3.2174517744907073E-3"/>
              <c:y val="0.11692801364452617"/>
            </c:manualLayout>
          </c:layout>
          <c:overlay val="0"/>
        </c:title>
        <c:numFmt formatCode="0%" sourceLinked="0"/>
        <c:majorTickMark val="out"/>
        <c:minorTickMark val="none"/>
        <c:tickLblPos val="nextTo"/>
        <c:txPr>
          <a:bodyPr rot="0" vert="horz"/>
          <a:lstStyle/>
          <a:p>
            <a:pPr>
              <a:defRPr sz="700" b="0" i="0" u="none" strike="noStrike" baseline="0">
                <a:solidFill>
                  <a:srgbClr val="000000"/>
                </a:solidFill>
                <a:latin typeface="Calibri"/>
                <a:ea typeface="Calibri"/>
                <a:cs typeface="Calibri"/>
              </a:defRPr>
            </a:pPr>
            <a:endParaRPr lang="en-US"/>
          </a:p>
        </c:txPr>
        <c:crossAx val="248214296"/>
        <c:crosses val="autoZero"/>
        <c:crossBetween val="between"/>
        <c:majorUnit val="0.1"/>
      </c:valAx>
      <c:catAx>
        <c:axId val="146379072"/>
        <c:scaling>
          <c:orientation val="minMax"/>
        </c:scaling>
        <c:delete val="1"/>
        <c:axPos val="b"/>
        <c:numFmt formatCode="General" sourceLinked="1"/>
        <c:majorTickMark val="out"/>
        <c:minorTickMark val="none"/>
        <c:tickLblPos val="none"/>
        <c:crossAx val="146379464"/>
        <c:crosses val="autoZero"/>
        <c:auto val="1"/>
        <c:lblAlgn val="ctr"/>
        <c:lblOffset val="100"/>
        <c:noMultiLvlLbl val="0"/>
      </c:catAx>
      <c:valAx>
        <c:axId val="146379464"/>
        <c:scaling>
          <c:orientation val="minMax"/>
          <c:max val="0.12000000000000002"/>
          <c:min val="-4.8000000000000015E-2"/>
        </c:scaling>
        <c:delete val="0"/>
        <c:axPos val="r"/>
        <c:title>
          <c:tx>
            <c:rich>
              <a:bodyPr/>
              <a:lstStyle/>
              <a:p>
                <a:pPr>
                  <a:defRPr sz="800" b="1">
                    <a:solidFill>
                      <a:schemeClr val="accent6">
                        <a:lumMod val="50000"/>
                      </a:schemeClr>
                    </a:solidFill>
                  </a:defRPr>
                </a:pPr>
                <a:r>
                  <a:rPr lang="en-AU" sz="800" b="1">
                    <a:solidFill>
                      <a:schemeClr val="accent6">
                        <a:lumMod val="50000"/>
                      </a:schemeClr>
                    </a:solidFill>
                  </a:rPr>
                  <a:t>Proportion</a:t>
                </a:r>
                <a:r>
                  <a:rPr lang="en-AU" sz="800" b="1" baseline="0">
                    <a:solidFill>
                      <a:schemeClr val="accent6">
                        <a:lumMod val="50000"/>
                      </a:schemeClr>
                    </a:solidFill>
                  </a:rPr>
                  <a:t> of houses</a:t>
                </a:r>
                <a:endParaRPr lang="en-AU" sz="800" b="1">
                  <a:solidFill>
                    <a:schemeClr val="accent6">
                      <a:lumMod val="50000"/>
                    </a:schemeClr>
                  </a:solidFill>
                </a:endParaRPr>
              </a:p>
            </c:rich>
          </c:tx>
          <c:layout>
            <c:manualLayout>
              <c:xMode val="edge"/>
              <c:yMode val="edge"/>
              <c:x val="0.93796875496450849"/>
              <c:y val="0.29188144024691898"/>
            </c:manualLayout>
          </c:layout>
          <c:overlay val="0"/>
        </c:title>
        <c:numFmt formatCode="0%" sourceLinked="0"/>
        <c:majorTickMark val="out"/>
        <c:minorTickMark val="none"/>
        <c:tickLblPos val="nextTo"/>
        <c:txPr>
          <a:bodyPr/>
          <a:lstStyle/>
          <a:p>
            <a:pPr>
              <a:defRPr sz="700" b="0" cap="none" spc="0">
                <a:ln w="0"/>
                <a:solidFill>
                  <a:schemeClr val="accent6">
                    <a:lumMod val="50000"/>
                  </a:schemeClr>
                </a:solidFill>
                <a:effectLst>
                  <a:outerShdw blurRad="38100" dist="25400" dir="5400000" algn="ctr" rotWithShape="0">
                    <a:srgbClr val="6E747A">
                      <a:alpha val="43000"/>
                    </a:srgbClr>
                  </a:outerShdw>
                </a:effectLst>
              </a:defRPr>
            </a:pPr>
            <a:endParaRPr lang="en-US"/>
          </a:p>
        </c:txPr>
        <c:crossAx val="146379072"/>
        <c:crosses val="max"/>
        <c:crossBetween val="between"/>
        <c:majorUnit val="2.0000000000000007E-2"/>
      </c:valAx>
    </c:plotArea>
    <c:legend>
      <c:legendPos val="r"/>
      <c:layout>
        <c:manualLayout>
          <c:xMode val="edge"/>
          <c:yMode val="edge"/>
          <c:x val="0.42997211891607928"/>
          <c:y val="0.1076493531696464"/>
          <c:w val="0.41206192545228437"/>
          <c:h val="0.24530053763587811"/>
        </c:manualLayout>
      </c:layout>
      <c:overlay val="0"/>
      <c:txPr>
        <a:bodyPr/>
        <a:lstStyle/>
        <a:p>
          <a:pPr>
            <a:defRPr sz="800" b="0" i="0" u="none" strike="noStrike" baseline="0">
              <a:solidFill>
                <a:srgbClr val="000000"/>
              </a:solidFill>
              <a:latin typeface="Calibri"/>
              <a:ea typeface="Calibri"/>
              <a:cs typeface="Calibri"/>
            </a:defRPr>
          </a:pPr>
          <a:endParaRPr lang="en-US"/>
        </a:p>
      </c:txPr>
    </c:legend>
    <c:plotVisOnly val="1"/>
    <c:dispBlanksAs val="gap"/>
    <c:showDLblsOverMax val="0"/>
  </c:chart>
  <c:spPr>
    <a:ln>
      <a:solidFill>
        <a:schemeClr val="bg1">
          <a:lumMod val="75000"/>
        </a:schemeClr>
      </a:solidFill>
    </a:ln>
  </c:spPr>
  <c:txPr>
    <a:bodyPr/>
    <a:lstStyle/>
    <a:p>
      <a:pPr>
        <a:defRPr sz="14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a:pPr>
            <a:r>
              <a:rPr lang="en-AU" sz="1000" b="1"/>
              <a:t>Units and flats</a:t>
            </a:r>
          </a:p>
        </c:rich>
      </c:tx>
      <c:layout>
        <c:manualLayout>
          <c:xMode val="edge"/>
          <c:yMode val="edge"/>
          <c:x val="0.51577112728289232"/>
          <c:y val="2.3544174194049017E-2"/>
        </c:manualLayout>
      </c:layout>
      <c:overlay val="1"/>
    </c:title>
    <c:autoTitleDeleted val="0"/>
    <c:plotArea>
      <c:layout>
        <c:manualLayout>
          <c:layoutTarget val="inner"/>
          <c:xMode val="edge"/>
          <c:yMode val="edge"/>
          <c:x val="9.4619102696701166E-2"/>
          <c:y val="2.8314093347741025E-2"/>
          <c:w val="0.80098302758744189"/>
          <c:h val="0.90669604169564255"/>
        </c:manualLayout>
      </c:layout>
      <c:areaChart>
        <c:grouping val="standard"/>
        <c:varyColors val="0"/>
        <c:ser>
          <c:idx val="3"/>
          <c:order val="0"/>
          <c:tx>
            <c:strRef>
              <c:f>Units_Chart!$C$2</c:f>
              <c:strCache>
                <c:ptCount val="1"/>
                <c:pt idx="0">
                  <c:v>Proportion of units and flats by water use</c:v>
                </c:pt>
              </c:strCache>
            </c:strRef>
          </c:tx>
          <c:spPr>
            <a:solidFill>
              <a:schemeClr val="tx2">
                <a:lumMod val="20000"/>
                <a:lumOff val="80000"/>
              </a:schemeClr>
            </a:solidFill>
          </c:spPr>
          <c:cat>
            <c:numRef>
              <c:f>Units_Chart!$A$3:$A$33</c:f>
              <c:numCache>
                <c:formatCode>#,##0</c:formatCode>
                <c:ptCount val="31"/>
                <c:pt idx="0">
                  <c:v>1</c:v>
                </c:pt>
                <c:pt idx="1">
                  <c:v>10</c:v>
                </c:pt>
                <c:pt idx="2">
                  <c:v>30</c:v>
                </c:pt>
                <c:pt idx="3">
                  <c:v>50</c:v>
                </c:pt>
                <c:pt idx="4">
                  <c:v>70</c:v>
                </c:pt>
                <c:pt idx="5">
                  <c:v>90</c:v>
                </c:pt>
                <c:pt idx="6">
                  <c:v>110</c:v>
                </c:pt>
                <c:pt idx="7">
                  <c:v>130</c:v>
                </c:pt>
                <c:pt idx="8">
                  <c:v>150</c:v>
                </c:pt>
                <c:pt idx="9">
                  <c:v>170</c:v>
                </c:pt>
                <c:pt idx="10">
                  <c:v>190</c:v>
                </c:pt>
                <c:pt idx="11">
                  <c:v>220</c:v>
                </c:pt>
                <c:pt idx="12">
                  <c:v>260</c:v>
                </c:pt>
                <c:pt idx="13">
                  <c:v>300</c:v>
                </c:pt>
                <c:pt idx="14">
                  <c:v>340</c:v>
                </c:pt>
                <c:pt idx="15">
                  <c:v>380</c:v>
                </c:pt>
                <c:pt idx="16">
                  <c:v>440</c:v>
                </c:pt>
                <c:pt idx="17">
                  <c:v>520</c:v>
                </c:pt>
                <c:pt idx="18">
                  <c:v>600</c:v>
                </c:pt>
                <c:pt idx="19">
                  <c:v>680</c:v>
                </c:pt>
                <c:pt idx="20">
                  <c:v>760</c:v>
                </c:pt>
                <c:pt idx="21">
                  <c:v>1000</c:v>
                </c:pt>
                <c:pt idx="22">
                  <c:v>1400</c:v>
                </c:pt>
                <c:pt idx="23">
                  <c:v>1800</c:v>
                </c:pt>
                <c:pt idx="24">
                  <c:v>2500</c:v>
                </c:pt>
                <c:pt idx="25">
                  <c:v>3500</c:v>
                </c:pt>
                <c:pt idx="26">
                  <c:v>7000</c:v>
                </c:pt>
                <c:pt idx="27">
                  <c:v>15000</c:v>
                </c:pt>
                <c:pt idx="28">
                  <c:v>30000</c:v>
                </c:pt>
                <c:pt idx="29">
                  <c:v>60000</c:v>
                </c:pt>
                <c:pt idx="30">
                  <c:v>80000</c:v>
                </c:pt>
              </c:numCache>
            </c:numRef>
          </c:cat>
          <c:val>
            <c:numRef>
              <c:f>Units_Chart!$C$3:$C$33</c:f>
              <c:numCache>
                <c:formatCode>0%</c:formatCode>
                <c:ptCount val="31"/>
                <c:pt idx="0">
                  <c:v>0</c:v>
                </c:pt>
                <c:pt idx="1">
                  <c:v>0</c:v>
                </c:pt>
                <c:pt idx="2">
                  <c:v>9.3457943925233638E-3</c:v>
                </c:pt>
                <c:pt idx="3">
                  <c:v>2.8037383177570093E-2</c:v>
                </c:pt>
                <c:pt idx="4">
                  <c:v>4.2056074766355138E-2</c:v>
                </c:pt>
                <c:pt idx="5">
                  <c:v>4.6728971962616821E-2</c:v>
                </c:pt>
                <c:pt idx="6">
                  <c:v>0.11682242990654206</c:v>
                </c:pt>
                <c:pt idx="7">
                  <c:v>0.12616822429906541</c:v>
                </c:pt>
                <c:pt idx="8">
                  <c:v>0.13084112149532709</c:v>
                </c:pt>
                <c:pt idx="9">
                  <c:v>8.4112149532710276E-2</c:v>
                </c:pt>
                <c:pt idx="10">
                  <c:v>7.476635514018691E-2</c:v>
                </c:pt>
                <c:pt idx="11">
                  <c:v>0.19626168224299065</c:v>
                </c:pt>
                <c:pt idx="12">
                  <c:v>7.476635514018691E-2</c:v>
                </c:pt>
                <c:pt idx="13">
                  <c:v>3.2710280373831772E-2</c:v>
                </c:pt>
                <c:pt idx="14">
                  <c:v>2.336448598130841E-2</c:v>
                </c:pt>
                <c:pt idx="15">
                  <c:v>4.6728971962616819E-3</c:v>
                </c:pt>
                <c:pt idx="16">
                  <c:v>0</c:v>
                </c:pt>
                <c:pt idx="17">
                  <c:v>4.6728971962616819E-3</c:v>
                </c:pt>
                <c:pt idx="18">
                  <c:v>0</c:v>
                </c:pt>
                <c:pt idx="19">
                  <c:v>0</c:v>
                </c:pt>
                <c:pt idx="20">
                  <c:v>0</c:v>
                </c:pt>
                <c:pt idx="21">
                  <c:v>4.6728971962616819E-3</c:v>
                </c:pt>
                <c:pt idx="22">
                  <c:v>0</c:v>
                </c:pt>
                <c:pt idx="23">
                  <c:v>0</c:v>
                </c:pt>
                <c:pt idx="24">
                  <c:v>0</c:v>
                </c:pt>
                <c:pt idx="25">
                  <c:v>0</c:v>
                </c:pt>
                <c:pt idx="26">
                  <c:v>0</c:v>
                </c:pt>
                <c:pt idx="27">
                  <c:v>0</c:v>
                </c:pt>
                <c:pt idx="28">
                  <c:v>0</c:v>
                </c:pt>
                <c:pt idx="29">
                  <c:v>0</c:v>
                </c:pt>
                <c:pt idx="30">
                  <c:v>0</c:v>
                </c:pt>
              </c:numCache>
            </c:numRef>
          </c:val>
          <c:extLst xmlns:c16r2="http://schemas.microsoft.com/office/drawing/2015/06/chart">
            <c:ext xmlns:c16="http://schemas.microsoft.com/office/drawing/2014/chart" uri="{C3380CC4-5D6E-409C-BE32-E72D297353CC}">
              <c16:uniqueId val="{00000000-BE59-48F8-8C3F-7406925EB49B}"/>
            </c:ext>
          </c:extLst>
        </c:ser>
        <c:dLbls>
          <c:showLegendKey val="0"/>
          <c:showVal val="0"/>
          <c:showCatName val="0"/>
          <c:showSerName val="0"/>
          <c:showPercent val="0"/>
          <c:showBubbleSize val="0"/>
        </c:dLbls>
        <c:axId val="245699080"/>
        <c:axId val="245699472"/>
      </c:areaChart>
      <c:lineChart>
        <c:grouping val="standard"/>
        <c:varyColors val="0"/>
        <c:ser>
          <c:idx val="1"/>
          <c:order val="1"/>
          <c:tx>
            <c:strRef>
              <c:f>Units_Chart!$E$2</c:f>
              <c:strCache>
                <c:ptCount val="1"/>
                <c:pt idx="0">
                  <c:v>Water charge impact</c:v>
                </c:pt>
              </c:strCache>
            </c:strRef>
          </c:tx>
          <c:spPr>
            <a:ln w="28575">
              <a:solidFill>
                <a:schemeClr val="tx1"/>
              </a:solidFill>
              <a:prstDash val="solid"/>
            </a:ln>
          </c:spPr>
          <c:marker>
            <c:symbol val="none"/>
          </c:marker>
          <c:cat>
            <c:numRef>
              <c:f>Units_Chart!$A$3:$A$33</c:f>
              <c:numCache>
                <c:formatCode>#,##0</c:formatCode>
                <c:ptCount val="31"/>
                <c:pt idx="0">
                  <c:v>1</c:v>
                </c:pt>
                <c:pt idx="1">
                  <c:v>10</c:v>
                </c:pt>
                <c:pt idx="2">
                  <c:v>30</c:v>
                </c:pt>
                <c:pt idx="3">
                  <c:v>50</c:v>
                </c:pt>
                <c:pt idx="4">
                  <c:v>70</c:v>
                </c:pt>
                <c:pt idx="5">
                  <c:v>90</c:v>
                </c:pt>
                <c:pt idx="6">
                  <c:v>110</c:v>
                </c:pt>
                <c:pt idx="7">
                  <c:v>130</c:v>
                </c:pt>
                <c:pt idx="8">
                  <c:v>150</c:v>
                </c:pt>
                <c:pt idx="9">
                  <c:v>170</c:v>
                </c:pt>
                <c:pt idx="10">
                  <c:v>190</c:v>
                </c:pt>
                <c:pt idx="11">
                  <c:v>220</c:v>
                </c:pt>
                <c:pt idx="12">
                  <c:v>260</c:v>
                </c:pt>
                <c:pt idx="13">
                  <c:v>300</c:v>
                </c:pt>
                <c:pt idx="14">
                  <c:v>340</c:v>
                </c:pt>
                <c:pt idx="15">
                  <c:v>380</c:v>
                </c:pt>
                <c:pt idx="16">
                  <c:v>440</c:v>
                </c:pt>
                <c:pt idx="17">
                  <c:v>520</c:v>
                </c:pt>
                <c:pt idx="18">
                  <c:v>600</c:v>
                </c:pt>
                <c:pt idx="19">
                  <c:v>680</c:v>
                </c:pt>
                <c:pt idx="20">
                  <c:v>760</c:v>
                </c:pt>
                <c:pt idx="21">
                  <c:v>1000</c:v>
                </c:pt>
                <c:pt idx="22">
                  <c:v>1400</c:v>
                </c:pt>
                <c:pt idx="23">
                  <c:v>1800</c:v>
                </c:pt>
                <c:pt idx="24">
                  <c:v>2500</c:v>
                </c:pt>
                <c:pt idx="25">
                  <c:v>3500</c:v>
                </c:pt>
                <c:pt idx="26">
                  <c:v>7000</c:v>
                </c:pt>
                <c:pt idx="27">
                  <c:v>15000</c:v>
                </c:pt>
                <c:pt idx="28">
                  <c:v>30000</c:v>
                </c:pt>
                <c:pt idx="29">
                  <c:v>60000</c:v>
                </c:pt>
                <c:pt idx="30">
                  <c:v>80000</c:v>
                </c:pt>
              </c:numCache>
            </c:numRef>
          </c:cat>
          <c:val>
            <c:numRef>
              <c:f>Units_Chart!$E$3:$E$33</c:f>
              <c:numCache>
                <c:formatCode>0%</c:formatCode>
                <c:ptCount val="31"/>
                <c:pt idx="0">
                  <c:v>0.23373778372801302</c:v>
                </c:pt>
                <c:pt idx="1">
                  <c:v>0.18592028760557122</c:v>
                </c:pt>
                <c:pt idx="2">
                  <c:v>0.13193742514583806</c:v>
                </c:pt>
                <c:pt idx="3">
                  <c:v>0.10224894513629956</c:v>
                </c:pt>
                <c:pt idx="4">
                  <c:v>8.3467204914908777E-2</c:v>
                </c:pt>
                <c:pt idx="5">
                  <c:v>7.0514627185679357E-2</c:v>
                </c:pt>
                <c:pt idx="6">
                  <c:v>6.1042025561580004E-2</c:v>
                </c:pt>
                <c:pt idx="7">
                  <c:v>5.3813036645761425E-2</c:v>
                </c:pt>
                <c:pt idx="8">
                  <c:v>4.8114954547281208E-2</c:v>
                </c:pt>
                <c:pt idx="9">
                  <c:v>4.3508034580723498E-2</c:v>
                </c:pt>
                <c:pt idx="10">
                  <c:v>3.7081368893868483E-2</c:v>
                </c:pt>
                <c:pt idx="11">
                  <c:v>2.5834670317911756E-2</c:v>
                </c:pt>
                <c:pt idx="12">
                  <c:v>1.1248199159140437E-2</c:v>
                </c:pt>
                <c:pt idx="13">
                  <c:v>1.5418960247486346E-3</c:v>
                </c:pt>
                <c:pt idx="14">
                  <c:v>-5.1661444619459651E-3</c:v>
                </c:pt>
                <c:pt idx="15">
                  <c:v>-1.0079299859137691E-2</c:v>
                </c:pt>
                <c:pt idx="16">
                  <c:v>-1.5396095205232108E-2</c:v>
                </c:pt>
                <c:pt idx="17">
                  <c:v>-2.0224328830599214E-2</c:v>
                </c:pt>
                <c:pt idx="18">
                  <c:v>-2.3564045875035688E-2</c:v>
                </c:pt>
                <c:pt idx="19">
                  <c:v>-2.6011662173281325E-2</c:v>
                </c:pt>
                <c:pt idx="20">
                  <c:v>-2.7882507612349672E-2</c:v>
                </c:pt>
                <c:pt idx="21">
                  <c:v>-3.1540700666434773E-2</c:v>
                </c:pt>
                <c:pt idx="22">
                  <c:v>-3.4679298068454933E-2</c:v>
                </c:pt>
                <c:pt idx="23">
                  <c:v>-3.6357220530395473E-2</c:v>
                </c:pt>
                <c:pt idx="24">
                  <c:v>-3.7958313600653382E-2</c:v>
                </c:pt>
                <c:pt idx="25">
                  <c:v>-3.9108301831779602E-2</c:v>
                </c:pt>
                <c:pt idx="26">
                  <c:v>-4.0515490066043047E-2</c:v>
                </c:pt>
                <c:pt idx="27">
                  <c:v>-4.1252599602315865E-2</c:v>
                </c:pt>
                <c:pt idx="28">
                  <c:v>-4.1572215830529724E-2</c:v>
                </c:pt>
                <c:pt idx="29">
                  <c:v>-4.1731375724521569E-2</c:v>
                </c:pt>
                <c:pt idx="30">
                  <c:v>-4.1771098471704016E-2</c:v>
                </c:pt>
              </c:numCache>
            </c:numRef>
          </c:val>
          <c:smooth val="0"/>
          <c:extLst xmlns:c16r2="http://schemas.microsoft.com/office/drawing/2015/06/chart">
            <c:ext xmlns:c16="http://schemas.microsoft.com/office/drawing/2014/chart" uri="{C3380CC4-5D6E-409C-BE32-E72D297353CC}">
              <c16:uniqueId val="{00000001-BE59-48F8-8C3F-7406925EB49B}"/>
            </c:ext>
          </c:extLst>
        </c:ser>
        <c:ser>
          <c:idx val="0"/>
          <c:order val="2"/>
          <c:tx>
            <c:strRef>
              <c:f>Units_Chart!$D$2</c:f>
              <c:strCache>
                <c:ptCount val="1"/>
                <c:pt idx="0">
                  <c:v>Combined bill impact</c:v>
                </c:pt>
              </c:strCache>
            </c:strRef>
          </c:tx>
          <c:spPr>
            <a:ln>
              <a:solidFill>
                <a:schemeClr val="tx2">
                  <a:lumMod val="60000"/>
                  <a:lumOff val="40000"/>
                </a:schemeClr>
              </a:solidFill>
              <a:prstDash val="dash"/>
            </a:ln>
          </c:spPr>
          <c:marker>
            <c:symbol val="none"/>
          </c:marker>
          <c:val>
            <c:numRef>
              <c:f>Units_Chart!$D$3:$D$33</c:f>
              <c:numCache>
                <c:formatCode>0%</c:formatCode>
                <c:ptCount val="31"/>
                <c:pt idx="0">
                  <c:v>5.8577513699899608E-2</c:v>
                </c:pt>
                <c:pt idx="1">
                  <c:v>5.6250320099730189E-2</c:v>
                </c:pt>
                <c:pt idx="2">
                  <c:v>5.2109834582772185E-2</c:v>
                </c:pt>
                <c:pt idx="3">
                  <c:v>4.8537105039296424E-2</c:v>
                </c:pt>
                <c:pt idx="4">
                  <c:v>4.5422845632428821E-2</c:v>
                </c:pt>
                <c:pt idx="5">
                  <c:v>4.2684127578911824E-2</c:v>
                </c:pt>
                <c:pt idx="6">
                  <c:v>4.0256885150462551E-2</c:v>
                </c:pt>
                <c:pt idx="7">
                  <c:v>3.8090840987794472E-2</c:v>
                </c:pt>
                <c:pt idx="8">
                  <c:v>3.6145986044757938E-2</c:v>
                </c:pt>
                <c:pt idx="9">
                  <c:v>3.4390085516600832E-2</c:v>
                </c:pt>
                <c:pt idx="10">
                  <c:v>3.1470021492631561E-2</c:v>
                </c:pt>
                <c:pt idx="11">
                  <c:v>2.5484647839568719E-2</c:v>
                </c:pt>
                <c:pt idx="12">
                  <c:v>1.6209779471514807E-2</c:v>
                </c:pt>
                <c:pt idx="13">
                  <c:v>8.9475536720289295E-3</c:v>
                </c:pt>
                <c:pt idx="14">
                  <c:v>3.2991044992112251E-3</c:v>
                </c:pt>
                <c:pt idx="15">
                  <c:v>-1.2196871765666195E-3</c:v>
                </c:pt>
                <c:pt idx="16">
                  <c:v>-6.524392343643215E-3</c:v>
                </c:pt>
                <c:pt idx="17">
                  <c:v>-1.1763646205710465E-2</c:v>
                </c:pt>
                <c:pt idx="18">
                  <c:v>-1.5650859524953931E-2</c:v>
                </c:pt>
                <c:pt idx="19">
                  <c:v>-1.8649581476321231E-2</c:v>
                </c:pt>
                <c:pt idx="20">
                  <c:v>-2.1033190005976254E-2</c:v>
                </c:pt>
                <c:pt idx="21">
                  <c:v>-2.5940644515516587E-2</c:v>
                </c:pt>
                <c:pt idx="22">
                  <c:v>-3.0433414284661398E-2</c:v>
                </c:pt>
                <c:pt idx="23">
                  <c:v>-3.2951352623727947E-2</c:v>
                </c:pt>
                <c:pt idx="24">
                  <c:v>-3.5434328336597987E-2</c:v>
                </c:pt>
                <c:pt idx="25">
                  <c:v>-3.7268350060733035E-2</c:v>
                </c:pt>
                <c:pt idx="26">
                  <c:v>-3.9572640477077203E-2</c:v>
                </c:pt>
                <c:pt idx="27">
                  <c:v>-4.0806975263774747E-2</c:v>
                </c:pt>
                <c:pt idx="28">
                  <c:v>-4.1348179525380835E-2</c:v>
                </c:pt>
                <c:pt idx="29">
                  <c:v>-4.1619052322965699E-2</c:v>
                </c:pt>
                <c:pt idx="30">
                  <c:v>-4.1686798747372245E-2</c:v>
                </c:pt>
              </c:numCache>
            </c:numRef>
          </c:val>
          <c:smooth val="0"/>
          <c:extLst xmlns:c16r2="http://schemas.microsoft.com/office/drawing/2015/06/chart">
            <c:ext xmlns:c16="http://schemas.microsoft.com/office/drawing/2014/chart" uri="{C3380CC4-5D6E-409C-BE32-E72D297353CC}">
              <c16:uniqueId val="{00000002-BE59-48F8-8C3F-7406925EB49B}"/>
            </c:ext>
          </c:extLst>
        </c:ser>
        <c:dLbls>
          <c:showLegendKey val="0"/>
          <c:showVal val="0"/>
          <c:showCatName val="0"/>
          <c:showSerName val="0"/>
          <c:showPercent val="0"/>
          <c:showBubbleSize val="0"/>
        </c:dLbls>
        <c:marker val="1"/>
        <c:smooth val="0"/>
        <c:axId val="206990304"/>
        <c:axId val="247857800"/>
      </c:lineChart>
      <c:catAx>
        <c:axId val="206990304"/>
        <c:scaling>
          <c:orientation val="minMax"/>
        </c:scaling>
        <c:delete val="0"/>
        <c:axPos val="b"/>
        <c:title>
          <c:tx>
            <c:rich>
              <a:bodyPr/>
              <a:lstStyle/>
              <a:p>
                <a:pPr>
                  <a:defRPr sz="800" b="1"/>
                </a:pPr>
                <a:r>
                  <a:rPr lang="en-AU" sz="800" b="1"/>
                  <a:t>Water consumption (kL/a)</a:t>
                </a:r>
              </a:p>
            </c:rich>
          </c:tx>
          <c:overlay val="0"/>
        </c:title>
        <c:numFmt formatCode="#,##0" sourceLinked="1"/>
        <c:majorTickMark val="out"/>
        <c:minorTickMark val="none"/>
        <c:tickLblPos val="nextTo"/>
        <c:txPr>
          <a:bodyPr rot="-5400000" vert="horz"/>
          <a:lstStyle/>
          <a:p>
            <a:pPr>
              <a:defRPr sz="700"/>
            </a:pPr>
            <a:endParaRPr lang="en-US"/>
          </a:p>
        </c:txPr>
        <c:crossAx val="247857800"/>
        <c:crosses val="autoZero"/>
        <c:auto val="1"/>
        <c:lblAlgn val="ctr"/>
        <c:lblOffset val="100"/>
        <c:noMultiLvlLbl val="0"/>
      </c:catAx>
      <c:valAx>
        <c:axId val="247857800"/>
        <c:scaling>
          <c:orientation val="minMax"/>
          <c:max val="1"/>
          <c:min val="-0.4"/>
        </c:scaling>
        <c:delete val="0"/>
        <c:axPos val="l"/>
        <c:majorGridlines>
          <c:spPr>
            <a:ln w="6350">
              <a:solidFill>
                <a:schemeClr val="bg1">
                  <a:lumMod val="85000"/>
                </a:schemeClr>
              </a:solidFill>
              <a:prstDash val="solid"/>
            </a:ln>
          </c:spPr>
        </c:majorGridlines>
        <c:title>
          <c:tx>
            <c:rich>
              <a:bodyPr/>
              <a:lstStyle/>
              <a:p>
                <a:pPr>
                  <a:defRPr sz="800" b="1"/>
                </a:pPr>
                <a:r>
                  <a:rPr lang="en-AU" sz="800" b="1"/>
                  <a:t>Change in water charges and combined bills</a:t>
                </a:r>
              </a:p>
            </c:rich>
          </c:tx>
          <c:layout>
            <c:manualLayout>
              <c:xMode val="edge"/>
              <c:yMode val="edge"/>
              <c:x val="6.9426001612262608E-3"/>
              <c:y val="0.12101096406375093"/>
            </c:manualLayout>
          </c:layout>
          <c:overlay val="0"/>
        </c:title>
        <c:numFmt formatCode="0%" sourceLinked="0"/>
        <c:majorTickMark val="out"/>
        <c:minorTickMark val="none"/>
        <c:tickLblPos val="nextTo"/>
        <c:txPr>
          <a:bodyPr rot="0" vert="horz"/>
          <a:lstStyle/>
          <a:p>
            <a:pPr>
              <a:defRPr sz="700"/>
            </a:pPr>
            <a:endParaRPr lang="en-US"/>
          </a:p>
        </c:txPr>
        <c:crossAx val="206990304"/>
        <c:crosses val="autoZero"/>
        <c:crossBetween val="between"/>
        <c:majorUnit val="0.1"/>
      </c:valAx>
      <c:catAx>
        <c:axId val="245699080"/>
        <c:scaling>
          <c:orientation val="minMax"/>
        </c:scaling>
        <c:delete val="1"/>
        <c:axPos val="b"/>
        <c:numFmt formatCode="#,##0" sourceLinked="1"/>
        <c:majorTickMark val="out"/>
        <c:minorTickMark val="none"/>
        <c:tickLblPos val="none"/>
        <c:crossAx val="245699472"/>
        <c:crosses val="autoZero"/>
        <c:auto val="1"/>
        <c:lblAlgn val="ctr"/>
        <c:lblOffset val="100"/>
        <c:noMultiLvlLbl val="0"/>
      </c:catAx>
      <c:valAx>
        <c:axId val="245699472"/>
        <c:scaling>
          <c:orientation val="minMax"/>
          <c:max val="0.23"/>
          <c:min val="-9.2000000000000026E-2"/>
        </c:scaling>
        <c:delete val="0"/>
        <c:axPos val="r"/>
        <c:title>
          <c:tx>
            <c:rich>
              <a:bodyPr/>
              <a:lstStyle/>
              <a:p>
                <a:pPr>
                  <a:defRPr sz="800" b="1">
                    <a:solidFill>
                      <a:schemeClr val="accent6">
                        <a:lumMod val="50000"/>
                      </a:schemeClr>
                    </a:solidFill>
                  </a:defRPr>
                </a:pPr>
                <a:r>
                  <a:rPr lang="en-US" sz="800" b="1">
                    <a:solidFill>
                      <a:schemeClr val="accent6">
                        <a:lumMod val="50000"/>
                      </a:schemeClr>
                    </a:solidFill>
                  </a:rPr>
                  <a:t>Proportion of units/flats</a:t>
                </a:r>
              </a:p>
            </c:rich>
          </c:tx>
          <c:layout>
            <c:manualLayout>
              <c:xMode val="edge"/>
              <c:yMode val="edge"/>
              <c:x val="0.94487919989083835"/>
              <c:y val="0.27109302438291877"/>
            </c:manualLayout>
          </c:layout>
          <c:overlay val="0"/>
        </c:title>
        <c:numFmt formatCode="0%" sourceLinked="0"/>
        <c:majorTickMark val="out"/>
        <c:minorTickMark val="none"/>
        <c:tickLblPos val="nextTo"/>
        <c:txPr>
          <a:bodyPr/>
          <a:lstStyle/>
          <a:p>
            <a:pPr>
              <a:defRPr sz="700">
                <a:solidFill>
                  <a:schemeClr val="accent6">
                    <a:lumMod val="50000"/>
                  </a:schemeClr>
                </a:solidFill>
              </a:defRPr>
            </a:pPr>
            <a:endParaRPr lang="en-US"/>
          </a:p>
        </c:txPr>
        <c:crossAx val="245699080"/>
        <c:crosses val="max"/>
        <c:crossBetween val="between"/>
      </c:valAx>
    </c:plotArea>
    <c:legend>
      <c:legendPos val="r"/>
      <c:layout>
        <c:manualLayout>
          <c:xMode val="edge"/>
          <c:yMode val="edge"/>
          <c:x val="0.40865498413657958"/>
          <c:y val="8.5206827407443633E-2"/>
          <c:w val="0.47598313757677052"/>
          <c:h val="0.19133389002460618"/>
        </c:manualLayout>
      </c:layout>
      <c:overlay val="0"/>
      <c:txPr>
        <a:bodyPr/>
        <a:lstStyle/>
        <a:p>
          <a:pPr>
            <a:defRPr sz="800"/>
          </a:pPr>
          <a:endParaRPr lang="en-US"/>
        </a:p>
      </c:txPr>
    </c:legend>
    <c:plotVisOnly val="1"/>
    <c:dispBlanksAs val="gap"/>
    <c:showDLblsOverMax val="0"/>
  </c:chart>
  <c:spPr>
    <a:ln>
      <a:solidFill>
        <a:schemeClr val="bg1">
          <a:lumMod val="75000"/>
        </a:schemeClr>
      </a:solidFill>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4619102696701166E-2"/>
          <c:y val="2.8314093347741025E-2"/>
          <c:w val="0.83616326331364543"/>
          <c:h val="0.90669604169564255"/>
        </c:manualLayout>
      </c:layout>
      <c:areaChart>
        <c:grouping val="standard"/>
        <c:varyColors val="0"/>
        <c:ser>
          <c:idx val="3"/>
          <c:order val="0"/>
          <c:tx>
            <c:strRef>
              <c:f>Comm_Chart!$C$2</c:f>
              <c:strCache>
                <c:ptCount val="1"/>
                <c:pt idx="0">
                  <c:v>Proportion of commercial premises by water use</c:v>
                </c:pt>
              </c:strCache>
            </c:strRef>
          </c:tx>
          <c:spPr>
            <a:solidFill>
              <a:schemeClr val="bg1">
                <a:lumMod val="85000"/>
              </a:schemeClr>
            </a:solidFill>
          </c:spPr>
          <c:cat>
            <c:numRef>
              <c:f>Comm_Chart!$A$3:$A$33</c:f>
              <c:numCache>
                <c:formatCode>#,##0</c:formatCode>
                <c:ptCount val="31"/>
                <c:pt idx="0">
                  <c:v>1</c:v>
                </c:pt>
                <c:pt idx="1">
                  <c:v>10</c:v>
                </c:pt>
                <c:pt idx="2">
                  <c:v>30</c:v>
                </c:pt>
                <c:pt idx="3">
                  <c:v>50</c:v>
                </c:pt>
                <c:pt idx="4">
                  <c:v>70</c:v>
                </c:pt>
                <c:pt idx="5">
                  <c:v>90</c:v>
                </c:pt>
                <c:pt idx="6">
                  <c:v>110</c:v>
                </c:pt>
                <c:pt idx="7">
                  <c:v>130</c:v>
                </c:pt>
                <c:pt idx="8">
                  <c:v>150</c:v>
                </c:pt>
                <c:pt idx="9">
                  <c:v>170</c:v>
                </c:pt>
                <c:pt idx="10">
                  <c:v>190</c:v>
                </c:pt>
                <c:pt idx="11">
                  <c:v>220</c:v>
                </c:pt>
                <c:pt idx="12">
                  <c:v>260</c:v>
                </c:pt>
                <c:pt idx="13">
                  <c:v>300</c:v>
                </c:pt>
                <c:pt idx="14">
                  <c:v>340</c:v>
                </c:pt>
                <c:pt idx="15">
                  <c:v>380</c:v>
                </c:pt>
                <c:pt idx="16">
                  <c:v>440</c:v>
                </c:pt>
                <c:pt idx="17">
                  <c:v>520</c:v>
                </c:pt>
                <c:pt idx="18">
                  <c:v>600</c:v>
                </c:pt>
                <c:pt idx="19">
                  <c:v>680</c:v>
                </c:pt>
                <c:pt idx="20">
                  <c:v>760</c:v>
                </c:pt>
                <c:pt idx="21">
                  <c:v>1000</c:v>
                </c:pt>
                <c:pt idx="22">
                  <c:v>1400</c:v>
                </c:pt>
                <c:pt idx="23">
                  <c:v>1800</c:v>
                </c:pt>
                <c:pt idx="24">
                  <c:v>2500</c:v>
                </c:pt>
                <c:pt idx="25">
                  <c:v>3500</c:v>
                </c:pt>
                <c:pt idx="26">
                  <c:v>7000</c:v>
                </c:pt>
                <c:pt idx="27">
                  <c:v>15000</c:v>
                </c:pt>
                <c:pt idx="28">
                  <c:v>30000</c:v>
                </c:pt>
                <c:pt idx="29">
                  <c:v>60000</c:v>
                </c:pt>
                <c:pt idx="30">
                  <c:v>80000</c:v>
                </c:pt>
              </c:numCache>
            </c:numRef>
          </c:cat>
          <c:val>
            <c:numRef>
              <c:f>Comm_Chart!$C$3:$C$33</c:f>
              <c:numCache>
                <c:formatCode>0%</c:formatCode>
                <c:ptCount val="31"/>
                <c:pt idx="0">
                  <c:v>6.8657635467980302E-2</c:v>
                </c:pt>
                <c:pt idx="1">
                  <c:v>6.4039408866995079E-2</c:v>
                </c:pt>
                <c:pt idx="2">
                  <c:v>4.4027093596059115E-2</c:v>
                </c:pt>
                <c:pt idx="3">
                  <c:v>3.9408866995073892E-2</c:v>
                </c:pt>
                <c:pt idx="4">
                  <c:v>3.5714285714285712E-2</c:v>
                </c:pt>
                <c:pt idx="5">
                  <c:v>3.2943349753694583E-2</c:v>
                </c:pt>
                <c:pt idx="6">
                  <c:v>3.0788177339901478E-2</c:v>
                </c:pt>
                <c:pt idx="7">
                  <c:v>2.4630541871921183E-2</c:v>
                </c:pt>
                <c:pt idx="8">
                  <c:v>2.1551724137931036E-2</c:v>
                </c:pt>
                <c:pt idx="9">
                  <c:v>2.2167487684729065E-2</c:v>
                </c:pt>
                <c:pt idx="10">
                  <c:v>1.5394088669950739E-2</c:v>
                </c:pt>
                <c:pt idx="11">
                  <c:v>3.2635467980295568E-2</c:v>
                </c:pt>
                <c:pt idx="12">
                  <c:v>2.5246305418719212E-2</c:v>
                </c:pt>
                <c:pt idx="13">
                  <c:v>2.7401477832512317E-2</c:v>
                </c:pt>
                <c:pt idx="14">
                  <c:v>1.9704433497536946E-2</c:v>
                </c:pt>
                <c:pt idx="15">
                  <c:v>1.7241379310344827E-2</c:v>
                </c:pt>
                <c:pt idx="16">
                  <c:v>3.4790640394088669E-2</c:v>
                </c:pt>
                <c:pt idx="17">
                  <c:v>3.0480295566502464E-2</c:v>
                </c:pt>
                <c:pt idx="18">
                  <c:v>3.0480295566502464E-2</c:v>
                </c:pt>
                <c:pt idx="19">
                  <c:v>2.0628078817733989E-2</c:v>
                </c:pt>
                <c:pt idx="20">
                  <c:v>1.7241379310344827E-2</c:v>
                </c:pt>
                <c:pt idx="21">
                  <c:v>7.2660098522167482E-2</c:v>
                </c:pt>
                <c:pt idx="22">
                  <c:v>3.8177339901477834E-2</c:v>
                </c:pt>
                <c:pt idx="23">
                  <c:v>2.5246305418719212E-2</c:v>
                </c:pt>
                <c:pt idx="24">
                  <c:v>4.7413793103448273E-2</c:v>
                </c:pt>
                <c:pt idx="25">
                  <c:v>2.5862068965517241E-2</c:v>
                </c:pt>
                <c:pt idx="26">
                  <c:v>6.988916256157636E-2</c:v>
                </c:pt>
                <c:pt idx="27">
                  <c:v>3.4482758620689655E-2</c:v>
                </c:pt>
                <c:pt idx="28">
                  <c:v>2.001231527093596E-2</c:v>
                </c:pt>
                <c:pt idx="29">
                  <c:v>7.6970443349753696E-3</c:v>
                </c:pt>
                <c:pt idx="30">
                  <c:v>3.3866995073891628E-3</c:v>
                </c:pt>
              </c:numCache>
            </c:numRef>
          </c:val>
          <c:extLst xmlns:c16r2="http://schemas.microsoft.com/office/drawing/2015/06/chart">
            <c:ext xmlns:c16="http://schemas.microsoft.com/office/drawing/2014/chart" uri="{C3380CC4-5D6E-409C-BE32-E72D297353CC}">
              <c16:uniqueId val="{00000000-C059-430A-8AEF-93ACB5A99AF6}"/>
            </c:ext>
          </c:extLst>
        </c:ser>
        <c:dLbls>
          <c:showLegendKey val="0"/>
          <c:showVal val="0"/>
          <c:showCatName val="0"/>
          <c:showSerName val="0"/>
          <c:showPercent val="0"/>
          <c:showBubbleSize val="0"/>
        </c:dLbls>
        <c:axId val="248463248"/>
        <c:axId val="248463640"/>
      </c:areaChart>
      <c:lineChart>
        <c:grouping val="standard"/>
        <c:varyColors val="0"/>
        <c:ser>
          <c:idx val="1"/>
          <c:order val="1"/>
          <c:tx>
            <c:strRef>
              <c:f>Comm_Chart!$G$2</c:f>
              <c:strCache>
                <c:ptCount val="1"/>
                <c:pt idx="0">
                  <c:v>Water charge impact</c:v>
                </c:pt>
              </c:strCache>
            </c:strRef>
          </c:tx>
          <c:spPr>
            <a:ln w="28575">
              <a:solidFill>
                <a:schemeClr val="tx1"/>
              </a:solidFill>
              <a:prstDash val="solid"/>
            </a:ln>
          </c:spPr>
          <c:marker>
            <c:symbol val="none"/>
          </c:marker>
          <c:cat>
            <c:numRef>
              <c:f>Comm_Chart!$A$3:$A$33</c:f>
              <c:numCache>
                <c:formatCode>#,##0</c:formatCode>
                <c:ptCount val="31"/>
                <c:pt idx="0">
                  <c:v>1</c:v>
                </c:pt>
                <c:pt idx="1">
                  <c:v>10</c:v>
                </c:pt>
                <c:pt idx="2">
                  <c:v>30</c:v>
                </c:pt>
                <c:pt idx="3">
                  <c:v>50</c:v>
                </c:pt>
                <c:pt idx="4">
                  <c:v>70</c:v>
                </c:pt>
                <c:pt idx="5">
                  <c:v>90</c:v>
                </c:pt>
                <c:pt idx="6">
                  <c:v>110</c:v>
                </c:pt>
                <c:pt idx="7">
                  <c:v>130</c:v>
                </c:pt>
                <c:pt idx="8">
                  <c:v>150</c:v>
                </c:pt>
                <c:pt idx="9">
                  <c:v>170</c:v>
                </c:pt>
                <c:pt idx="10">
                  <c:v>190</c:v>
                </c:pt>
                <c:pt idx="11">
                  <c:v>220</c:v>
                </c:pt>
                <c:pt idx="12">
                  <c:v>260</c:v>
                </c:pt>
                <c:pt idx="13">
                  <c:v>300</c:v>
                </c:pt>
                <c:pt idx="14">
                  <c:v>340</c:v>
                </c:pt>
                <c:pt idx="15">
                  <c:v>380</c:v>
                </c:pt>
                <c:pt idx="16">
                  <c:v>440</c:v>
                </c:pt>
                <c:pt idx="17">
                  <c:v>520</c:v>
                </c:pt>
                <c:pt idx="18">
                  <c:v>600</c:v>
                </c:pt>
                <c:pt idx="19">
                  <c:v>680</c:v>
                </c:pt>
                <c:pt idx="20">
                  <c:v>760</c:v>
                </c:pt>
                <c:pt idx="21">
                  <c:v>1000</c:v>
                </c:pt>
                <c:pt idx="22">
                  <c:v>1400</c:v>
                </c:pt>
                <c:pt idx="23">
                  <c:v>1800</c:v>
                </c:pt>
                <c:pt idx="24">
                  <c:v>2500</c:v>
                </c:pt>
                <c:pt idx="25">
                  <c:v>3500</c:v>
                </c:pt>
                <c:pt idx="26">
                  <c:v>7000</c:v>
                </c:pt>
                <c:pt idx="27">
                  <c:v>15000</c:v>
                </c:pt>
                <c:pt idx="28">
                  <c:v>30000</c:v>
                </c:pt>
                <c:pt idx="29">
                  <c:v>60000</c:v>
                </c:pt>
                <c:pt idx="30">
                  <c:v>80000</c:v>
                </c:pt>
              </c:numCache>
            </c:numRef>
          </c:cat>
          <c:val>
            <c:numRef>
              <c:f>Comm_Chart!$G$3:$G$33</c:f>
              <c:numCache>
                <c:formatCode>0%</c:formatCode>
                <c:ptCount val="31"/>
                <c:pt idx="0">
                  <c:v>0.22787693623516936</c:v>
                </c:pt>
                <c:pt idx="1">
                  <c:v>0.18592028760557122</c:v>
                </c:pt>
                <c:pt idx="2">
                  <c:v>0.13193742514583806</c:v>
                </c:pt>
                <c:pt idx="3">
                  <c:v>0.10224894513629956</c:v>
                </c:pt>
                <c:pt idx="4">
                  <c:v>8.3467204914908777E-2</c:v>
                </c:pt>
                <c:pt idx="5">
                  <c:v>7.0514627185679357E-2</c:v>
                </c:pt>
                <c:pt idx="6">
                  <c:v>6.1042025561580004E-2</c:v>
                </c:pt>
                <c:pt idx="7">
                  <c:v>5.3813036645761425E-2</c:v>
                </c:pt>
                <c:pt idx="8">
                  <c:v>4.8114954547281208E-2</c:v>
                </c:pt>
                <c:pt idx="9">
                  <c:v>4.3508034580723498E-2</c:v>
                </c:pt>
                <c:pt idx="10">
                  <c:v>3.7081368893868483E-2</c:v>
                </c:pt>
                <c:pt idx="11">
                  <c:v>2.5834670317911756E-2</c:v>
                </c:pt>
                <c:pt idx="12">
                  <c:v>1.1248199159140437E-2</c:v>
                </c:pt>
                <c:pt idx="13">
                  <c:v>1.5418960247486346E-3</c:v>
                </c:pt>
                <c:pt idx="14">
                  <c:v>-5.1661444619459651E-3</c:v>
                </c:pt>
                <c:pt idx="15">
                  <c:v>-1.0079299859137691E-2</c:v>
                </c:pt>
                <c:pt idx="16">
                  <c:v>-1.5396095205232108E-2</c:v>
                </c:pt>
                <c:pt idx="17">
                  <c:v>-2.0224328830599214E-2</c:v>
                </c:pt>
                <c:pt idx="18">
                  <c:v>-2.3564045875035688E-2</c:v>
                </c:pt>
                <c:pt idx="19">
                  <c:v>-2.6011662173281325E-2</c:v>
                </c:pt>
                <c:pt idx="20">
                  <c:v>-2.7882507612349672E-2</c:v>
                </c:pt>
                <c:pt idx="21">
                  <c:v>-3.1540700666434773E-2</c:v>
                </c:pt>
                <c:pt idx="22">
                  <c:v>-3.4679298068454933E-2</c:v>
                </c:pt>
                <c:pt idx="23">
                  <c:v>-3.6357220530395473E-2</c:v>
                </c:pt>
                <c:pt idx="24">
                  <c:v>-3.7958313600653382E-2</c:v>
                </c:pt>
                <c:pt idx="25">
                  <c:v>-3.9108301831779602E-2</c:v>
                </c:pt>
                <c:pt idx="26">
                  <c:v>-4.0515490066043047E-2</c:v>
                </c:pt>
                <c:pt idx="27">
                  <c:v>-4.1252599602315865E-2</c:v>
                </c:pt>
                <c:pt idx="28">
                  <c:v>-4.1572215830529724E-2</c:v>
                </c:pt>
                <c:pt idx="29">
                  <c:v>-4.1731375724521569E-2</c:v>
                </c:pt>
                <c:pt idx="30">
                  <c:v>-4.1771098471704016E-2</c:v>
                </c:pt>
              </c:numCache>
            </c:numRef>
          </c:val>
          <c:smooth val="0"/>
          <c:extLst xmlns:c16r2="http://schemas.microsoft.com/office/drawing/2015/06/chart">
            <c:ext xmlns:c16="http://schemas.microsoft.com/office/drawing/2014/chart" uri="{C3380CC4-5D6E-409C-BE32-E72D297353CC}">
              <c16:uniqueId val="{00000001-C059-430A-8AEF-93ACB5A99AF6}"/>
            </c:ext>
          </c:extLst>
        </c:ser>
        <c:ser>
          <c:idx val="0"/>
          <c:order val="2"/>
          <c:tx>
            <c:strRef>
              <c:f>Comm_Chart!$D$2</c:f>
              <c:strCache>
                <c:ptCount val="1"/>
                <c:pt idx="0">
                  <c:v>Combined bill impact (10 fixtures)</c:v>
                </c:pt>
              </c:strCache>
            </c:strRef>
          </c:tx>
          <c:spPr>
            <a:ln>
              <a:prstDash val="dash"/>
            </a:ln>
          </c:spPr>
          <c:marker>
            <c:symbol val="none"/>
          </c:marker>
          <c:val>
            <c:numRef>
              <c:f>Comm_Chart!$D$3:$D$33</c:f>
              <c:numCache>
                <c:formatCode>0%</c:formatCode>
                <c:ptCount val="31"/>
                <c:pt idx="0">
                  <c:v>2.8634193109126294E-2</c:v>
                </c:pt>
                <c:pt idx="1">
                  <c:v>2.8518905618316381E-2</c:v>
                </c:pt>
                <c:pt idx="2">
                  <c:v>2.8266005424774532E-2</c:v>
                </c:pt>
                <c:pt idx="3">
                  <c:v>2.8017551146675812E-2</c:v>
                </c:pt>
                <c:pt idx="4">
                  <c:v>2.7773426568592274E-2</c:v>
                </c:pt>
                <c:pt idx="5">
                  <c:v>2.7533519490575475E-2</c:v>
                </c:pt>
                <c:pt idx="6">
                  <c:v>2.729772155621224E-2</c:v>
                </c:pt>
                <c:pt idx="7">
                  <c:v>2.7065928089441416E-2</c:v>
                </c:pt>
                <c:pt idx="8">
                  <c:v>2.6838037939615811E-2</c:v>
                </c:pt>
                <c:pt idx="9">
                  <c:v>2.6613953334322371E-2</c:v>
                </c:pt>
                <c:pt idx="10">
                  <c:v>2.6167365029079015E-2</c:v>
                </c:pt>
                <c:pt idx="11">
                  <c:v>2.5095005610299426E-2</c:v>
                </c:pt>
                <c:pt idx="12">
                  <c:v>2.3058932574523183E-2</c:v>
                </c:pt>
                <c:pt idx="13">
                  <c:v>2.1072792997315126E-2</c:v>
                </c:pt>
                <c:pt idx="14">
                  <c:v>1.9204521200264724E-2</c:v>
                </c:pt>
                <c:pt idx="15">
                  <c:v>1.7443927221625799E-2</c:v>
                </c:pt>
                <c:pt idx="16">
                  <c:v>1.4985412457871661E-2</c:v>
                </c:pt>
                <c:pt idx="17">
                  <c:v>1.2007725888170784E-2</c:v>
                </c:pt>
                <c:pt idx="18">
                  <c:v>9.3263181002682938E-3</c:v>
                </c:pt>
                <c:pt idx="19">
                  <c:v>6.8990652918550222E-3</c:v>
                </c:pt>
                <c:pt idx="20">
                  <c:v>4.6914676807288114E-3</c:v>
                </c:pt>
                <c:pt idx="21">
                  <c:v>-8.7592407311842813E-4</c:v>
                </c:pt>
                <c:pt idx="22">
                  <c:v>-7.6887814874884164E-3</c:v>
                </c:pt>
                <c:pt idx="23">
                  <c:v>-1.2560685542574612E-2</c:v>
                </c:pt>
                <c:pt idx="24">
                  <c:v>-1.8413116025473131E-2</c:v>
                </c:pt>
                <c:pt idx="25">
                  <c:v>-2.362091355325735E-2</c:v>
                </c:pt>
                <c:pt idx="26">
                  <c:v>-3.1605654708423581E-2</c:v>
                </c:pt>
                <c:pt idx="27">
                  <c:v>-3.6745295723892402E-2</c:v>
                </c:pt>
                <c:pt idx="28">
                  <c:v>-3.9234074014617204E-2</c:v>
                </c:pt>
                <c:pt idx="29">
                  <c:v>-4.0540146888919271E-2</c:v>
                </c:pt>
                <c:pt idx="30">
                  <c:v>-4.0873436972274857E-2</c:v>
                </c:pt>
              </c:numCache>
            </c:numRef>
          </c:val>
          <c:smooth val="0"/>
          <c:extLst xmlns:c16r2="http://schemas.microsoft.com/office/drawing/2015/06/chart">
            <c:ext xmlns:c16="http://schemas.microsoft.com/office/drawing/2014/chart" uri="{C3380CC4-5D6E-409C-BE32-E72D297353CC}">
              <c16:uniqueId val="{00000002-C059-430A-8AEF-93ACB5A99AF6}"/>
            </c:ext>
          </c:extLst>
        </c:ser>
        <c:ser>
          <c:idx val="2"/>
          <c:order val="3"/>
          <c:tx>
            <c:strRef>
              <c:f>Comm_Chart!$E$2</c:f>
              <c:strCache>
                <c:ptCount val="1"/>
                <c:pt idx="0">
                  <c:v>Combined bill impact (50 fixtures)</c:v>
                </c:pt>
              </c:strCache>
            </c:strRef>
          </c:tx>
          <c:spPr>
            <a:ln>
              <a:solidFill>
                <a:srgbClr val="00B050"/>
              </a:solidFill>
              <a:prstDash val="dashDot"/>
            </a:ln>
          </c:spPr>
          <c:marker>
            <c:symbol val="none"/>
          </c:marker>
          <c:val>
            <c:numRef>
              <c:f>Comm_Chart!$E$3:$E$33</c:f>
              <c:numCache>
                <c:formatCode>0%</c:formatCode>
                <c:ptCount val="31"/>
                <c:pt idx="0">
                  <c:v>2.5796285225538229E-2</c:v>
                </c:pt>
                <c:pt idx="1">
                  <c:v>2.5773456448131338E-2</c:v>
                </c:pt>
                <c:pt idx="2">
                  <c:v>2.5722870208624959E-2</c:v>
                </c:pt>
                <c:pt idx="3">
                  <c:v>2.5672482154015963E-2</c:v>
                </c:pt>
                <c:pt idx="4">
                  <c:v>2.5622291121919494E-2</c:v>
                </c:pt>
                <c:pt idx="5">
                  <c:v>2.5572295959022329E-2</c:v>
                </c:pt>
                <c:pt idx="6">
                  <c:v>2.5522495520996058E-2</c:v>
                </c:pt>
                <c:pt idx="7">
                  <c:v>2.5472888672408267E-2</c:v>
                </c:pt>
                <c:pt idx="8">
                  <c:v>2.5423474286637049E-2</c:v>
                </c:pt>
                <c:pt idx="9">
                  <c:v>2.5374251245786184E-2</c:v>
                </c:pt>
                <c:pt idx="10">
                  <c:v>2.5272857665980419E-2</c:v>
                </c:pt>
                <c:pt idx="11">
                  <c:v>2.5022535183126804E-2</c:v>
                </c:pt>
                <c:pt idx="12">
                  <c:v>2.4528491184662604E-2</c:v>
                </c:pt>
                <c:pt idx="13">
                  <c:v>2.4023424388408099E-2</c:v>
                </c:pt>
                <c:pt idx="14">
                  <c:v>2.3525980978389871E-2</c:v>
                </c:pt>
                <c:pt idx="15">
                  <c:v>2.3035989648434008E-2</c:v>
                </c:pt>
                <c:pt idx="16">
                  <c:v>2.2314613062015987E-2</c:v>
                </c:pt>
                <c:pt idx="17">
                  <c:v>2.1377349230452314E-2</c:v>
                </c:pt>
                <c:pt idx="18">
                  <c:v>2.0467056131235672E-2</c:v>
                </c:pt>
                <c:pt idx="19">
                  <c:v>1.9582586110906908E-2</c:v>
                </c:pt>
                <c:pt idx="20">
                  <c:v>1.8722855718340758E-2</c:v>
                </c:pt>
                <c:pt idx="21">
                  <c:v>1.6282140347227747E-2</c:v>
                </c:pt>
                <c:pt idx="22">
                  <c:v>1.2623613901186159E-2</c:v>
                </c:pt>
                <c:pt idx="23">
                  <c:v>9.3980374311435355E-3</c:v>
                </c:pt>
                <c:pt idx="24">
                  <c:v>4.5855952599547223E-3</c:v>
                </c:pt>
                <c:pt idx="25">
                  <c:v>-9.0786746224835735E-4</c:v>
                </c:pt>
                <c:pt idx="26">
                  <c:v>-1.2900813701499647E-2</c:v>
                </c:pt>
                <c:pt idx="27">
                  <c:v>-2.451966180723586E-2</c:v>
                </c:pt>
                <c:pt idx="28">
                  <c:v>-3.1972616456883651E-2</c:v>
                </c:pt>
                <c:pt idx="29">
                  <c:v>-3.6552724852261242E-2</c:v>
                </c:pt>
                <c:pt idx="30">
                  <c:v>-3.7809167753424244E-2</c:v>
                </c:pt>
              </c:numCache>
            </c:numRef>
          </c:val>
          <c:smooth val="0"/>
          <c:extLst xmlns:c16r2="http://schemas.microsoft.com/office/drawing/2015/06/chart">
            <c:ext xmlns:c16="http://schemas.microsoft.com/office/drawing/2014/chart" uri="{C3380CC4-5D6E-409C-BE32-E72D297353CC}">
              <c16:uniqueId val="{00000003-C059-430A-8AEF-93ACB5A99AF6}"/>
            </c:ext>
          </c:extLst>
        </c:ser>
        <c:ser>
          <c:idx val="4"/>
          <c:order val="4"/>
          <c:tx>
            <c:strRef>
              <c:f>Comm_Chart!$F$2</c:f>
              <c:strCache>
                <c:ptCount val="1"/>
                <c:pt idx="0">
                  <c:v>Combined bill impact (100 fixtures)</c:v>
                </c:pt>
              </c:strCache>
            </c:strRef>
          </c:tx>
          <c:spPr>
            <a:ln>
              <a:solidFill>
                <a:srgbClr val="FF0000"/>
              </a:solidFill>
              <a:prstDash val="lgDashDot"/>
            </a:ln>
          </c:spPr>
          <c:marker>
            <c:symbol val="none"/>
          </c:marker>
          <c:val>
            <c:numRef>
              <c:f>Comm_Chart!$F$3:$F$33</c:f>
              <c:numCache>
                <c:formatCode>0%</c:formatCode>
                <c:ptCount val="31"/>
                <c:pt idx="0">
                  <c:v>2.5402955213215339E-2</c:v>
                </c:pt>
                <c:pt idx="1">
                  <c:v>2.5391574021660812E-2</c:v>
                </c:pt>
                <c:pt idx="2">
                  <c:v>2.5366318960437395E-2</c:v>
                </c:pt>
                <c:pt idx="3">
                  <c:v>2.5341114087860106E-2</c:v>
                </c:pt>
                <c:pt idx="4">
                  <c:v>2.5315959254469611E-2</c:v>
                </c:pt>
                <c:pt idx="5">
                  <c:v>2.5290854311399213E-2</c:v>
                </c:pt>
                <c:pt idx="6">
                  <c:v>2.5265799110373299E-2</c:v>
                </c:pt>
                <c:pt idx="7">
                  <c:v>2.5240793503702008E-2</c:v>
                </c:pt>
                <c:pt idx="8">
                  <c:v>2.5215837344280123E-2</c:v>
                </c:pt>
                <c:pt idx="9">
                  <c:v>2.519093048558374E-2</c:v>
                </c:pt>
                <c:pt idx="10">
                  <c:v>2.5139367579997129E-2</c:v>
                </c:pt>
                <c:pt idx="11">
                  <c:v>2.5011535787416772E-2</c:v>
                </c:pt>
                <c:pt idx="12">
                  <c:v>2.4757748384913514E-2</c:v>
                </c:pt>
                <c:pt idx="13">
                  <c:v>2.4496393346034484E-2</c:v>
                </c:pt>
                <c:pt idx="14">
                  <c:v>2.4237080072620598E-2</c:v>
                </c:pt>
                <c:pt idx="15">
                  <c:v>2.3979784731656517E-2</c:v>
                </c:pt>
                <c:pt idx="16">
                  <c:v>2.3597574116369424E-2</c:v>
                </c:pt>
                <c:pt idx="17">
                  <c:v>2.3094806752593122E-2</c:v>
                </c:pt>
                <c:pt idx="18">
                  <c:v>2.2599700346803253E-2</c:v>
                </c:pt>
                <c:pt idx="19">
                  <c:v>2.2112081121283822E-2</c:v>
                </c:pt>
                <c:pt idx="20">
                  <c:v>2.1631780514737464E-2</c:v>
                </c:pt>
                <c:pt idx="21">
                  <c:v>2.0233179022372205E-2</c:v>
                </c:pt>
                <c:pt idx="22">
                  <c:v>1.8034193767908935E-2</c:v>
                </c:pt>
                <c:pt idx="23">
                  <c:v>1.598556191804823E-2</c:v>
                </c:pt>
                <c:pt idx="24">
                  <c:v>1.2718480650504294E-2</c:v>
                </c:pt>
                <c:pt idx="25">
                  <c:v>8.6433209542242651E-3</c:v>
                </c:pt>
                <c:pt idx="26">
                  <c:v>-1.821961819985396E-3</c:v>
                </c:pt>
                <c:pt idx="27">
                  <c:v>-1.469507757989641E-2</c:v>
                </c:pt>
                <c:pt idx="28">
                  <c:v>-2.4918681449556224E-2</c:v>
                </c:pt>
                <c:pt idx="29">
                  <c:v>-3.2202517575501188E-2</c:v>
                </c:pt>
                <c:pt idx="30">
                  <c:v>-3.4357701108294614E-2</c:v>
                </c:pt>
              </c:numCache>
            </c:numRef>
          </c:val>
          <c:smooth val="0"/>
          <c:extLst xmlns:c16r2="http://schemas.microsoft.com/office/drawing/2015/06/chart">
            <c:ext xmlns:c16="http://schemas.microsoft.com/office/drawing/2014/chart" uri="{C3380CC4-5D6E-409C-BE32-E72D297353CC}">
              <c16:uniqueId val="{00000004-C059-430A-8AEF-93ACB5A99AF6}"/>
            </c:ext>
          </c:extLst>
        </c:ser>
        <c:dLbls>
          <c:showLegendKey val="0"/>
          <c:showVal val="0"/>
          <c:showCatName val="0"/>
          <c:showSerName val="0"/>
          <c:showPercent val="0"/>
          <c:showBubbleSize val="0"/>
        </c:dLbls>
        <c:marker val="1"/>
        <c:smooth val="0"/>
        <c:axId val="247271352"/>
        <c:axId val="248462856"/>
      </c:lineChart>
      <c:catAx>
        <c:axId val="247271352"/>
        <c:scaling>
          <c:orientation val="minMax"/>
        </c:scaling>
        <c:delete val="0"/>
        <c:axPos val="b"/>
        <c:title>
          <c:tx>
            <c:rich>
              <a:bodyPr/>
              <a:lstStyle/>
              <a:p>
                <a:pPr>
                  <a:defRPr sz="800" b="1"/>
                </a:pPr>
                <a:r>
                  <a:rPr lang="en-AU" sz="800" b="1"/>
                  <a:t>Water consumption (kL/a)</a:t>
                </a:r>
              </a:p>
            </c:rich>
          </c:tx>
          <c:overlay val="0"/>
        </c:title>
        <c:numFmt formatCode="#,##0" sourceLinked="1"/>
        <c:majorTickMark val="out"/>
        <c:minorTickMark val="none"/>
        <c:tickLblPos val="nextTo"/>
        <c:txPr>
          <a:bodyPr rot="-5400000" vert="horz"/>
          <a:lstStyle/>
          <a:p>
            <a:pPr>
              <a:defRPr sz="700"/>
            </a:pPr>
            <a:endParaRPr lang="en-US"/>
          </a:p>
        </c:txPr>
        <c:crossAx val="248462856"/>
        <c:crosses val="autoZero"/>
        <c:auto val="1"/>
        <c:lblAlgn val="ctr"/>
        <c:lblOffset val="100"/>
        <c:noMultiLvlLbl val="0"/>
      </c:catAx>
      <c:valAx>
        <c:axId val="248462856"/>
        <c:scaling>
          <c:orientation val="minMax"/>
          <c:max val="1"/>
          <c:min val="-0.4"/>
        </c:scaling>
        <c:delete val="0"/>
        <c:axPos val="l"/>
        <c:majorGridlines>
          <c:spPr>
            <a:ln w="6350">
              <a:solidFill>
                <a:schemeClr val="bg1">
                  <a:lumMod val="85000"/>
                </a:schemeClr>
              </a:solidFill>
              <a:prstDash val="solid"/>
            </a:ln>
          </c:spPr>
        </c:majorGridlines>
        <c:title>
          <c:tx>
            <c:rich>
              <a:bodyPr/>
              <a:lstStyle/>
              <a:p>
                <a:pPr>
                  <a:defRPr sz="800" b="1"/>
                </a:pPr>
                <a:r>
                  <a:rPr lang="en-AU" sz="800" b="1"/>
                  <a:t>Change in water charges and combined bills</a:t>
                </a:r>
              </a:p>
            </c:rich>
          </c:tx>
          <c:layout>
            <c:manualLayout>
              <c:xMode val="edge"/>
              <c:yMode val="edge"/>
              <c:x val="8.6872521819223378E-3"/>
              <c:y val="0.12455045857304346"/>
            </c:manualLayout>
          </c:layout>
          <c:overlay val="0"/>
        </c:title>
        <c:numFmt formatCode="0%" sourceLinked="0"/>
        <c:majorTickMark val="out"/>
        <c:minorTickMark val="none"/>
        <c:tickLblPos val="nextTo"/>
        <c:txPr>
          <a:bodyPr rot="0" vert="horz"/>
          <a:lstStyle/>
          <a:p>
            <a:pPr>
              <a:defRPr sz="700"/>
            </a:pPr>
            <a:endParaRPr lang="en-US"/>
          </a:p>
        </c:txPr>
        <c:crossAx val="247271352"/>
        <c:crosses val="autoZero"/>
        <c:crossBetween val="between"/>
        <c:majorUnit val="0.1"/>
      </c:valAx>
      <c:catAx>
        <c:axId val="248463248"/>
        <c:scaling>
          <c:orientation val="minMax"/>
        </c:scaling>
        <c:delete val="1"/>
        <c:axPos val="b"/>
        <c:numFmt formatCode="#,##0" sourceLinked="1"/>
        <c:majorTickMark val="out"/>
        <c:minorTickMark val="none"/>
        <c:tickLblPos val="none"/>
        <c:crossAx val="248463640"/>
        <c:crosses val="autoZero"/>
        <c:auto val="1"/>
        <c:lblAlgn val="ctr"/>
        <c:lblOffset val="100"/>
        <c:noMultiLvlLbl val="0"/>
      </c:catAx>
      <c:valAx>
        <c:axId val="248463640"/>
        <c:scaling>
          <c:orientation val="minMax"/>
          <c:max val="0.18000000000000005"/>
          <c:min val="-7.1000000000000008E-2"/>
        </c:scaling>
        <c:delete val="0"/>
        <c:axPos val="r"/>
        <c:title>
          <c:tx>
            <c:rich>
              <a:bodyPr/>
              <a:lstStyle/>
              <a:p>
                <a:pPr>
                  <a:defRPr sz="800" b="1">
                    <a:solidFill>
                      <a:schemeClr val="accent6">
                        <a:lumMod val="50000"/>
                      </a:schemeClr>
                    </a:solidFill>
                  </a:defRPr>
                </a:pPr>
                <a:r>
                  <a:rPr lang="en-US" sz="800" b="1">
                    <a:solidFill>
                      <a:schemeClr val="accent6">
                        <a:lumMod val="50000"/>
                      </a:schemeClr>
                    </a:solidFill>
                  </a:rPr>
                  <a:t>Proportion of commercial premises</a:t>
                </a:r>
              </a:p>
            </c:rich>
          </c:tx>
          <c:overlay val="0"/>
        </c:title>
        <c:numFmt formatCode="0%" sourceLinked="0"/>
        <c:majorTickMark val="out"/>
        <c:minorTickMark val="none"/>
        <c:tickLblPos val="nextTo"/>
        <c:txPr>
          <a:bodyPr/>
          <a:lstStyle/>
          <a:p>
            <a:pPr>
              <a:defRPr sz="700">
                <a:solidFill>
                  <a:schemeClr val="accent6">
                    <a:lumMod val="50000"/>
                  </a:schemeClr>
                </a:solidFill>
              </a:defRPr>
            </a:pPr>
            <a:endParaRPr lang="en-US"/>
          </a:p>
        </c:txPr>
        <c:crossAx val="248463248"/>
        <c:crosses val="max"/>
        <c:crossBetween val="between"/>
      </c:valAx>
    </c:plotArea>
    <c:legend>
      <c:legendPos val="r"/>
      <c:layout>
        <c:manualLayout>
          <c:xMode val="edge"/>
          <c:yMode val="edge"/>
          <c:x val="0.24298443121130278"/>
          <c:y val="3.0190989810639692E-2"/>
          <c:w val="0.51503251822480811"/>
          <c:h val="0.38519179236638584"/>
        </c:manualLayout>
      </c:layout>
      <c:overlay val="0"/>
      <c:txPr>
        <a:bodyPr/>
        <a:lstStyle/>
        <a:p>
          <a:pPr>
            <a:defRPr sz="800"/>
          </a:pPr>
          <a:endParaRPr lang="en-US"/>
        </a:p>
      </c:txPr>
    </c:legend>
    <c:plotVisOnly val="1"/>
    <c:dispBlanksAs val="gap"/>
    <c:showDLblsOverMax val="0"/>
  </c:chart>
  <c:spPr>
    <a:ln>
      <a:solidFill>
        <a:schemeClr val="bg1">
          <a:lumMod val="75000"/>
        </a:schemeClr>
      </a:solidFill>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55202977808341"/>
          <c:y val="4.3170821098510434E-2"/>
          <c:w val="0.82644918258259126"/>
          <c:h val="0.83474691762809561"/>
        </c:manualLayout>
      </c:layout>
      <c:barChart>
        <c:barDir val="col"/>
        <c:grouping val="stacked"/>
        <c:varyColors val="0"/>
        <c:ser>
          <c:idx val="1"/>
          <c:order val="0"/>
          <c:tx>
            <c:strRef>
              <c:f>'2 Price data 2016-17'!$B$36</c:f>
              <c:strCache>
                <c:ptCount val="1"/>
                <c:pt idx="0">
                  <c:v>Residential supply charge</c:v>
                </c:pt>
              </c:strCache>
            </c:strRef>
          </c:tx>
          <c:spPr>
            <a:solidFill>
              <a:schemeClr val="tx2">
                <a:lumMod val="75000"/>
              </a:schemeClr>
            </a:solidFill>
            <a:ln>
              <a:noFill/>
            </a:ln>
            <a:effectLst/>
          </c:spPr>
          <c:invertIfNegative val="0"/>
          <c:dPt>
            <c:idx val="1"/>
            <c:invertIfNegative val="0"/>
            <c:bubble3D val="0"/>
            <c:spPr>
              <a:solidFill>
                <a:schemeClr val="tx2">
                  <a:lumMod val="75000"/>
                </a:schemeClr>
              </a:solidFill>
              <a:ln>
                <a:noFill/>
              </a:ln>
              <a:effectLst/>
            </c:spPr>
            <c:extLst xmlns:c16r2="http://schemas.microsoft.com/office/drawing/2015/06/chart">
              <c:ext xmlns:c16="http://schemas.microsoft.com/office/drawing/2014/chart" uri="{C3380CC4-5D6E-409C-BE32-E72D297353CC}">
                <c16:uniqueId val="{00000001-766E-4B88-90DE-C83772583D2A}"/>
              </c:ext>
            </c:extLst>
          </c:dPt>
          <c:dPt>
            <c:idx val="2"/>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766E-4B88-90DE-C83772583D2A}"/>
              </c:ext>
            </c:extLst>
          </c:dPt>
          <c:dPt>
            <c:idx val="3"/>
            <c:invertIfNegative val="0"/>
            <c:bubble3D val="0"/>
            <c:spPr>
              <a:solidFill>
                <a:schemeClr val="tx2">
                  <a:lumMod val="75000"/>
                </a:schemeClr>
              </a:solidFill>
              <a:ln>
                <a:noFill/>
              </a:ln>
              <a:effectLst/>
            </c:spPr>
            <c:extLst xmlns:c16r2="http://schemas.microsoft.com/office/drawing/2015/06/chart">
              <c:ext xmlns:c16="http://schemas.microsoft.com/office/drawing/2014/chart" uri="{C3380CC4-5D6E-409C-BE32-E72D297353CC}">
                <c16:uniqueId val="{0000000B-51CF-44BF-A845-3ED039999DD2}"/>
              </c:ext>
            </c:extLst>
          </c:dPt>
          <c:dPt>
            <c:idx val="5"/>
            <c:invertIfNegative val="0"/>
            <c:bubble3D val="0"/>
            <c:spPr>
              <a:solidFill>
                <a:schemeClr val="tx2">
                  <a:lumMod val="75000"/>
                </a:schemeClr>
              </a:solidFill>
              <a:ln>
                <a:noFill/>
              </a:ln>
              <a:effectLst/>
            </c:spPr>
            <c:extLst xmlns:c16r2="http://schemas.microsoft.com/office/drawing/2015/06/chart">
              <c:ext xmlns:c16="http://schemas.microsoft.com/office/drawing/2014/chart" uri="{C3380CC4-5D6E-409C-BE32-E72D297353CC}">
                <c16:uniqueId val="{00000001-51CF-44BF-A845-3ED039999DD2}"/>
              </c:ext>
            </c:extLst>
          </c:dPt>
          <c:dPt>
            <c:idx val="6"/>
            <c:invertIfNegative val="0"/>
            <c:bubble3D val="0"/>
            <c:spPr>
              <a:solidFill>
                <a:schemeClr val="tx2">
                  <a:lumMod val="75000"/>
                </a:schemeClr>
              </a:solidFill>
              <a:ln>
                <a:noFill/>
              </a:ln>
              <a:effectLst/>
            </c:spPr>
            <c:extLst xmlns:c16r2="http://schemas.microsoft.com/office/drawing/2015/06/chart">
              <c:ext xmlns:c16="http://schemas.microsoft.com/office/drawing/2014/chart" uri="{C3380CC4-5D6E-409C-BE32-E72D297353CC}">
                <c16:uniqueId val="{00000003-51CF-44BF-A845-3ED039999DD2}"/>
              </c:ext>
            </c:extLst>
          </c:dPt>
          <c:dLbls>
            <c:dLbl>
              <c:idx val="1"/>
              <c:layout>
                <c:manualLayout>
                  <c:x val="-4.755056814303927E-17"/>
                  <c:y val="1.2278279102012575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66E-4B88-90DE-C83772583D2A}"/>
                </c:ext>
                <c:ext xmlns:c15="http://schemas.microsoft.com/office/drawing/2012/chart" uri="{CE6537A1-D6FC-4f65-9D91-7224C49458BB}"/>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 Price data 2016-17'!$A$37:$A$42</c:f>
              <c:strCache>
                <c:ptCount val="6"/>
                <c:pt idx="0">
                  <c:v>City West Water</c:v>
                </c:pt>
                <c:pt idx="1">
                  <c:v>Hunter Water</c:v>
                </c:pt>
                <c:pt idx="2">
                  <c:v>Icon Water</c:v>
                </c:pt>
                <c:pt idx="3">
                  <c:v>SA Water</c:v>
                </c:pt>
                <c:pt idx="4">
                  <c:v>Sydney Water</c:v>
                </c:pt>
                <c:pt idx="5">
                  <c:v>TasWater</c:v>
                </c:pt>
              </c:strCache>
            </c:strRef>
          </c:cat>
          <c:val>
            <c:numRef>
              <c:f>'2 Price data 2016-17'!$B$37:$B$42</c:f>
              <c:numCache>
                <c:formatCode>"$"#,##0.00</c:formatCode>
                <c:ptCount val="6"/>
                <c:pt idx="0">
                  <c:v>228</c:v>
                </c:pt>
                <c:pt idx="1">
                  <c:v>25.69</c:v>
                </c:pt>
                <c:pt idx="2">
                  <c:v>101.48</c:v>
                </c:pt>
                <c:pt idx="3">
                  <c:v>286.39999999999998</c:v>
                </c:pt>
                <c:pt idx="4">
                  <c:v>102.56</c:v>
                </c:pt>
                <c:pt idx="5">
                  <c:v>329.48</c:v>
                </c:pt>
              </c:numCache>
            </c:numRef>
          </c:val>
          <c:extLst xmlns:c16r2="http://schemas.microsoft.com/office/drawing/2015/06/chart">
            <c:ext xmlns:c16="http://schemas.microsoft.com/office/drawing/2014/chart" uri="{C3380CC4-5D6E-409C-BE32-E72D297353CC}">
              <c16:uniqueId val="{00000004-51CF-44BF-A845-3ED039999DD2}"/>
            </c:ext>
          </c:extLst>
        </c:ser>
        <c:dLbls>
          <c:dLblPos val="inEnd"/>
          <c:showLegendKey val="0"/>
          <c:showVal val="1"/>
          <c:showCatName val="0"/>
          <c:showSerName val="0"/>
          <c:showPercent val="0"/>
          <c:showBubbleSize val="0"/>
        </c:dLbls>
        <c:gapWidth val="150"/>
        <c:overlap val="100"/>
        <c:axId val="248464032"/>
        <c:axId val="248464424"/>
      </c:barChart>
      <c:catAx>
        <c:axId val="248464032"/>
        <c:scaling>
          <c:orientation val="minMax"/>
        </c:scaling>
        <c:delete val="0"/>
        <c:axPos val="b"/>
        <c:numFmt formatCode="General" sourceLinked="1"/>
        <c:majorTickMark val="none"/>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48464424"/>
        <c:crosses val="autoZero"/>
        <c:auto val="1"/>
        <c:lblAlgn val="ctr"/>
        <c:lblOffset val="100"/>
        <c:noMultiLvlLbl val="0"/>
      </c:catAx>
      <c:valAx>
        <c:axId val="248464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 per year</a:t>
                </a:r>
              </a:p>
            </c:rich>
          </c:tx>
          <c:layout>
            <c:manualLayout>
              <c:xMode val="edge"/>
              <c:yMode val="edge"/>
              <c:x val="2.2726170581204814E-2"/>
              <c:y val="0.3858683391934812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quot;$&quot;#,##0" sourceLinked="0"/>
        <c:majorTickMark val="none"/>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48464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50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0.66192</cdr:x>
      <cdr:y>0.27899</cdr:y>
    </cdr:from>
    <cdr:to>
      <cdr:x>0.93946</cdr:x>
      <cdr:y>0.35963</cdr:y>
    </cdr:to>
    <cdr:sp macro="" textlink="">
      <cdr:nvSpPr>
        <cdr:cNvPr id="2" name="TextBox 1"/>
        <cdr:cNvSpPr txBox="1"/>
      </cdr:nvSpPr>
      <cdr:spPr>
        <a:xfrm xmlns:a="http://schemas.openxmlformats.org/drawingml/2006/main">
          <a:off x="4452474" y="823874"/>
          <a:ext cx="1866888" cy="23813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900" b="0">
              <a:solidFill>
                <a:srgbClr val="C00000"/>
              </a:solidFill>
            </a:rPr>
            <a:t>Average 2007 - 2016 </a:t>
          </a:r>
        </a:p>
      </cdr:txBody>
    </cdr:sp>
  </cdr:relSizeAnchor>
  <cdr:relSizeAnchor xmlns:cdr="http://schemas.openxmlformats.org/drawingml/2006/chartDrawing">
    <cdr:from>
      <cdr:x>0.346</cdr:x>
      <cdr:y>0.10989</cdr:y>
    </cdr:from>
    <cdr:to>
      <cdr:x>0.62354</cdr:x>
      <cdr:y>0.19053</cdr:y>
    </cdr:to>
    <cdr:sp macro="" textlink="">
      <cdr:nvSpPr>
        <cdr:cNvPr id="3" name="TextBox 1"/>
        <cdr:cNvSpPr txBox="1"/>
      </cdr:nvSpPr>
      <cdr:spPr>
        <a:xfrm xmlns:a="http://schemas.openxmlformats.org/drawingml/2006/main">
          <a:off x="2327397" y="324518"/>
          <a:ext cx="1866888" cy="23813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900" b="0">
              <a:solidFill>
                <a:srgbClr val="C00000"/>
              </a:solidFill>
            </a:rPr>
            <a:t>Average 1999 - 2006 </a:t>
          </a:r>
        </a:p>
      </cdr:txBody>
    </cdr:sp>
  </cdr:relSizeAnchor>
</c:userShapes>
</file>

<file path=word/drawings/drawing2.xml><?xml version="1.0" encoding="utf-8"?>
<c:userShapes xmlns:c="http://schemas.openxmlformats.org/drawingml/2006/chart">
  <cdr:relSizeAnchor xmlns:cdr="http://schemas.openxmlformats.org/drawingml/2006/chartDrawing">
    <cdr:from>
      <cdr:x>0.66192</cdr:x>
      <cdr:y>0.27899</cdr:y>
    </cdr:from>
    <cdr:to>
      <cdr:x>0.93946</cdr:x>
      <cdr:y>0.35963</cdr:y>
    </cdr:to>
    <cdr:sp macro="" textlink="">
      <cdr:nvSpPr>
        <cdr:cNvPr id="2" name="TextBox 1"/>
        <cdr:cNvSpPr txBox="1"/>
      </cdr:nvSpPr>
      <cdr:spPr>
        <a:xfrm xmlns:a="http://schemas.openxmlformats.org/drawingml/2006/main">
          <a:off x="4452474" y="823874"/>
          <a:ext cx="1866888" cy="23813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900" b="0">
              <a:solidFill>
                <a:schemeClr val="tx1"/>
              </a:solidFill>
            </a:rPr>
            <a:t>Average 2007 - 2016 </a:t>
          </a:r>
        </a:p>
      </cdr:txBody>
    </cdr:sp>
  </cdr:relSizeAnchor>
  <cdr:relSizeAnchor xmlns:cdr="http://schemas.openxmlformats.org/drawingml/2006/chartDrawing">
    <cdr:from>
      <cdr:x>0.346</cdr:x>
      <cdr:y>0.10989</cdr:y>
    </cdr:from>
    <cdr:to>
      <cdr:x>0.62354</cdr:x>
      <cdr:y>0.19053</cdr:y>
    </cdr:to>
    <cdr:sp macro="" textlink="">
      <cdr:nvSpPr>
        <cdr:cNvPr id="3" name="TextBox 1"/>
        <cdr:cNvSpPr txBox="1"/>
      </cdr:nvSpPr>
      <cdr:spPr>
        <a:xfrm xmlns:a="http://schemas.openxmlformats.org/drawingml/2006/main">
          <a:off x="2327397" y="324518"/>
          <a:ext cx="1866888" cy="23813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900" b="0">
              <a:solidFill>
                <a:schemeClr val="tx1"/>
              </a:solidFill>
            </a:rPr>
            <a:t>Average 1999 - 2006 </a:t>
          </a: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EC3A54377E54BA4BC2549893CE933A7"/>
        <w:category>
          <w:name w:val="General"/>
          <w:gallery w:val="placeholder"/>
        </w:category>
        <w:types>
          <w:type w:val="bbPlcHdr"/>
        </w:types>
        <w:behaviors>
          <w:behavior w:val="content"/>
        </w:behaviors>
        <w:guid w:val="{675AA752-53FF-409D-9E3B-F31C9C9350D9}"/>
      </w:docPartPr>
      <w:docPartBody>
        <w:p w:rsidR="002F72C8" w:rsidRDefault="002F72C8">
          <w:pPr>
            <w:pStyle w:val="BEC3A54377E54BA4BC2549893CE933A7"/>
          </w:pPr>
          <w:r w:rsidRPr="00576B93">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onsolas">
    <w:panose1 w:val="020B0609020204030204"/>
    <w:charset w:val="00"/>
    <w:family w:val="modern"/>
    <w:pitch w:val="fixed"/>
    <w:sig w:usb0="E00002FF" w:usb1="0000FCFF" w:usb2="00000001"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2F72C8"/>
    <w:rsid w:val="000170E7"/>
    <w:rsid w:val="0002362D"/>
    <w:rsid w:val="000500BD"/>
    <w:rsid w:val="00050528"/>
    <w:rsid w:val="00060393"/>
    <w:rsid w:val="000676D5"/>
    <w:rsid w:val="000713A7"/>
    <w:rsid w:val="00071864"/>
    <w:rsid w:val="000805CF"/>
    <w:rsid w:val="00082BB2"/>
    <w:rsid w:val="00091114"/>
    <w:rsid w:val="000A18B7"/>
    <w:rsid w:val="000B502C"/>
    <w:rsid w:val="000C25D4"/>
    <w:rsid w:val="000C3023"/>
    <w:rsid w:val="000C67C6"/>
    <w:rsid w:val="000C7138"/>
    <w:rsid w:val="000C79A1"/>
    <w:rsid w:val="000E0C8D"/>
    <w:rsid w:val="000E19AF"/>
    <w:rsid w:val="000E3556"/>
    <w:rsid w:val="000F4C12"/>
    <w:rsid w:val="000F5013"/>
    <w:rsid w:val="00112D47"/>
    <w:rsid w:val="00116606"/>
    <w:rsid w:val="0011669D"/>
    <w:rsid w:val="00120111"/>
    <w:rsid w:val="001330A8"/>
    <w:rsid w:val="00133529"/>
    <w:rsid w:val="00133D5F"/>
    <w:rsid w:val="0013773A"/>
    <w:rsid w:val="00142B07"/>
    <w:rsid w:val="0014556B"/>
    <w:rsid w:val="0015410F"/>
    <w:rsid w:val="00154CF4"/>
    <w:rsid w:val="00165013"/>
    <w:rsid w:val="001658C6"/>
    <w:rsid w:val="00165E46"/>
    <w:rsid w:val="001750F7"/>
    <w:rsid w:val="00175315"/>
    <w:rsid w:val="00175859"/>
    <w:rsid w:val="0018205C"/>
    <w:rsid w:val="00184D1F"/>
    <w:rsid w:val="00192ADB"/>
    <w:rsid w:val="001B41B8"/>
    <w:rsid w:val="001C11BC"/>
    <w:rsid w:val="001D7A03"/>
    <w:rsid w:val="001E015C"/>
    <w:rsid w:val="001E28B0"/>
    <w:rsid w:val="001E61EB"/>
    <w:rsid w:val="001E64B5"/>
    <w:rsid w:val="001F1B73"/>
    <w:rsid w:val="002013CC"/>
    <w:rsid w:val="002050DA"/>
    <w:rsid w:val="0021059A"/>
    <w:rsid w:val="002156C2"/>
    <w:rsid w:val="00217179"/>
    <w:rsid w:val="00236F7A"/>
    <w:rsid w:val="00237717"/>
    <w:rsid w:val="002409CE"/>
    <w:rsid w:val="0024114E"/>
    <w:rsid w:val="00251268"/>
    <w:rsid w:val="00252E48"/>
    <w:rsid w:val="00253FD0"/>
    <w:rsid w:val="00272225"/>
    <w:rsid w:val="0028248D"/>
    <w:rsid w:val="00291BCD"/>
    <w:rsid w:val="00292FEF"/>
    <w:rsid w:val="00294ED8"/>
    <w:rsid w:val="002A34EE"/>
    <w:rsid w:val="002A629B"/>
    <w:rsid w:val="002C3DF3"/>
    <w:rsid w:val="002C4619"/>
    <w:rsid w:val="002C6E52"/>
    <w:rsid w:val="002D007C"/>
    <w:rsid w:val="002E6BF7"/>
    <w:rsid w:val="002E7EF7"/>
    <w:rsid w:val="002F0173"/>
    <w:rsid w:val="002F28F4"/>
    <w:rsid w:val="002F5339"/>
    <w:rsid w:val="002F72C8"/>
    <w:rsid w:val="003038AC"/>
    <w:rsid w:val="003059A7"/>
    <w:rsid w:val="00313F08"/>
    <w:rsid w:val="00325DAB"/>
    <w:rsid w:val="0033568C"/>
    <w:rsid w:val="00363C30"/>
    <w:rsid w:val="003707CB"/>
    <w:rsid w:val="00376CE7"/>
    <w:rsid w:val="003A3CEF"/>
    <w:rsid w:val="003B5A73"/>
    <w:rsid w:val="003B65D2"/>
    <w:rsid w:val="003B6CF5"/>
    <w:rsid w:val="003D01F8"/>
    <w:rsid w:val="003E67D4"/>
    <w:rsid w:val="003F4BC6"/>
    <w:rsid w:val="004035A3"/>
    <w:rsid w:val="004044B4"/>
    <w:rsid w:val="00404E50"/>
    <w:rsid w:val="00421773"/>
    <w:rsid w:val="00426F92"/>
    <w:rsid w:val="00430AB0"/>
    <w:rsid w:val="00430F5C"/>
    <w:rsid w:val="00433A45"/>
    <w:rsid w:val="00435A5A"/>
    <w:rsid w:val="00435FF6"/>
    <w:rsid w:val="00462CD9"/>
    <w:rsid w:val="004634D7"/>
    <w:rsid w:val="00463D30"/>
    <w:rsid w:val="004734D6"/>
    <w:rsid w:val="00482920"/>
    <w:rsid w:val="004837D4"/>
    <w:rsid w:val="004846E9"/>
    <w:rsid w:val="00487017"/>
    <w:rsid w:val="004A0279"/>
    <w:rsid w:val="004A6714"/>
    <w:rsid w:val="004C3ADE"/>
    <w:rsid w:val="004C4C1A"/>
    <w:rsid w:val="004C60FD"/>
    <w:rsid w:val="004D0463"/>
    <w:rsid w:val="004D1C6B"/>
    <w:rsid w:val="004D4FE1"/>
    <w:rsid w:val="004D5CD7"/>
    <w:rsid w:val="004E011F"/>
    <w:rsid w:val="004E1940"/>
    <w:rsid w:val="004E60C5"/>
    <w:rsid w:val="00511C61"/>
    <w:rsid w:val="005155B4"/>
    <w:rsid w:val="00517F15"/>
    <w:rsid w:val="005203A9"/>
    <w:rsid w:val="005306C6"/>
    <w:rsid w:val="00532EC3"/>
    <w:rsid w:val="005330D4"/>
    <w:rsid w:val="00543E90"/>
    <w:rsid w:val="005456CE"/>
    <w:rsid w:val="0055250F"/>
    <w:rsid w:val="00553FFF"/>
    <w:rsid w:val="00557D73"/>
    <w:rsid w:val="005726AB"/>
    <w:rsid w:val="00586668"/>
    <w:rsid w:val="0059144A"/>
    <w:rsid w:val="0059419D"/>
    <w:rsid w:val="005A24BF"/>
    <w:rsid w:val="005B0888"/>
    <w:rsid w:val="005B19A0"/>
    <w:rsid w:val="005B732D"/>
    <w:rsid w:val="005C1F8C"/>
    <w:rsid w:val="005C2640"/>
    <w:rsid w:val="005D2442"/>
    <w:rsid w:val="005E6A5B"/>
    <w:rsid w:val="005F1BE7"/>
    <w:rsid w:val="005F6BC1"/>
    <w:rsid w:val="005F7F1C"/>
    <w:rsid w:val="00606437"/>
    <w:rsid w:val="00620916"/>
    <w:rsid w:val="00625D4C"/>
    <w:rsid w:val="00632436"/>
    <w:rsid w:val="00633AC9"/>
    <w:rsid w:val="0063729F"/>
    <w:rsid w:val="006502AE"/>
    <w:rsid w:val="006524DB"/>
    <w:rsid w:val="00657FBC"/>
    <w:rsid w:val="00662631"/>
    <w:rsid w:val="0067785E"/>
    <w:rsid w:val="00685FD9"/>
    <w:rsid w:val="00687F4B"/>
    <w:rsid w:val="006950E0"/>
    <w:rsid w:val="006A09DA"/>
    <w:rsid w:val="006B6D98"/>
    <w:rsid w:val="006C012E"/>
    <w:rsid w:val="006C3758"/>
    <w:rsid w:val="006C73D2"/>
    <w:rsid w:val="006D54B9"/>
    <w:rsid w:val="006E39BD"/>
    <w:rsid w:val="006F0844"/>
    <w:rsid w:val="007164E4"/>
    <w:rsid w:val="00722052"/>
    <w:rsid w:val="00732D25"/>
    <w:rsid w:val="0073542F"/>
    <w:rsid w:val="00740640"/>
    <w:rsid w:val="00740A28"/>
    <w:rsid w:val="0076249A"/>
    <w:rsid w:val="00765488"/>
    <w:rsid w:val="00765E69"/>
    <w:rsid w:val="00773C0C"/>
    <w:rsid w:val="007769B6"/>
    <w:rsid w:val="00777D82"/>
    <w:rsid w:val="0079445E"/>
    <w:rsid w:val="00795228"/>
    <w:rsid w:val="007B6292"/>
    <w:rsid w:val="007C43B5"/>
    <w:rsid w:val="007D06C6"/>
    <w:rsid w:val="007D7286"/>
    <w:rsid w:val="007E0623"/>
    <w:rsid w:val="007E12DB"/>
    <w:rsid w:val="007E2154"/>
    <w:rsid w:val="007E68C4"/>
    <w:rsid w:val="007F205B"/>
    <w:rsid w:val="00804107"/>
    <w:rsid w:val="00814565"/>
    <w:rsid w:val="008153B5"/>
    <w:rsid w:val="008165C9"/>
    <w:rsid w:val="00824761"/>
    <w:rsid w:val="00826292"/>
    <w:rsid w:val="00842439"/>
    <w:rsid w:val="008565AE"/>
    <w:rsid w:val="0086673D"/>
    <w:rsid w:val="008824C5"/>
    <w:rsid w:val="00886850"/>
    <w:rsid w:val="00891765"/>
    <w:rsid w:val="00895B22"/>
    <w:rsid w:val="008A0D61"/>
    <w:rsid w:val="008A0DB7"/>
    <w:rsid w:val="008A73BA"/>
    <w:rsid w:val="008B7881"/>
    <w:rsid w:val="008C3C8F"/>
    <w:rsid w:val="008C44C1"/>
    <w:rsid w:val="008D27F9"/>
    <w:rsid w:val="008D62B9"/>
    <w:rsid w:val="008F4295"/>
    <w:rsid w:val="00901967"/>
    <w:rsid w:val="009036C2"/>
    <w:rsid w:val="009059E2"/>
    <w:rsid w:val="00921355"/>
    <w:rsid w:val="009366B0"/>
    <w:rsid w:val="0093708D"/>
    <w:rsid w:val="009416FF"/>
    <w:rsid w:val="00942605"/>
    <w:rsid w:val="0094380C"/>
    <w:rsid w:val="00947135"/>
    <w:rsid w:val="009542E2"/>
    <w:rsid w:val="00961148"/>
    <w:rsid w:val="00964D90"/>
    <w:rsid w:val="00972074"/>
    <w:rsid w:val="0098367D"/>
    <w:rsid w:val="00983F70"/>
    <w:rsid w:val="00985FA3"/>
    <w:rsid w:val="009946BE"/>
    <w:rsid w:val="009A7912"/>
    <w:rsid w:val="009B2B05"/>
    <w:rsid w:val="009B6CCB"/>
    <w:rsid w:val="009C2B8C"/>
    <w:rsid w:val="009C5811"/>
    <w:rsid w:val="009C5B0B"/>
    <w:rsid w:val="009D696F"/>
    <w:rsid w:val="009F1A7E"/>
    <w:rsid w:val="009F1ADF"/>
    <w:rsid w:val="009F2964"/>
    <w:rsid w:val="009F7D68"/>
    <w:rsid w:val="00A2590D"/>
    <w:rsid w:val="00A31FE6"/>
    <w:rsid w:val="00A326D8"/>
    <w:rsid w:val="00A34900"/>
    <w:rsid w:val="00A35A45"/>
    <w:rsid w:val="00A363FD"/>
    <w:rsid w:val="00A4517D"/>
    <w:rsid w:val="00A52707"/>
    <w:rsid w:val="00A61EF1"/>
    <w:rsid w:val="00A63FFC"/>
    <w:rsid w:val="00A666E2"/>
    <w:rsid w:val="00A667F0"/>
    <w:rsid w:val="00A72CA6"/>
    <w:rsid w:val="00A73E24"/>
    <w:rsid w:val="00A760E8"/>
    <w:rsid w:val="00A819B3"/>
    <w:rsid w:val="00A93B22"/>
    <w:rsid w:val="00A9585D"/>
    <w:rsid w:val="00AA253B"/>
    <w:rsid w:val="00AC6E7E"/>
    <w:rsid w:val="00AE0E03"/>
    <w:rsid w:val="00AE25F1"/>
    <w:rsid w:val="00AE7919"/>
    <w:rsid w:val="00AF2922"/>
    <w:rsid w:val="00AF33D1"/>
    <w:rsid w:val="00B04A8F"/>
    <w:rsid w:val="00B04AB3"/>
    <w:rsid w:val="00B07FD8"/>
    <w:rsid w:val="00B271AC"/>
    <w:rsid w:val="00B27716"/>
    <w:rsid w:val="00B34988"/>
    <w:rsid w:val="00B404CB"/>
    <w:rsid w:val="00B44A32"/>
    <w:rsid w:val="00B529AA"/>
    <w:rsid w:val="00B52D44"/>
    <w:rsid w:val="00B54551"/>
    <w:rsid w:val="00B6681B"/>
    <w:rsid w:val="00B73C62"/>
    <w:rsid w:val="00B8182D"/>
    <w:rsid w:val="00B830A4"/>
    <w:rsid w:val="00B84F23"/>
    <w:rsid w:val="00B86764"/>
    <w:rsid w:val="00BA14A7"/>
    <w:rsid w:val="00BA30FE"/>
    <w:rsid w:val="00BA4B8B"/>
    <w:rsid w:val="00BA7B83"/>
    <w:rsid w:val="00BA7C02"/>
    <w:rsid w:val="00BA7D80"/>
    <w:rsid w:val="00BB0C39"/>
    <w:rsid w:val="00BC0E17"/>
    <w:rsid w:val="00BC59E4"/>
    <w:rsid w:val="00BC617E"/>
    <w:rsid w:val="00BC62DC"/>
    <w:rsid w:val="00BD09BA"/>
    <w:rsid w:val="00BD400A"/>
    <w:rsid w:val="00BD72BD"/>
    <w:rsid w:val="00BE33CF"/>
    <w:rsid w:val="00C048E2"/>
    <w:rsid w:val="00C20F69"/>
    <w:rsid w:val="00C23982"/>
    <w:rsid w:val="00C2639D"/>
    <w:rsid w:val="00C330C5"/>
    <w:rsid w:val="00C660CE"/>
    <w:rsid w:val="00C67C7E"/>
    <w:rsid w:val="00C7184B"/>
    <w:rsid w:val="00C84114"/>
    <w:rsid w:val="00C928E8"/>
    <w:rsid w:val="00CA485C"/>
    <w:rsid w:val="00CA57FC"/>
    <w:rsid w:val="00CB679A"/>
    <w:rsid w:val="00CC3A8D"/>
    <w:rsid w:val="00CE3F47"/>
    <w:rsid w:val="00CF08DE"/>
    <w:rsid w:val="00D27FCC"/>
    <w:rsid w:val="00D44FBF"/>
    <w:rsid w:val="00D62DDA"/>
    <w:rsid w:val="00D62ED0"/>
    <w:rsid w:val="00D633F1"/>
    <w:rsid w:val="00D67B00"/>
    <w:rsid w:val="00D7195F"/>
    <w:rsid w:val="00D8453A"/>
    <w:rsid w:val="00D94B0E"/>
    <w:rsid w:val="00D962AF"/>
    <w:rsid w:val="00DA6AC3"/>
    <w:rsid w:val="00DE180A"/>
    <w:rsid w:val="00DF1D97"/>
    <w:rsid w:val="00E00F5E"/>
    <w:rsid w:val="00E0491E"/>
    <w:rsid w:val="00E06826"/>
    <w:rsid w:val="00E0773A"/>
    <w:rsid w:val="00E130C5"/>
    <w:rsid w:val="00E135BD"/>
    <w:rsid w:val="00E243EA"/>
    <w:rsid w:val="00E35D6D"/>
    <w:rsid w:val="00E36DD1"/>
    <w:rsid w:val="00E42127"/>
    <w:rsid w:val="00E46806"/>
    <w:rsid w:val="00E500ED"/>
    <w:rsid w:val="00E54812"/>
    <w:rsid w:val="00E55E60"/>
    <w:rsid w:val="00E602DC"/>
    <w:rsid w:val="00E61ED2"/>
    <w:rsid w:val="00E63A7E"/>
    <w:rsid w:val="00E76B38"/>
    <w:rsid w:val="00E81135"/>
    <w:rsid w:val="00E9486B"/>
    <w:rsid w:val="00EA177D"/>
    <w:rsid w:val="00EA1DA3"/>
    <w:rsid w:val="00EA278F"/>
    <w:rsid w:val="00EA3250"/>
    <w:rsid w:val="00EA4BFD"/>
    <w:rsid w:val="00EB099B"/>
    <w:rsid w:val="00EC3F36"/>
    <w:rsid w:val="00EC69B4"/>
    <w:rsid w:val="00EC753E"/>
    <w:rsid w:val="00ED1945"/>
    <w:rsid w:val="00EF1D85"/>
    <w:rsid w:val="00EF25D3"/>
    <w:rsid w:val="00EF34C5"/>
    <w:rsid w:val="00EF79CD"/>
    <w:rsid w:val="00F03C7A"/>
    <w:rsid w:val="00F05DD8"/>
    <w:rsid w:val="00F10F15"/>
    <w:rsid w:val="00F15398"/>
    <w:rsid w:val="00F25674"/>
    <w:rsid w:val="00F31255"/>
    <w:rsid w:val="00F32971"/>
    <w:rsid w:val="00F32CD8"/>
    <w:rsid w:val="00F41161"/>
    <w:rsid w:val="00F4784B"/>
    <w:rsid w:val="00F52B87"/>
    <w:rsid w:val="00F56ADA"/>
    <w:rsid w:val="00F56F85"/>
    <w:rsid w:val="00F6396E"/>
    <w:rsid w:val="00F6525A"/>
    <w:rsid w:val="00F70BBF"/>
    <w:rsid w:val="00F72759"/>
    <w:rsid w:val="00F86918"/>
    <w:rsid w:val="00F95C2D"/>
    <w:rsid w:val="00FA1769"/>
    <w:rsid w:val="00FB1FD1"/>
    <w:rsid w:val="00FB33F0"/>
    <w:rsid w:val="00FC2788"/>
    <w:rsid w:val="00FC55E0"/>
    <w:rsid w:val="00FC5AA5"/>
    <w:rsid w:val="00FE22CA"/>
    <w:rsid w:val="00FF23A9"/>
    <w:rsid w:val="00FF2FD5"/>
    <w:rsid w:val="00FF338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72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A6AC3"/>
    <w:rPr>
      <w:color w:val="808080"/>
    </w:rPr>
  </w:style>
  <w:style w:type="paragraph" w:customStyle="1" w:styleId="BEC3A54377E54BA4BC2549893CE933A7">
    <w:name w:val="BEC3A54377E54BA4BC2549893CE933A7"/>
    <w:rsid w:val="002F72C8"/>
  </w:style>
  <w:style w:type="paragraph" w:customStyle="1" w:styleId="5C13EF065FB042ADA67396E180E6D136">
    <w:name w:val="5C13EF065FB042ADA67396E180E6D136"/>
    <w:rsid w:val="000B502C"/>
  </w:style>
  <w:style w:type="paragraph" w:customStyle="1" w:styleId="4FED488B85774D94AD0CD574335CDC0B">
    <w:name w:val="4FED488B85774D94AD0CD574335CDC0B"/>
    <w:rsid w:val="0088685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07148E-A2C1-4319-8B36-95F69244F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RREP - Issues Paper Template V1.3 13.09.17.dotx</Template>
  <TotalTime>127</TotalTime>
  <Pages>103</Pages>
  <Words>31624</Words>
  <Characters>180258</Characters>
  <Application>Microsoft Office Word</Application>
  <DocSecurity>0</DocSecurity>
  <Lines>1502</Lines>
  <Paragraphs>422</Paragraphs>
  <ScaleCrop>false</ScaleCrop>
  <HeadingPairs>
    <vt:vector size="2" baseType="variant">
      <vt:variant>
        <vt:lpstr>Title</vt:lpstr>
      </vt:variant>
      <vt:variant>
        <vt:i4>1</vt:i4>
      </vt:variant>
    </vt:vector>
  </HeadingPairs>
  <TitlesOfParts>
    <vt:vector size="1" baseType="lpstr">
      <vt:lpstr>Regulated water and sewerage services</vt:lpstr>
    </vt:vector>
  </TitlesOfParts>
  <Company>ACT Government</Company>
  <LinksUpToDate>false</LinksUpToDate>
  <CharactersWithSpaces>211460</CharactersWithSpaces>
  <SharedDoc>false</SharedDoc>
  <HLinks>
    <vt:vector size="138" baseType="variant">
      <vt:variant>
        <vt:i4>1507378</vt:i4>
      </vt:variant>
      <vt:variant>
        <vt:i4>131</vt:i4>
      </vt:variant>
      <vt:variant>
        <vt:i4>0</vt:i4>
      </vt:variant>
      <vt:variant>
        <vt:i4>5</vt:i4>
      </vt:variant>
      <vt:variant>
        <vt:lpwstr/>
      </vt:variant>
      <vt:variant>
        <vt:lpwstr>_Toc300311025</vt:lpwstr>
      </vt:variant>
      <vt:variant>
        <vt:i4>1507378</vt:i4>
      </vt:variant>
      <vt:variant>
        <vt:i4>125</vt:i4>
      </vt:variant>
      <vt:variant>
        <vt:i4>0</vt:i4>
      </vt:variant>
      <vt:variant>
        <vt:i4>5</vt:i4>
      </vt:variant>
      <vt:variant>
        <vt:lpwstr/>
      </vt:variant>
      <vt:variant>
        <vt:lpwstr>_Toc300311024</vt:lpwstr>
      </vt:variant>
      <vt:variant>
        <vt:i4>1507378</vt:i4>
      </vt:variant>
      <vt:variant>
        <vt:i4>119</vt:i4>
      </vt:variant>
      <vt:variant>
        <vt:i4>0</vt:i4>
      </vt:variant>
      <vt:variant>
        <vt:i4>5</vt:i4>
      </vt:variant>
      <vt:variant>
        <vt:lpwstr/>
      </vt:variant>
      <vt:variant>
        <vt:lpwstr>_Toc300311023</vt:lpwstr>
      </vt:variant>
      <vt:variant>
        <vt:i4>1507378</vt:i4>
      </vt:variant>
      <vt:variant>
        <vt:i4>113</vt:i4>
      </vt:variant>
      <vt:variant>
        <vt:i4>0</vt:i4>
      </vt:variant>
      <vt:variant>
        <vt:i4>5</vt:i4>
      </vt:variant>
      <vt:variant>
        <vt:lpwstr/>
      </vt:variant>
      <vt:variant>
        <vt:lpwstr>_Toc300311022</vt:lpwstr>
      </vt:variant>
      <vt:variant>
        <vt:i4>1507378</vt:i4>
      </vt:variant>
      <vt:variant>
        <vt:i4>107</vt:i4>
      </vt:variant>
      <vt:variant>
        <vt:i4>0</vt:i4>
      </vt:variant>
      <vt:variant>
        <vt:i4>5</vt:i4>
      </vt:variant>
      <vt:variant>
        <vt:lpwstr/>
      </vt:variant>
      <vt:variant>
        <vt:lpwstr>_Toc300311021</vt:lpwstr>
      </vt:variant>
      <vt:variant>
        <vt:i4>1507378</vt:i4>
      </vt:variant>
      <vt:variant>
        <vt:i4>101</vt:i4>
      </vt:variant>
      <vt:variant>
        <vt:i4>0</vt:i4>
      </vt:variant>
      <vt:variant>
        <vt:i4>5</vt:i4>
      </vt:variant>
      <vt:variant>
        <vt:lpwstr/>
      </vt:variant>
      <vt:variant>
        <vt:lpwstr>_Toc300311020</vt:lpwstr>
      </vt:variant>
      <vt:variant>
        <vt:i4>1310770</vt:i4>
      </vt:variant>
      <vt:variant>
        <vt:i4>95</vt:i4>
      </vt:variant>
      <vt:variant>
        <vt:i4>0</vt:i4>
      </vt:variant>
      <vt:variant>
        <vt:i4>5</vt:i4>
      </vt:variant>
      <vt:variant>
        <vt:lpwstr/>
      </vt:variant>
      <vt:variant>
        <vt:lpwstr>_Toc300311019</vt:lpwstr>
      </vt:variant>
      <vt:variant>
        <vt:i4>1310770</vt:i4>
      </vt:variant>
      <vt:variant>
        <vt:i4>89</vt:i4>
      </vt:variant>
      <vt:variant>
        <vt:i4>0</vt:i4>
      </vt:variant>
      <vt:variant>
        <vt:i4>5</vt:i4>
      </vt:variant>
      <vt:variant>
        <vt:lpwstr/>
      </vt:variant>
      <vt:variant>
        <vt:lpwstr>_Toc300311018</vt:lpwstr>
      </vt:variant>
      <vt:variant>
        <vt:i4>1310770</vt:i4>
      </vt:variant>
      <vt:variant>
        <vt:i4>83</vt:i4>
      </vt:variant>
      <vt:variant>
        <vt:i4>0</vt:i4>
      </vt:variant>
      <vt:variant>
        <vt:i4>5</vt:i4>
      </vt:variant>
      <vt:variant>
        <vt:lpwstr/>
      </vt:variant>
      <vt:variant>
        <vt:lpwstr>_Toc300311017</vt:lpwstr>
      </vt:variant>
      <vt:variant>
        <vt:i4>1310770</vt:i4>
      </vt:variant>
      <vt:variant>
        <vt:i4>77</vt:i4>
      </vt:variant>
      <vt:variant>
        <vt:i4>0</vt:i4>
      </vt:variant>
      <vt:variant>
        <vt:i4>5</vt:i4>
      </vt:variant>
      <vt:variant>
        <vt:lpwstr/>
      </vt:variant>
      <vt:variant>
        <vt:lpwstr>_Toc300311016</vt:lpwstr>
      </vt:variant>
      <vt:variant>
        <vt:i4>1310770</vt:i4>
      </vt:variant>
      <vt:variant>
        <vt:i4>71</vt:i4>
      </vt:variant>
      <vt:variant>
        <vt:i4>0</vt:i4>
      </vt:variant>
      <vt:variant>
        <vt:i4>5</vt:i4>
      </vt:variant>
      <vt:variant>
        <vt:lpwstr/>
      </vt:variant>
      <vt:variant>
        <vt:lpwstr>_Toc300311015</vt:lpwstr>
      </vt:variant>
      <vt:variant>
        <vt:i4>1310770</vt:i4>
      </vt:variant>
      <vt:variant>
        <vt:i4>65</vt:i4>
      </vt:variant>
      <vt:variant>
        <vt:i4>0</vt:i4>
      </vt:variant>
      <vt:variant>
        <vt:i4>5</vt:i4>
      </vt:variant>
      <vt:variant>
        <vt:lpwstr/>
      </vt:variant>
      <vt:variant>
        <vt:lpwstr>_Toc300311014</vt:lpwstr>
      </vt:variant>
      <vt:variant>
        <vt:i4>1310770</vt:i4>
      </vt:variant>
      <vt:variant>
        <vt:i4>59</vt:i4>
      </vt:variant>
      <vt:variant>
        <vt:i4>0</vt:i4>
      </vt:variant>
      <vt:variant>
        <vt:i4>5</vt:i4>
      </vt:variant>
      <vt:variant>
        <vt:lpwstr/>
      </vt:variant>
      <vt:variant>
        <vt:lpwstr>_Toc300311013</vt:lpwstr>
      </vt:variant>
      <vt:variant>
        <vt:i4>1310770</vt:i4>
      </vt:variant>
      <vt:variant>
        <vt:i4>53</vt:i4>
      </vt:variant>
      <vt:variant>
        <vt:i4>0</vt:i4>
      </vt:variant>
      <vt:variant>
        <vt:i4>5</vt:i4>
      </vt:variant>
      <vt:variant>
        <vt:lpwstr/>
      </vt:variant>
      <vt:variant>
        <vt:lpwstr>_Toc300311012</vt:lpwstr>
      </vt:variant>
      <vt:variant>
        <vt:i4>1310770</vt:i4>
      </vt:variant>
      <vt:variant>
        <vt:i4>47</vt:i4>
      </vt:variant>
      <vt:variant>
        <vt:i4>0</vt:i4>
      </vt:variant>
      <vt:variant>
        <vt:i4>5</vt:i4>
      </vt:variant>
      <vt:variant>
        <vt:lpwstr/>
      </vt:variant>
      <vt:variant>
        <vt:lpwstr>_Toc300311011</vt:lpwstr>
      </vt:variant>
      <vt:variant>
        <vt:i4>1310770</vt:i4>
      </vt:variant>
      <vt:variant>
        <vt:i4>41</vt:i4>
      </vt:variant>
      <vt:variant>
        <vt:i4>0</vt:i4>
      </vt:variant>
      <vt:variant>
        <vt:i4>5</vt:i4>
      </vt:variant>
      <vt:variant>
        <vt:lpwstr/>
      </vt:variant>
      <vt:variant>
        <vt:lpwstr>_Toc300311010</vt:lpwstr>
      </vt:variant>
      <vt:variant>
        <vt:i4>1376306</vt:i4>
      </vt:variant>
      <vt:variant>
        <vt:i4>35</vt:i4>
      </vt:variant>
      <vt:variant>
        <vt:i4>0</vt:i4>
      </vt:variant>
      <vt:variant>
        <vt:i4>5</vt:i4>
      </vt:variant>
      <vt:variant>
        <vt:lpwstr/>
      </vt:variant>
      <vt:variant>
        <vt:lpwstr>_Toc300311009</vt:lpwstr>
      </vt:variant>
      <vt:variant>
        <vt:i4>1376306</vt:i4>
      </vt:variant>
      <vt:variant>
        <vt:i4>29</vt:i4>
      </vt:variant>
      <vt:variant>
        <vt:i4>0</vt:i4>
      </vt:variant>
      <vt:variant>
        <vt:i4>5</vt:i4>
      </vt:variant>
      <vt:variant>
        <vt:lpwstr/>
      </vt:variant>
      <vt:variant>
        <vt:lpwstr>_Toc300311008</vt:lpwstr>
      </vt:variant>
      <vt:variant>
        <vt:i4>1376306</vt:i4>
      </vt:variant>
      <vt:variant>
        <vt:i4>23</vt:i4>
      </vt:variant>
      <vt:variant>
        <vt:i4>0</vt:i4>
      </vt:variant>
      <vt:variant>
        <vt:i4>5</vt:i4>
      </vt:variant>
      <vt:variant>
        <vt:lpwstr/>
      </vt:variant>
      <vt:variant>
        <vt:lpwstr>_Toc300311007</vt:lpwstr>
      </vt:variant>
      <vt:variant>
        <vt:i4>1376306</vt:i4>
      </vt:variant>
      <vt:variant>
        <vt:i4>17</vt:i4>
      </vt:variant>
      <vt:variant>
        <vt:i4>0</vt:i4>
      </vt:variant>
      <vt:variant>
        <vt:i4>5</vt:i4>
      </vt:variant>
      <vt:variant>
        <vt:lpwstr/>
      </vt:variant>
      <vt:variant>
        <vt:lpwstr>_Toc300311006</vt:lpwstr>
      </vt:variant>
      <vt:variant>
        <vt:i4>1376306</vt:i4>
      </vt:variant>
      <vt:variant>
        <vt:i4>11</vt:i4>
      </vt:variant>
      <vt:variant>
        <vt:i4>0</vt:i4>
      </vt:variant>
      <vt:variant>
        <vt:i4>5</vt:i4>
      </vt:variant>
      <vt:variant>
        <vt:lpwstr/>
      </vt:variant>
      <vt:variant>
        <vt:lpwstr>_Toc300311005</vt:lpwstr>
      </vt:variant>
      <vt:variant>
        <vt:i4>4194351</vt:i4>
      </vt:variant>
      <vt:variant>
        <vt:i4>6</vt:i4>
      </vt:variant>
      <vt:variant>
        <vt:i4>0</vt:i4>
      </vt:variant>
      <vt:variant>
        <vt:i4>5</vt:i4>
      </vt:variant>
      <vt:variant>
        <vt:lpwstr>mailto:icrc@act.gov.au</vt:lpwstr>
      </vt:variant>
      <vt:variant>
        <vt:lpwstr/>
      </vt:variant>
      <vt:variant>
        <vt:i4>6750261</vt:i4>
      </vt:variant>
      <vt:variant>
        <vt:i4>3</vt:i4>
      </vt:variant>
      <vt:variant>
        <vt:i4>0</vt:i4>
      </vt:variant>
      <vt:variant>
        <vt:i4>5</vt:i4>
      </vt:variant>
      <vt:variant>
        <vt:lpwstr>http://www.icrc.act.gov.au/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Regulated water and sewerage services</dc:title>
  <dc:creator>jack gregory</dc:creator>
  <cp:lastModifiedBy>Hayes, Ian</cp:lastModifiedBy>
  <cp:revision>92</cp:revision>
  <cp:lastPrinted>2016-09-01T02:36:00Z</cp:lastPrinted>
  <dcterms:created xsi:type="dcterms:W3CDTF">2016-09-01T02:17:00Z</dcterms:created>
  <dcterms:modified xsi:type="dcterms:W3CDTF">2016-09-04T22:53:00Z</dcterms:modified>
</cp:coreProperties>
</file>