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906" w:rsidRPr="00D11A5A" w:rsidRDefault="00A50906" w:rsidP="00D12367">
      <w:pPr>
        <w:spacing w:after="80"/>
        <w:ind w:left="1843" w:right="2410"/>
        <w:jc w:val="center"/>
        <w:rPr>
          <w:sz w:val="24"/>
          <w:szCs w:val="24"/>
          <w:lang w:val="en-AU"/>
        </w:rPr>
      </w:pPr>
    </w:p>
    <w:p w:rsidR="00A50906" w:rsidRPr="00D11A5A" w:rsidRDefault="00A50906" w:rsidP="00D12367">
      <w:pPr>
        <w:spacing w:after="80"/>
        <w:ind w:left="1843" w:right="2410"/>
        <w:jc w:val="center"/>
        <w:rPr>
          <w:sz w:val="24"/>
          <w:szCs w:val="24"/>
          <w:lang w:val="en-AU"/>
        </w:rPr>
      </w:pPr>
    </w:p>
    <w:p w:rsidR="00A50906" w:rsidRPr="00D11A5A" w:rsidRDefault="00A50906" w:rsidP="00D12367">
      <w:pPr>
        <w:spacing w:after="80"/>
        <w:ind w:left="1843" w:right="2410"/>
        <w:jc w:val="center"/>
        <w:rPr>
          <w:sz w:val="24"/>
          <w:szCs w:val="24"/>
          <w:lang w:val="en-AU"/>
        </w:rPr>
      </w:pPr>
    </w:p>
    <w:p w:rsidR="00A50906" w:rsidRPr="00D11A5A" w:rsidRDefault="00A50906" w:rsidP="00D12367">
      <w:pPr>
        <w:spacing w:after="80"/>
        <w:ind w:left="1843" w:right="2410"/>
        <w:jc w:val="center"/>
        <w:rPr>
          <w:sz w:val="24"/>
          <w:szCs w:val="24"/>
          <w:lang w:val="en-AU"/>
        </w:rPr>
      </w:pPr>
    </w:p>
    <w:p w:rsidR="00796887" w:rsidRPr="00D11A5A" w:rsidRDefault="00796887" w:rsidP="00796887">
      <w:pPr>
        <w:tabs>
          <w:tab w:val="left" w:pos="5592"/>
        </w:tabs>
        <w:jc w:val="center"/>
        <w:rPr>
          <w:sz w:val="24"/>
          <w:szCs w:val="24"/>
          <w:lang w:val="en-AU"/>
        </w:rPr>
      </w:pPr>
    </w:p>
    <w:p w:rsidR="00796887" w:rsidRPr="00D11A5A" w:rsidRDefault="004838FB" w:rsidP="00796887">
      <w:pPr>
        <w:rPr>
          <w:sz w:val="24"/>
          <w:szCs w:val="24"/>
          <w:lang w:val="en-AU"/>
        </w:rPr>
      </w:pPr>
      <w:r>
        <w:rPr>
          <w:bCs/>
          <w:noProof/>
          <w:sz w:val="24"/>
          <w:szCs w:val="24"/>
          <w:lang w:val="en-AU" w:eastAsia="en-AU"/>
        </w:rPr>
        <mc:AlternateContent>
          <mc:Choice Requires="wps">
            <w:drawing>
              <wp:anchor distT="0" distB="0" distL="114300" distR="114300" simplePos="0" relativeHeight="251660288" behindDoc="0" locked="0" layoutInCell="1" allowOverlap="1">
                <wp:simplePos x="0" y="0"/>
                <wp:positionH relativeFrom="column">
                  <wp:posOffset>1506220</wp:posOffset>
                </wp:positionH>
                <wp:positionV relativeFrom="paragraph">
                  <wp:posOffset>4587875</wp:posOffset>
                </wp:positionV>
                <wp:extent cx="3686175" cy="1780540"/>
                <wp:effectExtent l="0" t="0" r="952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78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7B5" w:rsidRDefault="003F07B5" w:rsidP="009334E1">
                            <w:pPr>
                              <w:pStyle w:val="CoverInquiry"/>
                            </w:pPr>
                            <w:r w:rsidRPr="004E031D">
                              <w:rPr>
                                <w:rFonts w:cs="Times New Roman"/>
                                <w:b w:val="0"/>
                                <w:bCs/>
                                <w:color w:val="auto"/>
                                <w:sz w:val="36"/>
                                <w:szCs w:val="36"/>
                                <w:lang w:val="en-AU"/>
                              </w:rPr>
                              <w:t>Regulated water and sewerage services</w:t>
                            </w:r>
                          </w:p>
                          <w:p w:rsidR="003F07B5" w:rsidRPr="004E031D" w:rsidRDefault="003F07B5" w:rsidP="004E031D">
                            <w:pPr>
                              <w:pStyle w:val="CoverInquiry"/>
                              <w:rPr>
                                <w:sz w:val="32"/>
                                <w:szCs w:val="32"/>
                              </w:rPr>
                            </w:pPr>
                            <w:r>
                              <w:rPr>
                                <w:sz w:val="32"/>
                                <w:szCs w:val="32"/>
                              </w:rPr>
                              <w:t>2017</w:t>
                            </w:r>
                            <w:r>
                              <w:rPr>
                                <w:sz w:val="32"/>
                                <w:szCs w:val="32"/>
                              </w:rPr>
                              <w:sym w:font="Symbol" w:char="F02D"/>
                            </w:r>
                            <w:r>
                              <w:rPr>
                                <w:sz w:val="32"/>
                                <w:szCs w:val="32"/>
                              </w:rPr>
                              <w:t>18 price adjustment</w:t>
                            </w:r>
                          </w:p>
                          <w:p w:rsidR="003F07B5" w:rsidRDefault="003F07B5" w:rsidP="009334E1">
                            <w:pPr>
                              <w:pStyle w:val="CoverReportNumMonth"/>
                            </w:pPr>
                            <w:bookmarkStart w:id="0" w:name="_Toc265597563"/>
                            <w:r w:rsidRPr="00166C87">
                              <w:t xml:space="preserve"> </w:t>
                            </w:r>
                          </w:p>
                          <w:p w:rsidR="003F07B5" w:rsidRPr="00E729F4" w:rsidRDefault="003F07B5" w:rsidP="00287869">
                            <w:pPr>
                              <w:pStyle w:val="CoverReportNumMonth"/>
                              <w:rPr>
                                <w:rStyle w:val="Bold"/>
                              </w:rPr>
                            </w:pPr>
                            <w:r w:rsidRPr="00E729F4">
                              <w:rPr>
                                <w:rStyle w:val="Bold"/>
                              </w:rPr>
                              <w:t xml:space="preserve">Report </w:t>
                            </w:r>
                            <w:r>
                              <w:rPr>
                                <w:rStyle w:val="Bold"/>
                              </w:rPr>
                              <w:t>5</w:t>
                            </w:r>
                            <w:r w:rsidRPr="00E729F4">
                              <w:rPr>
                                <w:rStyle w:val="Bold"/>
                              </w:rPr>
                              <w:t xml:space="preserve"> of 201</w:t>
                            </w:r>
                            <w:r>
                              <w:rPr>
                                <w:rStyle w:val="Bold"/>
                              </w:rPr>
                              <w:t>7</w:t>
                            </w:r>
                            <w:r w:rsidRPr="00E729F4">
                              <w:rPr>
                                <w:rStyle w:val="Bold"/>
                              </w:rPr>
                              <w:t xml:space="preserve">, </w:t>
                            </w:r>
                            <w:r>
                              <w:rPr>
                                <w:rStyle w:val="Bold"/>
                              </w:rPr>
                              <w:t>June</w:t>
                            </w:r>
                            <w:r w:rsidRPr="00E729F4">
                              <w:rPr>
                                <w:rStyle w:val="Bold"/>
                              </w:rPr>
                              <w:t xml:space="preserve"> 201</w:t>
                            </w:r>
                            <w:bookmarkEnd w:id="0"/>
                            <w:r>
                              <w:rPr>
                                <w:rStyle w:val="Bold"/>
                              </w:rPr>
                              <w:t>7</w:t>
                            </w:r>
                          </w:p>
                        </w:txbxContent>
                      </wps:txbx>
                      <wps:bodyPr rot="0" vert="horz" wrap="square" lIns="91440" tIns="45720" rIns="91440" bIns="45720" anchor="b"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8.6pt;margin-top:361.25pt;width:290.25pt;height:1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" stroked="f">
                <v:textbox style="mso-fit-shape-to-text:t">
                  <w:txbxContent>
                    <w:p w:rsidR="003F07B5" w:rsidRDefault="003F07B5" w:rsidP="009334E1">
                      <w:pPr>
                        <w:pStyle w:val="CoverInquiry"/>
                      </w:pPr>
                      <w:r w:rsidRPr="004E031D">
                        <w:rPr>
                          <w:rFonts w:cs="Times New Roman"/>
                          <w:b w:val="0"/>
                          <w:bCs/>
                          <w:color w:val="auto"/>
                          <w:sz w:val="36"/>
                          <w:szCs w:val="36"/>
                          <w:lang w:val="en-AU"/>
                        </w:rPr>
                        <w:t>Regulated water and sewerage services</w:t>
                      </w:r>
                    </w:p>
                    <w:p w:rsidR="003F07B5" w:rsidRPr="004E031D" w:rsidRDefault="003F07B5" w:rsidP="004E031D">
                      <w:pPr>
                        <w:pStyle w:val="CoverInquiry"/>
                        <w:rPr>
                          <w:sz w:val="32"/>
                          <w:szCs w:val="32"/>
                        </w:rPr>
                      </w:pPr>
                      <w:r>
                        <w:rPr>
                          <w:sz w:val="32"/>
                          <w:szCs w:val="32"/>
                        </w:rPr>
                        <w:t>2017</w:t>
                      </w:r>
                      <w:r>
                        <w:rPr>
                          <w:sz w:val="32"/>
                          <w:szCs w:val="32"/>
                        </w:rPr>
                        <w:sym w:font="Symbol" w:char="F02D"/>
                      </w:r>
                      <w:r>
                        <w:rPr>
                          <w:sz w:val="32"/>
                          <w:szCs w:val="32"/>
                        </w:rPr>
                        <w:t>18 price adjustment</w:t>
                      </w:r>
                    </w:p>
                    <w:p w:rsidR="003F07B5" w:rsidRDefault="003F07B5" w:rsidP="009334E1">
                      <w:pPr>
                        <w:pStyle w:val="CoverReportNumMonth"/>
                      </w:pPr>
                      <w:bookmarkStart w:id="1" w:name="_Toc265597563"/>
                      <w:r w:rsidRPr="00166C87">
                        <w:t xml:space="preserve"> </w:t>
                      </w:r>
                    </w:p>
                    <w:p w:rsidR="003F07B5" w:rsidRPr="00E729F4" w:rsidRDefault="003F07B5" w:rsidP="00287869">
                      <w:pPr>
                        <w:pStyle w:val="CoverReportNumMonth"/>
                        <w:rPr>
                          <w:rStyle w:val="Bold"/>
                        </w:rPr>
                      </w:pPr>
                      <w:r w:rsidRPr="00E729F4">
                        <w:rPr>
                          <w:rStyle w:val="Bold"/>
                        </w:rPr>
                        <w:t xml:space="preserve">Report </w:t>
                      </w:r>
                      <w:r>
                        <w:rPr>
                          <w:rStyle w:val="Bold"/>
                        </w:rPr>
                        <w:t>5</w:t>
                      </w:r>
                      <w:r w:rsidRPr="00E729F4">
                        <w:rPr>
                          <w:rStyle w:val="Bold"/>
                        </w:rPr>
                        <w:t xml:space="preserve"> of 201</w:t>
                      </w:r>
                      <w:r>
                        <w:rPr>
                          <w:rStyle w:val="Bold"/>
                        </w:rPr>
                        <w:t>7</w:t>
                      </w:r>
                      <w:r w:rsidRPr="00E729F4">
                        <w:rPr>
                          <w:rStyle w:val="Bold"/>
                        </w:rPr>
                        <w:t xml:space="preserve">, </w:t>
                      </w:r>
                      <w:r>
                        <w:rPr>
                          <w:rStyle w:val="Bold"/>
                        </w:rPr>
                        <w:t>June</w:t>
                      </w:r>
                      <w:r w:rsidRPr="00E729F4">
                        <w:rPr>
                          <w:rStyle w:val="Bold"/>
                        </w:rPr>
                        <w:t xml:space="preserve"> 201</w:t>
                      </w:r>
                      <w:bookmarkEnd w:id="1"/>
                      <w:r>
                        <w:rPr>
                          <w:rStyle w:val="Bold"/>
                        </w:rPr>
                        <w:t>7</w:t>
                      </w:r>
                    </w:p>
                  </w:txbxContent>
                </v:textbox>
              </v:shape>
            </w:pict>
          </mc:Fallback>
        </mc:AlternateContent>
      </w:r>
    </w:p>
    <w:p w:rsidR="00796887" w:rsidRPr="004A66E2" w:rsidRDefault="00796887" w:rsidP="004A66E2">
      <w:pPr>
        <w:sectPr w:rsidR="00796887" w:rsidRPr="004A66E2" w:rsidSect="00FD0141">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2268" w:right="2098" w:bottom="1701" w:left="2098" w:header="578" w:footer="578" w:gutter="0"/>
          <w:pgNumType w:fmt="lowerRoman" w:start="1"/>
          <w:cols w:space="720"/>
          <w:titlePg/>
          <w:docGrid w:linePitch="299"/>
        </w:sectPr>
      </w:pPr>
      <w:bookmarkStart w:id="2" w:name="_Toc27649604"/>
      <w:bookmarkStart w:id="3" w:name="_Toc43786474"/>
      <w:bookmarkStart w:id="4" w:name="_Toc44217184"/>
    </w:p>
    <w:p w:rsidR="000721C4" w:rsidRPr="00B5530C" w:rsidRDefault="000721C4" w:rsidP="000721C4">
      <w:pPr>
        <w:jc w:val="center"/>
      </w:pPr>
      <w:bookmarkStart w:id="5" w:name="_Toc44217186"/>
      <w:bookmarkStart w:id="6" w:name="_Toc118359366"/>
      <w:bookmarkEnd w:id="2"/>
      <w:bookmarkEnd w:id="3"/>
      <w:bookmarkEnd w:id="4"/>
      <w:r w:rsidRPr="00B5530C">
        <w:lastRenderedPageBreak/>
        <w:t xml:space="preserve">The Independent Competition and Regulatory Commission is a Territory Authority established under the </w:t>
      </w:r>
      <w:r w:rsidRPr="00C04AA0">
        <w:rPr>
          <w:rStyle w:val="Italic"/>
        </w:rPr>
        <w:t>Independent Competition and Regulatory Commission Act 1997</w:t>
      </w:r>
      <w:r w:rsidRPr="00B5530C">
        <w:t xml:space="preserve"> (</w:t>
      </w:r>
      <w:r w:rsidR="00C04AA0">
        <w:t xml:space="preserve">the </w:t>
      </w:r>
      <w:r w:rsidRPr="00B5530C">
        <w:t>ICRC Act). The Commission is constituted under the ICRC Act by one or more standing</w:t>
      </w:r>
      <w:r w:rsidR="00767AA8">
        <w:t xml:space="preserve"> commissioners and </w:t>
      </w:r>
      <w:r w:rsidRPr="00B5530C">
        <w:t>any associated commissioners appointed for particular purposes. Commissioners are statutory appointments</w:t>
      </w:r>
      <w:r w:rsidR="00AE003E">
        <w:t xml:space="preserve">. Joe Dimasi is </w:t>
      </w:r>
      <w:r w:rsidRPr="00B5530C">
        <w:t xml:space="preserve">the current </w:t>
      </w:r>
      <w:r w:rsidR="00E770A6">
        <w:t xml:space="preserve">Senior </w:t>
      </w:r>
      <w:r w:rsidRPr="00B5530C">
        <w:t>Commissioner</w:t>
      </w:r>
      <w:r w:rsidR="00E770A6">
        <w:t xml:space="preserve"> </w:t>
      </w:r>
      <w:r w:rsidRPr="00B5530C">
        <w:t>who constitute</w:t>
      </w:r>
      <w:r w:rsidR="00AE003E">
        <w:t>s</w:t>
      </w:r>
      <w:r w:rsidRPr="00B5530C">
        <w:t xml:space="preserve"> the Commission</w:t>
      </w:r>
      <w:r w:rsidR="00AE003E">
        <w:t xml:space="preserve"> and </w:t>
      </w:r>
      <w:r w:rsidRPr="00B5530C">
        <w:t>take</w:t>
      </w:r>
      <w:r w:rsidR="00AE003E">
        <w:t>s</w:t>
      </w:r>
      <w:r w:rsidRPr="00B5530C">
        <w:t xml:space="preserve"> direct responsibility for delivery of the outcomes of the Commission.</w:t>
      </w:r>
    </w:p>
    <w:p w:rsidR="000721C4" w:rsidRPr="00B5530C" w:rsidRDefault="009736EF" w:rsidP="000721C4">
      <w:pPr>
        <w:jc w:val="center"/>
      </w:pPr>
      <w:r>
        <w:t xml:space="preserve">The Commission </w:t>
      </w:r>
      <w:r w:rsidR="000721C4" w:rsidRPr="00B5530C">
        <w:t>ha</w:t>
      </w:r>
      <w:r>
        <w:t>s</w:t>
      </w:r>
      <w:r w:rsidR="000721C4" w:rsidRPr="00B5530C">
        <w:t xml:space="preserve"> responsibilities for a broad range of regulatory and utility administrative matters. </w:t>
      </w:r>
      <w:r>
        <w:t xml:space="preserve">The Commission </w:t>
      </w:r>
      <w:r w:rsidR="000721C4" w:rsidRPr="00B5530C">
        <w:t>ha</w:t>
      </w:r>
      <w:r>
        <w:t xml:space="preserve">s </w:t>
      </w:r>
      <w:r w:rsidR="000721C4" w:rsidRPr="00B5530C">
        <w:t xml:space="preserve">responsibility under the ICRC Act for regulating and advising government about pricing and other matters for monopoly, near-monopoly and </w:t>
      </w:r>
      <w:proofErr w:type="spellStart"/>
      <w:r w:rsidR="000721C4" w:rsidRPr="00B5530C">
        <w:t>ministerially</w:t>
      </w:r>
      <w:proofErr w:type="spellEnd"/>
      <w:r w:rsidR="000721C4" w:rsidRPr="00B5530C">
        <w:t xml:space="preserve"> declared regulated industries, </w:t>
      </w:r>
      <w:r w:rsidR="000271A9">
        <w:t xml:space="preserve">and </w:t>
      </w:r>
      <w:r w:rsidR="000721C4" w:rsidRPr="00B5530C">
        <w:t xml:space="preserve">providing advice on competitive neutrality complaints and government-regulated activities. </w:t>
      </w:r>
      <w:r>
        <w:t xml:space="preserve">The Commission </w:t>
      </w:r>
      <w:r w:rsidR="000721C4" w:rsidRPr="00B5530C">
        <w:t>also ha</w:t>
      </w:r>
      <w:r>
        <w:t>s</w:t>
      </w:r>
      <w:r w:rsidR="000721C4" w:rsidRPr="00B5530C">
        <w:t xml:space="preserve"> responsibility for arbitrating infrastructure access disputes under the ICRC Act. In discharging </w:t>
      </w:r>
      <w:r>
        <w:t>its</w:t>
      </w:r>
      <w:r w:rsidR="000721C4" w:rsidRPr="00B5530C">
        <w:t xml:space="preserve"> objectives and functions, </w:t>
      </w:r>
      <w:r>
        <w:t xml:space="preserve">the Commission </w:t>
      </w:r>
      <w:r w:rsidR="000721C4" w:rsidRPr="00B5530C">
        <w:t>provide</w:t>
      </w:r>
      <w:r>
        <w:t>s</w:t>
      </w:r>
      <w:r w:rsidR="000721C4" w:rsidRPr="00B5530C">
        <w:t xml:space="preserve"> independent robust analysis and advice.</w:t>
      </w:r>
    </w:p>
    <w:p w:rsidR="000721C4" w:rsidRPr="00B5530C" w:rsidRDefault="009736EF" w:rsidP="000721C4">
      <w:pPr>
        <w:jc w:val="center"/>
      </w:pPr>
      <w:r>
        <w:t xml:space="preserve">The Commission’s </w:t>
      </w:r>
      <w:r w:rsidR="000721C4" w:rsidRPr="00B5530C">
        <w:t xml:space="preserve">objectives are set out in section 7 </w:t>
      </w:r>
      <w:r w:rsidR="00736196">
        <w:t xml:space="preserve">and 19L </w:t>
      </w:r>
      <w:r w:rsidR="000721C4" w:rsidRPr="00B5530C">
        <w:t xml:space="preserve">of the ICRC Act and section 3 of the </w:t>
      </w:r>
      <w:r w:rsidR="000721C4" w:rsidRPr="0036790F">
        <w:rPr>
          <w:i/>
        </w:rPr>
        <w:t>Utilities</w:t>
      </w:r>
      <w:r w:rsidR="0036790F">
        <w:rPr>
          <w:i/>
        </w:rPr>
        <w:t> </w:t>
      </w:r>
      <w:r w:rsidR="000721C4" w:rsidRPr="0036790F">
        <w:rPr>
          <w:i/>
        </w:rPr>
        <w:t>Act</w:t>
      </w:r>
      <w:r w:rsidR="0036790F">
        <w:rPr>
          <w:i/>
        </w:rPr>
        <w:t> </w:t>
      </w:r>
      <w:r w:rsidR="0036790F" w:rsidRPr="0036790F">
        <w:rPr>
          <w:i/>
        </w:rPr>
        <w:t>2000</w:t>
      </w:r>
      <w:r w:rsidR="000721C4" w:rsidRPr="00B5530C">
        <w:t>.</w:t>
      </w:r>
    </w:p>
    <w:p w:rsidR="000721C4" w:rsidRPr="00B5530C" w:rsidRDefault="000721C4" w:rsidP="000721C4">
      <w:pPr>
        <w:jc w:val="center"/>
      </w:pPr>
      <w:r w:rsidRPr="00B5530C">
        <w:t xml:space="preserve">Correspondence or other inquiries may be directed to </w:t>
      </w:r>
      <w:r w:rsidR="00B2762C">
        <w:t>the Commission</w:t>
      </w:r>
      <w:r w:rsidRPr="00B5530C">
        <w:t xml:space="preserve"> at the </w:t>
      </w:r>
      <w:r w:rsidR="00314A3B">
        <w:t xml:space="preserve">following </w:t>
      </w:r>
      <w:r w:rsidRPr="00B5530C">
        <w:t>addresses:</w:t>
      </w:r>
    </w:p>
    <w:p w:rsidR="000721C4" w:rsidRPr="00B5530C" w:rsidRDefault="000721C4" w:rsidP="000721C4">
      <w:pPr>
        <w:jc w:val="center"/>
      </w:pPr>
      <w:r w:rsidRPr="00B5530C">
        <w:t>Independent Competition and Regulatory Commission</w:t>
      </w:r>
      <w:r w:rsidRPr="00B5530C">
        <w:br/>
        <w:t>PO Box 161</w:t>
      </w:r>
      <w:r w:rsidRPr="00B5530C">
        <w:br/>
        <w:t>Civic Square ACT 2608</w:t>
      </w:r>
    </w:p>
    <w:p w:rsidR="000721C4" w:rsidRPr="00B5530C" w:rsidRDefault="000721C4" w:rsidP="000721C4">
      <w:pPr>
        <w:jc w:val="center"/>
      </w:pPr>
      <w:r w:rsidRPr="00B5530C">
        <w:t>Level 8</w:t>
      </w:r>
      <w:r w:rsidRPr="00B5530C">
        <w:br/>
        <w:t>221 London Circuit</w:t>
      </w:r>
      <w:r w:rsidRPr="00B5530C">
        <w:br/>
        <w:t>Canberra ACT 2601</w:t>
      </w:r>
    </w:p>
    <w:p w:rsidR="000721C4" w:rsidRDefault="009736EF" w:rsidP="000721C4">
      <w:pPr>
        <w:jc w:val="center"/>
      </w:pPr>
      <w:r>
        <w:t xml:space="preserve">The Commission </w:t>
      </w:r>
      <w:r w:rsidR="000721C4" w:rsidRPr="00B5530C">
        <w:t xml:space="preserve">may be contacted at the above addresses, by telephone on (02) 6205 0799, or by fax on (02) 6207 5887. </w:t>
      </w:r>
      <w:r>
        <w:t xml:space="preserve">The Commission’s </w:t>
      </w:r>
      <w:r w:rsidR="000721C4" w:rsidRPr="00B5530C">
        <w:t xml:space="preserve">website is at </w:t>
      </w:r>
      <w:hyperlink r:id="rId14" w:history="1">
        <w:r w:rsidR="000721C4" w:rsidRPr="00B5530C">
          <w:rPr>
            <w:rStyle w:val="Hyperlink"/>
          </w:rPr>
          <w:t>www.icrc.act.gov.au</w:t>
        </w:r>
      </w:hyperlink>
      <w:r w:rsidR="000721C4" w:rsidRPr="00B5530C">
        <w:t xml:space="preserve"> and our email address is </w:t>
      </w:r>
      <w:hyperlink r:id="rId15" w:history="1">
        <w:r w:rsidR="000721C4" w:rsidRPr="00B5530C">
          <w:rPr>
            <w:rStyle w:val="Hyperlink"/>
          </w:rPr>
          <w:t>icrc@act.gov.au</w:t>
        </w:r>
      </w:hyperlink>
      <w:r w:rsidR="000721C4" w:rsidRPr="00B5530C">
        <w:t>.</w:t>
      </w:r>
    </w:p>
    <w:p w:rsidR="00043BCD" w:rsidRDefault="00043BCD" w:rsidP="002F528A">
      <w:pPr>
        <w:rPr>
          <w:sz w:val="24"/>
          <w:szCs w:val="24"/>
        </w:rPr>
      </w:pPr>
    </w:p>
    <w:p w:rsidR="00C3486E" w:rsidRDefault="00C3486E" w:rsidP="002F528A">
      <w:pPr>
        <w:rPr>
          <w:sz w:val="24"/>
          <w:szCs w:val="24"/>
        </w:rPr>
        <w:sectPr w:rsidR="00C3486E" w:rsidSect="00FD0141">
          <w:headerReference w:type="even" r:id="rId16"/>
          <w:headerReference w:type="default" r:id="rId17"/>
          <w:footerReference w:type="even" r:id="rId18"/>
          <w:footerReference w:type="default" r:id="rId19"/>
          <w:headerReference w:type="first" r:id="rId20"/>
          <w:endnotePr>
            <w:numFmt w:val="decimal"/>
          </w:endnotePr>
          <w:type w:val="oddPage"/>
          <w:pgSz w:w="11907" w:h="16840" w:code="9"/>
          <w:pgMar w:top="2268" w:right="2098" w:bottom="1701" w:left="2098" w:header="578" w:footer="578" w:gutter="0"/>
          <w:pgNumType w:fmt="lowerRoman" w:start="1"/>
          <w:cols w:space="720"/>
        </w:sectPr>
      </w:pPr>
    </w:p>
    <w:bookmarkEnd w:id="5"/>
    <w:bookmarkEnd w:id="6"/>
    <w:p w:rsidR="00E638D8" w:rsidRDefault="00E638D8" w:rsidP="00E638D8">
      <w:pPr>
        <w:rPr>
          <w:sz w:val="24"/>
          <w:szCs w:val="24"/>
        </w:rPr>
        <w:sectPr w:rsidR="00E638D8" w:rsidSect="00FD0141">
          <w:headerReference w:type="first" r:id="rId21"/>
          <w:endnotePr>
            <w:numFmt w:val="decimal"/>
          </w:endnotePr>
          <w:type w:val="oddPage"/>
          <w:pgSz w:w="11907" w:h="16840" w:code="9"/>
          <w:pgMar w:top="2268" w:right="2098" w:bottom="1701" w:left="2098" w:header="578" w:footer="578" w:gutter="0"/>
          <w:pgNumType w:fmt="lowerRoman"/>
          <w:cols w:space="720"/>
        </w:sectPr>
      </w:pPr>
    </w:p>
    <w:p w:rsidR="00D5242B" w:rsidRPr="005E1CF9" w:rsidRDefault="00D5242B">
      <w:pPr>
        <w:rPr>
          <w:rFonts w:ascii="Tahoma" w:hAnsi="Tahoma" w:cs="Tahoma"/>
          <w:b/>
          <w:color w:val="000033"/>
          <w:sz w:val="40"/>
          <w:lang w:val="en-AU"/>
        </w:rPr>
      </w:pPr>
      <w:r w:rsidRPr="005E1CF9">
        <w:rPr>
          <w:rFonts w:ascii="Tahoma" w:hAnsi="Tahoma" w:cs="Tahoma"/>
          <w:b/>
          <w:color w:val="000033"/>
          <w:sz w:val="40"/>
          <w:lang w:val="en-AU"/>
        </w:rPr>
        <w:t>Contents</w:t>
      </w:r>
    </w:p>
    <w:bookmarkStart w:id="7" w:name="_Toc44217187"/>
    <w:p w:rsidR="003F60E8" w:rsidRDefault="002618CD">
      <w:pPr>
        <w:pStyle w:val="TOC1"/>
        <w:rPr>
          <w:rFonts w:asciiTheme="minorHAnsi" w:eastAsiaTheme="minorEastAsia" w:hAnsiTheme="minorHAnsi" w:cstheme="minorBidi"/>
          <w:b w:val="0"/>
          <w:szCs w:val="22"/>
          <w:lang w:val="en-AU" w:eastAsia="en-AU"/>
        </w:rPr>
      </w:pPr>
      <w:r>
        <w:rPr>
          <w:sz w:val="24"/>
          <w:szCs w:val="24"/>
          <w:lang w:val="en-AU"/>
        </w:rPr>
        <w:fldChar w:fldCharType="begin"/>
      </w:r>
      <w:r w:rsidR="00D742A2">
        <w:rPr>
          <w:sz w:val="24"/>
          <w:szCs w:val="24"/>
          <w:lang w:val="en-AU"/>
        </w:rPr>
        <w:instrText xml:space="preserve"> TOC \o "1-2" \h \z \u </w:instrText>
      </w:r>
      <w:r>
        <w:rPr>
          <w:sz w:val="24"/>
          <w:szCs w:val="24"/>
          <w:lang w:val="en-AU"/>
        </w:rPr>
        <w:fldChar w:fldCharType="separate"/>
      </w:r>
      <w:hyperlink w:anchor="_Toc483834463" w:history="1">
        <w:r w:rsidR="003F60E8" w:rsidRPr="00406E11">
          <w:rPr>
            <w:rStyle w:val="Hyperlink"/>
          </w:rPr>
          <w:t>1</w:t>
        </w:r>
        <w:r w:rsidR="003F60E8">
          <w:rPr>
            <w:rFonts w:asciiTheme="minorHAnsi" w:eastAsiaTheme="minorEastAsia" w:hAnsiTheme="minorHAnsi" w:cstheme="minorBidi"/>
            <w:b w:val="0"/>
            <w:szCs w:val="22"/>
            <w:lang w:val="en-AU" w:eastAsia="en-AU"/>
          </w:rPr>
          <w:tab/>
        </w:r>
        <w:r w:rsidR="003F60E8" w:rsidRPr="00406E11">
          <w:rPr>
            <w:rStyle w:val="Hyperlink"/>
          </w:rPr>
          <w:t>Introduction</w:t>
        </w:r>
        <w:r w:rsidR="003F60E8">
          <w:rPr>
            <w:webHidden/>
          </w:rPr>
          <w:tab/>
        </w:r>
        <w:r w:rsidR="003F60E8">
          <w:rPr>
            <w:webHidden/>
          </w:rPr>
          <w:fldChar w:fldCharType="begin"/>
        </w:r>
        <w:r w:rsidR="003F60E8">
          <w:rPr>
            <w:webHidden/>
          </w:rPr>
          <w:instrText xml:space="preserve"> PAGEREF _Toc483834463 \h </w:instrText>
        </w:r>
        <w:r w:rsidR="003F60E8">
          <w:rPr>
            <w:webHidden/>
          </w:rPr>
        </w:r>
        <w:r w:rsidR="003F60E8">
          <w:rPr>
            <w:webHidden/>
          </w:rPr>
          <w:fldChar w:fldCharType="separate"/>
        </w:r>
        <w:r w:rsidR="003F60E8">
          <w:rPr>
            <w:webHidden/>
          </w:rPr>
          <w:t>1</w:t>
        </w:r>
        <w:r w:rsidR="003F60E8">
          <w:rPr>
            <w:webHidden/>
          </w:rPr>
          <w:fldChar w:fldCharType="end"/>
        </w:r>
      </w:hyperlink>
    </w:p>
    <w:p w:rsidR="003F60E8" w:rsidRDefault="003F60E8">
      <w:pPr>
        <w:pStyle w:val="TOC1"/>
        <w:rPr>
          <w:rFonts w:asciiTheme="minorHAnsi" w:eastAsiaTheme="minorEastAsia" w:hAnsiTheme="minorHAnsi" w:cstheme="minorBidi"/>
          <w:b w:val="0"/>
          <w:szCs w:val="22"/>
          <w:lang w:val="en-AU" w:eastAsia="en-AU"/>
        </w:rPr>
      </w:pPr>
      <w:hyperlink w:anchor="_Toc483834464" w:history="1">
        <w:r w:rsidRPr="00406E11">
          <w:rPr>
            <w:rStyle w:val="Hyperlink"/>
          </w:rPr>
          <w:t>2</w:t>
        </w:r>
        <w:r>
          <w:rPr>
            <w:rFonts w:asciiTheme="minorHAnsi" w:eastAsiaTheme="minorEastAsia" w:hAnsiTheme="minorHAnsi" w:cstheme="minorBidi"/>
            <w:b w:val="0"/>
            <w:szCs w:val="22"/>
            <w:lang w:val="en-AU" w:eastAsia="en-AU"/>
          </w:rPr>
          <w:tab/>
        </w:r>
        <w:r w:rsidRPr="00406E11">
          <w:rPr>
            <w:rStyle w:val="Hyperlink"/>
          </w:rPr>
          <w:t>2017</w:t>
        </w:r>
        <w:r w:rsidRPr="00406E11">
          <w:rPr>
            <w:rStyle w:val="Hyperlink"/>
          </w:rPr>
          <w:sym w:font="Symbol" w:char="F02D"/>
        </w:r>
        <w:r w:rsidRPr="00406E11">
          <w:rPr>
            <w:rStyle w:val="Hyperlink"/>
          </w:rPr>
          <w:t>18 price adjustment</w:t>
        </w:r>
        <w:r>
          <w:rPr>
            <w:webHidden/>
          </w:rPr>
          <w:tab/>
        </w:r>
        <w:r>
          <w:rPr>
            <w:webHidden/>
          </w:rPr>
          <w:fldChar w:fldCharType="begin"/>
        </w:r>
        <w:r>
          <w:rPr>
            <w:webHidden/>
          </w:rPr>
          <w:instrText xml:space="preserve"> PAGEREF _Toc483834464 \h </w:instrText>
        </w:r>
        <w:r>
          <w:rPr>
            <w:webHidden/>
          </w:rPr>
        </w:r>
        <w:r>
          <w:rPr>
            <w:webHidden/>
          </w:rPr>
          <w:fldChar w:fldCharType="separate"/>
        </w:r>
        <w:r>
          <w:rPr>
            <w:webHidden/>
          </w:rPr>
          <w:t>3</w:t>
        </w:r>
        <w:r>
          <w:rPr>
            <w:webHidden/>
          </w:rPr>
          <w:fldChar w:fldCharType="end"/>
        </w:r>
      </w:hyperlink>
    </w:p>
    <w:p w:rsidR="003F60E8" w:rsidRDefault="003F60E8">
      <w:pPr>
        <w:pStyle w:val="TOC2"/>
        <w:rPr>
          <w:rFonts w:asciiTheme="minorHAnsi" w:eastAsiaTheme="minorEastAsia" w:hAnsiTheme="minorHAnsi" w:cstheme="minorBidi"/>
          <w:szCs w:val="22"/>
          <w:lang w:val="en-AU" w:eastAsia="en-AU"/>
        </w:rPr>
      </w:pPr>
      <w:hyperlink w:anchor="_Toc483834465" w:history="1">
        <w:r w:rsidRPr="00406E11">
          <w:rPr>
            <w:rStyle w:val="Hyperlink"/>
          </w:rPr>
          <w:t>2.1</w:t>
        </w:r>
        <w:r>
          <w:rPr>
            <w:rFonts w:asciiTheme="minorHAnsi" w:eastAsiaTheme="minorEastAsia" w:hAnsiTheme="minorHAnsi" w:cstheme="minorBidi"/>
            <w:szCs w:val="22"/>
            <w:lang w:val="en-AU" w:eastAsia="en-AU"/>
          </w:rPr>
          <w:tab/>
        </w:r>
        <w:r w:rsidRPr="00406E11">
          <w:rPr>
            <w:rStyle w:val="Hyperlink"/>
          </w:rPr>
          <w:t>Consumer price index adjustment</w:t>
        </w:r>
        <w:r>
          <w:rPr>
            <w:webHidden/>
          </w:rPr>
          <w:tab/>
        </w:r>
        <w:r>
          <w:rPr>
            <w:webHidden/>
          </w:rPr>
          <w:fldChar w:fldCharType="begin"/>
        </w:r>
        <w:r>
          <w:rPr>
            <w:webHidden/>
          </w:rPr>
          <w:instrText xml:space="preserve"> PAGEREF _Toc483834465 \h </w:instrText>
        </w:r>
        <w:r>
          <w:rPr>
            <w:webHidden/>
          </w:rPr>
        </w:r>
        <w:r>
          <w:rPr>
            <w:webHidden/>
          </w:rPr>
          <w:fldChar w:fldCharType="separate"/>
        </w:r>
        <w:r>
          <w:rPr>
            <w:webHidden/>
          </w:rPr>
          <w:t>3</w:t>
        </w:r>
        <w:r>
          <w:rPr>
            <w:webHidden/>
          </w:rPr>
          <w:fldChar w:fldCharType="end"/>
        </w:r>
      </w:hyperlink>
    </w:p>
    <w:p w:rsidR="003F60E8" w:rsidRDefault="003F60E8">
      <w:pPr>
        <w:pStyle w:val="TOC2"/>
        <w:rPr>
          <w:rFonts w:asciiTheme="minorHAnsi" w:eastAsiaTheme="minorEastAsia" w:hAnsiTheme="minorHAnsi" w:cstheme="minorBidi"/>
          <w:szCs w:val="22"/>
          <w:lang w:val="en-AU" w:eastAsia="en-AU"/>
        </w:rPr>
      </w:pPr>
      <w:hyperlink w:anchor="_Toc483834466" w:history="1">
        <w:r w:rsidRPr="00406E11">
          <w:rPr>
            <w:rStyle w:val="Hyperlink"/>
          </w:rPr>
          <w:t>2.2</w:t>
        </w:r>
        <w:r>
          <w:rPr>
            <w:rFonts w:asciiTheme="minorHAnsi" w:eastAsiaTheme="minorEastAsia" w:hAnsiTheme="minorHAnsi" w:cstheme="minorBidi"/>
            <w:szCs w:val="22"/>
            <w:lang w:val="en-AU" w:eastAsia="en-AU"/>
          </w:rPr>
          <w:tab/>
        </w:r>
        <w:r w:rsidRPr="00406E11">
          <w:rPr>
            <w:rStyle w:val="Hyperlink"/>
          </w:rPr>
          <w:t>Pass-through adjustment</w:t>
        </w:r>
        <w:r>
          <w:rPr>
            <w:webHidden/>
          </w:rPr>
          <w:tab/>
        </w:r>
        <w:r>
          <w:rPr>
            <w:webHidden/>
          </w:rPr>
          <w:fldChar w:fldCharType="begin"/>
        </w:r>
        <w:r>
          <w:rPr>
            <w:webHidden/>
          </w:rPr>
          <w:instrText xml:space="preserve"> PAGEREF _Toc483834466 \h </w:instrText>
        </w:r>
        <w:r>
          <w:rPr>
            <w:webHidden/>
          </w:rPr>
        </w:r>
        <w:r>
          <w:rPr>
            <w:webHidden/>
          </w:rPr>
          <w:fldChar w:fldCharType="separate"/>
        </w:r>
        <w:r>
          <w:rPr>
            <w:webHidden/>
          </w:rPr>
          <w:t>3</w:t>
        </w:r>
        <w:r>
          <w:rPr>
            <w:webHidden/>
          </w:rPr>
          <w:fldChar w:fldCharType="end"/>
        </w:r>
      </w:hyperlink>
    </w:p>
    <w:p w:rsidR="003F60E8" w:rsidRDefault="003F60E8">
      <w:pPr>
        <w:pStyle w:val="TOC2"/>
        <w:rPr>
          <w:rFonts w:asciiTheme="minorHAnsi" w:eastAsiaTheme="minorEastAsia" w:hAnsiTheme="minorHAnsi" w:cstheme="minorBidi"/>
          <w:szCs w:val="22"/>
          <w:lang w:val="en-AU" w:eastAsia="en-AU"/>
        </w:rPr>
      </w:pPr>
      <w:hyperlink w:anchor="_Toc483834467" w:history="1">
        <w:r w:rsidRPr="00406E11">
          <w:rPr>
            <w:rStyle w:val="Hyperlink"/>
          </w:rPr>
          <w:t>2.3</w:t>
        </w:r>
        <w:r>
          <w:rPr>
            <w:rFonts w:asciiTheme="minorHAnsi" w:eastAsiaTheme="minorEastAsia" w:hAnsiTheme="minorHAnsi" w:cstheme="minorBidi"/>
            <w:szCs w:val="22"/>
            <w:lang w:val="en-AU" w:eastAsia="en-AU"/>
          </w:rPr>
          <w:tab/>
        </w:r>
        <w:r w:rsidRPr="00406E11">
          <w:rPr>
            <w:rStyle w:val="Hyperlink"/>
          </w:rPr>
          <w:t>2017</w:t>
        </w:r>
        <w:r w:rsidRPr="00406E11">
          <w:rPr>
            <w:rStyle w:val="Hyperlink"/>
          </w:rPr>
          <w:sym w:font="Symbol" w:char="F02D"/>
        </w:r>
        <w:r w:rsidRPr="00406E11">
          <w:rPr>
            <w:rStyle w:val="Hyperlink"/>
          </w:rPr>
          <w:t>18 maximum water prices</w:t>
        </w:r>
        <w:r>
          <w:rPr>
            <w:webHidden/>
          </w:rPr>
          <w:tab/>
        </w:r>
        <w:r>
          <w:rPr>
            <w:webHidden/>
          </w:rPr>
          <w:fldChar w:fldCharType="begin"/>
        </w:r>
        <w:r>
          <w:rPr>
            <w:webHidden/>
          </w:rPr>
          <w:instrText xml:space="preserve"> PAGEREF _Toc483834467 \h </w:instrText>
        </w:r>
        <w:r>
          <w:rPr>
            <w:webHidden/>
          </w:rPr>
        </w:r>
        <w:r>
          <w:rPr>
            <w:webHidden/>
          </w:rPr>
          <w:fldChar w:fldCharType="separate"/>
        </w:r>
        <w:r>
          <w:rPr>
            <w:webHidden/>
          </w:rPr>
          <w:t>5</w:t>
        </w:r>
        <w:r>
          <w:rPr>
            <w:webHidden/>
          </w:rPr>
          <w:fldChar w:fldCharType="end"/>
        </w:r>
      </w:hyperlink>
    </w:p>
    <w:p w:rsidR="003F60E8" w:rsidRDefault="003F60E8">
      <w:pPr>
        <w:pStyle w:val="TOC2"/>
        <w:rPr>
          <w:rFonts w:asciiTheme="minorHAnsi" w:eastAsiaTheme="minorEastAsia" w:hAnsiTheme="minorHAnsi" w:cstheme="minorBidi"/>
          <w:szCs w:val="22"/>
          <w:lang w:val="en-AU" w:eastAsia="en-AU"/>
        </w:rPr>
      </w:pPr>
      <w:hyperlink w:anchor="_Toc483834468" w:history="1">
        <w:r w:rsidRPr="00406E11">
          <w:rPr>
            <w:rStyle w:val="Hyperlink"/>
          </w:rPr>
          <w:t>2.4</w:t>
        </w:r>
        <w:r>
          <w:rPr>
            <w:rFonts w:asciiTheme="minorHAnsi" w:eastAsiaTheme="minorEastAsia" w:hAnsiTheme="minorHAnsi" w:cstheme="minorBidi"/>
            <w:szCs w:val="22"/>
            <w:lang w:val="en-AU" w:eastAsia="en-AU"/>
          </w:rPr>
          <w:tab/>
        </w:r>
        <w:r w:rsidRPr="00406E11">
          <w:rPr>
            <w:rStyle w:val="Hyperlink"/>
          </w:rPr>
          <w:t>2017</w:t>
        </w:r>
        <w:r w:rsidRPr="00406E11">
          <w:rPr>
            <w:rStyle w:val="Hyperlink"/>
          </w:rPr>
          <w:sym w:font="Symbol" w:char="F02D"/>
        </w:r>
        <w:r w:rsidRPr="00406E11">
          <w:rPr>
            <w:rStyle w:val="Hyperlink"/>
          </w:rPr>
          <w:t>18 maximum sewerage services prices</w:t>
        </w:r>
        <w:r>
          <w:rPr>
            <w:webHidden/>
          </w:rPr>
          <w:tab/>
        </w:r>
        <w:r>
          <w:rPr>
            <w:webHidden/>
          </w:rPr>
          <w:fldChar w:fldCharType="begin"/>
        </w:r>
        <w:r>
          <w:rPr>
            <w:webHidden/>
          </w:rPr>
          <w:instrText xml:space="preserve"> PAGEREF _Toc483834468 \h </w:instrText>
        </w:r>
        <w:r>
          <w:rPr>
            <w:webHidden/>
          </w:rPr>
        </w:r>
        <w:r>
          <w:rPr>
            <w:webHidden/>
          </w:rPr>
          <w:fldChar w:fldCharType="separate"/>
        </w:r>
        <w:r>
          <w:rPr>
            <w:webHidden/>
          </w:rPr>
          <w:t>6</w:t>
        </w:r>
        <w:r>
          <w:rPr>
            <w:webHidden/>
          </w:rPr>
          <w:fldChar w:fldCharType="end"/>
        </w:r>
      </w:hyperlink>
    </w:p>
    <w:p w:rsidR="003F60E8" w:rsidRDefault="003F60E8">
      <w:pPr>
        <w:pStyle w:val="TOC2"/>
        <w:rPr>
          <w:rFonts w:asciiTheme="minorHAnsi" w:eastAsiaTheme="minorEastAsia" w:hAnsiTheme="minorHAnsi" w:cstheme="minorBidi"/>
          <w:szCs w:val="22"/>
          <w:lang w:val="en-AU" w:eastAsia="en-AU"/>
        </w:rPr>
      </w:pPr>
      <w:hyperlink w:anchor="_Toc483834469" w:history="1">
        <w:r w:rsidRPr="00406E11">
          <w:rPr>
            <w:rStyle w:val="Hyperlink"/>
          </w:rPr>
          <w:t>2.5</w:t>
        </w:r>
        <w:r>
          <w:rPr>
            <w:rFonts w:asciiTheme="minorHAnsi" w:eastAsiaTheme="minorEastAsia" w:hAnsiTheme="minorHAnsi" w:cstheme="minorBidi"/>
            <w:szCs w:val="22"/>
            <w:lang w:val="en-AU" w:eastAsia="en-AU"/>
          </w:rPr>
          <w:tab/>
        </w:r>
        <w:r w:rsidRPr="00406E11">
          <w:rPr>
            <w:rStyle w:val="Hyperlink"/>
          </w:rPr>
          <w:t>2017</w:t>
        </w:r>
        <w:r w:rsidRPr="00406E11">
          <w:rPr>
            <w:rStyle w:val="Hyperlink"/>
          </w:rPr>
          <w:sym w:font="Symbol" w:char="F02D"/>
        </w:r>
        <w:r w:rsidRPr="00406E11">
          <w:rPr>
            <w:rStyle w:val="Hyperlink"/>
          </w:rPr>
          <w:t>18 maximum charges for miscellaneous services</w:t>
        </w:r>
        <w:r>
          <w:rPr>
            <w:webHidden/>
          </w:rPr>
          <w:tab/>
        </w:r>
        <w:r>
          <w:rPr>
            <w:webHidden/>
          </w:rPr>
          <w:fldChar w:fldCharType="begin"/>
        </w:r>
        <w:r>
          <w:rPr>
            <w:webHidden/>
          </w:rPr>
          <w:instrText xml:space="preserve"> PAGEREF _Toc483834469 \h </w:instrText>
        </w:r>
        <w:r>
          <w:rPr>
            <w:webHidden/>
          </w:rPr>
        </w:r>
        <w:r>
          <w:rPr>
            <w:webHidden/>
          </w:rPr>
          <w:fldChar w:fldCharType="separate"/>
        </w:r>
        <w:r>
          <w:rPr>
            <w:webHidden/>
          </w:rPr>
          <w:t>6</w:t>
        </w:r>
        <w:r>
          <w:rPr>
            <w:webHidden/>
          </w:rPr>
          <w:fldChar w:fldCharType="end"/>
        </w:r>
      </w:hyperlink>
    </w:p>
    <w:p w:rsidR="003F60E8" w:rsidRDefault="003F60E8">
      <w:pPr>
        <w:pStyle w:val="TOC2"/>
        <w:rPr>
          <w:rFonts w:asciiTheme="minorHAnsi" w:eastAsiaTheme="minorEastAsia" w:hAnsiTheme="minorHAnsi" w:cstheme="minorBidi"/>
          <w:szCs w:val="22"/>
          <w:lang w:val="en-AU" w:eastAsia="en-AU"/>
        </w:rPr>
      </w:pPr>
      <w:hyperlink w:anchor="_Toc483834470" w:history="1">
        <w:r w:rsidRPr="00406E11">
          <w:rPr>
            <w:rStyle w:val="Hyperlink"/>
          </w:rPr>
          <w:t>2.6</w:t>
        </w:r>
        <w:r>
          <w:rPr>
            <w:rFonts w:asciiTheme="minorHAnsi" w:eastAsiaTheme="minorEastAsia" w:hAnsiTheme="minorHAnsi" w:cstheme="minorBidi"/>
            <w:szCs w:val="22"/>
            <w:lang w:val="en-AU" w:eastAsia="en-AU"/>
          </w:rPr>
          <w:tab/>
        </w:r>
        <w:r w:rsidRPr="00406E11">
          <w:rPr>
            <w:rStyle w:val="Hyperlink"/>
          </w:rPr>
          <w:t>Icon Water’s proposal for a new miscellaneous charge</w:t>
        </w:r>
        <w:r>
          <w:rPr>
            <w:webHidden/>
          </w:rPr>
          <w:tab/>
        </w:r>
        <w:r>
          <w:rPr>
            <w:webHidden/>
          </w:rPr>
          <w:fldChar w:fldCharType="begin"/>
        </w:r>
        <w:r>
          <w:rPr>
            <w:webHidden/>
          </w:rPr>
          <w:instrText xml:space="preserve"> PAGEREF _Toc483834470 \h </w:instrText>
        </w:r>
        <w:r>
          <w:rPr>
            <w:webHidden/>
          </w:rPr>
        </w:r>
        <w:r>
          <w:rPr>
            <w:webHidden/>
          </w:rPr>
          <w:fldChar w:fldCharType="separate"/>
        </w:r>
        <w:r>
          <w:rPr>
            <w:webHidden/>
          </w:rPr>
          <w:t>6</w:t>
        </w:r>
        <w:r>
          <w:rPr>
            <w:webHidden/>
          </w:rPr>
          <w:fldChar w:fldCharType="end"/>
        </w:r>
      </w:hyperlink>
    </w:p>
    <w:p w:rsidR="003F60E8" w:rsidRDefault="003F60E8">
      <w:pPr>
        <w:pStyle w:val="TOC1"/>
        <w:rPr>
          <w:rFonts w:asciiTheme="minorHAnsi" w:eastAsiaTheme="minorEastAsia" w:hAnsiTheme="minorHAnsi" w:cstheme="minorBidi"/>
          <w:b w:val="0"/>
          <w:szCs w:val="22"/>
          <w:lang w:val="en-AU" w:eastAsia="en-AU"/>
        </w:rPr>
      </w:pPr>
      <w:hyperlink w:anchor="_Toc483834471" w:history="1">
        <w:r w:rsidRPr="00406E11">
          <w:rPr>
            <w:rStyle w:val="Hyperlink"/>
          </w:rPr>
          <w:t>3</w:t>
        </w:r>
        <w:r>
          <w:rPr>
            <w:rFonts w:asciiTheme="minorHAnsi" w:eastAsiaTheme="minorEastAsia" w:hAnsiTheme="minorHAnsi" w:cstheme="minorBidi"/>
            <w:b w:val="0"/>
            <w:szCs w:val="22"/>
            <w:lang w:val="en-AU" w:eastAsia="en-AU"/>
          </w:rPr>
          <w:tab/>
        </w:r>
        <w:r w:rsidRPr="00406E11">
          <w:rPr>
            <w:rStyle w:val="Hyperlink"/>
          </w:rPr>
          <w:t>Impact on customers</w:t>
        </w:r>
        <w:r>
          <w:rPr>
            <w:webHidden/>
          </w:rPr>
          <w:tab/>
        </w:r>
        <w:r>
          <w:rPr>
            <w:webHidden/>
          </w:rPr>
          <w:fldChar w:fldCharType="begin"/>
        </w:r>
        <w:r>
          <w:rPr>
            <w:webHidden/>
          </w:rPr>
          <w:instrText xml:space="preserve"> PAGEREF _Toc483834471 \h </w:instrText>
        </w:r>
        <w:r>
          <w:rPr>
            <w:webHidden/>
          </w:rPr>
        </w:r>
        <w:r>
          <w:rPr>
            <w:webHidden/>
          </w:rPr>
          <w:fldChar w:fldCharType="separate"/>
        </w:r>
        <w:r>
          <w:rPr>
            <w:webHidden/>
          </w:rPr>
          <w:t>7</w:t>
        </w:r>
        <w:r>
          <w:rPr>
            <w:webHidden/>
          </w:rPr>
          <w:fldChar w:fldCharType="end"/>
        </w:r>
      </w:hyperlink>
    </w:p>
    <w:p w:rsidR="003F60E8" w:rsidRDefault="003F60E8">
      <w:pPr>
        <w:pStyle w:val="TOC2"/>
        <w:rPr>
          <w:rFonts w:asciiTheme="minorHAnsi" w:eastAsiaTheme="minorEastAsia" w:hAnsiTheme="minorHAnsi" w:cstheme="minorBidi"/>
          <w:szCs w:val="22"/>
          <w:lang w:val="en-AU" w:eastAsia="en-AU"/>
        </w:rPr>
      </w:pPr>
      <w:hyperlink w:anchor="_Toc483834472" w:history="1">
        <w:r w:rsidRPr="00406E11">
          <w:rPr>
            <w:rStyle w:val="Hyperlink"/>
          </w:rPr>
          <w:t>3.1</w:t>
        </w:r>
        <w:r>
          <w:rPr>
            <w:rFonts w:asciiTheme="minorHAnsi" w:eastAsiaTheme="minorEastAsia" w:hAnsiTheme="minorHAnsi" w:cstheme="minorBidi"/>
            <w:szCs w:val="22"/>
            <w:lang w:val="en-AU" w:eastAsia="en-AU"/>
          </w:rPr>
          <w:tab/>
        </w:r>
        <w:r w:rsidRPr="00406E11">
          <w:rPr>
            <w:rStyle w:val="Hyperlink"/>
          </w:rPr>
          <w:t>Water charges</w:t>
        </w:r>
        <w:r>
          <w:rPr>
            <w:webHidden/>
          </w:rPr>
          <w:tab/>
        </w:r>
        <w:r>
          <w:rPr>
            <w:webHidden/>
          </w:rPr>
          <w:fldChar w:fldCharType="begin"/>
        </w:r>
        <w:r>
          <w:rPr>
            <w:webHidden/>
          </w:rPr>
          <w:instrText xml:space="preserve"> PAGEREF _Toc483834472 \h </w:instrText>
        </w:r>
        <w:r>
          <w:rPr>
            <w:webHidden/>
          </w:rPr>
        </w:r>
        <w:r>
          <w:rPr>
            <w:webHidden/>
          </w:rPr>
          <w:fldChar w:fldCharType="separate"/>
        </w:r>
        <w:r>
          <w:rPr>
            <w:webHidden/>
          </w:rPr>
          <w:t>7</w:t>
        </w:r>
        <w:r>
          <w:rPr>
            <w:webHidden/>
          </w:rPr>
          <w:fldChar w:fldCharType="end"/>
        </w:r>
      </w:hyperlink>
    </w:p>
    <w:p w:rsidR="003F60E8" w:rsidRDefault="003F60E8">
      <w:pPr>
        <w:pStyle w:val="TOC2"/>
        <w:rPr>
          <w:rFonts w:asciiTheme="minorHAnsi" w:eastAsiaTheme="minorEastAsia" w:hAnsiTheme="minorHAnsi" w:cstheme="minorBidi"/>
          <w:szCs w:val="22"/>
          <w:lang w:val="en-AU" w:eastAsia="en-AU"/>
        </w:rPr>
      </w:pPr>
      <w:hyperlink w:anchor="_Toc483834473" w:history="1">
        <w:r w:rsidRPr="00406E11">
          <w:rPr>
            <w:rStyle w:val="Hyperlink"/>
          </w:rPr>
          <w:t>3.2</w:t>
        </w:r>
        <w:r>
          <w:rPr>
            <w:rFonts w:asciiTheme="minorHAnsi" w:eastAsiaTheme="minorEastAsia" w:hAnsiTheme="minorHAnsi" w:cstheme="minorBidi"/>
            <w:szCs w:val="22"/>
            <w:lang w:val="en-AU" w:eastAsia="en-AU"/>
          </w:rPr>
          <w:tab/>
        </w:r>
        <w:r w:rsidRPr="00406E11">
          <w:rPr>
            <w:rStyle w:val="Hyperlink"/>
          </w:rPr>
          <w:t>Combined water and sewerage bills</w:t>
        </w:r>
        <w:r>
          <w:rPr>
            <w:webHidden/>
          </w:rPr>
          <w:tab/>
        </w:r>
        <w:r>
          <w:rPr>
            <w:webHidden/>
          </w:rPr>
          <w:fldChar w:fldCharType="begin"/>
        </w:r>
        <w:r>
          <w:rPr>
            <w:webHidden/>
          </w:rPr>
          <w:instrText xml:space="preserve"> PAGEREF _Toc483834473 \h </w:instrText>
        </w:r>
        <w:r>
          <w:rPr>
            <w:webHidden/>
          </w:rPr>
        </w:r>
        <w:r>
          <w:rPr>
            <w:webHidden/>
          </w:rPr>
          <w:fldChar w:fldCharType="separate"/>
        </w:r>
        <w:r>
          <w:rPr>
            <w:webHidden/>
          </w:rPr>
          <w:t>8</w:t>
        </w:r>
        <w:r>
          <w:rPr>
            <w:webHidden/>
          </w:rPr>
          <w:fldChar w:fldCharType="end"/>
        </w:r>
      </w:hyperlink>
    </w:p>
    <w:p w:rsidR="003F60E8" w:rsidRDefault="003F60E8">
      <w:pPr>
        <w:pStyle w:val="TOC1"/>
        <w:tabs>
          <w:tab w:val="left" w:pos="1800"/>
        </w:tabs>
        <w:rPr>
          <w:rFonts w:asciiTheme="minorHAnsi" w:eastAsiaTheme="minorEastAsia" w:hAnsiTheme="minorHAnsi" w:cstheme="minorBidi"/>
          <w:b w:val="0"/>
          <w:szCs w:val="22"/>
          <w:lang w:val="en-AU" w:eastAsia="en-AU"/>
        </w:rPr>
      </w:pPr>
      <w:hyperlink w:anchor="_Toc483834474" w:history="1">
        <w:r w:rsidRPr="00406E11">
          <w:rPr>
            <w:rStyle w:val="Hyperlink"/>
          </w:rPr>
          <w:t>Appendix 1</w:t>
        </w:r>
        <w:r>
          <w:rPr>
            <w:rFonts w:asciiTheme="minorHAnsi" w:eastAsiaTheme="minorEastAsia" w:hAnsiTheme="minorHAnsi" w:cstheme="minorBidi"/>
            <w:b w:val="0"/>
            <w:szCs w:val="22"/>
            <w:lang w:val="en-AU" w:eastAsia="en-AU"/>
          </w:rPr>
          <w:tab/>
        </w:r>
        <w:r w:rsidRPr="00406E11">
          <w:rPr>
            <w:rStyle w:val="Hyperlink"/>
          </w:rPr>
          <w:t>Water, sewerage and miscellaneous service charges 2017</w:t>
        </w:r>
        <w:r w:rsidRPr="00406E11">
          <w:rPr>
            <w:rStyle w:val="Hyperlink"/>
          </w:rPr>
          <w:sym w:font="Symbol" w:char="F02D"/>
        </w:r>
        <w:r w:rsidRPr="00406E11">
          <w:rPr>
            <w:rStyle w:val="Hyperlink"/>
          </w:rPr>
          <w:t>18</w:t>
        </w:r>
        <w:r>
          <w:rPr>
            <w:webHidden/>
          </w:rPr>
          <w:tab/>
        </w:r>
        <w:r>
          <w:rPr>
            <w:webHidden/>
          </w:rPr>
          <w:fldChar w:fldCharType="begin"/>
        </w:r>
        <w:r>
          <w:rPr>
            <w:webHidden/>
          </w:rPr>
          <w:instrText xml:space="preserve"> PAGEREF _Toc483834474 \h </w:instrText>
        </w:r>
        <w:r>
          <w:rPr>
            <w:webHidden/>
          </w:rPr>
        </w:r>
        <w:r>
          <w:rPr>
            <w:webHidden/>
          </w:rPr>
          <w:fldChar w:fldCharType="separate"/>
        </w:r>
        <w:r>
          <w:rPr>
            <w:webHidden/>
          </w:rPr>
          <w:t>11</w:t>
        </w:r>
        <w:r>
          <w:rPr>
            <w:webHidden/>
          </w:rPr>
          <w:fldChar w:fldCharType="end"/>
        </w:r>
      </w:hyperlink>
    </w:p>
    <w:p w:rsidR="003F60E8" w:rsidRDefault="003F60E8">
      <w:pPr>
        <w:pStyle w:val="TOC1"/>
        <w:rPr>
          <w:rFonts w:asciiTheme="minorHAnsi" w:eastAsiaTheme="minorEastAsia" w:hAnsiTheme="minorHAnsi" w:cstheme="minorBidi"/>
          <w:b w:val="0"/>
          <w:szCs w:val="22"/>
          <w:lang w:val="en-AU" w:eastAsia="en-AU"/>
        </w:rPr>
      </w:pPr>
      <w:hyperlink w:anchor="_Toc483834475" w:history="1">
        <w:r w:rsidRPr="00406E11">
          <w:rPr>
            <w:rStyle w:val="Hyperlink"/>
          </w:rPr>
          <w:t>Abbreviations and acronyms</w:t>
        </w:r>
        <w:r>
          <w:rPr>
            <w:webHidden/>
          </w:rPr>
          <w:tab/>
        </w:r>
        <w:r>
          <w:rPr>
            <w:webHidden/>
          </w:rPr>
          <w:fldChar w:fldCharType="begin"/>
        </w:r>
        <w:r>
          <w:rPr>
            <w:webHidden/>
          </w:rPr>
          <w:instrText xml:space="preserve"> PAGEREF _Toc483834475 \h </w:instrText>
        </w:r>
        <w:r>
          <w:rPr>
            <w:webHidden/>
          </w:rPr>
        </w:r>
        <w:r>
          <w:rPr>
            <w:webHidden/>
          </w:rPr>
          <w:fldChar w:fldCharType="separate"/>
        </w:r>
        <w:r>
          <w:rPr>
            <w:webHidden/>
          </w:rPr>
          <w:t>19</w:t>
        </w:r>
        <w:r>
          <w:rPr>
            <w:webHidden/>
          </w:rPr>
          <w:fldChar w:fldCharType="end"/>
        </w:r>
      </w:hyperlink>
    </w:p>
    <w:p w:rsidR="003F60E8" w:rsidRDefault="003F60E8">
      <w:pPr>
        <w:pStyle w:val="TOC1"/>
        <w:rPr>
          <w:rFonts w:asciiTheme="minorHAnsi" w:eastAsiaTheme="minorEastAsia" w:hAnsiTheme="minorHAnsi" w:cstheme="minorBidi"/>
          <w:b w:val="0"/>
          <w:szCs w:val="22"/>
          <w:lang w:val="en-AU" w:eastAsia="en-AU"/>
        </w:rPr>
      </w:pPr>
      <w:hyperlink w:anchor="_Toc483834476" w:history="1">
        <w:r w:rsidRPr="00406E11">
          <w:rPr>
            <w:rStyle w:val="Hyperlink"/>
          </w:rPr>
          <w:t>References</w:t>
        </w:r>
        <w:r>
          <w:rPr>
            <w:webHidden/>
          </w:rPr>
          <w:tab/>
        </w:r>
        <w:r>
          <w:rPr>
            <w:webHidden/>
          </w:rPr>
          <w:fldChar w:fldCharType="begin"/>
        </w:r>
        <w:r>
          <w:rPr>
            <w:webHidden/>
          </w:rPr>
          <w:instrText xml:space="preserve"> PAGEREF _Toc483834476 \h </w:instrText>
        </w:r>
        <w:r>
          <w:rPr>
            <w:webHidden/>
          </w:rPr>
        </w:r>
        <w:r>
          <w:rPr>
            <w:webHidden/>
          </w:rPr>
          <w:fldChar w:fldCharType="separate"/>
        </w:r>
        <w:r>
          <w:rPr>
            <w:webHidden/>
          </w:rPr>
          <w:t>21</w:t>
        </w:r>
        <w:r>
          <w:rPr>
            <w:webHidden/>
          </w:rPr>
          <w:fldChar w:fldCharType="end"/>
        </w:r>
      </w:hyperlink>
    </w:p>
    <w:p w:rsidR="00043BCD" w:rsidRDefault="002618CD" w:rsidP="00687673">
      <w:pPr>
        <w:rPr>
          <w:b/>
          <w:noProof/>
          <w:sz w:val="24"/>
          <w:szCs w:val="24"/>
          <w:lang w:val="en-AU"/>
        </w:rPr>
      </w:pPr>
      <w:r>
        <w:rPr>
          <w:noProof/>
          <w:sz w:val="24"/>
          <w:szCs w:val="24"/>
          <w:lang w:val="en-AU"/>
        </w:rPr>
        <w:fldChar w:fldCharType="end"/>
      </w:r>
    </w:p>
    <w:p w:rsidR="00C51A9B" w:rsidRDefault="00C51A9B">
      <w:pPr>
        <w:spacing w:after="0" w:line="240" w:lineRule="auto"/>
        <w:rPr>
          <w:rFonts w:ascii="Arial" w:hAnsi="Arial" w:cs="Arial"/>
          <w:b/>
          <w:sz w:val="26"/>
          <w:szCs w:val="26"/>
        </w:rPr>
      </w:pPr>
      <w:r>
        <w:rPr>
          <w:rFonts w:ascii="Arial" w:hAnsi="Arial" w:cs="Arial"/>
          <w:b/>
          <w:sz w:val="26"/>
          <w:szCs w:val="26"/>
        </w:rPr>
        <w:br w:type="page"/>
      </w:r>
    </w:p>
    <w:p w:rsidR="00DE3143" w:rsidRPr="001E3780" w:rsidRDefault="00043BCD" w:rsidP="001E3780">
      <w:pPr>
        <w:rPr>
          <w:rFonts w:ascii="Arial" w:hAnsi="Arial" w:cs="Arial"/>
          <w:b/>
          <w:sz w:val="26"/>
          <w:szCs w:val="26"/>
        </w:rPr>
      </w:pPr>
      <w:r w:rsidRPr="001E3780">
        <w:rPr>
          <w:rFonts w:ascii="Arial" w:hAnsi="Arial" w:cs="Arial"/>
          <w:b/>
          <w:sz w:val="26"/>
          <w:szCs w:val="26"/>
        </w:rPr>
        <w:lastRenderedPageBreak/>
        <w:t>List of tables</w:t>
      </w:r>
    </w:p>
    <w:bookmarkStart w:id="8" w:name="_GoBack"/>
    <w:bookmarkEnd w:id="8"/>
    <w:p w:rsidR="003F60E8" w:rsidRDefault="002618CD">
      <w:pPr>
        <w:pStyle w:val="TableofFigures"/>
        <w:rPr>
          <w:rFonts w:asciiTheme="minorHAnsi" w:eastAsiaTheme="minorEastAsia" w:hAnsiTheme="minorHAnsi" w:cstheme="minorBidi"/>
          <w:szCs w:val="22"/>
          <w:lang w:val="en-AU" w:eastAsia="en-AU"/>
        </w:rPr>
      </w:pPr>
      <w:r>
        <w:rPr>
          <w:lang w:val="en-AU"/>
        </w:rPr>
        <w:fldChar w:fldCharType="begin"/>
      </w:r>
      <w:r w:rsidR="00874740">
        <w:rPr>
          <w:lang w:val="en-AU"/>
        </w:rPr>
        <w:instrText xml:space="preserve"> TOC \h \z \c "Table" </w:instrText>
      </w:r>
      <w:r>
        <w:rPr>
          <w:lang w:val="en-AU"/>
        </w:rPr>
        <w:fldChar w:fldCharType="separate"/>
      </w:r>
      <w:hyperlink w:anchor="_Toc483834477" w:history="1">
        <w:r w:rsidR="003F60E8" w:rsidRPr="00231456">
          <w:rPr>
            <w:rStyle w:val="Hyperlink"/>
          </w:rPr>
          <w:t>Table 2.1</w:t>
        </w:r>
        <w:r w:rsidR="003F60E8">
          <w:rPr>
            <w:rFonts w:asciiTheme="minorHAnsi" w:eastAsiaTheme="minorEastAsia" w:hAnsiTheme="minorHAnsi" w:cstheme="minorBidi"/>
            <w:szCs w:val="22"/>
            <w:lang w:val="en-AU" w:eastAsia="en-AU"/>
          </w:rPr>
          <w:tab/>
        </w:r>
        <w:r w:rsidR="003F60E8" w:rsidRPr="00231456">
          <w:rPr>
            <w:rStyle w:val="Hyperlink"/>
          </w:rPr>
          <w:t>Pass-through amounts, 2015–16 ($, 2015–16)</w:t>
        </w:r>
        <w:r w:rsidR="003F60E8">
          <w:rPr>
            <w:webHidden/>
          </w:rPr>
          <w:tab/>
        </w:r>
        <w:r w:rsidR="003F60E8">
          <w:rPr>
            <w:webHidden/>
          </w:rPr>
          <w:fldChar w:fldCharType="begin"/>
        </w:r>
        <w:r w:rsidR="003F60E8">
          <w:rPr>
            <w:webHidden/>
          </w:rPr>
          <w:instrText xml:space="preserve"> PAGEREF _Toc483834477 \h </w:instrText>
        </w:r>
        <w:r w:rsidR="003F60E8">
          <w:rPr>
            <w:webHidden/>
          </w:rPr>
        </w:r>
        <w:r w:rsidR="003F60E8">
          <w:rPr>
            <w:webHidden/>
          </w:rPr>
          <w:fldChar w:fldCharType="separate"/>
        </w:r>
        <w:r w:rsidR="003F60E8">
          <w:rPr>
            <w:webHidden/>
          </w:rPr>
          <w:t>4</w:t>
        </w:r>
        <w:r w:rsidR="003F60E8">
          <w:rPr>
            <w:webHidden/>
          </w:rPr>
          <w:fldChar w:fldCharType="end"/>
        </w:r>
      </w:hyperlink>
    </w:p>
    <w:p w:rsidR="003F60E8" w:rsidRDefault="003F60E8">
      <w:pPr>
        <w:pStyle w:val="TableofFigures"/>
        <w:rPr>
          <w:rFonts w:asciiTheme="minorHAnsi" w:eastAsiaTheme="minorEastAsia" w:hAnsiTheme="minorHAnsi" w:cstheme="minorBidi"/>
          <w:szCs w:val="22"/>
          <w:lang w:val="en-AU" w:eastAsia="en-AU"/>
        </w:rPr>
      </w:pPr>
      <w:hyperlink w:anchor="_Toc483834478" w:history="1">
        <w:r w:rsidRPr="00231456">
          <w:rPr>
            <w:rStyle w:val="Hyperlink"/>
          </w:rPr>
          <w:t>Table 2.2</w:t>
        </w:r>
        <w:r>
          <w:rPr>
            <w:rFonts w:asciiTheme="minorHAnsi" w:eastAsiaTheme="minorEastAsia" w:hAnsiTheme="minorHAnsi" w:cstheme="minorBidi"/>
            <w:szCs w:val="22"/>
            <w:lang w:val="en-AU" w:eastAsia="en-AU"/>
          </w:rPr>
          <w:tab/>
        </w:r>
        <w:r w:rsidRPr="00231456">
          <w:rPr>
            <w:rStyle w:val="Hyperlink"/>
          </w:rPr>
          <w:t>Water prices, 2016–17 to 2017–18 ($, current prices, percentages to two decimal places)</w:t>
        </w:r>
        <w:r>
          <w:rPr>
            <w:webHidden/>
          </w:rPr>
          <w:tab/>
        </w:r>
        <w:r>
          <w:rPr>
            <w:webHidden/>
          </w:rPr>
          <w:fldChar w:fldCharType="begin"/>
        </w:r>
        <w:r>
          <w:rPr>
            <w:webHidden/>
          </w:rPr>
          <w:instrText xml:space="preserve"> PAGEREF _Toc483834478 \h </w:instrText>
        </w:r>
        <w:r>
          <w:rPr>
            <w:webHidden/>
          </w:rPr>
        </w:r>
        <w:r>
          <w:rPr>
            <w:webHidden/>
          </w:rPr>
          <w:fldChar w:fldCharType="separate"/>
        </w:r>
        <w:r>
          <w:rPr>
            <w:webHidden/>
          </w:rPr>
          <w:t>6</w:t>
        </w:r>
        <w:r>
          <w:rPr>
            <w:webHidden/>
          </w:rPr>
          <w:fldChar w:fldCharType="end"/>
        </w:r>
      </w:hyperlink>
    </w:p>
    <w:p w:rsidR="003F60E8" w:rsidRDefault="003F60E8">
      <w:pPr>
        <w:pStyle w:val="TableofFigures"/>
        <w:rPr>
          <w:rFonts w:asciiTheme="minorHAnsi" w:eastAsiaTheme="minorEastAsia" w:hAnsiTheme="minorHAnsi" w:cstheme="minorBidi"/>
          <w:szCs w:val="22"/>
          <w:lang w:val="en-AU" w:eastAsia="en-AU"/>
        </w:rPr>
      </w:pPr>
      <w:hyperlink w:anchor="_Toc483834479" w:history="1">
        <w:r w:rsidRPr="00231456">
          <w:rPr>
            <w:rStyle w:val="Hyperlink"/>
          </w:rPr>
          <w:t>Table 2.3</w:t>
        </w:r>
        <w:r>
          <w:rPr>
            <w:rFonts w:asciiTheme="minorHAnsi" w:eastAsiaTheme="minorEastAsia" w:hAnsiTheme="minorHAnsi" w:cstheme="minorBidi"/>
            <w:szCs w:val="22"/>
            <w:lang w:val="en-AU" w:eastAsia="en-AU"/>
          </w:rPr>
          <w:tab/>
        </w:r>
        <w:r w:rsidRPr="00231456">
          <w:rPr>
            <w:rStyle w:val="Hyperlink"/>
          </w:rPr>
          <w:t>Sewerage services prices, 2016–17 to 2017–18 ($, current prices, percentages to two decimal places)</w:t>
        </w:r>
        <w:r>
          <w:rPr>
            <w:webHidden/>
          </w:rPr>
          <w:tab/>
        </w:r>
        <w:r>
          <w:rPr>
            <w:webHidden/>
          </w:rPr>
          <w:fldChar w:fldCharType="begin"/>
        </w:r>
        <w:r>
          <w:rPr>
            <w:webHidden/>
          </w:rPr>
          <w:instrText xml:space="preserve"> PAGEREF _Toc483834479 \h </w:instrText>
        </w:r>
        <w:r>
          <w:rPr>
            <w:webHidden/>
          </w:rPr>
        </w:r>
        <w:r>
          <w:rPr>
            <w:webHidden/>
          </w:rPr>
          <w:fldChar w:fldCharType="separate"/>
        </w:r>
        <w:r>
          <w:rPr>
            <w:webHidden/>
          </w:rPr>
          <w:t>6</w:t>
        </w:r>
        <w:r>
          <w:rPr>
            <w:webHidden/>
          </w:rPr>
          <w:fldChar w:fldCharType="end"/>
        </w:r>
      </w:hyperlink>
    </w:p>
    <w:p w:rsidR="003F60E8" w:rsidRDefault="003F60E8">
      <w:pPr>
        <w:pStyle w:val="TableofFigures"/>
        <w:rPr>
          <w:rFonts w:asciiTheme="minorHAnsi" w:eastAsiaTheme="minorEastAsia" w:hAnsiTheme="minorHAnsi" w:cstheme="minorBidi"/>
          <w:szCs w:val="22"/>
          <w:lang w:val="en-AU" w:eastAsia="en-AU"/>
        </w:rPr>
      </w:pPr>
      <w:hyperlink w:anchor="_Toc483834480" w:history="1">
        <w:r w:rsidRPr="00231456">
          <w:rPr>
            <w:rStyle w:val="Hyperlink"/>
          </w:rPr>
          <w:t>Table 3.1</w:t>
        </w:r>
        <w:r>
          <w:rPr>
            <w:rFonts w:asciiTheme="minorHAnsi" w:eastAsiaTheme="minorEastAsia" w:hAnsiTheme="minorHAnsi" w:cstheme="minorBidi"/>
            <w:szCs w:val="22"/>
            <w:lang w:val="en-AU" w:eastAsia="en-AU"/>
          </w:rPr>
          <w:tab/>
        </w:r>
        <w:r w:rsidRPr="00231456">
          <w:rPr>
            <w:rStyle w:val="Hyperlink"/>
          </w:rPr>
          <w:t>Change in annual water charges for residential customers from 2016–17 to 2017–18  ($, current prices, percentages to two decimal places)</w:t>
        </w:r>
        <w:r>
          <w:rPr>
            <w:webHidden/>
          </w:rPr>
          <w:tab/>
        </w:r>
        <w:r>
          <w:rPr>
            <w:webHidden/>
          </w:rPr>
          <w:fldChar w:fldCharType="begin"/>
        </w:r>
        <w:r>
          <w:rPr>
            <w:webHidden/>
          </w:rPr>
          <w:instrText xml:space="preserve"> PAGEREF _Toc483834480 \h </w:instrText>
        </w:r>
        <w:r>
          <w:rPr>
            <w:webHidden/>
          </w:rPr>
        </w:r>
        <w:r>
          <w:rPr>
            <w:webHidden/>
          </w:rPr>
          <w:fldChar w:fldCharType="separate"/>
        </w:r>
        <w:r>
          <w:rPr>
            <w:webHidden/>
          </w:rPr>
          <w:t>7</w:t>
        </w:r>
        <w:r>
          <w:rPr>
            <w:webHidden/>
          </w:rPr>
          <w:fldChar w:fldCharType="end"/>
        </w:r>
      </w:hyperlink>
    </w:p>
    <w:p w:rsidR="003F60E8" w:rsidRDefault="003F60E8">
      <w:pPr>
        <w:pStyle w:val="TableofFigures"/>
        <w:rPr>
          <w:rFonts w:asciiTheme="minorHAnsi" w:eastAsiaTheme="minorEastAsia" w:hAnsiTheme="minorHAnsi" w:cstheme="minorBidi"/>
          <w:szCs w:val="22"/>
          <w:lang w:val="en-AU" w:eastAsia="en-AU"/>
        </w:rPr>
      </w:pPr>
      <w:hyperlink w:anchor="_Toc483834481" w:history="1">
        <w:r w:rsidRPr="00231456">
          <w:rPr>
            <w:rStyle w:val="Hyperlink"/>
          </w:rPr>
          <w:t>Table 3.2</w:t>
        </w:r>
        <w:r>
          <w:rPr>
            <w:rFonts w:asciiTheme="minorHAnsi" w:eastAsiaTheme="minorEastAsia" w:hAnsiTheme="minorHAnsi" w:cstheme="minorBidi"/>
            <w:szCs w:val="22"/>
            <w:lang w:val="en-AU" w:eastAsia="en-AU"/>
          </w:rPr>
          <w:tab/>
        </w:r>
        <w:r w:rsidRPr="00231456">
          <w:rPr>
            <w:rStyle w:val="Hyperlink"/>
          </w:rPr>
          <w:t>Change in annual water charges for non-residential customers from 2016–17 to 2017–18  ($, current prices, percentages to two decimal places)</w:t>
        </w:r>
        <w:r>
          <w:rPr>
            <w:webHidden/>
          </w:rPr>
          <w:tab/>
        </w:r>
        <w:r>
          <w:rPr>
            <w:webHidden/>
          </w:rPr>
          <w:fldChar w:fldCharType="begin"/>
        </w:r>
        <w:r>
          <w:rPr>
            <w:webHidden/>
          </w:rPr>
          <w:instrText xml:space="preserve"> PAGEREF _Toc483834481 \h </w:instrText>
        </w:r>
        <w:r>
          <w:rPr>
            <w:webHidden/>
          </w:rPr>
        </w:r>
        <w:r>
          <w:rPr>
            <w:webHidden/>
          </w:rPr>
          <w:fldChar w:fldCharType="separate"/>
        </w:r>
        <w:r>
          <w:rPr>
            <w:webHidden/>
          </w:rPr>
          <w:t>8</w:t>
        </w:r>
        <w:r>
          <w:rPr>
            <w:webHidden/>
          </w:rPr>
          <w:fldChar w:fldCharType="end"/>
        </w:r>
      </w:hyperlink>
    </w:p>
    <w:p w:rsidR="003F60E8" w:rsidRDefault="003F60E8">
      <w:pPr>
        <w:pStyle w:val="TableofFigures"/>
        <w:rPr>
          <w:rFonts w:asciiTheme="minorHAnsi" w:eastAsiaTheme="minorEastAsia" w:hAnsiTheme="minorHAnsi" w:cstheme="minorBidi"/>
          <w:szCs w:val="22"/>
          <w:lang w:val="en-AU" w:eastAsia="en-AU"/>
        </w:rPr>
      </w:pPr>
      <w:hyperlink w:anchor="_Toc483834482" w:history="1">
        <w:r w:rsidRPr="00231456">
          <w:rPr>
            <w:rStyle w:val="Hyperlink"/>
          </w:rPr>
          <w:t>Table 3.3</w:t>
        </w:r>
        <w:r>
          <w:rPr>
            <w:rFonts w:asciiTheme="minorHAnsi" w:eastAsiaTheme="minorEastAsia" w:hAnsiTheme="minorHAnsi" w:cstheme="minorBidi"/>
            <w:szCs w:val="22"/>
            <w:lang w:val="en-AU" w:eastAsia="en-AU"/>
          </w:rPr>
          <w:tab/>
        </w:r>
        <w:r w:rsidRPr="00231456">
          <w:rPr>
            <w:rStyle w:val="Hyperlink"/>
          </w:rPr>
          <w:t>Change in annual combined water and sewerage services bill for residential customers from 2016–17 to 2017–18  ($, current prices, percentages to two decimal places)</w:t>
        </w:r>
        <w:r>
          <w:rPr>
            <w:webHidden/>
          </w:rPr>
          <w:tab/>
        </w:r>
        <w:r>
          <w:rPr>
            <w:webHidden/>
          </w:rPr>
          <w:fldChar w:fldCharType="begin"/>
        </w:r>
        <w:r>
          <w:rPr>
            <w:webHidden/>
          </w:rPr>
          <w:instrText xml:space="preserve"> PAGEREF _Toc483834482 \h </w:instrText>
        </w:r>
        <w:r>
          <w:rPr>
            <w:webHidden/>
          </w:rPr>
        </w:r>
        <w:r>
          <w:rPr>
            <w:webHidden/>
          </w:rPr>
          <w:fldChar w:fldCharType="separate"/>
        </w:r>
        <w:r>
          <w:rPr>
            <w:webHidden/>
          </w:rPr>
          <w:t>8</w:t>
        </w:r>
        <w:r>
          <w:rPr>
            <w:webHidden/>
          </w:rPr>
          <w:fldChar w:fldCharType="end"/>
        </w:r>
      </w:hyperlink>
    </w:p>
    <w:p w:rsidR="003F60E8" w:rsidRDefault="003F60E8">
      <w:pPr>
        <w:pStyle w:val="TableofFigures"/>
        <w:rPr>
          <w:rFonts w:asciiTheme="minorHAnsi" w:eastAsiaTheme="minorEastAsia" w:hAnsiTheme="minorHAnsi" w:cstheme="minorBidi"/>
          <w:szCs w:val="22"/>
          <w:lang w:val="en-AU" w:eastAsia="en-AU"/>
        </w:rPr>
      </w:pPr>
      <w:hyperlink w:anchor="_Toc483834483" w:history="1">
        <w:r w:rsidRPr="00231456">
          <w:rPr>
            <w:rStyle w:val="Hyperlink"/>
          </w:rPr>
          <w:t>Table 3.4</w:t>
        </w:r>
        <w:r>
          <w:rPr>
            <w:rFonts w:asciiTheme="minorHAnsi" w:eastAsiaTheme="minorEastAsia" w:hAnsiTheme="minorHAnsi" w:cstheme="minorBidi"/>
            <w:szCs w:val="22"/>
            <w:lang w:val="en-AU" w:eastAsia="en-AU"/>
          </w:rPr>
          <w:tab/>
        </w:r>
        <w:r w:rsidRPr="00231456">
          <w:rPr>
            <w:rStyle w:val="Hyperlink"/>
          </w:rPr>
          <w:t>Change in annual combined water and sewerage services bill for non-residential customers from 2016–17 to 2017–18  ($, current prices, percentages to two decimal places)</w:t>
        </w:r>
        <w:r>
          <w:rPr>
            <w:webHidden/>
          </w:rPr>
          <w:tab/>
        </w:r>
        <w:r>
          <w:rPr>
            <w:webHidden/>
          </w:rPr>
          <w:fldChar w:fldCharType="begin"/>
        </w:r>
        <w:r>
          <w:rPr>
            <w:webHidden/>
          </w:rPr>
          <w:instrText xml:space="preserve"> PAGEREF _Toc483834483 \h </w:instrText>
        </w:r>
        <w:r>
          <w:rPr>
            <w:webHidden/>
          </w:rPr>
        </w:r>
        <w:r>
          <w:rPr>
            <w:webHidden/>
          </w:rPr>
          <w:fldChar w:fldCharType="separate"/>
        </w:r>
        <w:r>
          <w:rPr>
            <w:webHidden/>
          </w:rPr>
          <w:t>9</w:t>
        </w:r>
        <w:r>
          <w:rPr>
            <w:webHidden/>
          </w:rPr>
          <w:fldChar w:fldCharType="end"/>
        </w:r>
      </w:hyperlink>
    </w:p>
    <w:p w:rsidR="003A7E52" w:rsidRDefault="002618CD">
      <w:r>
        <w:rPr>
          <w:lang w:val="en-AU"/>
        </w:rPr>
        <w:fldChar w:fldCharType="end"/>
      </w:r>
    </w:p>
    <w:p w:rsidR="005F1A78" w:rsidRDefault="005F1A78" w:rsidP="00174668">
      <w:bookmarkStart w:id="9" w:name="_Toc118359367"/>
      <w:bookmarkStart w:id="10" w:name="_Toc202785427"/>
      <w:bookmarkStart w:id="11" w:name="_Toc260327869"/>
    </w:p>
    <w:p w:rsidR="00B1692C" w:rsidRDefault="00B1692C" w:rsidP="00174668"/>
    <w:p w:rsidR="00B1692C" w:rsidRDefault="00B1692C" w:rsidP="00174668"/>
    <w:p w:rsidR="00B1692C" w:rsidRDefault="00B1692C" w:rsidP="00174668"/>
    <w:p w:rsidR="00B1692C" w:rsidRDefault="00B1692C" w:rsidP="00174668">
      <w:pPr>
        <w:sectPr w:rsidR="00B1692C" w:rsidSect="00174668">
          <w:headerReference w:type="default" r:id="rId22"/>
          <w:endnotePr>
            <w:numFmt w:val="decimal"/>
          </w:endnotePr>
          <w:type w:val="continuous"/>
          <w:pgSz w:w="11907" w:h="16840" w:code="9"/>
          <w:pgMar w:top="2268" w:right="2098" w:bottom="1701" w:left="2098" w:header="578" w:footer="578" w:gutter="0"/>
          <w:pgNumType w:fmt="lowerRoman"/>
          <w:cols w:space="720"/>
          <w:docGrid w:linePitch="299"/>
        </w:sectPr>
      </w:pPr>
    </w:p>
    <w:p w:rsidR="00E2786A" w:rsidRDefault="00AE34BD" w:rsidP="00E2786A">
      <w:pPr>
        <w:pStyle w:val="Heading1"/>
      </w:pPr>
      <w:bookmarkStart w:id="12" w:name="_Ref364695177"/>
      <w:bookmarkStart w:id="13" w:name="_Toc200251148"/>
      <w:bookmarkStart w:id="14" w:name="_Toc264971521"/>
      <w:bookmarkStart w:id="15" w:name="_Toc483834463"/>
      <w:bookmarkEnd w:id="7"/>
      <w:bookmarkEnd w:id="9"/>
      <w:bookmarkEnd w:id="10"/>
      <w:bookmarkEnd w:id="11"/>
      <w:r>
        <w:lastRenderedPageBreak/>
        <w:t>Introduction</w:t>
      </w:r>
      <w:bookmarkStart w:id="16" w:name="_Ref349552218"/>
      <w:bookmarkStart w:id="17" w:name="_Toc349563150"/>
      <w:bookmarkStart w:id="18" w:name="_Toc349563312"/>
      <w:bookmarkStart w:id="19" w:name="_Toc349563390"/>
      <w:bookmarkStart w:id="20" w:name="_Toc349571506"/>
      <w:bookmarkEnd w:id="12"/>
      <w:bookmarkEnd w:id="13"/>
      <w:bookmarkEnd w:id="14"/>
      <w:bookmarkEnd w:id="15"/>
    </w:p>
    <w:p w:rsidR="00E2786A" w:rsidRDefault="00E2786A" w:rsidP="00E2786A">
      <w:pPr>
        <w:sectPr w:rsidR="00E2786A" w:rsidSect="00FD0141">
          <w:headerReference w:type="even" r:id="rId23"/>
          <w:headerReference w:type="default" r:id="rId24"/>
          <w:endnotePr>
            <w:numFmt w:val="decimal"/>
          </w:endnotePr>
          <w:type w:val="oddPage"/>
          <w:pgSz w:w="11907" w:h="16840" w:code="9"/>
          <w:pgMar w:top="2268" w:right="2098" w:bottom="1701" w:left="2098" w:header="578" w:footer="578" w:gutter="0"/>
          <w:pgNumType w:start="1"/>
          <w:cols w:space="720"/>
          <w:docGrid w:linePitch="299"/>
        </w:sectPr>
      </w:pPr>
    </w:p>
    <w:bookmarkEnd w:id="16"/>
    <w:bookmarkEnd w:id="17"/>
    <w:bookmarkEnd w:id="18"/>
    <w:bookmarkEnd w:id="19"/>
    <w:bookmarkEnd w:id="20"/>
    <w:p w:rsidR="009D6619" w:rsidRDefault="009D6619" w:rsidP="009D6619">
      <w:r>
        <w:t xml:space="preserve">The </w:t>
      </w:r>
      <w:r w:rsidRPr="000E640D">
        <w:rPr>
          <w:i/>
        </w:rPr>
        <w:t>Substituted Price Direction for Regulated Water and Sewerage Services 1 July 2013 to 30 June 2018</w:t>
      </w:r>
      <w:r>
        <w:t xml:space="preserve"> (the price direction) requires the Independent Competition and Regulatory Commission (the Commission) to undertake a price adjustment process to determine the maximum prices </w:t>
      </w:r>
      <w:r w:rsidR="0089678E">
        <w:t xml:space="preserve">that </w:t>
      </w:r>
      <w:r>
        <w:t>Icon Wat</w:t>
      </w:r>
      <w:r w:rsidR="00B41278">
        <w:t>er Limited</w:t>
      </w:r>
      <w:r>
        <w:t xml:space="preserve"> (Icon Water) can charge for its </w:t>
      </w:r>
      <w:r w:rsidRPr="009D6619">
        <w:t>regulated water, sewerage and miscellaneous services in 2015–16</w:t>
      </w:r>
      <w:r w:rsidR="00A825C9">
        <w:t>, 2016</w:t>
      </w:r>
      <w:r w:rsidR="00A825C9">
        <w:sym w:font="Symbol" w:char="F02D"/>
      </w:r>
      <w:r w:rsidR="00A825C9">
        <w:t>17 and 2017</w:t>
      </w:r>
      <w:r w:rsidR="00A825C9">
        <w:sym w:font="Symbol" w:char="F02D"/>
      </w:r>
      <w:r w:rsidR="00A825C9">
        <w:t>18</w:t>
      </w:r>
      <w:r>
        <w:t>.</w:t>
      </w:r>
      <w:r w:rsidR="00A327CA">
        <w:rPr>
          <w:rStyle w:val="FootnoteReference"/>
        </w:rPr>
        <w:footnoteReference w:id="2"/>
      </w:r>
    </w:p>
    <w:p w:rsidR="009D6619" w:rsidRDefault="009D6619" w:rsidP="009D6619">
      <w:r>
        <w:t>Th</w:t>
      </w:r>
      <w:r w:rsidR="00F42C52">
        <w:t>is</w:t>
      </w:r>
      <w:r>
        <w:t xml:space="preserve"> price direction </w:t>
      </w:r>
      <w:r w:rsidR="00F42C52">
        <w:t xml:space="preserve">adjusts water, sewerage and miscellaneous </w:t>
      </w:r>
      <w:r>
        <w:t xml:space="preserve">prices </w:t>
      </w:r>
      <w:r w:rsidR="00F42C52">
        <w:t>to account for two cost variations</w:t>
      </w:r>
      <w:r>
        <w:t xml:space="preserve">. </w:t>
      </w:r>
      <w:r w:rsidRPr="009D6619">
        <w:t xml:space="preserve">The first is for inflation, which is the change in the consumer price index (CPI). The second is to incorporate approved pass-through events </w:t>
      </w:r>
      <w:r w:rsidR="00F42C52">
        <w:t>into</w:t>
      </w:r>
      <w:r w:rsidR="00F42C52" w:rsidRPr="009D6619">
        <w:t xml:space="preserve"> </w:t>
      </w:r>
      <w:r w:rsidRPr="009D6619">
        <w:t>Icon Water’s costs in the following year</w:t>
      </w:r>
      <w:r w:rsidR="00F42C52">
        <w:t>, and adjust prices accordingly</w:t>
      </w:r>
      <w:r>
        <w:t xml:space="preserve">. </w:t>
      </w:r>
    </w:p>
    <w:p w:rsidR="0017324D" w:rsidRDefault="00FE0E2E" w:rsidP="009D6619">
      <w:r>
        <w:t>On 1 May </w:t>
      </w:r>
      <w:r w:rsidRPr="006F1308">
        <w:t>201</w:t>
      </w:r>
      <w:r>
        <w:t xml:space="preserve">7, </w:t>
      </w:r>
      <w:r w:rsidR="00BF5C78">
        <w:t>Icon Water provided</w:t>
      </w:r>
      <w:r>
        <w:t xml:space="preserve"> the Commission with </w:t>
      </w:r>
      <w:r w:rsidR="00BF5C78">
        <w:t xml:space="preserve">a submission </w:t>
      </w:r>
      <w:r w:rsidR="00870E55">
        <w:t xml:space="preserve">that estimated </w:t>
      </w:r>
      <w:r w:rsidR="0097081C">
        <w:t>the 2017</w:t>
      </w:r>
      <w:r w:rsidR="0097081C">
        <w:sym w:font="Symbol" w:char="F02D"/>
      </w:r>
      <w:r w:rsidR="0097081C">
        <w:t>18 C</w:t>
      </w:r>
      <w:r w:rsidR="00BF5C78">
        <w:t xml:space="preserve">PI adjustment and </w:t>
      </w:r>
      <w:r w:rsidR="00870E55">
        <w:t xml:space="preserve">applied </w:t>
      </w:r>
      <w:r w:rsidR="0097081C">
        <w:t xml:space="preserve">for </w:t>
      </w:r>
      <w:r w:rsidR="00BF5C78">
        <w:t>a pass-through adjustment</w:t>
      </w:r>
      <w:r w:rsidR="0097081C">
        <w:t xml:space="preserve"> to be incorporated in Icon Water’s regulated charges from 1 July 2017</w:t>
      </w:r>
      <w:r w:rsidR="00BF5C78">
        <w:t xml:space="preserve">. In </w:t>
      </w:r>
      <w:r w:rsidR="00870E55">
        <w:t xml:space="preserve">this </w:t>
      </w:r>
      <w:r w:rsidR="00BF5C78">
        <w:t>submission, Icon Water</w:t>
      </w:r>
      <w:r w:rsidR="00BE65DA">
        <w:t xml:space="preserve"> further</w:t>
      </w:r>
      <w:r w:rsidR="00BF5C78">
        <w:t xml:space="preserve"> pro</w:t>
      </w:r>
      <w:r w:rsidR="0017324D">
        <w:t>po</w:t>
      </w:r>
      <w:r w:rsidR="00BF5C78">
        <w:t xml:space="preserve">sed to split the current single schedule of charges into three sub-schedules to differentiate </w:t>
      </w:r>
      <w:r w:rsidR="0017324D">
        <w:t xml:space="preserve">the </w:t>
      </w:r>
      <w:r w:rsidR="00BF5C78">
        <w:t xml:space="preserve">charges that are covered by the Standard Customer Contract (SCC) and those </w:t>
      </w:r>
      <w:r w:rsidR="00372A9E">
        <w:t xml:space="preserve">that </w:t>
      </w:r>
      <w:r w:rsidR="0017324D">
        <w:t>are not covered.</w:t>
      </w:r>
      <w:r w:rsidR="005E482B">
        <w:rPr>
          <w:rStyle w:val="FootnoteReference"/>
        </w:rPr>
        <w:footnoteReference w:id="3"/>
      </w:r>
      <w:r w:rsidR="0017324D">
        <w:t xml:space="preserve"> </w:t>
      </w:r>
      <w:r w:rsidR="0097081C">
        <w:t>Th</w:t>
      </w:r>
      <w:r w:rsidR="00A566D4">
        <w:t xml:space="preserve">e submission </w:t>
      </w:r>
      <w:r w:rsidR="0097081C">
        <w:t xml:space="preserve">also included an application for a new miscellaneous service to allow for the introduction of a precinct charge under the proposed water and sewerage capital contribution code. </w:t>
      </w:r>
    </w:p>
    <w:p w:rsidR="00BE65DA" w:rsidRDefault="009D6619" w:rsidP="009D6619">
      <w:r>
        <w:t xml:space="preserve">This report sets out the </w:t>
      </w:r>
      <w:r w:rsidR="00873AF3">
        <w:t xml:space="preserve">Commission’s final decision on the </w:t>
      </w:r>
      <w:r>
        <w:t xml:space="preserve">maximum prices </w:t>
      </w:r>
      <w:r w:rsidR="00873AF3">
        <w:t xml:space="preserve">for regulated water, sewerage and miscellaneous services </w:t>
      </w:r>
      <w:r>
        <w:t xml:space="preserve">to apply </w:t>
      </w:r>
      <w:r w:rsidR="00A825C9">
        <w:t xml:space="preserve">in </w:t>
      </w:r>
      <w:r>
        <w:t>201</w:t>
      </w:r>
      <w:r w:rsidR="00FF16D5">
        <w:t>7</w:t>
      </w:r>
      <w:r w:rsidR="00A825C9">
        <w:sym w:font="Symbol" w:char="F02D"/>
      </w:r>
      <w:r w:rsidR="00A825C9">
        <w:t>1</w:t>
      </w:r>
      <w:r w:rsidR="00FF16D5">
        <w:t>8</w:t>
      </w:r>
      <w:r>
        <w:t>.</w:t>
      </w:r>
      <w:r w:rsidR="0017324D">
        <w:t xml:space="preserve"> </w:t>
      </w:r>
    </w:p>
    <w:p w:rsidR="00BE65DA" w:rsidRDefault="00BE65DA" w:rsidP="00BE65DA">
      <w:r>
        <w:t xml:space="preserve">The proposed changes to the schedule of charges do not have any implications for the final outcome or the maximum prices determined by the Commission. The Commission believes that Icon Water’s proposed sub-schedule differentiation improves the degree to which pricing information is accessible and comprehensible, and has updated its </w:t>
      </w:r>
      <w:r w:rsidR="005F239D">
        <w:t xml:space="preserve">Standard Water and Sewerage Services Charges Schedule and Miscellaneous Fees and Charges Schedule </w:t>
      </w:r>
      <w:r>
        <w:t>accordingly – see Appendix 1.</w:t>
      </w:r>
    </w:p>
    <w:p w:rsidR="007C7327" w:rsidRDefault="0017324D" w:rsidP="009D6619">
      <w:r>
        <w:t>The Commission</w:t>
      </w:r>
      <w:r w:rsidR="0083723C">
        <w:t xml:space="preserve"> </w:t>
      </w:r>
      <w:r w:rsidR="00FE0E2E">
        <w:t xml:space="preserve">will </w:t>
      </w:r>
      <w:r>
        <w:t xml:space="preserve">consider </w:t>
      </w:r>
      <w:r w:rsidR="0083723C">
        <w:t xml:space="preserve">Icon Water’s </w:t>
      </w:r>
      <w:r w:rsidR="00624627">
        <w:t xml:space="preserve">application </w:t>
      </w:r>
      <w:r w:rsidR="0083723C">
        <w:t xml:space="preserve">for </w:t>
      </w:r>
      <w:r w:rsidR="00FE0E2E">
        <w:t xml:space="preserve">a new miscellaneous </w:t>
      </w:r>
      <w:r w:rsidR="00044F2D">
        <w:t xml:space="preserve">service </w:t>
      </w:r>
      <w:r w:rsidR="00FE0E2E">
        <w:t>in due course</w:t>
      </w:r>
      <w:r w:rsidR="0083723C">
        <w:t>,</w:t>
      </w:r>
      <w:r w:rsidR="00D64774">
        <w:t xml:space="preserve"> </w:t>
      </w:r>
      <w:r w:rsidR="00FE0E2E">
        <w:t xml:space="preserve">as part of its </w:t>
      </w:r>
      <w:r w:rsidR="0083723C">
        <w:t xml:space="preserve">determination of </w:t>
      </w:r>
      <w:r w:rsidR="001E38CE">
        <w:t xml:space="preserve">the </w:t>
      </w:r>
      <w:r w:rsidR="0083723C">
        <w:t xml:space="preserve">proposed water and sewerage capital contribution code. </w:t>
      </w:r>
      <w:r w:rsidR="00BE65DA">
        <w:t xml:space="preserve">No pricing or cost variations associated with the proposed capital contribution charge are </w:t>
      </w:r>
      <w:r w:rsidR="00BE65DA" w:rsidRPr="00913006">
        <w:t xml:space="preserve">included in the price </w:t>
      </w:r>
      <w:r w:rsidR="00913006" w:rsidRPr="00913006">
        <w:t>adjustment</w:t>
      </w:r>
      <w:r w:rsidR="00BE65DA" w:rsidRPr="00913006">
        <w:t xml:space="preserve"> of this report.</w:t>
      </w:r>
    </w:p>
    <w:p w:rsidR="009D6619" w:rsidRDefault="009D6619" w:rsidP="009D6619">
      <w:r>
        <w:t>The remainder of the report is structured as follows:</w:t>
      </w:r>
    </w:p>
    <w:p w:rsidR="00336140" w:rsidRDefault="00336140" w:rsidP="009D6619">
      <w:pPr>
        <w:pStyle w:val="Bullet"/>
      </w:pPr>
      <w:bookmarkStart w:id="21" w:name="_Toc377993395"/>
      <w:bookmarkStart w:id="22" w:name="_Toc378150838"/>
      <w:bookmarkStart w:id="23" w:name="_Toc378154205"/>
      <w:bookmarkStart w:id="24" w:name="_Toc378235283"/>
      <w:bookmarkStart w:id="25" w:name="_Toc378235616"/>
      <w:bookmarkStart w:id="26" w:name="_Toc378239503"/>
      <w:bookmarkStart w:id="27" w:name="_Toc378251979"/>
      <w:bookmarkStart w:id="28" w:name="_Toc378334069"/>
      <w:bookmarkEnd w:id="21"/>
      <w:bookmarkEnd w:id="22"/>
      <w:bookmarkEnd w:id="23"/>
      <w:bookmarkEnd w:id="24"/>
      <w:bookmarkEnd w:id="25"/>
      <w:bookmarkEnd w:id="26"/>
      <w:bookmarkEnd w:id="27"/>
      <w:bookmarkEnd w:id="28"/>
      <w:r>
        <w:t xml:space="preserve">Chapter </w:t>
      </w:r>
      <w:r w:rsidR="002618CD">
        <w:fldChar w:fldCharType="begin"/>
      </w:r>
      <w:r>
        <w:instrText xml:space="preserve"> REF _Ref419116185 \r \h </w:instrText>
      </w:r>
      <w:r w:rsidR="002618CD">
        <w:fldChar w:fldCharType="separate"/>
      </w:r>
      <w:r w:rsidR="00BA1301">
        <w:t>2</w:t>
      </w:r>
      <w:r w:rsidR="002618CD">
        <w:fldChar w:fldCharType="end"/>
      </w:r>
      <w:r>
        <w:t xml:space="preserve"> describes the price adjustment calculations and sets out the adjusted maximum prices </w:t>
      </w:r>
      <w:r w:rsidR="005E3353">
        <w:t>to apply from 1 July 201</w:t>
      </w:r>
      <w:r w:rsidR="00FF16D5">
        <w:t>7</w:t>
      </w:r>
      <w:r>
        <w:t>;</w:t>
      </w:r>
    </w:p>
    <w:p w:rsidR="00336140" w:rsidRDefault="00336140" w:rsidP="009D6619">
      <w:pPr>
        <w:pStyle w:val="Bullet"/>
      </w:pPr>
      <w:r>
        <w:lastRenderedPageBreak/>
        <w:t>Chapter 3 illustrates the impact of the price</w:t>
      </w:r>
      <w:r w:rsidR="001D455E">
        <w:t xml:space="preserve"> </w:t>
      </w:r>
      <w:r>
        <w:t>adjustments on water and sewerage services customer annual bills; and</w:t>
      </w:r>
    </w:p>
    <w:p w:rsidR="00473E8D" w:rsidRDefault="00914E7C" w:rsidP="009D6619">
      <w:pPr>
        <w:pStyle w:val="Bullet"/>
      </w:pPr>
      <w:r>
        <w:fldChar w:fldCharType="begin"/>
      </w:r>
      <w:r>
        <w:instrText xml:space="preserve"> REF _Ref483558505 \r \h </w:instrText>
      </w:r>
      <w:r>
        <w:fldChar w:fldCharType="separate"/>
      </w:r>
      <w:r w:rsidR="00BA1301">
        <w:t>Appendix 1</w:t>
      </w:r>
      <w:r>
        <w:fldChar w:fldCharType="end"/>
      </w:r>
      <w:r w:rsidR="00336140">
        <w:t xml:space="preserve"> presents </w:t>
      </w:r>
      <w:r w:rsidR="00951AFE">
        <w:t xml:space="preserve">the detailed </w:t>
      </w:r>
      <w:r w:rsidR="00336140">
        <w:t>schedule of maximum water, sewerage and miscellaneous service charges</w:t>
      </w:r>
      <w:r w:rsidR="00951AFE">
        <w:t xml:space="preserve"> for 201</w:t>
      </w:r>
      <w:r w:rsidR="00FF16D5">
        <w:t>7</w:t>
      </w:r>
      <w:r w:rsidR="00951AFE">
        <w:sym w:font="Symbol" w:char="F02D"/>
      </w:r>
      <w:r w:rsidR="00951AFE">
        <w:t>1</w:t>
      </w:r>
      <w:r w:rsidR="00FF16D5">
        <w:t>8</w:t>
      </w:r>
      <w:r w:rsidR="00473E8D">
        <w:t>.</w:t>
      </w:r>
    </w:p>
    <w:p w:rsidR="00E12A27" w:rsidRPr="007B1397" w:rsidRDefault="00E12A27" w:rsidP="007B1397"/>
    <w:p w:rsidR="007B1397" w:rsidRPr="007B1397" w:rsidRDefault="007B1397" w:rsidP="007B1397">
      <w:pPr>
        <w:sectPr w:rsidR="007B1397" w:rsidRPr="007B1397" w:rsidSect="00E2786A">
          <w:headerReference w:type="even" r:id="rId25"/>
          <w:headerReference w:type="default" r:id="rId26"/>
          <w:endnotePr>
            <w:numFmt w:val="decimal"/>
          </w:endnotePr>
          <w:type w:val="continuous"/>
          <w:pgSz w:w="11907" w:h="16840" w:code="9"/>
          <w:pgMar w:top="2268" w:right="2098" w:bottom="1701" w:left="2098" w:header="578" w:footer="578" w:gutter="0"/>
          <w:pgNumType w:start="1"/>
          <w:cols w:space="720"/>
          <w:docGrid w:linePitch="299"/>
        </w:sectPr>
      </w:pPr>
    </w:p>
    <w:p w:rsidR="00E2786A" w:rsidRDefault="00CE25CD" w:rsidP="00E12A27">
      <w:pPr>
        <w:pStyle w:val="Heading1"/>
      </w:pPr>
      <w:bookmarkStart w:id="29" w:name="_Ref419116185"/>
      <w:bookmarkStart w:id="30" w:name="_Ref419116201"/>
      <w:bookmarkStart w:id="31" w:name="_Toc483834464"/>
      <w:r>
        <w:lastRenderedPageBreak/>
        <w:t>201</w:t>
      </w:r>
      <w:r w:rsidR="00A83105">
        <w:t>7</w:t>
      </w:r>
      <w:r>
        <w:sym w:font="Symbol" w:char="F02D"/>
      </w:r>
      <w:r>
        <w:t>1</w:t>
      </w:r>
      <w:r w:rsidR="00A83105">
        <w:t>8</w:t>
      </w:r>
      <w:r>
        <w:t xml:space="preserve"> price adju</w:t>
      </w:r>
      <w:r w:rsidR="00B71AD6">
        <w:t>s</w:t>
      </w:r>
      <w:r>
        <w:t>tment</w:t>
      </w:r>
      <w:bookmarkEnd w:id="29"/>
      <w:bookmarkEnd w:id="30"/>
      <w:bookmarkEnd w:id="31"/>
    </w:p>
    <w:p w:rsidR="00E12A27" w:rsidRDefault="00E12A27" w:rsidP="002616ED">
      <w:pPr>
        <w:pStyle w:val="Bodytableoutro"/>
        <w:sectPr w:rsidR="00E12A27" w:rsidSect="00E12A27">
          <w:headerReference w:type="even" r:id="rId27"/>
          <w:headerReference w:type="default" r:id="rId28"/>
          <w:endnotePr>
            <w:numFmt w:val="decimal"/>
          </w:endnotePr>
          <w:type w:val="oddPage"/>
          <w:pgSz w:w="11907" w:h="16840" w:code="9"/>
          <w:pgMar w:top="2268" w:right="2098" w:bottom="1701" w:left="2098" w:header="578" w:footer="578" w:gutter="0"/>
          <w:cols w:space="720"/>
          <w:docGrid w:linePitch="299"/>
        </w:sectPr>
      </w:pPr>
    </w:p>
    <w:p w:rsidR="00544224" w:rsidRDefault="00544224" w:rsidP="00722BA6">
      <w:pPr>
        <w:pStyle w:val="Heading2"/>
      </w:pPr>
      <w:bookmarkStart w:id="32" w:name="_Toc483834465"/>
      <w:r>
        <w:t>C</w:t>
      </w:r>
      <w:r w:rsidR="008C49F6">
        <w:t xml:space="preserve">onsumer price index </w:t>
      </w:r>
      <w:r>
        <w:t>adjustment</w:t>
      </w:r>
      <w:bookmarkEnd w:id="32"/>
    </w:p>
    <w:p w:rsidR="00544224" w:rsidRDefault="008E7D71" w:rsidP="00892A7E">
      <w:r>
        <w:t>Clause 9.1 of the price direction</w:t>
      </w:r>
      <w:r w:rsidRPr="008E7D71">
        <w:t xml:space="preserve"> requires the Commission</w:t>
      </w:r>
      <w:r w:rsidR="000D1DCD">
        <w:t xml:space="preserve"> to </w:t>
      </w:r>
      <w:r w:rsidR="000D1DCD" w:rsidRPr="000D1DCD">
        <w:t>calculate the maximum prices for regulated water, sewerage and miscellaneous services for each regulatory year on the basis set out in clauses 6 and 7 and provide Icon Water with notice of the adjusted prices on or before 1 June each year.</w:t>
      </w:r>
      <w:r w:rsidR="000D1DCD">
        <w:t xml:space="preserve"> The Commission is</w:t>
      </w:r>
      <w:r w:rsidR="00526FFB">
        <w:t xml:space="preserve"> also required to provide Icon W</w:t>
      </w:r>
      <w:r w:rsidR="000D1DCD">
        <w:t xml:space="preserve">ater with </w:t>
      </w:r>
      <w:r w:rsidRPr="008E7D71">
        <w:t>details of the Commission’s calculations of the adjusted prices, including the values of the change in the CPI used in the calculations.</w:t>
      </w:r>
    </w:p>
    <w:p w:rsidR="000D1DCD" w:rsidRDefault="000D1DCD" w:rsidP="000D1DCD">
      <w:r>
        <w:t>The CPI adjustment formula used by the Commission, as set out in clause</w:t>
      </w:r>
      <w:r w:rsidR="00986558">
        <w:t xml:space="preserve"> 6.1 of the price direction, is</w:t>
      </w:r>
      <w:r w:rsidR="00FF6578">
        <w:rPr>
          <w:rStyle w:val="FootnoteReference"/>
        </w:rPr>
        <w:footnoteReference w:id="4"/>
      </w:r>
      <w:r w:rsidR="00913006">
        <w:t>:</w:t>
      </w:r>
    </w:p>
    <w:p w:rsidR="003F2E5B" w:rsidRDefault="003F60E8" w:rsidP="000D1DCD">
      <m:oMathPara>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t-1</m:t>
              </m:r>
            </m:sub>
          </m:sSub>
          <m:r>
            <m:rPr>
              <m:sty m:val="p"/>
            </m:rPr>
            <w:rPr>
              <w:rFonts w:ascii="Cambria Math" w:hAnsi="Cambria Math"/>
            </w:rPr>
            <m:t xml:space="preserve"> x </m:t>
          </m:r>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CPI</m:t>
                      </m:r>
                    </m:e>
                    <m:sub>
                      <m:r>
                        <w:rPr>
                          <w:rFonts w:ascii="Cambria Math" w:hAnsi="Cambria Math"/>
                        </w:rPr>
                        <m:t>June(t-2)</m:t>
                      </m:r>
                    </m:sub>
                  </m:sSub>
                  <m:r>
                    <w:rPr>
                      <w:rFonts w:ascii="Cambria Math" w:hAnsi="Cambria Math"/>
                    </w:rPr>
                    <m:t>+</m:t>
                  </m:r>
                  <m:sSub>
                    <m:sSubPr>
                      <m:ctrlPr>
                        <w:rPr>
                          <w:rFonts w:ascii="Cambria Math" w:hAnsi="Cambria Math"/>
                          <w:i/>
                        </w:rPr>
                      </m:ctrlPr>
                    </m:sSubPr>
                    <m:e>
                      <m:r>
                        <w:rPr>
                          <w:rFonts w:ascii="Cambria Math" w:hAnsi="Cambria Math"/>
                        </w:rPr>
                        <m:t>CPI</m:t>
                      </m:r>
                    </m:e>
                    <m:sub>
                      <m:r>
                        <w:rPr>
                          <w:rFonts w:ascii="Cambria Math" w:hAnsi="Cambria Math"/>
                        </w:rPr>
                        <m:t>Sept(t-1)</m:t>
                      </m:r>
                    </m:sub>
                  </m:sSub>
                  <m:r>
                    <w:rPr>
                      <w:rFonts w:ascii="Cambria Math" w:hAnsi="Cambria Math"/>
                    </w:rPr>
                    <m:t>+</m:t>
                  </m:r>
                  <m:sSub>
                    <m:sSubPr>
                      <m:ctrlPr>
                        <w:rPr>
                          <w:rFonts w:ascii="Cambria Math" w:hAnsi="Cambria Math"/>
                          <w:i/>
                        </w:rPr>
                      </m:ctrlPr>
                    </m:sSubPr>
                    <m:e>
                      <m:r>
                        <w:rPr>
                          <w:rFonts w:ascii="Cambria Math" w:hAnsi="Cambria Math"/>
                        </w:rPr>
                        <m:t>CPI</m:t>
                      </m:r>
                    </m:e>
                    <m:sub>
                      <m:r>
                        <w:rPr>
                          <w:rFonts w:ascii="Cambria Math" w:hAnsi="Cambria Math"/>
                        </w:rPr>
                        <m:t>Dec(t-1)</m:t>
                      </m:r>
                    </m:sub>
                  </m:sSub>
                  <m:r>
                    <w:rPr>
                      <w:rFonts w:ascii="Cambria Math" w:hAnsi="Cambria Math"/>
                    </w:rPr>
                    <m:t>+</m:t>
                  </m:r>
                  <m:sSub>
                    <m:sSubPr>
                      <m:ctrlPr>
                        <w:rPr>
                          <w:rFonts w:ascii="Cambria Math" w:hAnsi="Cambria Math"/>
                          <w:i/>
                        </w:rPr>
                      </m:ctrlPr>
                    </m:sSubPr>
                    <m:e>
                      <m:r>
                        <w:rPr>
                          <w:rFonts w:ascii="Cambria Math" w:hAnsi="Cambria Math"/>
                        </w:rPr>
                        <m:t>CPI</m:t>
                      </m:r>
                    </m:e>
                    <m:sub>
                      <m:r>
                        <w:rPr>
                          <w:rFonts w:ascii="Cambria Math" w:hAnsi="Cambria Math"/>
                        </w:rPr>
                        <m:t>March(t-1)</m:t>
                      </m:r>
                    </m:sub>
                  </m:sSub>
                </m:num>
                <m:den>
                  <m:sSub>
                    <m:sSubPr>
                      <m:ctrlPr>
                        <w:rPr>
                          <w:rFonts w:ascii="Cambria Math" w:hAnsi="Cambria Math"/>
                          <w:i/>
                        </w:rPr>
                      </m:ctrlPr>
                    </m:sSubPr>
                    <m:e>
                      <m:r>
                        <w:rPr>
                          <w:rFonts w:ascii="Cambria Math" w:hAnsi="Cambria Math"/>
                        </w:rPr>
                        <m:t>CPI</m:t>
                      </m:r>
                    </m:e>
                    <m:sub>
                      <m:r>
                        <w:rPr>
                          <w:rFonts w:ascii="Cambria Math" w:hAnsi="Cambria Math"/>
                        </w:rPr>
                        <m:t>June(t-3)</m:t>
                      </m:r>
                    </m:sub>
                  </m:sSub>
                  <m:r>
                    <w:rPr>
                      <w:rFonts w:ascii="Cambria Math" w:hAnsi="Cambria Math"/>
                    </w:rPr>
                    <m:t>+</m:t>
                  </m:r>
                  <m:sSub>
                    <m:sSubPr>
                      <m:ctrlPr>
                        <w:rPr>
                          <w:rFonts w:ascii="Cambria Math" w:hAnsi="Cambria Math"/>
                          <w:i/>
                        </w:rPr>
                      </m:ctrlPr>
                    </m:sSubPr>
                    <m:e>
                      <m:r>
                        <w:rPr>
                          <w:rFonts w:ascii="Cambria Math" w:hAnsi="Cambria Math"/>
                        </w:rPr>
                        <m:t>CPI</m:t>
                      </m:r>
                    </m:e>
                    <m:sub>
                      <m:r>
                        <w:rPr>
                          <w:rFonts w:ascii="Cambria Math" w:hAnsi="Cambria Math"/>
                        </w:rPr>
                        <m:t>Sept(t-2)</m:t>
                      </m:r>
                    </m:sub>
                  </m:sSub>
                  <m:r>
                    <w:rPr>
                      <w:rFonts w:ascii="Cambria Math" w:hAnsi="Cambria Math"/>
                    </w:rPr>
                    <m:t>+</m:t>
                  </m:r>
                  <m:sSub>
                    <m:sSubPr>
                      <m:ctrlPr>
                        <w:rPr>
                          <w:rFonts w:ascii="Cambria Math" w:hAnsi="Cambria Math"/>
                          <w:i/>
                        </w:rPr>
                      </m:ctrlPr>
                    </m:sSubPr>
                    <m:e>
                      <m:r>
                        <w:rPr>
                          <w:rFonts w:ascii="Cambria Math" w:hAnsi="Cambria Math"/>
                        </w:rPr>
                        <m:t>CPI</m:t>
                      </m:r>
                    </m:e>
                    <m:sub>
                      <m:r>
                        <w:rPr>
                          <w:rFonts w:ascii="Cambria Math" w:hAnsi="Cambria Math"/>
                        </w:rPr>
                        <m:t>Dec(t-2)</m:t>
                      </m:r>
                    </m:sub>
                  </m:sSub>
                  <m:r>
                    <w:rPr>
                      <w:rFonts w:ascii="Cambria Math" w:hAnsi="Cambria Math"/>
                    </w:rPr>
                    <m:t>+</m:t>
                  </m:r>
                  <m:sSub>
                    <m:sSubPr>
                      <m:ctrlPr>
                        <w:rPr>
                          <w:rFonts w:ascii="Cambria Math" w:hAnsi="Cambria Math"/>
                          <w:i/>
                        </w:rPr>
                      </m:ctrlPr>
                    </m:sSubPr>
                    <m:e>
                      <m:r>
                        <w:rPr>
                          <w:rFonts w:ascii="Cambria Math" w:hAnsi="Cambria Math"/>
                        </w:rPr>
                        <m:t>CPI</m:t>
                      </m:r>
                    </m:e>
                    <m:sub>
                      <m:r>
                        <w:rPr>
                          <w:rFonts w:ascii="Cambria Math" w:hAnsi="Cambria Math"/>
                        </w:rPr>
                        <m:t>March(t-2)</m:t>
                      </m:r>
                    </m:sub>
                  </m:sSub>
                </m:den>
              </m:f>
            </m:e>
          </m:d>
        </m:oMath>
      </m:oMathPara>
    </w:p>
    <w:p w:rsidR="00986558" w:rsidRDefault="00986558" w:rsidP="00986558">
      <w:r>
        <w:t>The CPI adjustment for 2017</w:t>
      </w:r>
      <w:r>
        <w:sym w:font="Symbol" w:char="F02D"/>
      </w:r>
      <w:r>
        <w:t>18 is:</w:t>
      </w:r>
    </w:p>
    <w:p w:rsidR="000D1DCD" w:rsidRDefault="003F60E8" w:rsidP="000D1DCD">
      <m:oMathPara>
        <m:oMathParaPr>
          <m:jc m:val="center"/>
        </m:oMathParaPr>
        <m:oMath>
          <m:sSub>
            <m:sSubPr>
              <m:ctrlPr>
                <w:rPr>
                  <w:rFonts w:ascii="Cambria Math" w:hAnsi="Cambria Math"/>
                </w:rPr>
              </m:ctrlPr>
            </m:sSubPr>
            <m:e>
              <m:r>
                <w:rPr>
                  <w:rFonts w:ascii="Cambria Math" w:hAnsi="Cambria Math"/>
                </w:rPr>
                <m:t>CPI</m:t>
              </m:r>
            </m:e>
            <m:sub>
              <m:r>
                <m:rPr>
                  <m:sty m:val="p"/>
                </m:rPr>
                <w:rPr>
                  <w:rFonts w:ascii="Cambria Math" w:hAnsi="Cambria Math"/>
                </w:rPr>
                <m:t>2017</m:t>
              </m:r>
              <m:r>
                <m:rPr>
                  <m:sty m:val="p"/>
                </m:rPr>
                <w:rPr>
                  <w:rFonts w:ascii="Cambria Math" w:hAnsi="Cambria Math"/>
                </w:rPr>
                <w:sym w:font="Symbol" w:char="F02D"/>
              </m:r>
              <m:r>
                <m:rPr>
                  <m:sty m:val="p"/>
                </m:rPr>
                <w:rPr>
                  <w:rFonts w:ascii="Cambria Math" w:hAnsi="Cambria Math"/>
                </w:rPr>
                <m:t>18</m:t>
              </m:r>
            </m:sub>
          </m:sSub>
          <m:r>
            <m:rPr>
              <m:sty m:val="p"/>
            </m:rPr>
            <w:rPr>
              <w:rFonts w:ascii="Cambria Math" w:hAnsi="Cambria Math"/>
            </w:rPr>
            <m:t>=</m:t>
          </m:r>
          <m:f>
            <m:fPr>
              <m:ctrlPr>
                <w:rPr>
                  <w:rFonts w:ascii="Cambria Math" w:hAnsi="Cambria Math"/>
                </w:rPr>
              </m:ctrlPr>
            </m:fPr>
            <m:num>
              <m:r>
                <m:rPr>
                  <m:sty m:val="p"/>
                </m:rPr>
                <w:rPr>
                  <w:rFonts w:ascii="Cambria Math" w:hAnsi="Cambria Math"/>
                </w:rPr>
                <m:t>108.6+109.4+110.0+110.5</m:t>
              </m:r>
            </m:num>
            <m:den>
              <m:r>
                <m:rPr>
                  <m:sty m:val="p"/>
                </m:rPr>
                <w:rPr>
                  <w:rFonts w:ascii="Cambria Math" w:hAnsi="Cambria Math"/>
                </w:rPr>
                <m:t>107.5+108.0+108.4+108.2</m:t>
              </m:r>
            </m:den>
          </m:f>
          <m:r>
            <m:rPr>
              <m:sty m:val="p"/>
            </m:rPr>
            <w:rPr>
              <w:rFonts w:ascii="Cambria Math" w:hAnsi="Cambria Math"/>
            </w:rPr>
            <m:t>-1=1.481139%</m:t>
          </m:r>
        </m:oMath>
      </m:oMathPara>
    </w:p>
    <w:p w:rsidR="00544224" w:rsidRDefault="00544224" w:rsidP="00722BA6">
      <w:pPr>
        <w:pStyle w:val="Heading2"/>
      </w:pPr>
      <w:bookmarkStart w:id="33" w:name="_Toc483834466"/>
      <w:r>
        <w:t>Pass-through adjustment</w:t>
      </w:r>
      <w:bookmarkEnd w:id="33"/>
    </w:p>
    <w:p w:rsidR="00482473" w:rsidRDefault="00482473" w:rsidP="00F95D74">
      <w:pPr>
        <w:pStyle w:val="Heading3"/>
      </w:pPr>
      <w:r>
        <w:t>General provisions</w:t>
      </w:r>
    </w:p>
    <w:p w:rsidR="00730178" w:rsidRDefault="00730178" w:rsidP="00730178">
      <w:r w:rsidRPr="00730178">
        <w:t>Clauses 8 and 9 of the price direction set out the process for incorporating the effect of any approved pass-through events on Icon Water’s costs in prices in the following year.</w:t>
      </w:r>
    </w:p>
    <w:p w:rsidR="00FB2D96" w:rsidRDefault="00730178" w:rsidP="00730178">
      <w:r w:rsidRPr="00730178">
        <w:t>The price direction allows for</w:t>
      </w:r>
      <w:r w:rsidR="00FB2D96">
        <w:t xml:space="preserve"> seven </w:t>
      </w:r>
      <w:r w:rsidRPr="00730178">
        <w:t xml:space="preserve">pass-through events, three of which </w:t>
      </w:r>
      <w:r w:rsidR="00430687">
        <w:t>have been triggered for the 201</w:t>
      </w:r>
      <w:r w:rsidR="00873F86">
        <w:t>7</w:t>
      </w:r>
      <w:r w:rsidR="00430687">
        <w:sym w:font="Symbol" w:char="F02D"/>
      </w:r>
      <w:r w:rsidR="00430687">
        <w:t>1</w:t>
      </w:r>
      <w:r w:rsidR="00873F86">
        <w:t>8</w:t>
      </w:r>
      <w:r w:rsidR="00430687">
        <w:t xml:space="preserve"> price adjustment</w:t>
      </w:r>
      <w:r w:rsidRPr="00730178">
        <w:t xml:space="preserve">. These are events associated with the ACT Government’s </w:t>
      </w:r>
      <w:r w:rsidR="0098445F">
        <w:t>W</w:t>
      </w:r>
      <w:r w:rsidRPr="00730178">
        <w:t xml:space="preserve">ater </w:t>
      </w:r>
      <w:r w:rsidR="0098445F">
        <w:t>A</w:t>
      </w:r>
      <w:r w:rsidRPr="00730178">
        <w:t xml:space="preserve">bstraction </w:t>
      </w:r>
      <w:r w:rsidR="0098445F">
        <w:t>C</w:t>
      </w:r>
      <w:r w:rsidR="007E0EED">
        <w:t>harge (WAC)</w:t>
      </w:r>
      <w:r w:rsidR="00FB4155">
        <w:t xml:space="preserve">, </w:t>
      </w:r>
      <w:r w:rsidRPr="00730178">
        <w:t>utilities network facilities tax (UNFT) and Commonwealth subvention payment events.</w:t>
      </w:r>
    </w:p>
    <w:p w:rsidR="00FB2D96" w:rsidRDefault="00AF4203" w:rsidP="00730178">
      <w:r>
        <w:t>Clause 9.2 of t</w:t>
      </w:r>
      <w:r w:rsidR="000C77C9">
        <w:t xml:space="preserve">he price direction provides for Icon Water </w:t>
      </w:r>
      <w:r w:rsidR="001E6FFF">
        <w:t>to submit a pass-through application to the Commission</w:t>
      </w:r>
      <w:r w:rsidR="00FB2D96">
        <w:t>. Icon Water is required to make the submission by 1 May with the Commission required to m</w:t>
      </w:r>
      <w:r w:rsidR="00526FFB">
        <w:t>ake a decision and advise Icon W</w:t>
      </w:r>
      <w:r w:rsidR="00FB2D96">
        <w:t xml:space="preserve">ater by </w:t>
      </w:r>
      <w:r w:rsidR="00526FFB">
        <w:br/>
      </w:r>
      <w:r w:rsidR="00FB2D96">
        <w:lastRenderedPageBreak/>
        <w:t>30 May.</w:t>
      </w:r>
      <w:r w:rsidR="00FB2D96" w:rsidRPr="00FB2D96">
        <w:t xml:space="preserve"> </w:t>
      </w:r>
      <w:r w:rsidR="00C201C9">
        <w:t xml:space="preserve">In the event that Icon Water does not lodge a submission, </w:t>
      </w:r>
      <w:r>
        <w:t xml:space="preserve">Clause 9.5 of the </w:t>
      </w:r>
      <w:r w:rsidR="00FB2D96">
        <w:t>price direction allows the Commission to initiate a pass-through amount.</w:t>
      </w:r>
    </w:p>
    <w:p w:rsidR="00482473" w:rsidRDefault="004C4263" w:rsidP="00F95D74">
      <w:pPr>
        <w:pStyle w:val="Heading3"/>
      </w:pPr>
      <w:r>
        <w:t>Pass-</w:t>
      </w:r>
      <w:proofErr w:type="spellStart"/>
      <w:r>
        <w:t>throughs</w:t>
      </w:r>
      <w:proofErr w:type="spellEnd"/>
      <w:r>
        <w:t xml:space="preserve"> for </w:t>
      </w:r>
      <w:r w:rsidR="00A360DC">
        <w:t>201</w:t>
      </w:r>
      <w:r w:rsidR="00506F1C">
        <w:t>7</w:t>
      </w:r>
      <w:r w:rsidR="00A360DC">
        <w:sym w:font="Symbol" w:char="F02D"/>
      </w:r>
      <w:r w:rsidR="00A360DC">
        <w:t>1</w:t>
      </w:r>
      <w:r w:rsidR="00506F1C">
        <w:t>8</w:t>
      </w:r>
      <w:r>
        <w:t xml:space="preserve"> prices</w:t>
      </w:r>
    </w:p>
    <w:p w:rsidR="00F95D74" w:rsidRDefault="00F95D74" w:rsidP="00F95D74">
      <w:pPr>
        <w:pStyle w:val="Heading4"/>
      </w:pPr>
      <w:r>
        <w:t>Icon Water submission</w:t>
      </w:r>
    </w:p>
    <w:p w:rsidR="0097780E" w:rsidRDefault="00482473" w:rsidP="00FB3A56">
      <w:r>
        <w:t xml:space="preserve">Icon Water </w:t>
      </w:r>
      <w:r w:rsidR="00996D45">
        <w:t xml:space="preserve">provided a pass-through submission to the Commission on </w:t>
      </w:r>
      <w:r w:rsidR="00FB3A56">
        <w:t>1 May </w:t>
      </w:r>
      <w:r w:rsidR="006F1308" w:rsidRPr="006F1308">
        <w:t>201</w:t>
      </w:r>
      <w:r w:rsidR="00FB3A56">
        <w:t>7</w:t>
      </w:r>
      <w:r>
        <w:t xml:space="preserve"> </w:t>
      </w:r>
      <w:r w:rsidR="00996D45">
        <w:t xml:space="preserve">for </w:t>
      </w:r>
      <w:r w:rsidR="004C4263">
        <w:t>consideration in 201</w:t>
      </w:r>
      <w:r w:rsidR="00FB3A56">
        <w:t>7</w:t>
      </w:r>
      <w:r w:rsidR="004C4263">
        <w:sym w:font="Symbol" w:char="F02D"/>
      </w:r>
      <w:r w:rsidR="004C4263">
        <w:t>1</w:t>
      </w:r>
      <w:r w:rsidR="00FB3A56">
        <w:t>8</w:t>
      </w:r>
      <w:r w:rsidR="004C4263">
        <w:t xml:space="preserve"> prices.</w:t>
      </w:r>
      <w:r w:rsidR="00996D45">
        <w:t xml:space="preserve"> </w:t>
      </w:r>
      <w:r w:rsidR="001F289F">
        <w:t xml:space="preserve">Consistent </w:t>
      </w:r>
      <w:r w:rsidR="007E0EED">
        <w:t xml:space="preserve">with </w:t>
      </w:r>
      <w:r w:rsidR="00FB3A56">
        <w:t>the Commission's May </w:t>
      </w:r>
      <w:r w:rsidR="00996D45">
        <w:t xml:space="preserve">2015 </w:t>
      </w:r>
      <w:r w:rsidR="001F289F">
        <w:t>approach</w:t>
      </w:r>
      <w:r w:rsidR="00996D45">
        <w:t>, the submission relates to amounts associated with WAC, UNFT and subvention payments for the 201</w:t>
      </w:r>
      <w:r w:rsidR="00FB3A56">
        <w:t>5</w:t>
      </w:r>
      <w:r w:rsidR="00996D45">
        <w:sym w:font="Symbol" w:char="F02D"/>
      </w:r>
      <w:r w:rsidR="00996D45">
        <w:t>1</w:t>
      </w:r>
      <w:r w:rsidR="00FB3A56">
        <w:t>6</w:t>
      </w:r>
      <w:r w:rsidR="00996D45">
        <w:t xml:space="preserve"> financial year, the most recent year for which actual data is available.</w:t>
      </w:r>
      <w:r w:rsidR="00FB3A56" w:rsidRPr="00FB3A56">
        <w:t xml:space="preserve"> </w:t>
      </w:r>
      <w:r w:rsidR="00C10476">
        <w:t>Icon Water’s submission requested th</w:t>
      </w:r>
      <w:r w:rsidR="0097780E">
        <w:t xml:space="preserve">at </w:t>
      </w:r>
      <w:r w:rsidR="00FB3A56">
        <w:t>positive</w:t>
      </w:r>
      <w:r w:rsidR="0097780E">
        <w:t xml:space="preserve"> pass-through amounts</w:t>
      </w:r>
      <w:r w:rsidR="00F51898">
        <w:t xml:space="preserve"> in 201</w:t>
      </w:r>
      <w:r w:rsidR="00FB3A56">
        <w:t>7</w:t>
      </w:r>
      <w:r w:rsidR="00F51898">
        <w:sym w:font="Symbol" w:char="F02D"/>
      </w:r>
      <w:r w:rsidR="00F51898">
        <w:t>1</w:t>
      </w:r>
      <w:r w:rsidR="00FB3A56">
        <w:t>8</w:t>
      </w:r>
      <w:r w:rsidR="00F51898">
        <w:t xml:space="preserve"> dollars </w:t>
      </w:r>
      <w:r w:rsidR="0097780E">
        <w:t>of $</w:t>
      </w:r>
      <w:r w:rsidR="00FB3A56">
        <w:t>40,815</w:t>
      </w:r>
      <w:r w:rsidR="0097780E">
        <w:t xml:space="preserve"> </w:t>
      </w:r>
      <w:r w:rsidR="002F2946">
        <w:t xml:space="preserve">for water, </w:t>
      </w:r>
      <w:r w:rsidR="00FB3A56">
        <w:t>and negative pass-through amounts in 2017</w:t>
      </w:r>
      <w:r w:rsidR="00FB3A56">
        <w:sym w:font="Symbol" w:char="F02D"/>
      </w:r>
      <w:r w:rsidR="00FB3A56">
        <w:t>18 dollars of $333,945</w:t>
      </w:r>
      <w:r w:rsidR="00B1156B">
        <w:t xml:space="preserve"> for sewerage</w:t>
      </w:r>
      <w:r w:rsidR="0097780E">
        <w:t xml:space="preserve"> be taken into consideration.</w:t>
      </w:r>
    </w:p>
    <w:p w:rsidR="0097780E" w:rsidRDefault="00F95D74" w:rsidP="00F95D74">
      <w:pPr>
        <w:pStyle w:val="Heading4"/>
      </w:pPr>
      <w:r>
        <w:t>Commission’s decision</w:t>
      </w:r>
    </w:p>
    <w:p w:rsidR="009A2C1E" w:rsidRDefault="009A2C1E" w:rsidP="009A2C1E">
      <w:r>
        <w:t>When setting prices in advance of a regulatory period, a forecast of the amount of the WAC and UNFT to be recovered from customers by Icon Water and paid to the ACT Government in any particular year is required.</w:t>
      </w:r>
      <w:r w:rsidR="00803B58">
        <w:t xml:space="preserve"> In the case of the Commonwealth subvention payment, the forecast amount is subtracted from Icon Water’s revenue requirement and is therefore excluded from customer charges. </w:t>
      </w:r>
      <w:r>
        <w:t>Any difference between the forecast and actual amounts is then subject to an annual pass-through adjustment, which can be positive or negative. Positive pass-</w:t>
      </w:r>
      <w:proofErr w:type="spellStart"/>
      <w:r>
        <w:t>throughs</w:t>
      </w:r>
      <w:proofErr w:type="spellEnd"/>
      <w:r>
        <w:t xml:space="preserve"> raise prices, while negative pass-</w:t>
      </w:r>
      <w:proofErr w:type="spellStart"/>
      <w:r>
        <w:t>throughs</w:t>
      </w:r>
      <w:proofErr w:type="spellEnd"/>
      <w:r>
        <w:t xml:space="preserve"> bring prices down.</w:t>
      </w:r>
    </w:p>
    <w:p w:rsidR="008E4EE2" w:rsidRDefault="00005295" w:rsidP="0015386F">
      <w:r>
        <w:t xml:space="preserve">As illustrated </w:t>
      </w:r>
      <w:r w:rsidR="006554FF">
        <w:t xml:space="preserve">in Table </w:t>
      </w:r>
      <w:r w:rsidR="00A264F9">
        <w:t>2.1</w:t>
      </w:r>
      <w:r w:rsidR="006554FF">
        <w:t xml:space="preserve">, </w:t>
      </w:r>
      <w:r>
        <w:t>t</w:t>
      </w:r>
      <w:r w:rsidR="009A2C1E">
        <w:t>he pass-through amounts of</w:t>
      </w:r>
      <w:r w:rsidR="009A2C1E" w:rsidRPr="00CD5D59">
        <w:t xml:space="preserve"> </w:t>
      </w:r>
      <w:r w:rsidR="009A2C1E">
        <w:t xml:space="preserve">about </w:t>
      </w:r>
      <w:r w:rsidR="009A2C1E" w:rsidRPr="00CD5D59">
        <w:t>$</w:t>
      </w:r>
      <w:r w:rsidR="00A53888">
        <w:t xml:space="preserve">40,815 for water </w:t>
      </w:r>
      <w:r w:rsidR="009A2C1E" w:rsidRPr="00CD5D59">
        <w:t>and $</w:t>
      </w:r>
      <w:r w:rsidR="00A53888">
        <w:t>333,945</w:t>
      </w:r>
      <w:r w:rsidR="009A2C1E" w:rsidRPr="00CD5D59">
        <w:t xml:space="preserve"> for sewerage </w:t>
      </w:r>
      <w:r w:rsidR="009A2C1E">
        <w:t>in the 201</w:t>
      </w:r>
      <w:r w:rsidR="00A53888">
        <w:t>7</w:t>
      </w:r>
      <w:r w:rsidR="009A2C1E">
        <w:sym w:font="Symbol" w:char="F02D"/>
      </w:r>
      <w:r w:rsidR="009A2C1E">
        <w:t>1</w:t>
      </w:r>
      <w:r w:rsidR="00A53888">
        <w:t>8</w:t>
      </w:r>
      <w:r w:rsidR="009A2C1E">
        <w:t xml:space="preserve"> price adjustment are primarily associated with a divergence between the WAC and UNFT forecast amounts and the actual amounts collected and paid in 201</w:t>
      </w:r>
      <w:r w:rsidR="00A53888">
        <w:t>5</w:t>
      </w:r>
      <w:r w:rsidR="009A2C1E">
        <w:sym w:font="Symbol" w:char="F02D"/>
      </w:r>
      <w:r w:rsidR="009A2C1E">
        <w:t>1</w:t>
      </w:r>
      <w:r w:rsidR="00A53888">
        <w:t>6</w:t>
      </w:r>
      <w:r w:rsidR="009A2C1E">
        <w:t>.</w:t>
      </w:r>
    </w:p>
    <w:p w:rsidR="00005295" w:rsidRDefault="00005295" w:rsidP="00005295">
      <w:pPr>
        <w:pStyle w:val="TableName"/>
        <w:keepNext/>
      </w:pPr>
      <w:bookmarkStart w:id="34" w:name="_Toc483834477"/>
      <w:r>
        <w:t xml:space="preserve">Table </w:t>
      </w:r>
      <w:r w:rsidR="002618CD">
        <w:fldChar w:fldCharType="begin"/>
      </w:r>
      <w:r>
        <w:instrText xml:space="preserve"> STYLEREF 1 \s </w:instrText>
      </w:r>
      <w:r w:rsidR="002618CD">
        <w:fldChar w:fldCharType="separate"/>
      </w:r>
      <w:r w:rsidR="00BA1301">
        <w:rPr>
          <w:noProof/>
        </w:rPr>
        <w:t>2</w:t>
      </w:r>
      <w:r w:rsidR="002618CD">
        <w:fldChar w:fldCharType="end"/>
      </w:r>
      <w:r>
        <w:t>.</w:t>
      </w:r>
      <w:r w:rsidR="002618CD">
        <w:fldChar w:fldCharType="begin"/>
      </w:r>
      <w:r>
        <w:instrText xml:space="preserve"> SEQ Table \* ARABIC \s 1 </w:instrText>
      </w:r>
      <w:r w:rsidR="002618CD">
        <w:fldChar w:fldCharType="separate"/>
      </w:r>
      <w:r w:rsidR="00BA1301">
        <w:rPr>
          <w:noProof/>
        </w:rPr>
        <w:t>1</w:t>
      </w:r>
      <w:r w:rsidR="002618CD">
        <w:fldChar w:fldCharType="end"/>
      </w:r>
      <w:r>
        <w:tab/>
      </w:r>
      <w:r w:rsidR="00A40C72">
        <w:t xml:space="preserve">Pass-through amounts, </w:t>
      </w:r>
      <w:r>
        <w:t>201</w:t>
      </w:r>
      <w:r w:rsidR="00A40C72">
        <w:t>5</w:t>
      </w:r>
      <w:r>
        <w:t>–1</w:t>
      </w:r>
      <w:r w:rsidR="00A40C72">
        <w:t>6</w:t>
      </w:r>
      <w:r w:rsidR="00A264F9">
        <w:t xml:space="preserve"> </w:t>
      </w:r>
      <w:r w:rsidR="00A40C72">
        <w:t>(</w:t>
      </w:r>
      <w:r w:rsidR="00A264F9">
        <w:t>$</w:t>
      </w:r>
      <w:r w:rsidR="00CF2A27">
        <w:t>, 2015</w:t>
      </w:r>
      <w:r w:rsidR="00A40C72">
        <w:t>–16)</w:t>
      </w:r>
      <w:bookmarkEnd w:id="34"/>
    </w:p>
    <w:tbl>
      <w:tblPr>
        <w:tblW w:w="6108" w:type="dxa"/>
        <w:tblInd w:w="96" w:type="dxa"/>
        <w:tblLook w:val="04A0" w:firstRow="1" w:lastRow="0" w:firstColumn="1" w:lastColumn="0" w:noHBand="0" w:noVBand="1"/>
      </w:tblPr>
      <w:tblGrid>
        <w:gridCol w:w="1889"/>
        <w:gridCol w:w="1951"/>
        <w:gridCol w:w="1134"/>
        <w:gridCol w:w="1134"/>
      </w:tblGrid>
      <w:tr w:rsidR="00005295" w:rsidTr="000D3D9B">
        <w:trPr>
          <w:trHeight w:val="330"/>
        </w:trPr>
        <w:tc>
          <w:tcPr>
            <w:tcW w:w="1889" w:type="dxa"/>
            <w:tcBorders>
              <w:top w:val="single" w:sz="12" w:space="0" w:color="1F497D"/>
              <w:left w:val="nil"/>
              <w:bottom w:val="single" w:sz="8" w:space="0" w:color="1F497D"/>
              <w:right w:val="nil"/>
            </w:tcBorders>
            <w:shd w:val="clear" w:color="auto" w:fill="DBE5F1"/>
            <w:noWrap/>
            <w:vAlign w:val="bottom"/>
            <w:hideMark/>
          </w:tcPr>
          <w:p w:rsidR="00005295" w:rsidRPr="00625889" w:rsidRDefault="00005295" w:rsidP="00E96C7A">
            <w:pPr>
              <w:pStyle w:val="TableTextLeft"/>
              <w:keepNext/>
            </w:pPr>
            <w:r>
              <w:t> </w:t>
            </w:r>
          </w:p>
        </w:tc>
        <w:tc>
          <w:tcPr>
            <w:tcW w:w="1951" w:type="dxa"/>
            <w:tcBorders>
              <w:top w:val="single" w:sz="12" w:space="0" w:color="1F497D"/>
              <w:left w:val="nil"/>
              <w:bottom w:val="single" w:sz="8" w:space="0" w:color="1F497D"/>
              <w:right w:val="nil"/>
            </w:tcBorders>
            <w:shd w:val="clear" w:color="auto" w:fill="DBE5F1"/>
            <w:noWrap/>
            <w:vAlign w:val="bottom"/>
            <w:hideMark/>
          </w:tcPr>
          <w:p w:rsidR="00005295" w:rsidRPr="00625889" w:rsidRDefault="00A40C72" w:rsidP="00E96C7A">
            <w:pPr>
              <w:pStyle w:val="TableHeadingRight"/>
              <w:keepNext/>
            </w:pPr>
            <w:r>
              <w:t xml:space="preserve">Industry Panel forecast </w:t>
            </w:r>
          </w:p>
        </w:tc>
        <w:tc>
          <w:tcPr>
            <w:tcW w:w="1134" w:type="dxa"/>
            <w:tcBorders>
              <w:top w:val="single" w:sz="12" w:space="0" w:color="1F497D"/>
              <w:left w:val="nil"/>
              <w:bottom w:val="single" w:sz="8" w:space="0" w:color="1F497D"/>
              <w:right w:val="nil"/>
            </w:tcBorders>
            <w:shd w:val="clear" w:color="auto" w:fill="DBE5F1"/>
            <w:noWrap/>
            <w:vAlign w:val="bottom"/>
            <w:hideMark/>
          </w:tcPr>
          <w:p w:rsidR="00005295" w:rsidRPr="00625889" w:rsidRDefault="00A40C72" w:rsidP="00A40C72">
            <w:pPr>
              <w:pStyle w:val="TableHeadingRight"/>
              <w:keepNext/>
            </w:pPr>
            <w:r>
              <w:t>Actual</w:t>
            </w:r>
          </w:p>
        </w:tc>
        <w:tc>
          <w:tcPr>
            <w:tcW w:w="1134" w:type="dxa"/>
            <w:tcBorders>
              <w:top w:val="single" w:sz="12" w:space="0" w:color="1F497D"/>
              <w:left w:val="nil"/>
              <w:bottom w:val="single" w:sz="8" w:space="0" w:color="1F497D"/>
              <w:right w:val="nil"/>
            </w:tcBorders>
            <w:shd w:val="clear" w:color="auto" w:fill="DBE5F1"/>
            <w:noWrap/>
            <w:vAlign w:val="bottom"/>
            <w:hideMark/>
          </w:tcPr>
          <w:p w:rsidR="00005295" w:rsidRPr="00625889" w:rsidRDefault="00A40C72" w:rsidP="00E96C7A">
            <w:pPr>
              <w:pStyle w:val="TableHeadingRight"/>
              <w:keepNext/>
            </w:pPr>
            <w:r>
              <w:t>Difference</w:t>
            </w:r>
          </w:p>
        </w:tc>
      </w:tr>
      <w:tr w:rsidR="00005295" w:rsidTr="000D3D9B">
        <w:trPr>
          <w:trHeight w:val="300"/>
        </w:trPr>
        <w:tc>
          <w:tcPr>
            <w:tcW w:w="1889" w:type="dxa"/>
            <w:vAlign w:val="bottom"/>
            <w:hideMark/>
          </w:tcPr>
          <w:p w:rsidR="00005295" w:rsidRPr="00A40C72" w:rsidRDefault="00A40C72" w:rsidP="00E96C7A">
            <w:pPr>
              <w:pStyle w:val="TableTextLeft"/>
              <w:keepNext/>
              <w:rPr>
                <w:b/>
              </w:rPr>
            </w:pPr>
            <w:r w:rsidRPr="00A40C72">
              <w:rPr>
                <w:b/>
              </w:rPr>
              <w:t>Water</w:t>
            </w:r>
          </w:p>
        </w:tc>
        <w:tc>
          <w:tcPr>
            <w:tcW w:w="1951" w:type="dxa"/>
            <w:vAlign w:val="bottom"/>
          </w:tcPr>
          <w:p w:rsidR="00005295" w:rsidRPr="006B4B0A" w:rsidRDefault="00005295" w:rsidP="00E96C7A">
            <w:pPr>
              <w:pStyle w:val="TableHeadingRight"/>
              <w:keepNext/>
              <w:rPr>
                <w:b w:val="0"/>
              </w:rPr>
            </w:pPr>
          </w:p>
        </w:tc>
        <w:tc>
          <w:tcPr>
            <w:tcW w:w="1134" w:type="dxa"/>
            <w:vAlign w:val="bottom"/>
          </w:tcPr>
          <w:p w:rsidR="00005295" w:rsidRPr="00C51A9B" w:rsidRDefault="00005295" w:rsidP="00E96C7A">
            <w:pPr>
              <w:pStyle w:val="TableHeadingRight"/>
              <w:keepNext/>
            </w:pPr>
          </w:p>
        </w:tc>
        <w:tc>
          <w:tcPr>
            <w:tcW w:w="1134" w:type="dxa"/>
            <w:vAlign w:val="bottom"/>
          </w:tcPr>
          <w:p w:rsidR="00005295" w:rsidRPr="00C51A9B" w:rsidRDefault="00005295" w:rsidP="00E96C7A">
            <w:pPr>
              <w:pStyle w:val="TableTextRight"/>
              <w:keepNext/>
            </w:pPr>
          </w:p>
        </w:tc>
      </w:tr>
      <w:tr w:rsidR="00A40C72" w:rsidTr="000D3D9B">
        <w:trPr>
          <w:trHeight w:val="300"/>
        </w:trPr>
        <w:tc>
          <w:tcPr>
            <w:tcW w:w="1889" w:type="dxa"/>
            <w:vAlign w:val="bottom"/>
          </w:tcPr>
          <w:p w:rsidR="00A40C72" w:rsidRDefault="00A40C72" w:rsidP="00E96C7A">
            <w:pPr>
              <w:pStyle w:val="TableTextLeft"/>
              <w:keepNext/>
            </w:pPr>
            <w:r>
              <w:t>WAC</w:t>
            </w:r>
          </w:p>
        </w:tc>
        <w:tc>
          <w:tcPr>
            <w:tcW w:w="1951" w:type="dxa"/>
            <w:vAlign w:val="bottom"/>
          </w:tcPr>
          <w:p w:rsidR="00A40C72" w:rsidRDefault="00A40C72" w:rsidP="00E96C7A">
            <w:pPr>
              <w:pStyle w:val="TableHeadingRight"/>
              <w:keepNext/>
              <w:rPr>
                <w:b w:val="0"/>
              </w:rPr>
            </w:pPr>
            <w:r>
              <w:rPr>
                <w:b w:val="0"/>
              </w:rPr>
              <w:t>27,344,996</w:t>
            </w:r>
          </w:p>
        </w:tc>
        <w:tc>
          <w:tcPr>
            <w:tcW w:w="1134" w:type="dxa"/>
            <w:vAlign w:val="bottom"/>
          </w:tcPr>
          <w:p w:rsidR="00A40C72" w:rsidRPr="00A40C72" w:rsidRDefault="00A40C72" w:rsidP="00E96C7A">
            <w:pPr>
              <w:pStyle w:val="TableHeadingRight"/>
              <w:keepNext/>
              <w:rPr>
                <w:b w:val="0"/>
              </w:rPr>
            </w:pPr>
            <w:r w:rsidRPr="00A40C72">
              <w:rPr>
                <w:b w:val="0"/>
              </w:rPr>
              <w:t>27</w:t>
            </w:r>
            <w:r>
              <w:rPr>
                <w:b w:val="0"/>
              </w:rPr>
              <w:t>,470,685</w:t>
            </w:r>
          </w:p>
        </w:tc>
        <w:tc>
          <w:tcPr>
            <w:tcW w:w="1134" w:type="dxa"/>
            <w:vAlign w:val="bottom"/>
          </w:tcPr>
          <w:p w:rsidR="00A40C72" w:rsidRPr="00A40C72" w:rsidRDefault="00A40C72" w:rsidP="00E96C7A">
            <w:pPr>
              <w:pStyle w:val="TableTextRight"/>
              <w:keepNext/>
            </w:pPr>
            <w:r>
              <w:t>125,689</w:t>
            </w:r>
          </w:p>
        </w:tc>
      </w:tr>
      <w:tr w:rsidR="00A40C72" w:rsidTr="000D3D9B">
        <w:trPr>
          <w:trHeight w:val="300"/>
        </w:trPr>
        <w:tc>
          <w:tcPr>
            <w:tcW w:w="1889" w:type="dxa"/>
            <w:vAlign w:val="bottom"/>
          </w:tcPr>
          <w:p w:rsidR="00A40C72" w:rsidRDefault="00A40C72" w:rsidP="00E96C7A">
            <w:pPr>
              <w:pStyle w:val="TableTextLeft"/>
              <w:keepNext/>
            </w:pPr>
            <w:r>
              <w:t>UNFT</w:t>
            </w:r>
          </w:p>
        </w:tc>
        <w:tc>
          <w:tcPr>
            <w:tcW w:w="1951" w:type="dxa"/>
            <w:vAlign w:val="bottom"/>
          </w:tcPr>
          <w:p w:rsidR="00A40C72" w:rsidRDefault="00A40C72" w:rsidP="00E96C7A">
            <w:pPr>
              <w:pStyle w:val="TableHeadingRight"/>
              <w:keepNext/>
              <w:rPr>
                <w:b w:val="0"/>
              </w:rPr>
            </w:pPr>
            <w:r>
              <w:rPr>
                <w:b w:val="0"/>
              </w:rPr>
              <w:t>4,697,968</w:t>
            </w:r>
          </w:p>
        </w:tc>
        <w:tc>
          <w:tcPr>
            <w:tcW w:w="1134" w:type="dxa"/>
            <w:vAlign w:val="bottom"/>
          </w:tcPr>
          <w:p w:rsidR="00A40C72" w:rsidRPr="00A40C72" w:rsidRDefault="00A40C72" w:rsidP="00E96C7A">
            <w:pPr>
              <w:pStyle w:val="TableHeadingRight"/>
              <w:keepNext/>
              <w:rPr>
                <w:b w:val="0"/>
              </w:rPr>
            </w:pPr>
            <w:r>
              <w:rPr>
                <w:b w:val="0"/>
              </w:rPr>
              <w:t>4,519,154</w:t>
            </w:r>
          </w:p>
        </w:tc>
        <w:tc>
          <w:tcPr>
            <w:tcW w:w="1134" w:type="dxa"/>
            <w:vAlign w:val="bottom"/>
          </w:tcPr>
          <w:p w:rsidR="00A40C72" w:rsidRPr="00A40C72" w:rsidRDefault="00A40C72" w:rsidP="00E96C7A">
            <w:pPr>
              <w:pStyle w:val="TableTextRight"/>
              <w:keepNext/>
            </w:pPr>
            <w:r>
              <w:t>-178,814</w:t>
            </w:r>
          </w:p>
        </w:tc>
      </w:tr>
      <w:tr w:rsidR="00A40C72" w:rsidTr="00A21980">
        <w:trPr>
          <w:trHeight w:val="300"/>
        </w:trPr>
        <w:tc>
          <w:tcPr>
            <w:tcW w:w="1889" w:type="dxa"/>
            <w:vAlign w:val="bottom"/>
          </w:tcPr>
          <w:p w:rsidR="00A40C72" w:rsidRDefault="00A40C72" w:rsidP="00E96C7A">
            <w:pPr>
              <w:pStyle w:val="TableTextLeft"/>
              <w:keepNext/>
            </w:pPr>
            <w:r>
              <w:t>Subvention payment</w:t>
            </w:r>
          </w:p>
        </w:tc>
        <w:tc>
          <w:tcPr>
            <w:tcW w:w="1951" w:type="dxa"/>
            <w:vAlign w:val="bottom"/>
          </w:tcPr>
          <w:p w:rsidR="00A40C72" w:rsidRDefault="00A40C72" w:rsidP="00E96C7A">
            <w:pPr>
              <w:pStyle w:val="TableHeadingRight"/>
              <w:keepNext/>
              <w:rPr>
                <w:b w:val="0"/>
              </w:rPr>
            </w:pPr>
            <w:r>
              <w:rPr>
                <w:b w:val="0"/>
              </w:rPr>
              <w:t>-1,130,395</w:t>
            </w:r>
          </w:p>
        </w:tc>
        <w:tc>
          <w:tcPr>
            <w:tcW w:w="1134" w:type="dxa"/>
            <w:vAlign w:val="bottom"/>
          </w:tcPr>
          <w:p w:rsidR="00A40C72" w:rsidRPr="00A40C72" w:rsidRDefault="00A40C72" w:rsidP="00E96C7A">
            <w:pPr>
              <w:pStyle w:val="TableHeadingRight"/>
              <w:keepNext/>
              <w:rPr>
                <w:b w:val="0"/>
              </w:rPr>
            </w:pPr>
            <w:r>
              <w:rPr>
                <w:b w:val="0"/>
              </w:rPr>
              <w:t>-1,036,455</w:t>
            </w:r>
          </w:p>
        </w:tc>
        <w:tc>
          <w:tcPr>
            <w:tcW w:w="1134" w:type="dxa"/>
            <w:tcBorders>
              <w:bottom w:val="single" w:sz="4" w:space="0" w:color="auto"/>
            </w:tcBorders>
            <w:vAlign w:val="bottom"/>
          </w:tcPr>
          <w:p w:rsidR="00A40C72" w:rsidRPr="00A40C72" w:rsidRDefault="00A40C72" w:rsidP="00E96C7A">
            <w:pPr>
              <w:pStyle w:val="TableTextRight"/>
              <w:keepNext/>
            </w:pPr>
            <w:r>
              <w:t>93,940</w:t>
            </w:r>
          </w:p>
        </w:tc>
      </w:tr>
      <w:tr w:rsidR="00A40C72" w:rsidTr="00A21980">
        <w:trPr>
          <w:trHeight w:val="300"/>
        </w:trPr>
        <w:tc>
          <w:tcPr>
            <w:tcW w:w="1889" w:type="dxa"/>
            <w:vAlign w:val="bottom"/>
          </w:tcPr>
          <w:p w:rsidR="00A40C72" w:rsidRPr="00A40C72" w:rsidRDefault="00A40C72" w:rsidP="00E96C7A">
            <w:pPr>
              <w:pStyle w:val="TableTextLeft"/>
              <w:keepNext/>
              <w:rPr>
                <w:b/>
              </w:rPr>
            </w:pPr>
            <w:r>
              <w:rPr>
                <w:b/>
              </w:rPr>
              <w:t>Total</w:t>
            </w:r>
          </w:p>
        </w:tc>
        <w:tc>
          <w:tcPr>
            <w:tcW w:w="1951" w:type="dxa"/>
            <w:vAlign w:val="bottom"/>
          </w:tcPr>
          <w:p w:rsidR="00A40C72" w:rsidRDefault="00A40C72" w:rsidP="00E96C7A">
            <w:pPr>
              <w:pStyle w:val="TableHeadingRight"/>
              <w:keepNext/>
              <w:rPr>
                <w:b w:val="0"/>
              </w:rPr>
            </w:pPr>
          </w:p>
        </w:tc>
        <w:tc>
          <w:tcPr>
            <w:tcW w:w="1134" w:type="dxa"/>
            <w:vAlign w:val="bottom"/>
          </w:tcPr>
          <w:p w:rsidR="00A40C72" w:rsidRPr="00A40C72" w:rsidRDefault="00A40C72" w:rsidP="00E96C7A">
            <w:pPr>
              <w:pStyle w:val="TableHeadingRight"/>
              <w:keepNext/>
              <w:rPr>
                <w:b w:val="0"/>
              </w:rPr>
            </w:pPr>
          </w:p>
        </w:tc>
        <w:tc>
          <w:tcPr>
            <w:tcW w:w="1134" w:type="dxa"/>
            <w:tcBorders>
              <w:top w:val="single" w:sz="4" w:space="0" w:color="auto"/>
              <w:bottom w:val="single" w:sz="4" w:space="0" w:color="auto"/>
            </w:tcBorders>
            <w:vAlign w:val="bottom"/>
          </w:tcPr>
          <w:p w:rsidR="00A40C72" w:rsidRPr="00A40C72" w:rsidRDefault="00A40C72" w:rsidP="00E96C7A">
            <w:pPr>
              <w:pStyle w:val="TableTextRight"/>
              <w:keepNext/>
              <w:rPr>
                <w:b/>
              </w:rPr>
            </w:pPr>
            <w:r w:rsidRPr="00A40C72">
              <w:rPr>
                <w:b/>
              </w:rPr>
              <w:t>40,815</w:t>
            </w:r>
          </w:p>
        </w:tc>
      </w:tr>
      <w:tr w:rsidR="00A40C72" w:rsidTr="00A21980">
        <w:trPr>
          <w:trHeight w:val="300"/>
        </w:trPr>
        <w:tc>
          <w:tcPr>
            <w:tcW w:w="1889" w:type="dxa"/>
            <w:vAlign w:val="bottom"/>
          </w:tcPr>
          <w:p w:rsidR="00A40C72" w:rsidRPr="00A40C72" w:rsidRDefault="00A40C72" w:rsidP="00E96C7A">
            <w:pPr>
              <w:pStyle w:val="TableTextLeft"/>
              <w:keepNext/>
              <w:rPr>
                <w:b/>
              </w:rPr>
            </w:pPr>
          </w:p>
        </w:tc>
        <w:tc>
          <w:tcPr>
            <w:tcW w:w="1951" w:type="dxa"/>
            <w:vAlign w:val="bottom"/>
          </w:tcPr>
          <w:p w:rsidR="00A40C72" w:rsidRDefault="00A40C72" w:rsidP="00E96C7A">
            <w:pPr>
              <w:pStyle w:val="TableHeadingRight"/>
              <w:keepNext/>
              <w:rPr>
                <w:b w:val="0"/>
              </w:rPr>
            </w:pPr>
          </w:p>
        </w:tc>
        <w:tc>
          <w:tcPr>
            <w:tcW w:w="1134" w:type="dxa"/>
            <w:vAlign w:val="bottom"/>
          </w:tcPr>
          <w:p w:rsidR="00A40C72" w:rsidRPr="00A40C72" w:rsidRDefault="00A40C72" w:rsidP="00E96C7A">
            <w:pPr>
              <w:pStyle w:val="TableHeadingRight"/>
              <w:keepNext/>
              <w:rPr>
                <w:b w:val="0"/>
              </w:rPr>
            </w:pPr>
          </w:p>
        </w:tc>
        <w:tc>
          <w:tcPr>
            <w:tcW w:w="1134" w:type="dxa"/>
            <w:tcBorders>
              <w:top w:val="single" w:sz="4" w:space="0" w:color="auto"/>
            </w:tcBorders>
            <w:vAlign w:val="bottom"/>
          </w:tcPr>
          <w:p w:rsidR="00A40C72" w:rsidRPr="00A40C72" w:rsidRDefault="00A40C72" w:rsidP="00E96C7A">
            <w:pPr>
              <w:pStyle w:val="TableTextRight"/>
              <w:keepNext/>
            </w:pPr>
          </w:p>
        </w:tc>
      </w:tr>
      <w:tr w:rsidR="00A40C72" w:rsidTr="000D3D9B">
        <w:trPr>
          <w:trHeight w:val="300"/>
        </w:trPr>
        <w:tc>
          <w:tcPr>
            <w:tcW w:w="1889" w:type="dxa"/>
            <w:vAlign w:val="bottom"/>
          </w:tcPr>
          <w:p w:rsidR="00A40C72" w:rsidRPr="00A40C72" w:rsidRDefault="00A40C72" w:rsidP="00E96C7A">
            <w:pPr>
              <w:pStyle w:val="TableTextLeft"/>
              <w:keepNext/>
              <w:rPr>
                <w:b/>
              </w:rPr>
            </w:pPr>
            <w:r w:rsidRPr="00A40C72">
              <w:rPr>
                <w:b/>
              </w:rPr>
              <w:t>Sewerage</w:t>
            </w:r>
          </w:p>
        </w:tc>
        <w:tc>
          <w:tcPr>
            <w:tcW w:w="1951" w:type="dxa"/>
            <w:vAlign w:val="bottom"/>
          </w:tcPr>
          <w:p w:rsidR="00A40C72" w:rsidRDefault="00A40C72" w:rsidP="00E96C7A">
            <w:pPr>
              <w:pStyle w:val="TableHeadingRight"/>
              <w:keepNext/>
              <w:rPr>
                <w:b w:val="0"/>
              </w:rPr>
            </w:pPr>
          </w:p>
        </w:tc>
        <w:tc>
          <w:tcPr>
            <w:tcW w:w="1134" w:type="dxa"/>
            <w:vAlign w:val="bottom"/>
          </w:tcPr>
          <w:p w:rsidR="00A40C72" w:rsidRPr="00A40C72" w:rsidRDefault="00A40C72" w:rsidP="00E96C7A">
            <w:pPr>
              <w:pStyle w:val="TableHeadingRight"/>
              <w:keepNext/>
              <w:rPr>
                <w:b w:val="0"/>
              </w:rPr>
            </w:pPr>
          </w:p>
        </w:tc>
        <w:tc>
          <w:tcPr>
            <w:tcW w:w="1134" w:type="dxa"/>
            <w:vAlign w:val="bottom"/>
          </w:tcPr>
          <w:p w:rsidR="00A40C72" w:rsidRPr="00A40C72" w:rsidRDefault="00A40C72" w:rsidP="00E96C7A">
            <w:pPr>
              <w:pStyle w:val="TableTextRight"/>
              <w:keepNext/>
            </w:pPr>
          </w:p>
        </w:tc>
      </w:tr>
      <w:tr w:rsidR="00A40C72" w:rsidTr="000D3D9B">
        <w:trPr>
          <w:trHeight w:val="300"/>
        </w:trPr>
        <w:tc>
          <w:tcPr>
            <w:tcW w:w="1889" w:type="dxa"/>
            <w:vAlign w:val="bottom"/>
          </w:tcPr>
          <w:p w:rsidR="00A40C72" w:rsidRDefault="00A40C72" w:rsidP="00E96C7A">
            <w:pPr>
              <w:pStyle w:val="TableTextLeft"/>
              <w:keepNext/>
            </w:pPr>
            <w:r>
              <w:t>UNFT</w:t>
            </w:r>
          </w:p>
        </w:tc>
        <w:tc>
          <w:tcPr>
            <w:tcW w:w="1951" w:type="dxa"/>
            <w:vAlign w:val="bottom"/>
          </w:tcPr>
          <w:p w:rsidR="00A40C72" w:rsidRDefault="00A40C72" w:rsidP="00E96C7A">
            <w:pPr>
              <w:pStyle w:val="TableHeadingRight"/>
              <w:keepNext/>
              <w:rPr>
                <w:b w:val="0"/>
              </w:rPr>
            </w:pPr>
            <w:r>
              <w:rPr>
                <w:b w:val="0"/>
              </w:rPr>
              <w:t>3,857,687</w:t>
            </w:r>
          </w:p>
        </w:tc>
        <w:tc>
          <w:tcPr>
            <w:tcW w:w="1134" w:type="dxa"/>
            <w:vAlign w:val="bottom"/>
          </w:tcPr>
          <w:p w:rsidR="00A40C72" w:rsidRDefault="00A40C72" w:rsidP="00E96C7A">
            <w:pPr>
              <w:pStyle w:val="TableHeadingRight"/>
              <w:keepNext/>
              <w:rPr>
                <w:b w:val="0"/>
              </w:rPr>
            </w:pPr>
            <w:r>
              <w:rPr>
                <w:b w:val="0"/>
              </w:rPr>
              <w:t>3,714,730</w:t>
            </w:r>
          </w:p>
        </w:tc>
        <w:tc>
          <w:tcPr>
            <w:tcW w:w="1134" w:type="dxa"/>
            <w:vAlign w:val="bottom"/>
          </w:tcPr>
          <w:p w:rsidR="00A40C72" w:rsidRDefault="00A40C72" w:rsidP="00E96C7A">
            <w:pPr>
              <w:pStyle w:val="TableTextRight"/>
              <w:keepNext/>
            </w:pPr>
            <w:r>
              <w:t>-142,957</w:t>
            </w:r>
          </w:p>
        </w:tc>
      </w:tr>
      <w:tr w:rsidR="00A40C72" w:rsidTr="00A21980">
        <w:trPr>
          <w:trHeight w:val="300"/>
        </w:trPr>
        <w:tc>
          <w:tcPr>
            <w:tcW w:w="1889" w:type="dxa"/>
            <w:vAlign w:val="bottom"/>
          </w:tcPr>
          <w:p w:rsidR="00A40C72" w:rsidRDefault="00A40C72" w:rsidP="00E96C7A">
            <w:pPr>
              <w:pStyle w:val="TableTextLeft"/>
              <w:keepNext/>
            </w:pPr>
            <w:r>
              <w:t>Subvention payment</w:t>
            </w:r>
          </w:p>
        </w:tc>
        <w:tc>
          <w:tcPr>
            <w:tcW w:w="1951" w:type="dxa"/>
            <w:vAlign w:val="bottom"/>
          </w:tcPr>
          <w:p w:rsidR="00A40C72" w:rsidRDefault="00A40C72" w:rsidP="00E96C7A">
            <w:pPr>
              <w:pStyle w:val="TableHeadingRight"/>
              <w:keepNext/>
              <w:rPr>
                <w:b w:val="0"/>
              </w:rPr>
            </w:pPr>
            <w:r>
              <w:rPr>
                <w:b w:val="0"/>
              </w:rPr>
              <w:t>-10,173,557</w:t>
            </w:r>
          </w:p>
        </w:tc>
        <w:tc>
          <w:tcPr>
            <w:tcW w:w="1134" w:type="dxa"/>
            <w:vAlign w:val="bottom"/>
          </w:tcPr>
          <w:p w:rsidR="00A40C72" w:rsidRDefault="00A40C72" w:rsidP="00E96C7A">
            <w:pPr>
              <w:pStyle w:val="TableHeadingRight"/>
              <w:keepNext/>
              <w:rPr>
                <w:b w:val="0"/>
              </w:rPr>
            </w:pPr>
            <w:r>
              <w:rPr>
                <w:b w:val="0"/>
              </w:rPr>
              <w:t>-10,364,545</w:t>
            </w:r>
          </w:p>
        </w:tc>
        <w:tc>
          <w:tcPr>
            <w:tcW w:w="1134" w:type="dxa"/>
            <w:tcBorders>
              <w:bottom w:val="single" w:sz="4" w:space="0" w:color="auto"/>
            </w:tcBorders>
            <w:vAlign w:val="bottom"/>
          </w:tcPr>
          <w:p w:rsidR="00A40C72" w:rsidRDefault="00A21980" w:rsidP="00E96C7A">
            <w:pPr>
              <w:pStyle w:val="TableTextRight"/>
              <w:keepNext/>
            </w:pPr>
            <w:r>
              <w:t>-</w:t>
            </w:r>
            <w:r w:rsidR="00A40C72">
              <w:t>190,988</w:t>
            </w:r>
          </w:p>
        </w:tc>
      </w:tr>
      <w:tr w:rsidR="00005295" w:rsidTr="00A21980">
        <w:trPr>
          <w:trHeight w:val="300"/>
        </w:trPr>
        <w:tc>
          <w:tcPr>
            <w:tcW w:w="1889" w:type="dxa"/>
            <w:vAlign w:val="bottom"/>
          </w:tcPr>
          <w:p w:rsidR="00005295" w:rsidRPr="00A40C72" w:rsidRDefault="00A40C72" w:rsidP="00E96C7A">
            <w:pPr>
              <w:pStyle w:val="TableTextLeft"/>
              <w:keepNext/>
              <w:rPr>
                <w:b/>
              </w:rPr>
            </w:pPr>
            <w:r w:rsidRPr="00A40C72">
              <w:rPr>
                <w:b/>
              </w:rPr>
              <w:t>Total</w:t>
            </w:r>
          </w:p>
        </w:tc>
        <w:tc>
          <w:tcPr>
            <w:tcW w:w="1951" w:type="dxa"/>
            <w:vAlign w:val="bottom"/>
          </w:tcPr>
          <w:p w:rsidR="00005295" w:rsidRPr="006B4B0A" w:rsidRDefault="00005295" w:rsidP="00E96C7A">
            <w:pPr>
              <w:pStyle w:val="TableHeadingRight"/>
              <w:keepNext/>
              <w:rPr>
                <w:b w:val="0"/>
              </w:rPr>
            </w:pPr>
          </w:p>
        </w:tc>
        <w:tc>
          <w:tcPr>
            <w:tcW w:w="1134" w:type="dxa"/>
            <w:vAlign w:val="bottom"/>
          </w:tcPr>
          <w:p w:rsidR="00005295" w:rsidRPr="00A40C72" w:rsidRDefault="00005295" w:rsidP="00E96C7A">
            <w:pPr>
              <w:pStyle w:val="TableHeadingRight"/>
              <w:keepNext/>
              <w:rPr>
                <w:b w:val="0"/>
              </w:rPr>
            </w:pPr>
          </w:p>
        </w:tc>
        <w:tc>
          <w:tcPr>
            <w:tcW w:w="1134" w:type="dxa"/>
            <w:tcBorders>
              <w:top w:val="single" w:sz="4" w:space="0" w:color="auto"/>
              <w:bottom w:val="single" w:sz="4" w:space="0" w:color="auto"/>
            </w:tcBorders>
            <w:vAlign w:val="bottom"/>
          </w:tcPr>
          <w:p w:rsidR="00005295" w:rsidRPr="00A40C72" w:rsidRDefault="00A40C72" w:rsidP="00E96C7A">
            <w:pPr>
              <w:pStyle w:val="TableTextRight"/>
              <w:keepNext/>
              <w:rPr>
                <w:b/>
              </w:rPr>
            </w:pPr>
            <w:r w:rsidRPr="00A40C72">
              <w:rPr>
                <w:b/>
              </w:rPr>
              <w:t>-333,945</w:t>
            </w:r>
          </w:p>
        </w:tc>
      </w:tr>
      <w:tr w:rsidR="00005295" w:rsidTr="00A21980">
        <w:trPr>
          <w:trHeight w:val="315"/>
        </w:trPr>
        <w:tc>
          <w:tcPr>
            <w:tcW w:w="1889" w:type="dxa"/>
            <w:tcBorders>
              <w:top w:val="nil"/>
              <w:left w:val="nil"/>
              <w:bottom w:val="single" w:sz="12" w:space="0" w:color="1F497D"/>
              <w:right w:val="nil"/>
            </w:tcBorders>
            <w:vAlign w:val="bottom"/>
          </w:tcPr>
          <w:p w:rsidR="00005295" w:rsidRPr="00C51A9B" w:rsidRDefault="00005295" w:rsidP="00E96C7A">
            <w:pPr>
              <w:pStyle w:val="TableTextLeft"/>
              <w:keepNext/>
            </w:pPr>
          </w:p>
        </w:tc>
        <w:tc>
          <w:tcPr>
            <w:tcW w:w="1951" w:type="dxa"/>
            <w:tcBorders>
              <w:top w:val="nil"/>
              <w:left w:val="nil"/>
              <w:bottom w:val="single" w:sz="12" w:space="0" w:color="1F497D"/>
              <w:right w:val="nil"/>
            </w:tcBorders>
            <w:vAlign w:val="bottom"/>
          </w:tcPr>
          <w:p w:rsidR="00005295" w:rsidRPr="006B4B0A" w:rsidRDefault="00005295" w:rsidP="00E96C7A">
            <w:pPr>
              <w:pStyle w:val="TableHeadingRight"/>
              <w:keepNext/>
              <w:rPr>
                <w:b w:val="0"/>
              </w:rPr>
            </w:pPr>
          </w:p>
        </w:tc>
        <w:tc>
          <w:tcPr>
            <w:tcW w:w="1134" w:type="dxa"/>
            <w:tcBorders>
              <w:top w:val="nil"/>
              <w:left w:val="nil"/>
              <w:bottom w:val="single" w:sz="12" w:space="0" w:color="1F497D"/>
              <w:right w:val="nil"/>
            </w:tcBorders>
            <w:vAlign w:val="bottom"/>
          </w:tcPr>
          <w:p w:rsidR="00005295" w:rsidRPr="00A40C72" w:rsidRDefault="00005295" w:rsidP="00E96C7A">
            <w:pPr>
              <w:pStyle w:val="TableHeadingRight"/>
              <w:keepNext/>
              <w:rPr>
                <w:b w:val="0"/>
              </w:rPr>
            </w:pPr>
          </w:p>
        </w:tc>
        <w:tc>
          <w:tcPr>
            <w:tcW w:w="1134" w:type="dxa"/>
            <w:tcBorders>
              <w:top w:val="single" w:sz="4" w:space="0" w:color="auto"/>
              <w:left w:val="nil"/>
              <w:bottom w:val="single" w:sz="12" w:space="0" w:color="1F497D"/>
              <w:right w:val="nil"/>
            </w:tcBorders>
            <w:vAlign w:val="bottom"/>
          </w:tcPr>
          <w:p w:rsidR="00005295" w:rsidRPr="00A40C72" w:rsidRDefault="00005295" w:rsidP="00E96C7A">
            <w:pPr>
              <w:pStyle w:val="TableTextRight"/>
              <w:keepNext/>
            </w:pPr>
          </w:p>
        </w:tc>
      </w:tr>
    </w:tbl>
    <w:p w:rsidR="00005295" w:rsidRDefault="00B03E2F" w:rsidP="00B03E2F">
      <w:pPr>
        <w:pStyle w:val="TableNotesLast"/>
      </w:pPr>
      <w:r>
        <w:t xml:space="preserve">Source: Calculations based on Industry Panel </w:t>
      </w:r>
      <w:r w:rsidR="00623979">
        <w:t>(2015</w:t>
      </w:r>
      <w:r w:rsidR="007971EA">
        <w:t>b</w:t>
      </w:r>
      <w:r w:rsidR="00623979">
        <w:t>)</w:t>
      </w:r>
      <w:r>
        <w:t xml:space="preserve"> and Icon Water’s Submission</w:t>
      </w:r>
      <w:r w:rsidR="00451A30">
        <w:t xml:space="preserve"> (2017)</w:t>
      </w:r>
      <w:r w:rsidR="001172BD">
        <w:t>.</w:t>
      </w:r>
    </w:p>
    <w:p w:rsidR="00996D45" w:rsidRDefault="00B94E68" w:rsidP="0015386F">
      <w:r>
        <w:lastRenderedPageBreak/>
        <w:t>In accordance with clause 9.2 of the price direction, the Commission’s decision is that the pass-through events specified in the submission occurred and fall within the scope of clause 8</w:t>
      </w:r>
      <w:r w:rsidR="003F4A5E">
        <w:t xml:space="preserve"> and the </w:t>
      </w:r>
      <w:r>
        <w:t xml:space="preserve">Commission approves the </w:t>
      </w:r>
      <w:r w:rsidR="00D72F36">
        <w:t xml:space="preserve">negative </w:t>
      </w:r>
      <w:r>
        <w:t>pass-through amounts</w:t>
      </w:r>
      <w:r w:rsidR="003F4A5E">
        <w:t xml:space="preserve"> proposed by Icon Water</w:t>
      </w:r>
      <w:r w:rsidR="00D72F36">
        <w:t>.</w:t>
      </w:r>
      <w:r>
        <w:t xml:space="preserve"> </w:t>
      </w:r>
    </w:p>
    <w:p w:rsidR="002014AB" w:rsidRDefault="002014AB" w:rsidP="002014AB">
      <w:r>
        <w:t xml:space="preserve">In calculating the pass-through price adjustment, in conformity with the post-tax model used to calculate the price path in the price direction, </w:t>
      </w:r>
      <w:r w:rsidR="00B012EA">
        <w:t xml:space="preserve">account has been taken of the </w:t>
      </w:r>
      <w:r>
        <w:t>time value of money</w:t>
      </w:r>
      <w:r w:rsidR="00B012EA">
        <w:t xml:space="preserve"> (</w:t>
      </w:r>
      <w:r>
        <w:t xml:space="preserve">at the </w:t>
      </w:r>
      <w:r w:rsidR="00B012EA">
        <w:t xml:space="preserve">weighted average cost of capital), </w:t>
      </w:r>
      <w:r>
        <w:t xml:space="preserve">and </w:t>
      </w:r>
      <w:r w:rsidR="008F13CD">
        <w:t xml:space="preserve">its </w:t>
      </w:r>
      <w:r>
        <w:t>effect on the return to shareholders (tax equivalent payments and imputation credits).</w:t>
      </w:r>
    </w:p>
    <w:p w:rsidR="009B06E2" w:rsidRDefault="002A2D71" w:rsidP="002A2D71">
      <w:r>
        <w:t xml:space="preserve">The </w:t>
      </w:r>
      <w:r w:rsidR="00B012EA">
        <w:t xml:space="preserve">pass-through </w:t>
      </w:r>
      <w:r>
        <w:t>pric</w:t>
      </w:r>
      <w:r w:rsidR="00B012EA">
        <w:t>e</w:t>
      </w:r>
      <w:r>
        <w:t xml:space="preserve"> adjustment</w:t>
      </w:r>
      <w:r w:rsidR="007E0EED" w:rsidRPr="007E0EED">
        <w:t xml:space="preserve"> </w:t>
      </w:r>
      <w:r w:rsidR="007E0EED">
        <w:t>to account for the pass-through amounts</w:t>
      </w:r>
      <w:r w:rsidR="002014AB">
        <w:t xml:space="preserve">, </w:t>
      </w:r>
      <w:r w:rsidR="00B012EA">
        <w:t xml:space="preserve">which is </w:t>
      </w:r>
      <w:r w:rsidR="002014AB">
        <w:t>applied in addition to the CPI adjustment, is calculated</w:t>
      </w:r>
      <w:r w:rsidR="003975B8">
        <w:t>, in consistent with the approach applied by the Commission in determining adjusted prices for 2016</w:t>
      </w:r>
      <w:r w:rsidR="003975B8">
        <w:sym w:font="Symbol" w:char="F02D"/>
      </w:r>
      <w:r w:rsidR="003975B8">
        <w:t>17</w:t>
      </w:r>
      <w:r w:rsidR="00A92994">
        <w:t xml:space="preserve"> and</w:t>
      </w:r>
      <w:r w:rsidR="003975B8">
        <w:t xml:space="preserve"> based on the post-tax model used to calculate the price path in the price direction,</w:t>
      </w:r>
      <w:r w:rsidR="00C40C9D">
        <w:rPr>
          <w:rStyle w:val="FootnoteReference"/>
        </w:rPr>
        <w:footnoteReference w:id="5"/>
      </w:r>
      <w:r w:rsidR="003975B8">
        <w:t xml:space="preserve"> </w:t>
      </w:r>
      <w:r w:rsidR="002014AB">
        <w:t>as</w:t>
      </w:r>
      <w:r w:rsidR="009B06E2">
        <w:t>:</w:t>
      </w:r>
    </w:p>
    <w:p w:rsidR="009B06E2" w:rsidRDefault="00CD7863" w:rsidP="004025D0">
      <w:pPr>
        <w:pStyle w:val="Bullet"/>
      </w:pPr>
      <w:r>
        <w:t>positive</w:t>
      </w:r>
      <w:r w:rsidR="009B06E2">
        <w:t xml:space="preserve"> </w:t>
      </w:r>
      <w:r w:rsidR="004025D0" w:rsidRPr="004025D0">
        <w:t>0.025259</w:t>
      </w:r>
      <w:r w:rsidR="00526FFB">
        <w:t xml:space="preserve"> per cent</w:t>
      </w:r>
      <w:r w:rsidR="002014AB">
        <w:t xml:space="preserve"> for water</w:t>
      </w:r>
      <w:r w:rsidR="009B06E2">
        <w:t>; and</w:t>
      </w:r>
    </w:p>
    <w:p w:rsidR="002A2D71" w:rsidRPr="002A2D71" w:rsidRDefault="002014AB" w:rsidP="009B06E2">
      <w:pPr>
        <w:pStyle w:val="BulletLast"/>
      </w:pPr>
      <w:proofErr w:type="gramStart"/>
      <w:r>
        <w:t>negative</w:t>
      </w:r>
      <w:proofErr w:type="gramEnd"/>
      <w:r>
        <w:t xml:space="preserve"> </w:t>
      </w:r>
      <w:r w:rsidR="00CD7863">
        <w:t>0.2920</w:t>
      </w:r>
      <w:r w:rsidR="00A04F05">
        <w:t>8</w:t>
      </w:r>
      <w:r w:rsidR="00CD7863">
        <w:t>6</w:t>
      </w:r>
      <w:r w:rsidR="00526FFB">
        <w:t xml:space="preserve"> per cent</w:t>
      </w:r>
      <w:r w:rsidR="0045661A">
        <w:t xml:space="preserve"> </w:t>
      </w:r>
      <w:r>
        <w:t>f</w:t>
      </w:r>
      <w:r w:rsidR="0045661A">
        <w:t>or sewerage.</w:t>
      </w:r>
    </w:p>
    <w:p w:rsidR="00544224" w:rsidRDefault="008C49F6" w:rsidP="00722BA6">
      <w:pPr>
        <w:pStyle w:val="Heading2"/>
      </w:pPr>
      <w:bookmarkStart w:id="35" w:name="_Toc483834467"/>
      <w:r>
        <w:t>201</w:t>
      </w:r>
      <w:r w:rsidR="00E24BF3">
        <w:t>7</w:t>
      </w:r>
      <w:r>
        <w:sym w:font="Symbol" w:char="F02D"/>
      </w:r>
      <w:r>
        <w:t>1</w:t>
      </w:r>
      <w:r w:rsidR="00E24BF3">
        <w:t>8</w:t>
      </w:r>
      <w:r>
        <w:t xml:space="preserve"> </w:t>
      </w:r>
      <w:r w:rsidR="00BD6156">
        <w:t xml:space="preserve">maximum </w:t>
      </w:r>
      <w:r>
        <w:t>w</w:t>
      </w:r>
      <w:r w:rsidR="00544224">
        <w:t>ater prices</w:t>
      </w:r>
      <w:bookmarkEnd w:id="35"/>
    </w:p>
    <w:p w:rsidR="005C0017" w:rsidRDefault="005C0017" w:rsidP="00A97BAD">
      <w:r>
        <w:t xml:space="preserve">The CPI and pass-through adjustments have been applied to the </w:t>
      </w:r>
      <w:r w:rsidR="002825EC">
        <w:t xml:space="preserve">fixed charge and </w:t>
      </w:r>
      <w:r>
        <w:t>two volumetric charges, as per the formula below, with prices rounded to the nearest cent:</w:t>
      </w:r>
    </w:p>
    <w:p w:rsidR="005C0017" w:rsidRDefault="003F60E8" w:rsidP="005C0017">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2017</m:t>
              </m:r>
              <m:r>
                <m:rPr>
                  <m:sty m:val="p"/>
                </m:rPr>
                <w:rPr>
                  <w:rFonts w:ascii="Cambria Math" w:hAnsi="Cambria Math"/>
                </w:rPr>
                <w:sym w:font="Symbol" w:char="F02D"/>
              </m:r>
              <m:r>
                <m:rPr>
                  <m:sty m:val="p"/>
                </m:rPr>
                <w:rPr>
                  <w:rFonts w:ascii="Cambria Math" w:hAnsi="Cambria Math"/>
                </w:rPr>
                <m:t>18</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2017</m:t>
                  </m:r>
                  <m:r>
                    <m:rPr>
                      <m:sty m:val="p"/>
                    </m:rPr>
                    <w:rPr>
                      <w:rFonts w:ascii="Cambria Math" w:hAnsi="Cambria Math"/>
                    </w:rPr>
                    <w:sym w:font="Symbol" w:char="F02D"/>
                  </m:r>
                  <m:r>
                    <m:rPr>
                      <m:sty m:val="p"/>
                    </m:rPr>
                    <w:rPr>
                      <w:rFonts w:ascii="Cambria Math" w:hAnsi="Cambria Math"/>
                    </w:rPr>
                    <m:t>18</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PT adj water</m:t>
                  </m:r>
                </m:e>
                <m:sub>
                  <m:r>
                    <m:rPr>
                      <m:sty m:val="p"/>
                    </m:rPr>
                    <w:rPr>
                      <w:rFonts w:ascii="Cambria Math" w:hAnsi="Cambria Math"/>
                    </w:rPr>
                    <m:t>2017</m:t>
                  </m:r>
                  <m:r>
                    <m:rPr>
                      <m:sty m:val="p"/>
                    </m:rPr>
                    <w:rPr>
                      <w:rFonts w:ascii="Cambria Math" w:hAnsi="Cambria Math"/>
                    </w:rPr>
                    <w:sym w:font="Symbol" w:char="F02D"/>
                  </m:r>
                  <m:r>
                    <m:rPr>
                      <m:sty m:val="p"/>
                    </m:rPr>
                    <w:rPr>
                      <w:rFonts w:ascii="Cambria Math" w:hAnsi="Cambria Math"/>
                    </w:rPr>
                    <m:t>18</m:t>
                  </m:r>
                </m:sub>
              </m:sSub>
            </m:e>
          </m:d>
        </m:oMath>
      </m:oMathPara>
    </w:p>
    <w:p w:rsidR="00594724" w:rsidRDefault="005C0017" w:rsidP="00594724">
      <w:r>
        <w:t>Calculated water prices for 201</w:t>
      </w:r>
      <w:r w:rsidR="00C976C8">
        <w:t>7</w:t>
      </w:r>
      <w:r>
        <w:sym w:font="Symbol" w:char="F02D"/>
      </w:r>
      <w:r>
        <w:t>1</w:t>
      </w:r>
      <w:r w:rsidR="00C976C8">
        <w:t>8</w:t>
      </w:r>
      <w:r>
        <w:t xml:space="preserve"> are shown in </w:t>
      </w:r>
      <w:r w:rsidR="002618CD">
        <w:fldChar w:fldCharType="begin"/>
      </w:r>
      <w:r>
        <w:instrText xml:space="preserve"> REF _Ref348853750 \h </w:instrText>
      </w:r>
      <w:r w:rsidR="002618CD">
        <w:fldChar w:fldCharType="separate"/>
      </w:r>
      <w:r w:rsidR="00BA1301">
        <w:t xml:space="preserve">Table </w:t>
      </w:r>
      <w:r w:rsidR="00BA1301">
        <w:rPr>
          <w:noProof/>
        </w:rPr>
        <w:t>2</w:t>
      </w:r>
      <w:r w:rsidR="00BA1301">
        <w:t>.</w:t>
      </w:r>
      <w:r w:rsidR="00BA1301">
        <w:rPr>
          <w:noProof/>
        </w:rPr>
        <w:t>2</w:t>
      </w:r>
      <w:r w:rsidR="002618CD">
        <w:fldChar w:fldCharType="end"/>
      </w:r>
      <w:r>
        <w:t xml:space="preserve">. The fixed charge </w:t>
      </w:r>
      <w:r w:rsidR="00230789">
        <w:t xml:space="preserve">and volumetric charges have increased by </w:t>
      </w:r>
      <w:r w:rsidR="00320732">
        <w:t xml:space="preserve">approximately </w:t>
      </w:r>
      <w:r w:rsidR="00387A79">
        <w:t>2.7</w:t>
      </w:r>
      <w:r w:rsidR="00F74F62">
        <w:t xml:space="preserve"> </w:t>
      </w:r>
      <w:r w:rsidR="00230789">
        <w:t>per cent</w:t>
      </w:r>
      <w:r w:rsidR="00387A79">
        <w:t xml:space="preserve"> from 2016</w:t>
      </w:r>
      <w:r w:rsidR="00387A79">
        <w:sym w:font="Symbol" w:char="F02D"/>
      </w:r>
      <w:r w:rsidR="00387A79">
        <w:t>17</w:t>
      </w:r>
      <w:r w:rsidR="00230789">
        <w:t xml:space="preserve">, </w:t>
      </w:r>
      <w:r w:rsidR="00554866">
        <w:t xml:space="preserve">as </w:t>
      </w:r>
      <w:r>
        <w:t xml:space="preserve">the </w:t>
      </w:r>
      <w:r w:rsidR="00387A79">
        <w:t>positive</w:t>
      </w:r>
      <w:r>
        <w:t xml:space="preserve"> pass-through adjustment </w:t>
      </w:r>
      <w:r w:rsidR="00554866">
        <w:t xml:space="preserve">has </w:t>
      </w:r>
      <w:r w:rsidR="00387A79">
        <w:t xml:space="preserve">further increased </w:t>
      </w:r>
      <w:r>
        <w:t>the positive CPI adjustment</w:t>
      </w:r>
      <w:r w:rsidR="00387A79">
        <w:t xml:space="preserve"> of 1.48 per cent.</w:t>
      </w:r>
      <w:r>
        <w:t xml:space="preserve"> </w:t>
      </w:r>
      <w:r w:rsidR="00AE00E2">
        <w:t>The change in water prices is high</w:t>
      </w:r>
      <w:r w:rsidR="001B6358">
        <w:t>er</w:t>
      </w:r>
      <w:r w:rsidR="00AE00E2">
        <w:t xml:space="preserve"> than the sum of </w:t>
      </w:r>
      <w:r w:rsidR="001B6358">
        <w:t xml:space="preserve">the </w:t>
      </w:r>
      <w:r w:rsidR="00AE00E2">
        <w:t xml:space="preserve">CPI change and </w:t>
      </w:r>
      <w:r w:rsidR="00FD0377">
        <w:t xml:space="preserve">the </w:t>
      </w:r>
      <w:r w:rsidR="00AE00E2">
        <w:t>positive pass-through adjustment</w:t>
      </w:r>
      <w:r w:rsidR="001B6358">
        <w:t xml:space="preserve"> for 2017</w:t>
      </w:r>
      <w:r w:rsidR="001B6358">
        <w:sym w:font="Symbol" w:char="F02D"/>
      </w:r>
      <w:r w:rsidR="001B6358">
        <w:t>18</w:t>
      </w:r>
      <w:r w:rsidR="00AE00E2">
        <w:t xml:space="preserve"> due to the unwinding of the previous year’s negative pass-through adjustments</w:t>
      </w:r>
      <w:r w:rsidR="00594724">
        <w:t>.</w:t>
      </w:r>
      <w:r w:rsidR="00594724">
        <w:rPr>
          <w:rStyle w:val="FootnoteReference"/>
        </w:rPr>
        <w:footnoteReference w:id="6"/>
      </w:r>
      <w:r w:rsidR="00594724">
        <w:t xml:space="preserve"> </w:t>
      </w:r>
    </w:p>
    <w:p w:rsidR="00625889" w:rsidRDefault="00625889" w:rsidP="001672AC">
      <w:pPr>
        <w:pStyle w:val="TableName"/>
        <w:keepNext/>
      </w:pPr>
      <w:bookmarkStart w:id="36" w:name="_Ref348853750"/>
      <w:bookmarkStart w:id="37" w:name="_Toc358386655"/>
      <w:bookmarkStart w:id="38" w:name="_Toc353533209"/>
      <w:bookmarkStart w:id="39" w:name="_Toc349572463"/>
      <w:bookmarkStart w:id="40" w:name="_Toc349571564"/>
      <w:bookmarkStart w:id="41" w:name="_Toc349563449"/>
      <w:bookmarkStart w:id="42" w:name="_Toc349563371"/>
      <w:bookmarkStart w:id="43" w:name="_Toc349563209"/>
      <w:bookmarkStart w:id="44" w:name="_Toc360001075"/>
      <w:bookmarkStart w:id="45" w:name="_Toc483834478"/>
      <w:r>
        <w:lastRenderedPageBreak/>
        <w:t xml:space="preserve">Table </w:t>
      </w:r>
      <w:r w:rsidR="002618CD">
        <w:fldChar w:fldCharType="begin"/>
      </w:r>
      <w:r w:rsidR="006F1308">
        <w:instrText xml:space="preserve"> STYLEREF 1 \s </w:instrText>
      </w:r>
      <w:r w:rsidR="002618CD">
        <w:fldChar w:fldCharType="separate"/>
      </w:r>
      <w:r w:rsidR="00BA1301">
        <w:rPr>
          <w:noProof/>
        </w:rPr>
        <w:t>2</w:t>
      </w:r>
      <w:r w:rsidR="002618CD">
        <w:fldChar w:fldCharType="end"/>
      </w:r>
      <w:r>
        <w:t>.</w:t>
      </w:r>
      <w:r w:rsidR="002618CD">
        <w:fldChar w:fldCharType="begin"/>
      </w:r>
      <w:r>
        <w:instrText xml:space="preserve"> SEQ Table \* ARABIC \s 1 </w:instrText>
      </w:r>
      <w:r w:rsidR="002618CD">
        <w:fldChar w:fldCharType="separate"/>
      </w:r>
      <w:r w:rsidR="00BA1301">
        <w:rPr>
          <w:noProof/>
        </w:rPr>
        <w:t>2</w:t>
      </w:r>
      <w:r w:rsidR="002618CD">
        <w:fldChar w:fldCharType="end"/>
      </w:r>
      <w:bookmarkEnd w:id="36"/>
      <w:r>
        <w:tab/>
        <w:t>Water prices, 201</w:t>
      </w:r>
      <w:r w:rsidR="00C976C8">
        <w:t>6</w:t>
      </w:r>
      <w:r>
        <w:t>–1</w:t>
      </w:r>
      <w:r w:rsidR="00C976C8">
        <w:t>7</w:t>
      </w:r>
      <w:r>
        <w:t xml:space="preserve"> to 201</w:t>
      </w:r>
      <w:r w:rsidR="00C976C8">
        <w:t>7</w:t>
      </w:r>
      <w:r>
        <w:t>–1</w:t>
      </w:r>
      <w:r w:rsidR="00C976C8">
        <w:t>8</w:t>
      </w:r>
      <w:r>
        <w:t xml:space="preserve"> ($, current prices</w:t>
      </w:r>
      <w:r w:rsidR="00F66E69">
        <w:t>, percentages to two decimal places</w:t>
      </w:r>
      <w:r>
        <w:t>)</w:t>
      </w:r>
      <w:bookmarkEnd w:id="37"/>
      <w:bookmarkEnd w:id="38"/>
      <w:bookmarkEnd w:id="39"/>
      <w:bookmarkEnd w:id="40"/>
      <w:bookmarkEnd w:id="41"/>
      <w:bookmarkEnd w:id="42"/>
      <w:bookmarkEnd w:id="43"/>
      <w:bookmarkEnd w:id="44"/>
      <w:bookmarkEnd w:id="45"/>
    </w:p>
    <w:tbl>
      <w:tblPr>
        <w:tblW w:w="6108" w:type="dxa"/>
        <w:tblInd w:w="96" w:type="dxa"/>
        <w:tblLook w:val="04A0" w:firstRow="1" w:lastRow="0" w:firstColumn="1" w:lastColumn="0" w:noHBand="0" w:noVBand="1"/>
      </w:tblPr>
      <w:tblGrid>
        <w:gridCol w:w="2706"/>
        <w:gridCol w:w="1134"/>
        <w:gridCol w:w="1134"/>
        <w:gridCol w:w="1134"/>
      </w:tblGrid>
      <w:tr w:rsidR="00625889" w:rsidTr="00C201C9">
        <w:trPr>
          <w:trHeight w:val="330"/>
        </w:trPr>
        <w:tc>
          <w:tcPr>
            <w:tcW w:w="2706"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1672AC">
            <w:pPr>
              <w:pStyle w:val="TableTextLeft"/>
              <w:keepNext/>
            </w:pPr>
            <w:r>
              <w:t> </w:t>
            </w:r>
          </w:p>
        </w:tc>
        <w:tc>
          <w:tcPr>
            <w:tcW w:w="1134"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6B4B0A">
            <w:pPr>
              <w:pStyle w:val="TableHeadingRight"/>
              <w:keepNext/>
            </w:pPr>
            <w:r>
              <w:t>201</w:t>
            </w:r>
            <w:r w:rsidR="00526FFB">
              <w:t>6–17</w:t>
            </w:r>
          </w:p>
        </w:tc>
        <w:tc>
          <w:tcPr>
            <w:tcW w:w="1134"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6B4B0A">
            <w:pPr>
              <w:pStyle w:val="TableHeadingRight"/>
              <w:keepNext/>
            </w:pPr>
            <w:r>
              <w:t>201</w:t>
            </w:r>
            <w:r w:rsidR="00526FFB">
              <w:t>7</w:t>
            </w:r>
            <w:r>
              <w:t>–1</w:t>
            </w:r>
            <w:r w:rsidR="00526FFB">
              <w:t>8</w:t>
            </w:r>
          </w:p>
        </w:tc>
        <w:tc>
          <w:tcPr>
            <w:tcW w:w="1134"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1672AC">
            <w:pPr>
              <w:pStyle w:val="TableHeadingRight"/>
              <w:keepNext/>
            </w:pPr>
            <w:r>
              <w:t>Change (%)</w:t>
            </w:r>
          </w:p>
        </w:tc>
      </w:tr>
      <w:tr w:rsidR="006B4B0A" w:rsidTr="00C201C9">
        <w:trPr>
          <w:trHeight w:val="300"/>
        </w:trPr>
        <w:tc>
          <w:tcPr>
            <w:tcW w:w="2706" w:type="dxa"/>
            <w:vAlign w:val="bottom"/>
            <w:hideMark/>
          </w:tcPr>
          <w:p w:rsidR="006B4B0A" w:rsidRPr="00C51A9B" w:rsidRDefault="006B4B0A" w:rsidP="007D7EB8">
            <w:pPr>
              <w:pStyle w:val="TableTextLeft"/>
              <w:keepNext/>
            </w:pPr>
            <w:r>
              <w:t>Fixed ($/</w:t>
            </w:r>
            <w:r w:rsidR="007D7EB8">
              <w:t>year</w:t>
            </w:r>
            <w:r>
              <w:t>)</w:t>
            </w:r>
          </w:p>
        </w:tc>
        <w:tc>
          <w:tcPr>
            <w:tcW w:w="1134" w:type="dxa"/>
            <w:vAlign w:val="bottom"/>
            <w:hideMark/>
          </w:tcPr>
          <w:p w:rsidR="006B4B0A" w:rsidRPr="006B4B0A" w:rsidRDefault="00C976C8" w:rsidP="006B4B0A">
            <w:pPr>
              <w:pStyle w:val="TableHeadingRight"/>
              <w:keepNext/>
              <w:rPr>
                <w:b w:val="0"/>
              </w:rPr>
            </w:pPr>
            <w:r>
              <w:rPr>
                <w:b w:val="0"/>
              </w:rPr>
              <w:t>101.48</w:t>
            </w:r>
          </w:p>
        </w:tc>
        <w:tc>
          <w:tcPr>
            <w:tcW w:w="1134" w:type="dxa"/>
            <w:vAlign w:val="bottom"/>
            <w:hideMark/>
          </w:tcPr>
          <w:p w:rsidR="006B4B0A" w:rsidRPr="00C51A9B" w:rsidRDefault="00C976C8" w:rsidP="00230789">
            <w:pPr>
              <w:pStyle w:val="TableHeadingRight"/>
              <w:keepNext/>
            </w:pPr>
            <w:r>
              <w:t>104.21</w:t>
            </w:r>
          </w:p>
        </w:tc>
        <w:tc>
          <w:tcPr>
            <w:tcW w:w="1134" w:type="dxa"/>
            <w:vAlign w:val="bottom"/>
            <w:hideMark/>
          </w:tcPr>
          <w:p w:rsidR="006B4B0A" w:rsidRPr="00C51A9B" w:rsidRDefault="00C976C8" w:rsidP="00F66E69">
            <w:pPr>
              <w:pStyle w:val="TableTextRight"/>
              <w:keepNext/>
            </w:pPr>
            <w:r>
              <w:t>2.</w:t>
            </w:r>
            <w:r w:rsidR="00F66E69">
              <w:t>69</w:t>
            </w:r>
          </w:p>
        </w:tc>
      </w:tr>
      <w:tr w:rsidR="006B4B0A" w:rsidTr="00C201C9">
        <w:trPr>
          <w:trHeight w:val="300"/>
        </w:trPr>
        <w:tc>
          <w:tcPr>
            <w:tcW w:w="2706" w:type="dxa"/>
            <w:vAlign w:val="bottom"/>
            <w:hideMark/>
          </w:tcPr>
          <w:p w:rsidR="006B4B0A" w:rsidRPr="00C51A9B" w:rsidRDefault="006B4B0A" w:rsidP="006B4B0A">
            <w:pPr>
              <w:pStyle w:val="TableTextLeft"/>
              <w:keepNext/>
            </w:pPr>
            <w:r>
              <w:t xml:space="preserve">Tier 1 (0–200 </w:t>
            </w:r>
            <w:proofErr w:type="spellStart"/>
            <w:r>
              <w:t>kL</w:t>
            </w:r>
            <w:proofErr w:type="spellEnd"/>
            <w:r>
              <w:t>/a) ($/</w:t>
            </w:r>
            <w:proofErr w:type="spellStart"/>
            <w:r>
              <w:t>kL</w:t>
            </w:r>
            <w:proofErr w:type="spellEnd"/>
            <w:r>
              <w:t>)</w:t>
            </w:r>
          </w:p>
        </w:tc>
        <w:tc>
          <w:tcPr>
            <w:tcW w:w="1134" w:type="dxa"/>
            <w:vAlign w:val="bottom"/>
            <w:hideMark/>
          </w:tcPr>
          <w:p w:rsidR="006B4B0A" w:rsidRPr="006B4B0A" w:rsidRDefault="00C976C8" w:rsidP="006B4B0A">
            <w:pPr>
              <w:pStyle w:val="TableHeadingRight"/>
              <w:keepNext/>
              <w:rPr>
                <w:b w:val="0"/>
              </w:rPr>
            </w:pPr>
            <w:r>
              <w:rPr>
                <w:b w:val="0"/>
              </w:rPr>
              <w:t>2.61</w:t>
            </w:r>
          </w:p>
        </w:tc>
        <w:tc>
          <w:tcPr>
            <w:tcW w:w="1134" w:type="dxa"/>
            <w:vAlign w:val="bottom"/>
            <w:hideMark/>
          </w:tcPr>
          <w:p w:rsidR="006B4B0A" w:rsidRPr="00C51A9B" w:rsidRDefault="00C976C8" w:rsidP="00230789">
            <w:pPr>
              <w:pStyle w:val="TableHeadingRight"/>
              <w:keepNext/>
            </w:pPr>
            <w:r>
              <w:t>2.68</w:t>
            </w:r>
          </w:p>
        </w:tc>
        <w:tc>
          <w:tcPr>
            <w:tcW w:w="1134" w:type="dxa"/>
            <w:vAlign w:val="bottom"/>
            <w:hideMark/>
          </w:tcPr>
          <w:p w:rsidR="006B4B0A" w:rsidRPr="00C51A9B" w:rsidRDefault="00C976C8" w:rsidP="005C0017">
            <w:pPr>
              <w:pStyle w:val="TableTextRight"/>
              <w:keepNext/>
            </w:pPr>
            <w:r>
              <w:t>2.</w:t>
            </w:r>
            <w:r w:rsidR="00F66E69">
              <w:t>68</w:t>
            </w:r>
          </w:p>
        </w:tc>
      </w:tr>
      <w:tr w:rsidR="006B4B0A" w:rsidTr="00C201C9">
        <w:trPr>
          <w:trHeight w:val="315"/>
        </w:trPr>
        <w:tc>
          <w:tcPr>
            <w:tcW w:w="2706" w:type="dxa"/>
            <w:tcBorders>
              <w:top w:val="nil"/>
              <w:left w:val="nil"/>
              <w:bottom w:val="single" w:sz="12" w:space="0" w:color="1F497D"/>
              <w:right w:val="nil"/>
            </w:tcBorders>
            <w:vAlign w:val="bottom"/>
            <w:hideMark/>
          </w:tcPr>
          <w:p w:rsidR="006B4B0A" w:rsidRPr="00C51A9B" w:rsidRDefault="006B4B0A" w:rsidP="006B4B0A">
            <w:pPr>
              <w:pStyle w:val="TableTextLeft"/>
              <w:keepNext/>
            </w:pPr>
            <w:r>
              <w:t xml:space="preserve">Tier 2 (200 </w:t>
            </w:r>
            <w:proofErr w:type="spellStart"/>
            <w:r>
              <w:t>kL</w:t>
            </w:r>
            <w:proofErr w:type="spellEnd"/>
            <w:r>
              <w:t>/a+) ($/</w:t>
            </w:r>
            <w:proofErr w:type="spellStart"/>
            <w:r>
              <w:t>kL</w:t>
            </w:r>
            <w:proofErr w:type="spellEnd"/>
            <w:r>
              <w:t>)</w:t>
            </w:r>
          </w:p>
        </w:tc>
        <w:tc>
          <w:tcPr>
            <w:tcW w:w="1134" w:type="dxa"/>
            <w:tcBorders>
              <w:top w:val="nil"/>
              <w:left w:val="nil"/>
              <w:bottom w:val="single" w:sz="12" w:space="0" w:color="1F497D"/>
              <w:right w:val="nil"/>
            </w:tcBorders>
            <w:vAlign w:val="bottom"/>
            <w:hideMark/>
          </w:tcPr>
          <w:p w:rsidR="006B4B0A" w:rsidRPr="006B4B0A" w:rsidRDefault="00C976C8" w:rsidP="006B4B0A">
            <w:pPr>
              <w:pStyle w:val="TableHeadingRight"/>
              <w:keepNext/>
              <w:rPr>
                <w:b w:val="0"/>
              </w:rPr>
            </w:pPr>
            <w:r>
              <w:rPr>
                <w:b w:val="0"/>
              </w:rPr>
              <w:t>5.24</w:t>
            </w:r>
          </w:p>
        </w:tc>
        <w:tc>
          <w:tcPr>
            <w:tcW w:w="1134" w:type="dxa"/>
            <w:tcBorders>
              <w:top w:val="nil"/>
              <w:left w:val="nil"/>
              <w:bottom w:val="single" w:sz="12" w:space="0" w:color="1F497D"/>
              <w:right w:val="nil"/>
            </w:tcBorders>
            <w:vAlign w:val="bottom"/>
            <w:hideMark/>
          </w:tcPr>
          <w:p w:rsidR="006B4B0A" w:rsidRPr="00C51A9B" w:rsidRDefault="00C976C8" w:rsidP="00230789">
            <w:pPr>
              <w:pStyle w:val="TableHeadingRight"/>
              <w:keepNext/>
            </w:pPr>
            <w:r>
              <w:t>5.38</w:t>
            </w:r>
          </w:p>
        </w:tc>
        <w:tc>
          <w:tcPr>
            <w:tcW w:w="1134" w:type="dxa"/>
            <w:tcBorders>
              <w:top w:val="nil"/>
              <w:left w:val="nil"/>
              <w:bottom w:val="single" w:sz="12" w:space="0" w:color="1F497D"/>
              <w:right w:val="nil"/>
            </w:tcBorders>
            <w:vAlign w:val="bottom"/>
            <w:hideMark/>
          </w:tcPr>
          <w:p w:rsidR="006B4B0A" w:rsidRPr="00C51A9B" w:rsidRDefault="00C976C8" w:rsidP="00230789">
            <w:pPr>
              <w:pStyle w:val="TableTextRight"/>
              <w:keepNext/>
            </w:pPr>
            <w:r>
              <w:t>2.</w:t>
            </w:r>
            <w:r w:rsidR="00F66E69">
              <w:t>67</w:t>
            </w:r>
          </w:p>
        </w:tc>
      </w:tr>
    </w:tbl>
    <w:p w:rsidR="00544224" w:rsidRDefault="008C49F6" w:rsidP="00722BA6">
      <w:pPr>
        <w:pStyle w:val="Heading2"/>
      </w:pPr>
      <w:bookmarkStart w:id="46" w:name="_Toc483834468"/>
      <w:r>
        <w:t>201</w:t>
      </w:r>
      <w:r w:rsidR="00387A79">
        <w:t>7</w:t>
      </w:r>
      <w:r>
        <w:sym w:font="Symbol" w:char="F02D"/>
      </w:r>
      <w:r>
        <w:t>1</w:t>
      </w:r>
      <w:r w:rsidR="00387A79">
        <w:t>8</w:t>
      </w:r>
      <w:r>
        <w:t xml:space="preserve"> </w:t>
      </w:r>
      <w:r w:rsidR="00BD6156">
        <w:t xml:space="preserve">maximum </w:t>
      </w:r>
      <w:r w:rsidR="00544224">
        <w:t>sewerage service</w:t>
      </w:r>
      <w:r w:rsidR="00C51A9B">
        <w:t>s</w:t>
      </w:r>
      <w:r w:rsidR="00544224">
        <w:t xml:space="preserve"> prices</w:t>
      </w:r>
      <w:bookmarkEnd w:id="46"/>
    </w:p>
    <w:p w:rsidR="003A5B99" w:rsidRPr="00B46056" w:rsidRDefault="003A5B99" w:rsidP="003A5B99">
      <w:r>
        <w:t>Maximum sewerage service</w:t>
      </w:r>
      <w:r w:rsidR="00020835">
        <w:t>s</w:t>
      </w:r>
      <w:r>
        <w:t xml:space="preserve"> prices for 201</w:t>
      </w:r>
      <w:r w:rsidR="00387A79">
        <w:t>7</w:t>
      </w:r>
      <w:r w:rsidRPr="003A5B99">
        <w:sym w:font="Symbol" w:char="F02D"/>
      </w:r>
      <w:r>
        <w:t>1</w:t>
      </w:r>
      <w:r w:rsidR="00387A79">
        <w:t>8</w:t>
      </w:r>
      <w:r>
        <w:t xml:space="preserve"> have been calculated using the following formula, with prices rounded to the nearest cent:</w:t>
      </w:r>
    </w:p>
    <w:p w:rsidR="003A5B99" w:rsidRDefault="003F60E8" w:rsidP="003A5B99">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2017</m:t>
              </m:r>
              <m:r>
                <m:rPr>
                  <m:sty m:val="p"/>
                </m:rPr>
                <w:rPr>
                  <w:rFonts w:ascii="Cambria Math" w:hAnsi="Cambria Math"/>
                </w:rPr>
                <w:sym w:font="Symbol" w:char="F02D"/>
              </m:r>
              <m:r>
                <m:rPr>
                  <m:sty m:val="p"/>
                </m:rPr>
                <w:rPr>
                  <w:rFonts w:ascii="Cambria Math" w:hAnsi="Cambria Math"/>
                </w:rPr>
                <m:t>18</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2017</m:t>
                  </m:r>
                  <m:r>
                    <m:rPr>
                      <m:sty m:val="p"/>
                    </m:rPr>
                    <w:rPr>
                      <w:rFonts w:ascii="Cambria Math" w:hAnsi="Cambria Math"/>
                    </w:rPr>
                    <w:sym w:font="Symbol" w:char="F02D"/>
                  </m:r>
                  <m:r>
                    <m:rPr>
                      <m:sty m:val="p"/>
                    </m:rPr>
                    <w:rPr>
                      <w:rFonts w:ascii="Cambria Math" w:hAnsi="Cambria Math"/>
                    </w:rPr>
                    <m:t>18</m:t>
                  </m:r>
                </m:sub>
              </m:sSub>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PT adj sewerage</m:t>
                  </m:r>
                </m:e>
                <m:sub>
                  <m:r>
                    <m:rPr>
                      <m:sty m:val="p"/>
                    </m:rPr>
                    <w:rPr>
                      <w:rFonts w:ascii="Cambria Math" w:hAnsi="Cambria Math"/>
                    </w:rPr>
                    <m:t>2017</m:t>
                  </m:r>
                  <m:r>
                    <m:rPr>
                      <m:sty m:val="p"/>
                    </m:rPr>
                    <w:rPr>
                      <w:rFonts w:ascii="Cambria Math" w:hAnsi="Cambria Math"/>
                    </w:rPr>
                    <w:sym w:font="Symbol" w:char="F02D"/>
                  </m:r>
                  <m:r>
                    <m:rPr>
                      <m:sty m:val="p"/>
                    </m:rPr>
                    <w:rPr>
                      <w:rFonts w:ascii="Cambria Math" w:hAnsi="Cambria Math"/>
                    </w:rPr>
                    <m:t>18</m:t>
                  </m:r>
                </m:sub>
              </m:sSub>
            </m:e>
          </m:d>
        </m:oMath>
      </m:oMathPara>
    </w:p>
    <w:p w:rsidR="003A5B99" w:rsidRDefault="003A5B99" w:rsidP="003A5B99">
      <w:r>
        <w:t>Calculated sewerage services prices for 201</w:t>
      </w:r>
      <w:r w:rsidR="00387A79">
        <w:t>7</w:t>
      </w:r>
      <w:r>
        <w:sym w:font="Symbol" w:char="F02D"/>
      </w:r>
      <w:r>
        <w:t>1</w:t>
      </w:r>
      <w:r w:rsidR="00387A79">
        <w:t>8</w:t>
      </w:r>
      <w:r>
        <w:t xml:space="preserve"> are shown in </w:t>
      </w:r>
      <w:r w:rsidR="002618CD">
        <w:fldChar w:fldCharType="begin"/>
      </w:r>
      <w:r>
        <w:instrText xml:space="preserve"> REF _Ref349557093 \h </w:instrText>
      </w:r>
      <w:r w:rsidR="002618CD">
        <w:fldChar w:fldCharType="separate"/>
      </w:r>
      <w:r w:rsidR="00BA1301">
        <w:t xml:space="preserve">Table </w:t>
      </w:r>
      <w:r w:rsidR="00BA1301">
        <w:rPr>
          <w:noProof/>
        </w:rPr>
        <w:t>2</w:t>
      </w:r>
      <w:r w:rsidR="00BA1301">
        <w:t>.</w:t>
      </w:r>
      <w:r w:rsidR="00BA1301">
        <w:rPr>
          <w:noProof/>
        </w:rPr>
        <w:t>3</w:t>
      </w:r>
      <w:r w:rsidR="002618CD">
        <w:fldChar w:fldCharType="end"/>
      </w:r>
      <w:r w:rsidR="00A84EE9">
        <w:t>. Prices have increased by 1.</w:t>
      </w:r>
      <w:r w:rsidR="00387A79">
        <w:t>5</w:t>
      </w:r>
      <w:r>
        <w:t xml:space="preserve"> per cent from 201</w:t>
      </w:r>
      <w:r w:rsidR="00387A79">
        <w:t>6</w:t>
      </w:r>
      <w:r>
        <w:sym w:font="Symbol" w:char="F02D"/>
      </w:r>
      <w:r>
        <w:t>1</w:t>
      </w:r>
      <w:r w:rsidR="00387A79">
        <w:t>7</w:t>
      </w:r>
      <w:r w:rsidR="00F8371B">
        <w:t xml:space="preserve">. </w:t>
      </w:r>
      <w:r w:rsidR="00056E1C">
        <w:t>Despite the negative pass-through amount applied for 2017</w:t>
      </w:r>
      <w:r w:rsidR="00056E1C">
        <w:sym w:font="Symbol" w:char="F02D"/>
      </w:r>
      <w:r w:rsidR="00056E1C">
        <w:t>18, t</w:t>
      </w:r>
      <w:r w:rsidR="00F8371B">
        <w:t>he change in sewerage prices is above the 2017</w:t>
      </w:r>
      <w:r w:rsidR="00F8371B">
        <w:sym w:font="Symbol" w:char="F02D"/>
      </w:r>
      <w:r w:rsidR="00F8371B">
        <w:t>18 CPI change</w:t>
      </w:r>
      <w:r w:rsidR="00056E1C">
        <w:t>,</w:t>
      </w:r>
      <w:r w:rsidR="00F8371B">
        <w:t xml:space="preserve"> due to the unwinding of the previous year’s pass-through adjustment</w:t>
      </w:r>
      <w:r w:rsidR="00056E1C">
        <w:t>s</w:t>
      </w:r>
      <w:r w:rsidR="00F8371B">
        <w:t xml:space="preserve">. </w:t>
      </w:r>
    </w:p>
    <w:p w:rsidR="00625889" w:rsidRDefault="00625889" w:rsidP="009A2C1E">
      <w:pPr>
        <w:pStyle w:val="TableName"/>
        <w:keepNext/>
      </w:pPr>
      <w:bookmarkStart w:id="47" w:name="_Ref349557093"/>
      <w:bookmarkStart w:id="48" w:name="_Toc358386657"/>
      <w:bookmarkStart w:id="49" w:name="_Toc353533211"/>
      <w:bookmarkStart w:id="50" w:name="_Toc349572465"/>
      <w:bookmarkStart w:id="51" w:name="_Toc349571566"/>
      <w:bookmarkStart w:id="52" w:name="_Toc349563451"/>
      <w:bookmarkStart w:id="53" w:name="_Toc349563373"/>
      <w:bookmarkStart w:id="54" w:name="_Toc349563211"/>
      <w:bookmarkStart w:id="55" w:name="_Toc360001077"/>
      <w:bookmarkStart w:id="56" w:name="_Toc483834479"/>
      <w:r>
        <w:t xml:space="preserve">Table </w:t>
      </w:r>
      <w:r w:rsidR="002618CD">
        <w:fldChar w:fldCharType="begin"/>
      </w:r>
      <w:r w:rsidR="006F1308">
        <w:instrText xml:space="preserve"> STYLEREF 1 \s </w:instrText>
      </w:r>
      <w:r w:rsidR="002618CD">
        <w:fldChar w:fldCharType="separate"/>
      </w:r>
      <w:r w:rsidR="00BA1301">
        <w:rPr>
          <w:noProof/>
        </w:rPr>
        <w:t>2</w:t>
      </w:r>
      <w:r w:rsidR="002618CD">
        <w:fldChar w:fldCharType="end"/>
      </w:r>
      <w:r>
        <w:t>.</w:t>
      </w:r>
      <w:r w:rsidR="002618CD">
        <w:fldChar w:fldCharType="begin"/>
      </w:r>
      <w:r>
        <w:instrText xml:space="preserve"> SEQ Table \* ARABIC \s 1 </w:instrText>
      </w:r>
      <w:r w:rsidR="002618CD">
        <w:fldChar w:fldCharType="separate"/>
      </w:r>
      <w:r w:rsidR="00BA1301">
        <w:rPr>
          <w:noProof/>
        </w:rPr>
        <w:t>3</w:t>
      </w:r>
      <w:r w:rsidR="002618CD">
        <w:fldChar w:fldCharType="end"/>
      </w:r>
      <w:bookmarkEnd w:id="47"/>
      <w:r>
        <w:tab/>
        <w:t>Sewerage services prices, 201</w:t>
      </w:r>
      <w:r w:rsidR="002324E2">
        <w:t>6</w:t>
      </w:r>
      <w:r>
        <w:t>–1</w:t>
      </w:r>
      <w:r w:rsidR="002324E2">
        <w:t>7</w:t>
      </w:r>
      <w:r>
        <w:t xml:space="preserve"> to 201</w:t>
      </w:r>
      <w:r w:rsidR="002324E2">
        <w:t>7</w:t>
      </w:r>
      <w:r>
        <w:t>–1</w:t>
      </w:r>
      <w:r w:rsidR="002324E2">
        <w:t>8</w:t>
      </w:r>
      <w:r>
        <w:t xml:space="preserve"> ($, current prices</w:t>
      </w:r>
      <w:r w:rsidR="00F66E69">
        <w:t>, percentages to two decimal places</w:t>
      </w:r>
      <w:r>
        <w:t>)</w:t>
      </w:r>
      <w:bookmarkEnd w:id="48"/>
      <w:bookmarkEnd w:id="49"/>
      <w:bookmarkEnd w:id="50"/>
      <w:bookmarkEnd w:id="51"/>
      <w:bookmarkEnd w:id="52"/>
      <w:bookmarkEnd w:id="53"/>
      <w:bookmarkEnd w:id="54"/>
      <w:bookmarkEnd w:id="55"/>
      <w:bookmarkEnd w:id="56"/>
    </w:p>
    <w:tbl>
      <w:tblPr>
        <w:tblW w:w="6954" w:type="dxa"/>
        <w:tblInd w:w="96" w:type="dxa"/>
        <w:tblLook w:val="04A0" w:firstRow="1" w:lastRow="0" w:firstColumn="1" w:lastColumn="0" w:noHBand="0" w:noVBand="1"/>
      </w:tblPr>
      <w:tblGrid>
        <w:gridCol w:w="3578"/>
        <w:gridCol w:w="1108"/>
        <w:gridCol w:w="1134"/>
        <w:gridCol w:w="1134"/>
      </w:tblGrid>
      <w:tr w:rsidR="00625889" w:rsidTr="007D7EB8">
        <w:trPr>
          <w:trHeight w:val="330"/>
        </w:trPr>
        <w:tc>
          <w:tcPr>
            <w:tcW w:w="3578"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9A2C1E">
            <w:pPr>
              <w:pStyle w:val="TableTextLeft"/>
              <w:keepNext/>
            </w:pPr>
            <w:r>
              <w:t> </w:t>
            </w:r>
          </w:p>
        </w:tc>
        <w:tc>
          <w:tcPr>
            <w:tcW w:w="1108"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526FFB">
            <w:pPr>
              <w:pStyle w:val="TableHeadingRight"/>
              <w:keepNext/>
            </w:pPr>
            <w:r>
              <w:t>201</w:t>
            </w:r>
            <w:r w:rsidR="00526FFB">
              <w:t>6–17</w:t>
            </w:r>
          </w:p>
        </w:tc>
        <w:tc>
          <w:tcPr>
            <w:tcW w:w="1134"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9A2C1E">
            <w:pPr>
              <w:pStyle w:val="TableHeadingRight"/>
              <w:keepNext/>
            </w:pPr>
            <w:r>
              <w:t>201</w:t>
            </w:r>
            <w:r w:rsidR="00526FFB">
              <w:t>7</w:t>
            </w:r>
            <w:r>
              <w:t>–1</w:t>
            </w:r>
            <w:r w:rsidR="00526FFB">
              <w:t>8</w:t>
            </w:r>
          </w:p>
        </w:tc>
        <w:tc>
          <w:tcPr>
            <w:tcW w:w="1134" w:type="dxa"/>
            <w:tcBorders>
              <w:top w:val="single" w:sz="12" w:space="0" w:color="1F497D"/>
              <w:left w:val="nil"/>
              <w:bottom w:val="single" w:sz="8" w:space="0" w:color="1F497D"/>
              <w:right w:val="nil"/>
            </w:tcBorders>
            <w:shd w:val="clear" w:color="auto" w:fill="DBE5F1"/>
            <w:noWrap/>
            <w:vAlign w:val="bottom"/>
            <w:hideMark/>
          </w:tcPr>
          <w:p w:rsidR="00625889" w:rsidRPr="00625889" w:rsidRDefault="00625889" w:rsidP="009A2C1E">
            <w:pPr>
              <w:pStyle w:val="TableHeadingRight"/>
              <w:keepNext/>
            </w:pPr>
            <w:r>
              <w:t>Change (%)</w:t>
            </w:r>
          </w:p>
        </w:tc>
      </w:tr>
      <w:tr w:rsidR="00327BD6" w:rsidTr="007D7EB8">
        <w:trPr>
          <w:trHeight w:val="300"/>
        </w:trPr>
        <w:tc>
          <w:tcPr>
            <w:tcW w:w="3578" w:type="dxa"/>
            <w:vAlign w:val="bottom"/>
            <w:hideMark/>
          </w:tcPr>
          <w:p w:rsidR="00327BD6" w:rsidRPr="00C51A9B" w:rsidRDefault="00327BD6" w:rsidP="009A2C1E">
            <w:pPr>
              <w:pStyle w:val="TableTextLeft"/>
              <w:keepNext/>
            </w:pPr>
            <w:r>
              <w:t>Supply charge ($/</w:t>
            </w:r>
            <w:r w:rsidR="007D7EB8">
              <w:t>year</w:t>
            </w:r>
            <w:r>
              <w:t>)</w:t>
            </w:r>
          </w:p>
        </w:tc>
        <w:tc>
          <w:tcPr>
            <w:tcW w:w="1108" w:type="dxa"/>
            <w:vAlign w:val="bottom"/>
          </w:tcPr>
          <w:p w:rsidR="00327BD6" w:rsidRPr="00327BD6" w:rsidRDefault="002324E2" w:rsidP="009A2C1E">
            <w:pPr>
              <w:pStyle w:val="TableHeadingRight"/>
              <w:keepNext/>
              <w:rPr>
                <w:b w:val="0"/>
              </w:rPr>
            </w:pPr>
            <w:r>
              <w:rPr>
                <w:b w:val="0"/>
              </w:rPr>
              <w:t>529.38</w:t>
            </w:r>
          </w:p>
        </w:tc>
        <w:tc>
          <w:tcPr>
            <w:tcW w:w="1134" w:type="dxa"/>
            <w:vAlign w:val="bottom"/>
          </w:tcPr>
          <w:p w:rsidR="00327BD6" w:rsidRPr="00C51A9B" w:rsidRDefault="002324E2" w:rsidP="009A2C1E">
            <w:pPr>
              <w:pStyle w:val="TableHeadingRight"/>
              <w:keepNext/>
            </w:pPr>
            <w:r>
              <w:t>537.34</w:t>
            </w:r>
          </w:p>
        </w:tc>
        <w:tc>
          <w:tcPr>
            <w:tcW w:w="1134" w:type="dxa"/>
            <w:vAlign w:val="bottom"/>
            <w:hideMark/>
          </w:tcPr>
          <w:p w:rsidR="00327BD6" w:rsidRPr="00C51A9B" w:rsidRDefault="002324E2" w:rsidP="009A2C1E">
            <w:pPr>
              <w:pStyle w:val="TableTextRight"/>
              <w:keepNext/>
            </w:pPr>
            <w:r>
              <w:t>1.5</w:t>
            </w:r>
            <w:r w:rsidR="00F66E69">
              <w:t>0</w:t>
            </w:r>
          </w:p>
        </w:tc>
      </w:tr>
      <w:tr w:rsidR="00327BD6" w:rsidTr="007D7EB8">
        <w:trPr>
          <w:trHeight w:val="315"/>
        </w:trPr>
        <w:tc>
          <w:tcPr>
            <w:tcW w:w="3578" w:type="dxa"/>
            <w:tcBorders>
              <w:top w:val="nil"/>
              <w:left w:val="nil"/>
              <w:bottom w:val="single" w:sz="12" w:space="0" w:color="1F497D"/>
              <w:right w:val="nil"/>
            </w:tcBorders>
            <w:vAlign w:val="bottom"/>
            <w:hideMark/>
          </w:tcPr>
          <w:p w:rsidR="00327BD6" w:rsidRPr="00C51A9B" w:rsidRDefault="00327BD6" w:rsidP="009A2C1E">
            <w:pPr>
              <w:pStyle w:val="TableTextLeft"/>
              <w:keepNext/>
            </w:pPr>
            <w:r>
              <w:t>Fixture charge non-residential customers ($/</w:t>
            </w:r>
            <w:r w:rsidR="007D7EB8">
              <w:t>year</w:t>
            </w:r>
            <w:r>
              <w:t>)</w:t>
            </w:r>
            <w:r w:rsidRPr="00C51A9B">
              <w:rPr>
                <w:rStyle w:val="FootnoteReference"/>
              </w:rPr>
              <w:t>a</w:t>
            </w:r>
          </w:p>
        </w:tc>
        <w:tc>
          <w:tcPr>
            <w:tcW w:w="1108" w:type="dxa"/>
            <w:tcBorders>
              <w:top w:val="nil"/>
              <w:left w:val="nil"/>
              <w:bottom w:val="single" w:sz="12" w:space="0" w:color="1F497D"/>
              <w:right w:val="nil"/>
            </w:tcBorders>
            <w:vAlign w:val="bottom"/>
          </w:tcPr>
          <w:p w:rsidR="00327BD6" w:rsidRPr="00327BD6" w:rsidRDefault="002324E2" w:rsidP="009A2C1E">
            <w:pPr>
              <w:pStyle w:val="TableHeadingRight"/>
              <w:keepNext/>
              <w:rPr>
                <w:b w:val="0"/>
              </w:rPr>
            </w:pPr>
            <w:r>
              <w:rPr>
                <w:b w:val="0"/>
              </w:rPr>
              <w:t>517.73</w:t>
            </w:r>
          </w:p>
        </w:tc>
        <w:tc>
          <w:tcPr>
            <w:tcW w:w="1134" w:type="dxa"/>
            <w:tcBorders>
              <w:top w:val="nil"/>
              <w:left w:val="nil"/>
              <w:bottom w:val="single" w:sz="12" w:space="0" w:color="1F497D"/>
              <w:right w:val="nil"/>
            </w:tcBorders>
            <w:vAlign w:val="bottom"/>
          </w:tcPr>
          <w:p w:rsidR="00327BD6" w:rsidRPr="00C51A9B" w:rsidRDefault="002324E2" w:rsidP="009A2C1E">
            <w:pPr>
              <w:pStyle w:val="TableHeadingRight"/>
              <w:keepNext/>
            </w:pPr>
            <w:r>
              <w:t>525.51</w:t>
            </w:r>
          </w:p>
        </w:tc>
        <w:tc>
          <w:tcPr>
            <w:tcW w:w="1134" w:type="dxa"/>
            <w:tcBorders>
              <w:top w:val="nil"/>
              <w:left w:val="nil"/>
              <w:bottom w:val="single" w:sz="12" w:space="0" w:color="1F497D"/>
              <w:right w:val="nil"/>
            </w:tcBorders>
            <w:vAlign w:val="bottom"/>
            <w:hideMark/>
          </w:tcPr>
          <w:p w:rsidR="00327BD6" w:rsidRPr="00C51A9B" w:rsidRDefault="002324E2" w:rsidP="009A2C1E">
            <w:pPr>
              <w:pStyle w:val="TableTextRight"/>
              <w:keepNext/>
            </w:pPr>
            <w:r>
              <w:t>1.5</w:t>
            </w:r>
            <w:r w:rsidR="00F66E69">
              <w:t>0</w:t>
            </w:r>
          </w:p>
        </w:tc>
      </w:tr>
    </w:tbl>
    <w:p w:rsidR="00625889" w:rsidRDefault="00625889" w:rsidP="009A2C1E">
      <w:pPr>
        <w:pStyle w:val="TableNotesLast"/>
        <w:keepNext/>
      </w:pPr>
      <w:proofErr w:type="spellStart"/>
      <w:r w:rsidRPr="00E21BED">
        <w:rPr>
          <w:rStyle w:val="FootnoteReference"/>
        </w:rPr>
        <w:t>a</w:t>
      </w:r>
      <w:proofErr w:type="spellEnd"/>
      <w:r w:rsidRPr="00E21BED">
        <w:t xml:space="preserve"> </w:t>
      </w:r>
      <w:r>
        <w:t>For every additional flushing fixture greater than two.</w:t>
      </w:r>
    </w:p>
    <w:p w:rsidR="00544224" w:rsidRDefault="008C49F6" w:rsidP="00722BA6">
      <w:pPr>
        <w:pStyle w:val="Heading2"/>
      </w:pPr>
      <w:bookmarkStart w:id="57" w:name="_Toc483834469"/>
      <w:r>
        <w:t>201</w:t>
      </w:r>
      <w:r w:rsidR="008612A2">
        <w:t>7</w:t>
      </w:r>
      <w:r>
        <w:sym w:font="Symbol" w:char="F02D"/>
      </w:r>
      <w:r>
        <w:t>1</w:t>
      </w:r>
      <w:r w:rsidR="008612A2">
        <w:t>8</w:t>
      </w:r>
      <w:r>
        <w:t xml:space="preserve"> m</w:t>
      </w:r>
      <w:r w:rsidR="00544224">
        <w:t>aximum charges for miscellaneous services</w:t>
      </w:r>
      <w:bookmarkEnd w:id="57"/>
    </w:p>
    <w:p w:rsidR="00020835" w:rsidRPr="00B46056" w:rsidRDefault="00020835" w:rsidP="00020835">
      <w:r>
        <w:t xml:space="preserve">Maximum </w:t>
      </w:r>
      <w:r w:rsidR="007571C6">
        <w:t xml:space="preserve">charges </w:t>
      </w:r>
      <w:r>
        <w:t>for miscellaneous services for 201</w:t>
      </w:r>
      <w:r w:rsidR="007238F1">
        <w:t>7</w:t>
      </w:r>
      <w:r w:rsidRPr="003A5B99">
        <w:sym w:font="Symbol" w:char="F02D"/>
      </w:r>
      <w:r>
        <w:t>1</w:t>
      </w:r>
      <w:r w:rsidR="007238F1">
        <w:t>8</w:t>
      </w:r>
      <w:r>
        <w:t xml:space="preserve"> have been calculated using the following formula, with </w:t>
      </w:r>
      <w:r w:rsidR="007571C6">
        <w:t xml:space="preserve">charges </w:t>
      </w:r>
      <w:r>
        <w:t>rounded to the nearest dollar for the GST-inclusive price:</w:t>
      </w:r>
    </w:p>
    <w:p w:rsidR="00020835" w:rsidRDefault="003F60E8" w:rsidP="00020835">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2017</m:t>
              </m:r>
              <m:r>
                <m:rPr>
                  <m:sty m:val="p"/>
                </m:rPr>
                <w:rPr>
                  <w:rFonts w:ascii="Cambria Math" w:hAnsi="Cambria Math"/>
                </w:rPr>
                <w:sym w:font="Symbol" w:char="F02D"/>
              </m:r>
              <m:r>
                <m:rPr>
                  <m:sty m:val="p"/>
                </m:rPr>
                <w:rPr>
                  <w:rFonts w:ascii="Cambria Math" w:hAnsi="Cambria Math"/>
                </w:rPr>
                <m:t>18</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2016</m:t>
              </m:r>
              <m:r>
                <m:rPr>
                  <m:sty m:val="p"/>
                </m:rPr>
                <w:rPr>
                  <w:rFonts w:ascii="Cambria Math" w:hAnsi="Cambria Math"/>
                </w:rPr>
                <w:sym w:font="Symbol" w:char="F02D"/>
              </m:r>
              <m:r>
                <m:rPr>
                  <m:sty m:val="p"/>
                </m:rPr>
                <w:rPr>
                  <w:rFonts w:ascii="Cambria Math" w:hAnsi="Cambria Math"/>
                </w:rPr>
                <m:t>17</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CPI</m:t>
                  </m:r>
                </m:e>
                <m:sub>
                  <m:r>
                    <m:rPr>
                      <m:sty m:val="p"/>
                    </m:rPr>
                    <w:rPr>
                      <w:rFonts w:ascii="Cambria Math" w:hAnsi="Cambria Math"/>
                    </w:rPr>
                    <m:t>2017</m:t>
                  </m:r>
                  <m:r>
                    <m:rPr>
                      <m:sty m:val="p"/>
                    </m:rPr>
                    <w:rPr>
                      <w:rFonts w:ascii="Cambria Math" w:hAnsi="Cambria Math"/>
                    </w:rPr>
                    <w:sym w:font="Symbol" w:char="F02D"/>
                  </m:r>
                  <m:r>
                    <m:rPr>
                      <m:sty m:val="p"/>
                    </m:rPr>
                    <w:rPr>
                      <w:rFonts w:ascii="Cambria Math" w:hAnsi="Cambria Math"/>
                    </w:rPr>
                    <m:t>18</m:t>
                  </m:r>
                </m:sub>
              </m:sSub>
            </m:e>
          </m:d>
        </m:oMath>
      </m:oMathPara>
    </w:p>
    <w:p w:rsidR="00FE0443" w:rsidRDefault="006340E5" w:rsidP="00C15FEB">
      <w:r>
        <w:t>The full list of c</w:t>
      </w:r>
      <w:r w:rsidR="00020835">
        <w:t xml:space="preserve">alculated </w:t>
      </w:r>
      <w:r w:rsidR="005D5426">
        <w:t xml:space="preserve">maximum </w:t>
      </w:r>
      <w:r>
        <w:t xml:space="preserve">miscellaneous </w:t>
      </w:r>
      <w:r w:rsidR="00020835">
        <w:t xml:space="preserve">services </w:t>
      </w:r>
      <w:r w:rsidR="007571C6">
        <w:t xml:space="preserve">charges </w:t>
      </w:r>
      <w:r w:rsidR="00020835">
        <w:t>for 201</w:t>
      </w:r>
      <w:r w:rsidR="007238F1">
        <w:t>7</w:t>
      </w:r>
      <w:r w:rsidR="00020835">
        <w:sym w:font="Symbol" w:char="F02D"/>
      </w:r>
      <w:r w:rsidR="00020835">
        <w:t>1</w:t>
      </w:r>
      <w:r w:rsidR="007238F1">
        <w:t>8</w:t>
      </w:r>
      <w:r w:rsidR="00020835">
        <w:t xml:space="preserve"> </w:t>
      </w:r>
      <w:r>
        <w:t>is provided in</w:t>
      </w:r>
      <w:r w:rsidR="00DC57EF">
        <w:t xml:space="preserve"> </w:t>
      </w:r>
      <w:r w:rsidR="00DC57EF">
        <w:fldChar w:fldCharType="begin"/>
      </w:r>
      <w:r w:rsidR="00DC57EF">
        <w:instrText xml:space="preserve"> REF _Ref483559589 \r \h </w:instrText>
      </w:r>
      <w:r w:rsidR="00DC57EF">
        <w:fldChar w:fldCharType="separate"/>
      </w:r>
      <w:r w:rsidR="00BA1301">
        <w:t>Appendix 1</w:t>
      </w:r>
      <w:r w:rsidR="00DC57EF">
        <w:fldChar w:fldCharType="end"/>
      </w:r>
      <w:r w:rsidR="00020835">
        <w:t>.</w:t>
      </w:r>
    </w:p>
    <w:p w:rsidR="00FE0443" w:rsidRPr="00FE0443" w:rsidRDefault="00FE0443" w:rsidP="00722BA6">
      <w:pPr>
        <w:pStyle w:val="Heading2"/>
      </w:pPr>
      <w:bookmarkStart w:id="58" w:name="_Toc483834470"/>
      <w:r>
        <w:t>Icon Water’s proposal for a new miscellaneous charge</w:t>
      </w:r>
      <w:bookmarkEnd w:id="58"/>
    </w:p>
    <w:p w:rsidR="00FE0443" w:rsidRPr="00FE0443" w:rsidRDefault="00FE0443" w:rsidP="00FE0443">
      <w:pPr>
        <w:sectPr w:rsidR="00FE0443" w:rsidRPr="00FE0443" w:rsidSect="003E0A53">
          <w:headerReference w:type="even" r:id="rId29"/>
          <w:headerReference w:type="default" r:id="rId30"/>
          <w:endnotePr>
            <w:numFmt w:val="decimal"/>
            <w:numRestart w:val="eachSect"/>
          </w:endnotePr>
          <w:type w:val="continuous"/>
          <w:pgSz w:w="11907" w:h="16840" w:code="9"/>
          <w:pgMar w:top="2245" w:right="2098" w:bottom="1701" w:left="2098" w:header="578" w:footer="578" w:gutter="0"/>
          <w:cols w:space="720"/>
          <w:noEndnote/>
          <w:docGrid w:linePitch="299"/>
        </w:sectPr>
      </w:pPr>
      <w:r>
        <w:t xml:space="preserve">As previously mentioned, Icon Water’s submission included an application for a new miscellaneous service under the proposed water and sewerage capital contribution code. </w:t>
      </w:r>
      <w:r w:rsidR="00D925B0">
        <w:t xml:space="preserve">The Commission will consider Icon Water’s application in due course as part of its determination of proposed water and sewerage capital contribution code. </w:t>
      </w:r>
    </w:p>
    <w:p w:rsidR="00C15FEB" w:rsidRDefault="00B71AD6" w:rsidP="00C15FEB">
      <w:pPr>
        <w:pStyle w:val="Heading1"/>
      </w:pPr>
      <w:bookmarkStart w:id="59" w:name="_Ref419121009"/>
      <w:bookmarkStart w:id="60" w:name="_Ref419121016"/>
      <w:bookmarkStart w:id="61" w:name="_Ref419121017"/>
      <w:bookmarkStart w:id="62" w:name="_Ref419121033"/>
      <w:bookmarkStart w:id="63" w:name="_Ref419121040"/>
      <w:bookmarkStart w:id="64" w:name="_Ref419724419"/>
      <w:bookmarkStart w:id="65" w:name="_Ref419724428"/>
      <w:bookmarkStart w:id="66" w:name="_Toc483834471"/>
      <w:r>
        <w:lastRenderedPageBreak/>
        <w:t xml:space="preserve">Impact on </w:t>
      </w:r>
      <w:bookmarkEnd w:id="59"/>
      <w:bookmarkEnd w:id="60"/>
      <w:bookmarkEnd w:id="61"/>
      <w:bookmarkEnd w:id="62"/>
      <w:bookmarkEnd w:id="63"/>
      <w:r>
        <w:t>customers</w:t>
      </w:r>
      <w:bookmarkEnd w:id="64"/>
      <w:bookmarkEnd w:id="65"/>
      <w:bookmarkEnd w:id="66"/>
    </w:p>
    <w:p w:rsidR="00C15FEB" w:rsidRDefault="00C15FEB" w:rsidP="00C15FEB">
      <w:pPr>
        <w:sectPr w:rsidR="00C15FEB" w:rsidSect="003E0A53">
          <w:headerReference w:type="even" r:id="rId31"/>
          <w:headerReference w:type="default" r:id="rId32"/>
          <w:endnotePr>
            <w:numFmt w:val="decimal"/>
            <w:numRestart w:val="eachSect"/>
          </w:endnotePr>
          <w:type w:val="oddPage"/>
          <w:pgSz w:w="11907" w:h="16840" w:code="9"/>
          <w:pgMar w:top="2245" w:right="2098" w:bottom="1701" w:left="2098" w:header="578" w:footer="578" w:gutter="0"/>
          <w:cols w:space="720"/>
          <w:noEndnote/>
          <w:docGrid w:linePitch="299"/>
        </w:sectPr>
      </w:pPr>
    </w:p>
    <w:p w:rsidR="00625889" w:rsidRDefault="00625889" w:rsidP="00625889">
      <w:pPr>
        <w:pStyle w:val="Bodytableoutro"/>
      </w:pPr>
      <w:r>
        <w:t xml:space="preserve">This </w:t>
      </w:r>
      <w:r w:rsidR="004065F3">
        <w:t xml:space="preserve">chapter </w:t>
      </w:r>
      <w:r>
        <w:t xml:space="preserve">outlines the financial impact on ACT consumers of the Commission’s final decision on </w:t>
      </w:r>
      <w:r w:rsidR="00482FC1">
        <w:t xml:space="preserve">maximum </w:t>
      </w:r>
      <w:r>
        <w:t>water and sewerage service prices. It does this by illustrat</w:t>
      </w:r>
      <w:r w:rsidR="00A84122">
        <w:t>ing</w:t>
      </w:r>
      <w:r>
        <w:t xml:space="preserve"> the impact </w:t>
      </w:r>
      <w:r w:rsidR="00A84122">
        <w:t>of</w:t>
      </w:r>
      <w:r>
        <w:t xml:space="preserve"> </w:t>
      </w:r>
      <w:r w:rsidR="00A84122">
        <w:t xml:space="preserve">the change in </w:t>
      </w:r>
      <w:r>
        <w:t>water and sewerage service prices</w:t>
      </w:r>
      <w:r w:rsidR="00A84122">
        <w:t xml:space="preserve"> in 201</w:t>
      </w:r>
      <w:r w:rsidR="00107134">
        <w:t>6</w:t>
      </w:r>
      <w:r w:rsidR="00A84122">
        <w:sym w:font="Symbol" w:char="F02D"/>
      </w:r>
      <w:r w:rsidR="00A84122">
        <w:t>1</w:t>
      </w:r>
      <w:r w:rsidR="00107134">
        <w:t>7</w:t>
      </w:r>
      <w:r w:rsidR="00A84122">
        <w:t xml:space="preserve"> on annual </w:t>
      </w:r>
      <w:r w:rsidR="00697765">
        <w:t>water charges and combined water and sewerage services bills</w:t>
      </w:r>
      <w:r>
        <w:t>.</w:t>
      </w:r>
    </w:p>
    <w:p w:rsidR="00625889" w:rsidRPr="00625889" w:rsidRDefault="00625889" w:rsidP="00722BA6">
      <w:pPr>
        <w:pStyle w:val="Heading2"/>
      </w:pPr>
      <w:bookmarkStart w:id="67" w:name="_Toc348813964"/>
      <w:bookmarkStart w:id="68" w:name="_Toc483834472"/>
      <w:r>
        <w:t>Water</w:t>
      </w:r>
      <w:bookmarkEnd w:id="67"/>
      <w:r w:rsidR="00A577AE">
        <w:t xml:space="preserve"> </w:t>
      </w:r>
      <w:r w:rsidR="00697765">
        <w:t>charges</w:t>
      </w:r>
      <w:bookmarkEnd w:id="68"/>
    </w:p>
    <w:p w:rsidR="00625889" w:rsidRDefault="002618CD" w:rsidP="00625889">
      <w:pPr>
        <w:pStyle w:val="Bodytableoutro"/>
      </w:pPr>
      <w:r>
        <w:fldChar w:fldCharType="begin"/>
      </w:r>
      <w:r w:rsidR="00625889">
        <w:instrText xml:space="preserve"> REF _Ref348854698 \h </w:instrText>
      </w:r>
      <w:r>
        <w:fldChar w:fldCharType="separate"/>
      </w:r>
      <w:r w:rsidR="00BA1301">
        <w:t xml:space="preserve">Table </w:t>
      </w:r>
      <w:r w:rsidR="00BA1301">
        <w:rPr>
          <w:noProof/>
        </w:rPr>
        <w:t>3</w:t>
      </w:r>
      <w:r w:rsidR="00BA1301">
        <w:t>.</w:t>
      </w:r>
      <w:r w:rsidR="00BA1301">
        <w:rPr>
          <w:noProof/>
        </w:rPr>
        <w:t>1</w:t>
      </w:r>
      <w:r>
        <w:fldChar w:fldCharType="end"/>
      </w:r>
      <w:r w:rsidR="00625889">
        <w:t xml:space="preserve"> shows the change in </w:t>
      </w:r>
      <w:r w:rsidR="00A84122">
        <w:t xml:space="preserve">annual </w:t>
      </w:r>
      <w:r w:rsidR="00625889">
        <w:t xml:space="preserve">water </w:t>
      </w:r>
      <w:r w:rsidR="00697765">
        <w:t xml:space="preserve">charges </w:t>
      </w:r>
      <w:r w:rsidR="00625889">
        <w:t>from 201</w:t>
      </w:r>
      <w:r w:rsidR="00863BB7">
        <w:t>6</w:t>
      </w:r>
      <w:r w:rsidR="00625889">
        <w:t>–1</w:t>
      </w:r>
      <w:r w:rsidR="00863BB7">
        <w:t>7</w:t>
      </w:r>
      <w:r w:rsidR="00625889">
        <w:t xml:space="preserve"> to 201</w:t>
      </w:r>
      <w:r w:rsidR="00863BB7">
        <w:t>7</w:t>
      </w:r>
      <w:r w:rsidR="00625889">
        <w:t>–1</w:t>
      </w:r>
      <w:r w:rsidR="00863BB7">
        <w:t>8</w:t>
      </w:r>
      <w:r w:rsidR="00625889">
        <w:t xml:space="preserve"> for residential customers at different consumption levels.</w:t>
      </w:r>
    </w:p>
    <w:p w:rsidR="00625889" w:rsidRDefault="00625889" w:rsidP="00625889">
      <w:pPr>
        <w:pStyle w:val="TableName"/>
      </w:pPr>
      <w:bookmarkStart w:id="69" w:name="_Ref348854698"/>
      <w:bookmarkStart w:id="70" w:name="_Toc358386659"/>
      <w:bookmarkStart w:id="71" w:name="_Toc353533213"/>
      <w:bookmarkStart w:id="72" w:name="_Toc349572467"/>
      <w:bookmarkStart w:id="73" w:name="_Toc349571568"/>
      <w:bookmarkStart w:id="74" w:name="_Toc349563453"/>
      <w:bookmarkStart w:id="75" w:name="_Toc349563375"/>
      <w:bookmarkStart w:id="76" w:name="_Toc349563213"/>
      <w:bookmarkStart w:id="77" w:name="_Toc360001079"/>
      <w:bookmarkStart w:id="78" w:name="_Toc483834480"/>
      <w:r>
        <w:t xml:space="preserve">Table </w:t>
      </w:r>
      <w:r w:rsidR="002618CD">
        <w:fldChar w:fldCharType="begin"/>
      </w:r>
      <w:r w:rsidR="006F1308">
        <w:instrText xml:space="preserve"> STYLEREF 1 \s </w:instrText>
      </w:r>
      <w:r w:rsidR="002618CD">
        <w:fldChar w:fldCharType="separate"/>
      </w:r>
      <w:r w:rsidR="00BA1301">
        <w:rPr>
          <w:noProof/>
        </w:rPr>
        <w:t>3</w:t>
      </w:r>
      <w:r w:rsidR="002618CD">
        <w:fldChar w:fldCharType="end"/>
      </w:r>
      <w:r>
        <w:t>.</w:t>
      </w:r>
      <w:r w:rsidR="002618CD">
        <w:fldChar w:fldCharType="begin"/>
      </w:r>
      <w:r>
        <w:instrText xml:space="preserve"> SEQ Table \* ARABIC \s 1 </w:instrText>
      </w:r>
      <w:r w:rsidR="002618CD">
        <w:fldChar w:fldCharType="separate"/>
      </w:r>
      <w:r w:rsidR="00BA1301">
        <w:rPr>
          <w:noProof/>
        </w:rPr>
        <w:t>1</w:t>
      </w:r>
      <w:r w:rsidR="002618CD">
        <w:fldChar w:fldCharType="end"/>
      </w:r>
      <w:bookmarkEnd w:id="69"/>
      <w:r>
        <w:tab/>
        <w:t xml:space="preserve">Change in annual water </w:t>
      </w:r>
      <w:r w:rsidR="00697765">
        <w:t>charges</w:t>
      </w:r>
      <w:r w:rsidR="00A84122">
        <w:t xml:space="preserve"> </w:t>
      </w:r>
      <w:r>
        <w:t>for residential customers</w:t>
      </w:r>
      <w:r w:rsidR="00F80C82" w:rsidRPr="00F80C82">
        <w:t xml:space="preserve"> </w:t>
      </w:r>
      <w:r w:rsidR="00F80C82">
        <w:t>from 2016–17 to 2017–</w:t>
      </w:r>
      <w:proofErr w:type="gramStart"/>
      <w:r w:rsidR="00F80C82">
        <w:t xml:space="preserve">18 </w:t>
      </w:r>
      <w:r>
        <w:t xml:space="preserve"> (</w:t>
      </w:r>
      <w:proofErr w:type="gramEnd"/>
      <w:r>
        <w:t>$, current prices</w:t>
      </w:r>
      <w:r w:rsidR="00F66E69">
        <w:t>, percentages to two decimal places</w:t>
      </w:r>
      <w:r>
        <w:t>)</w:t>
      </w:r>
      <w:bookmarkEnd w:id="70"/>
      <w:bookmarkEnd w:id="71"/>
      <w:bookmarkEnd w:id="72"/>
      <w:bookmarkEnd w:id="73"/>
      <w:bookmarkEnd w:id="74"/>
      <w:bookmarkEnd w:id="75"/>
      <w:bookmarkEnd w:id="76"/>
      <w:bookmarkEnd w:id="77"/>
      <w:bookmarkEnd w:id="78"/>
    </w:p>
    <w:tbl>
      <w:tblPr>
        <w:tblW w:w="7280" w:type="dxa"/>
        <w:tblInd w:w="108" w:type="dxa"/>
        <w:tblLook w:val="04A0" w:firstRow="1" w:lastRow="0" w:firstColumn="1" w:lastColumn="0" w:noHBand="0" w:noVBand="1"/>
      </w:tblPr>
      <w:tblGrid>
        <w:gridCol w:w="1456"/>
        <w:gridCol w:w="1456"/>
        <w:gridCol w:w="1456"/>
        <w:gridCol w:w="1456"/>
        <w:gridCol w:w="1456"/>
      </w:tblGrid>
      <w:tr w:rsidR="00625889" w:rsidTr="00863BB7">
        <w:trPr>
          <w:trHeight w:val="454"/>
        </w:trPr>
        <w:tc>
          <w:tcPr>
            <w:tcW w:w="1456" w:type="dxa"/>
            <w:tcBorders>
              <w:top w:val="single" w:sz="12" w:space="0" w:color="1F497D"/>
              <w:left w:val="nil"/>
              <w:bottom w:val="single" w:sz="8" w:space="0" w:color="1F497D"/>
              <w:right w:val="nil"/>
            </w:tcBorders>
            <w:shd w:val="clear" w:color="auto" w:fill="auto"/>
            <w:vAlign w:val="bottom"/>
            <w:hideMark/>
          </w:tcPr>
          <w:p w:rsidR="00625889" w:rsidRPr="00625889" w:rsidRDefault="00625889" w:rsidP="00625889">
            <w:pPr>
              <w:pStyle w:val="TableHeadingLeft"/>
            </w:pPr>
            <w:r>
              <w:t>Annual water consumption (</w:t>
            </w:r>
            <w:proofErr w:type="spellStart"/>
            <w:r>
              <w:t>kL</w:t>
            </w:r>
            <w:proofErr w:type="spellEnd"/>
            <w:r>
              <w:t>)</w:t>
            </w:r>
          </w:p>
        </w:tc>
        <w:tc>
          <w:tcPr>
            <w:tcW w:w="1456" w:type="dxa"/>
            <w:tcBorders>
              <w:top w:val="single" w:sz="12" w:space="0" w:color="1F497D"/>
              <w:left w:val="nil"/>
              <w:bottom w:val="single" w:sz="8" w:space="0" w:color="1F497D"/>
              <w:right w:val="nil"/>
            </w:tcBorders>
            <w:shd w:val="clear" w:color="auto" w:fill="auto"/>
            <w:vAlign w:val="bottom"/>
            <w:hideMark/>
          </w:tcPr>
          <w:p w:rsidR="00625889" w:rsidRPr="00625889" w:rsidRDefault="00625889" w:rsidP="00863BB7">
            <w:pPr>
              <w:pStyle w:val="TableHeadingRight"/>
            </w:pPr>
            <w:r>
              <w:t>Annual 201</w:t>
            </w:r>
            <w:r w:rsidR="00863BB7">
              <w:t>6</w:t>
            </w:r>
            <w:r>
              <w:t>–1</w:t>
            </w:r>
            <w:r w:rsidR="00863BB7">
              <w:t>7</w:t>
            </w:r>
            <w:r>
              <w:t xml:space="preserve"> water </w:t>
            </w:r>
            <w:r w:rsidR="001E6BB6">
              <w:t>charge</w:t>
            </w:r>
            <w:r w:rsidRPr="00625889">
              <w:t xml:space="preserve"> ($)</w:t>
            </w:r>
          </w:p>
        </w:tc>
        <w:tc>
          <w:tcPr>
            <w:tcW w:w="1456" w:type="dxa"/>
            <w:tcBorders>
              <w:top w:val="single" w:sz="12" w:space="0" w:color="1F497D"/>
              <w:left w:val="nil"/>
              <w:bottom w:val="single" w:sz="8" w:space="0" w:color="1F497D"/>
              <w:right w:val="nil"/>
            </w:tcBorders>
            <w:shd w:val="clear" w:color="auto" w:fill="auto"/>
            <w:vAlign w:val="bottom"/>
            <w:hideMark/>
          </w:tcPr>
          <w:p w:rsidR="00625889" w:rsidRPr="00625889" w:rsidRDefault="00625889" w:rsidP="00863BB7">
            <w:pPr>
              <w:pStyle w:val="TableHeadingRight"/>
            </w:pPr>
            <w:r>
              <w:t>Annual 201</w:t>
            </w:r>
            <w:r w:rsidR="00863BB7">
              <w:t>7</w:t>
            </w:r>
            <w:r>
              <w:t>–1</w:t>
            </w:r>
            <w:r w:rsidR="00863BB7">
              <w:t>8</w:t>
            </w:r>
            <w:r>
              <w:t xml:space="preserve"> water </w:t>
            </w:r>
            <w:r w:rsidR="001E6BB6">
              <w:t>charge</w:t>
            </w:r>
            <w:r w:rsidRPr="00625889">
              <w:t>($)</w:t>
            </w:r>
          </w:p>
        </w:tc>
        <w:tc>
          <w:tcPr>
            <w:tcW w:w="1456" w:type="dxa"/>
            <w:tcBorders>
              <w:top w:val="single" w:sz="12" w:space="0" w:color="1F497D"/>
              <w:left w:val="nil"/>
              <w:bottom w:val="single" w:sz="8" w:space="0" w:color="1F497D"/>
              <w:right w:val="nil"/>
            </w:tcBorders>
            <w:shd w:val="clear" w:color="auto" w:fill="auto"/>
            <w:vAlign w:val="bottom"/>
            <w:hideMark/>
          </w:tcPr>
          <w:p w:rsidR="00625889" w:rsidRPr="00625889" w:rsidRDefault="00625889" w:rsidP="00156E11">
            <w:pPr>
              <w:pStyle w:val="TableHeadingRight"/>
            </w:pPr>
            <w:r>
              <w:t xml:space="preserve">Change in water </w:t>
            </w:r>
            <w:r w:rsidR="001E6BB6">
              <w:t>charge</w:t>
            </w:r>
            <w:r w:rsidRPr="00625889">
              <w:t xml:space="preserve"> (%)</w:t>
            </w:r>
          </w:p>
        </w:tc>
        <w:tc>
          <w:tcPr>
            <w:tcW w:w="1456" w:type="dxa"/>
            <w:tcBorders>
              <w:top w:val="single" w:sz="12" w:space="0" w:color="1F497D"/>
              <w:left w:val="nil"/>
              <w:bottom w:val="single" w:sz="8" w:space="0" w:color="1F497D"/>
              <w:right w:val="nil"/>
            </w:tcBorders>
            <w:shd w:val="clear" w:color="auto" w:fill="auto"/>
            <w:vAlign w:val="bottom"/>
            <w:hideMark/>
          </w:tcPr>
          <w:p w:rsidR="00625889" w:rsidRPr="00625889" w:rsidRDefault="00625889" w:rsidP="00156E11">
            <w:pPr>
              <w:pStyle w:val="TableHeadingRight"/>
            </w:pPr>
            <w:r>
              <w:t xml:space="preserve">Change in water </w:t>
            </w:r>
            <w:r w:rsidR="001E6BB6">
              <w:t>charge</w:t>
            </w:r>
            <w:r w:rsidR="00156E11">
              <w:t xml:space="preserve"> </w:t>
            </w:r>
            <w:r w:rsidRPr="00625889">
              <w:t>($)</w:t>
            </w:r>
          </w:p>
        </w:tc>
      </w:tr>
      <w:tr w:rsidR="00863BB7" w:rsidTr="00863BB7">
        <w:trPr>
          <w:trHeight w:val="300"/>
        </w:trPr>
        <w:tc>
          <w:tcPr>
            <w:tcW w:w="1456" w:type="dxa"/>
            <w:shd w:val="clear" w:color="auto" w:fill="auto"/>
            <w:vAlign w:val="bottom"/>
            <w:hideMark/>
          </w:tcPr>
          <w:p w:rsidR="00863BB7" w:rsidRPr="00863BB7" w:rsidRDefault="00863BB7" w:rsidP="00863BB7">
            <w:pPr>
              <w:pStyle w:val="TableTextLeft"/>
            </w:pPr>
            <w:r w:rsidRPr="00863BB7">
              <w:t>0</w:t>
            </w:r>
          </w:p>
        </w:tc>
        <w:tc>
          <w:tcPr>
            <w:tcW w:w="1456" w:type="dxa"/>
            <w:tcBorders>
              <w:top w:val="single" w:sz="4" w:space="0" w:color="000033"/>
              <w:left w:val="nil"/>
              <w:bottom w:val="nil"/>
              <w:right w:val="single" w:sz="4" w:space="0" w:color="FFFFFF"/>
            </w:tcBorders>
            <w:shd w:val="clear" w:color="auto" w:fill="auto"/>
            <w:vAlign w:val="bottom"/>
          </w:tcPr>
          <w:p w:rsidR="00863BB7" w:rsidRPr="00863BB7" w:rsidRDefault="00863BB7" w:rsidP="00863BB7">
            <w:pPr>
              <w:pStyle w:val="TableTextRight"/>
            </w:pPr>
            <w:r w:rsidRPr="00863BB7">
              <w:t>101</w:t>
            </w:r>
          </w:p>
        </w:tc>
        <w:tc>
          <w:tcPr>
            <w:tcW w:w="1456" w:type="dxa"/>
            <w:tcBorders>
              <w:top w:val="single" w:sz="4" w:space="0" w:color="000033"/>
              <w:left w:val="nil"/>
              <w:bottom w:val="nil"/>
              <w:right w:val="single" w:sz="4" w:space="0" w:color="FFFFFF"/>
            </w:tcBorders>
            <w:shd w:val="clear" w:color="auto" w:fill="auto"/>
            <w:vAlign w:val="bottom"/>
          </w:tcPr>
          <w:p w:rsidR="00863BB7" w:rsidRPr="00863BB7" w:rsidRDefault="00863BB7" w:rsidP="00863BB7">
            <w:pPr>
              <w:pStyle w:val="TableTextRight"/>
            </w:pPr>
            <w:r w:rsidRPr="00863BB7">
              <w:t>104</w:t>
            </w:r>
          </w:p>
        </w:tc>
        <w:tc>
          <w:tcPr>
            <w:tcW w:w="1456" w:type="dxa"/>
            <w:tcBorders>
              <w:top w:val="single" w:sz="4" w:space="0" w:color="000033"/>
              <w:left w:val="nil"/>
              <w:bottom w:val="nil"/>
              <w:right w:val="single" w:sz="4" w:space="0" w:color="FFFFFF"/>
            </w:tcBorders>
            <w:shd w:val="clear" w:color="auto" w:fill="auto"/>
            <w:vAlign w:val="bottom"/>
          </w:tcPr>
          <w:p w:rsidR="00863BB7" w:rsidRPr="00863BB7" w:rsidRDefault="00F66E69" w:rsidP="00863BB7">
            <w:pPr>
              <w:pStyle w:val="TableTextRight"/>
            </w:pPr>
            <w:r>
              <w:t>2.69</w:t>
            </w:r>
            <w:r w:rsidR="00863BB7" w:rsidRPr="00863BB7">
              <w:t>%</w:t>
            </w:r>
          </w:p>
        </w:tc>
        <w:tc>
          <w:tcPr>
            <w:tcW w:w="1456" w:type="dxa"/>
            <w:tcBorders>
              <w:top w:val="single" w:sz="4" w:space="0" w:color="000033"/>
              <w:left w:val="nil"/>
              <w:bottom w:val="nil"/>
              <w:right w:val="single" w:sz="4" w:space="0" w:color="FFFFFF"/>
            </w:tcBorders>
            <w:shd w:val="clear" w:color="auto" w:fill="auto"/>
            <w:vAlign w:val="bottom"/>
          </w:tcPr>
          <w:p w:rsidR="00863BB7" w:rsidRPr="00863BB7" w:rsidRDefault="00863BB7" w:rsidP="00863BB7">
            <w:pPr>
              <w:pStyle w:val="TableTextRight"/>
            </w:pPr>
            <w:r w:rsidRPr="00863BB7">
              <w:t>3</w:t>
            </w:r>
          </w:p>
        </w:tc>
      </w:tr>
      <w:tr w:rsidR="00863BB7" w:rsidTr="00863BB7">
        <w:trPr>
          <w:trHeight w:val="300"/>
        </w:trPr>
        <w:tc>
          <w:tcPr>
            <w:tcW w:w="1456" w:type="dxa"/>
            <w:shd w:val="clear" w:color="auto" w:fill="auto"/>
            <w:vAlign w:val="bottom"/>
            <w:hideMark/>
          </w:tcPr>
          <w:p w:rsidR="00863BB7" w:rsidRPr="00863BB7" w:rsidRDefault="00863BB7" w:rsidP="00863BB7">
            <w:pPr>
              <w:pStyle w:val="TableTextLeft"/>
            </w:pPr>
            <w:r w:rsidRPr="00863BB7">
              <w:t>50</w:t>
            </w:r>
          </w:p>
        </w:tc>
        <w:tc>
          <w:tcPr>
            <w:tcW w:w="1456" w:type="dxa"/>
            <w:tcBorders>
              <w:top w:val="nil"/>
              <w:left w:val="nil"/>
              <w:bottom w:val="single" w:sz="4" w:space="0" w:color="FFFFFF"/>
              <w:right w:val="single" w:sz="4" w:space="0" w:color="FFFFFF"/>
            </w:tcBorders>
            <w:shd w:val="clear" w:color="auto" w:fill="auto"/>
            <w:vAlign w:val="bottom"/>
          </w:tcPr>
          <w:p w:rsidR="00863BB7" w:rsidRPr="00863BB7" w:rsidRDefault="00863BB7" w:rsidP="00863BB7">
            <w:pPr>
              <w:pStyle w:val="TableTextRight"/>
            </w:pPr>
            <w:r w:rsidRPr="00863BB7">
              <w:t>232</w:t>
            </w:r>
          </w:p>
        </w:tc>
        <w:tc>
          <w:tcPr>
            <w:tcW w:w="1456" w:type="dxa"/>
            <w:tcBorders>
              <w:top w:val="nil"/>
              <w:left w:val="nil"/>
              <w:bottom w:val="single" w:sz="4" w:space="0" w:color="FFFFFF"/>
              <w:right w:val="single" w:sz="4" w:space="0" w:color="FFFFFF"/>
            </w:tcBorders>
            <w:shd w:val="clear" w:color="auto" w:fill="auto"/>
            <w:vAlign w:val="bottom"/>
          </w:tcPr>
          <w:p w:rsidR="00863BB7" w:rsidRPr="00863BB7" w:rsidRDefault="00863BB7" w:rsidP="00863BB7">
            <w:pPr>
              <w:pStyle w:val="TableTextRight"/>
            </w:pPr>
            <w:r w:rsidRPr="00863BB7">
              <w:t>238</w:t>
            </w:r>
          </w:p>
        </w:tc>
        <w:tc>
          <w:tcPr>
            <w:tcW w:w="1456" w:type="dxa"/>
            <w:tcBorders>
              <w:top w:val="nil"/>
              <w:left w:val="nil"/>
              <w:bottom w:val="single" w:sz="4" w:space="0" w:color="FFFFFF"/>
              <w:right w:val="single" w:sz="4" w:space="0" w:color="FFFFFF"/>
            </w:tcBorders>
            <w:shd w:val="clear" w:color="auto" w:fill="auto"/>
            <w:vAlign w:val="bottom"/>
          </w:tcPr>
          <w:p w:rsidR="00863BB7" w:rsidRPr="00863BB7" w:rsidRDefault="00863BB7" w:rsidP="00863BB7">
            <w:pPr>
              <w:pStyle w:val="TableTextRight"/>
            </w:pPr>
            <w:r w:rsidRPr="00863BB7">
              <w:t>2.</w:t>
            </w:r>
            <w:r w:rsidR="00F66E69">
              <w:t>69</w:t>
            </w:r>
            <w:r w:rsidRPr="00863BB7">
              <w:t>%</w:t>
            </w:r>
          </w:p>
        </w:tc>
        <w:tc>
          <w:tcPr>
            <w:tcW w:w="1456" w:type="dxa"/>
            <w:tcBorders>
              <w:top w:val="nil"/>
              <w:left w:val="nil"/>
              <w:bottom w:val="single" w:sz="4" w:space="0" w:color="FFFFFF"/>
              <w:right w:val="single" w:sz="4" w:space="0" w:color="FFFFFF"/>
            </w:tcBorders>
            <w:shd w:val="clear" w:color="auto" w:fill="auto"/>
            <w:vAlign w:val="bottom"/>
          </w:tcPr>
          <w:p w:rsidR="00863BB7" w:rsidRPr="00863BB7" w:rsidRDefault="00863BB7" w:rsidP="00863BB7">
            <w:pPr>
              <w:pStyle w:val="TableTextRight"/>
            </w:pPr>
            <w:r w:rsidRPr="00863BB7">
              <w:t>6</w:t>
            </w:r>
          </w:p>
        </w:tc>
      </w:tr>
      <w:tr w:rsidR="00863BB7" w:rsidTr="00863BB7">
        <w:trPr>
          <w:trHeight w:val="300"/>
        </w:trPr>
        <w:tc>
          <w:tcPr>
            <w:tcW w:w="1456" w:type="dxa"/>
            <w:shd w:val="clear" w:color="auto" w:fill="auto"/>
            <w:vAlign w:val="bottom"/>
            <w:hideMark/>
          </w:tcPr>
          <w:p w:rsidR="00863BB7" w:rsidRPr="00863BB7" w:rsidRDefault="00863BB7" w:rsidP="00863BB7">
            <w:pPr>
              <w:pStyle w:val="TableTextLeft"/>
            </w:pPr>
            <w:r w:rsidRPr="00863BB7">
              <w:t>100</w:t>
            </w:r>
          </w:p>
        </w:tc>
        <w:tc>
          <w:tcPr>
            <w:tcW w:w="1456" w:type="dxa"/>
            <w:tcBorders>
              <w:top w:val="nil"/>
              <w:left w:val="nil"/>
              <w:bottom w:val="single" w:sz="4" w:space="0" w:color="FFFFFF"/>
              <w:right w:val="single" w:sz="4" w:space="0" w:color="FFFFFF"/>
            </w:tcBorders>
            <w:shd w:val="clear" w:color="auto" w:fill="auto"/>
            <w:vAlign w:val="bottom"/>
          </w:tcPr>
          <w:p w:rsidR="00863BB7" w:rsidRPr="00863BB7" w:rsidRDefault="00863BB7" w:rsidP="00863BB7">
            <w:pPr>
              <w:pStyle w:val="TableTextRight"/>
            </w:pPr>
            <w:r w:rsidRPr="00863BB7">
              <w:t>362</w:t>
            </w:r>
          </w:p>
        </w:tc>
        <w:tc>
          <w:tcPr>
            <w:tcW w:w="1456" w:type="dxa"/>
            <w:tcBorders>
              <w:top w:val="nil"/>
              <w:left w:val="nil"/>
              <w:bottom w:val="single" w:sz="4" w:space="0" w:color="FFFFFF"/>
              <w:right w:val="single" w:sz="4" w:space="0" w:color="FFFFFF"/>
            </w:tcBorders>
            <w:shd w:val="clear" w:color="auto" w:fill="auto"/>
            <w:vAlign w:val="bottom"/>
          </w:tcPr>
          <w:p w:rsidR="00863BB7" w:rsidRPr="00863BB7" w:rsidRDefault="00863BB7" w:rsidP="00863BB7">
            <w:pPr>
              <w:pStyle w:val="TableTextRight"/>
            </w:pPr>
            <w:r w:rsidRPr="00863BB7">
              <w:t>372</w:t>
            </w:r>
          </w:p>
        </w:tc>
        <w:tc>
          <w:tcPr>
            <w:tcW w:w="1456" w:type="dxa"/>
            <w:tcBorders>
              <w:top w:val="nil"/>
              <w:left w:val="nil"/>
              <w:bottom w:val="single" w:sz="4" w:space="0" w:color="FFFFFF"/>
              <w:right w:val="single" w:sz="4" w:space="0" w:color="FFFFFF"/>
            </w:tcBorders>
            <w:shd w:val="clear" w:color="auto" w:fill="auto"/>
            <w:vAlign w:val="bottom"/>
          </w:tcPr>
          <w:p w:rsidR="00863BB7" w:rsidRPr="00863BB7" w:rsidRDefault="00863BB7" w:rsidP="00863BB7">
            <w:pPr>
              <w:pStyle w:val="TableTextRight"/>
            </w:pPr>
            <w:r w:rsidRPr="00863BB7">
              <w:t>2.</w:t>
            </w:r>
            <w:r w:rsidR="00F66E69">
              <w:t>68</w:t>
            </w:r>
            <w:r w:rsidRPr="00863BB7">
              <w:t>%</w:t>
            </w:r>
          </w:p>
        </w:tc>
        <w:tc>
          <w:tcPr>
            <w:tcW w:w="1456" w:type="dxa"/>
            <w:tcBorders>
              <w:top w:val="nil"/>
              <w:left w:val="nil"/>
              <w:bottom w:val="single" w:sz="4" w:space="0" w:color="FFFFFF"/>
              <w:right w:val="single" w:sz="4" w:space="0" w:color="FFFFFF"/>
            </w:tcBorders>
            <w:shd w:val="clear" w:color="auto" w:fill="auto"/>
            <w:vAlign w:val="bottom"/>
          </w:tcPr>
          <w:p w:rsidR="00863BB7" w:rsidRPr="00863BB7" w:rsidRDefault="00863BB7" w:rsidP="00863BB7">
            <w:pPr>
              <w:pStyle w:val="TableTextRight"/>
            </w:pPr>
            <w:r w:rsidRPr="00863BB7">
              <w:t>10</w:t>
            </w:r>
          </w:p>
        </w:tc>
      </w:tr>
      <w:tr w:rsidR="00863BB7" w:rsidTr="00863BB7">
        <w:trPr>
          <w:trHeight w:val="300"/>
        </w:trPr>
        <w:tc>
          <w:tcPr>
            <w:tcW w:w="1456" w:type="dxa"/>
            <w:shd w:val="clear" w:color="auto" w:fill="auto"/>
            <w:vAlign w:val="bottom"/>
            <w:hideMark/>
          </w:tcPr>
          <w:p w:rsidR="00863BB7" w:rsidRPr="00863BB7" w:rsidRDefault="00863BB7" w:rsidP="00863BB7">
            <w:pPr>
              <w:pStyle w:val="TableTextLeft"/>
            </w:pPr>
            <w:r w:rsidRPr="00863BB7">
              <w:t>150</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493</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506</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2.</w:t>
            </w:r>
            <w:r w:rsidR="00F66E69">
              <w:t>68</w:t>
            </w:r>
            <w:r w:rsidRPr="00863BB7">
              <w:t>%</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13</w:t>
            </w:r>
          </w:p>
        </w:tc>
      </w:tr>
      <w:tr w:rsidR="00863BB7" w:rsidTr="00863BB7">
        <w:trPr>
          <w:trHeight w:val="300"/>
        </w:trPr>
        <w:tc>
          <w:tcPr>
            <w:tcW w:w="1456" w:type="dxa"/>
            <w:shd w:val="clear" w:color="auto" w:fill="auto"/>
            <w:vAlign w:val="bottom"/>
            <w:hideMark/>
          </w:tcPr>
          <w:p w:rsidR="00863BB7" w:rsidRPr="00863BB7" w:rsidRDefault="00863BB7" w:rsidP="00863BB7">
            <w:pPr>
              <w:pStyle w:val="TableHeadingLeft"/>
            </w:pPr>
            <w:r w:rsidRPr="00863BB7">
              <w:t>200</w:t>
            </w:r>
          </w:p>
        </w:tc>
        <w:tc>
          <w:tcPr>
            <w:tcW w:w="1456" w:type="dxa"/>
            <w:tcBorders>
              <w:top w:val="nil"/>
              <w:left w:val="nil"/>
              <w:bottom w:val="nil"/>
              <w:right w:val="single" w:sz="4" w:space="0" w:color="FFFFFF"/>
            </w:tcBorders>
            <w:shd w:val="clear" w:color="auto" w:fill="auto"/>
            <w:vAlign w:val="bottom"/>
          </w:tcPr>
          <w:p w:rsidR="00863BB7" w:rsidRPr="00B31F43" w:rsidRDefault="00863BB7" w:rsidP="00863BB7">
            <w:pPr>
              <w:pStyle w:val="TableTextRight"/>
              <w:rPr>
                <w:b/>
              </w:rPr>
            </w:pPr>
            <w:r w:rsidRPr="00B31F43">
              <w:rPr>
                <w:b/>
              </w:rPr>
              <w:t>645</w:t>
            </w:r>
          </w:p>
        </w:tc>
        <w:tc>
          <w:tcPr>
            <w:tcW w:w="1456" w:type="dxa"/>
            <w:tcBorders>
              <w:top w:val="nil"/>
              <w:left w:val="nil"/>
              <w:bottom w:val="nil"/>
              <w:right w:val="single" w:sz="4" w:space="0" w:color="FFFFFF"/>
            </w:tcBorders>
            <w:shd w:val="clear" w:color="auto" w:fill="auto"/>
            <w:vAlign w:val="bottom"/>
          </w:tcPr>
          <w:p w:rsidR="00863BB7" w:rsidRPr="00B31F43" w:rsidRDefault="00863BB7" w:rsidP="00863BB7">
            <w:pPr>
              <w:pStyle w:val="TableTextRight"/>
              <w:rPr>
                <w:b/>
              </w:rPr>
            </w:pPr>
            <w:r w:rsidRPr="00B31F43">
              <w:rPr>
                <w:b/>
              </w:rPr>
              <w:t>663</w:t>
            </w:r>
          </w:p>
        </w:tc>
        <w:tc>
          <w:tcPr>
            <w:tcW w:w="1456" w:type="dxa"/>
            <w:tcBorders>
              <w:top w:val="nil"/>
              <w:left w:val="nil"/>
              <w:bottom w:val="nil"/>
              <w:right w:val="single" w:sz="4" w:space="0" w:color="FFFFFF"/>
            </w:tcBorders>
            <w:shd w:val="clear" w:color="auto" w:fill="auto"/>
            <w:vAlign w:val="bottom"/>
          </w:tcPr>
          <w:p w:rsidR="00863BB7" w:rsidRPr="00B31F43" w:rsidRDefault="00863BB7" w:rsidP="00863BB7">
            <w:pPr>
              <w:pStyle w:val="TableTextRight"/>
              <w:rPr>
                <w:b/>
              </w:rPr>
            </w:pPr>
            <w:r w:rsidRPr="00B31F43">
              <w:rPr>
                <w:b/>
              </w:rPr>
              <w:t>2.</w:t>
            </w:r>
            <w:r w:rsidR="00F66E69" w:rsidRPr="00F66E69">
              <w:rPr>
                <w:b/>
              </w:rPr>
              <w:t>68</w:t>
            </w:r>
            <w:r w:rsidRPr="00B31F43">
              <w:rPr>
                <w:b/>
              </w:rPr>
              <w:t>%</w:t>
            </w:r>
          </w:p>
        </w:tc>
        <w:tc>
          <w:tcPr>
            <w:tcW w:w="1456" w:type="dxa"/>
            <w:tcBorders>
              <w:top w:val="nil"/>
              <w:left w:val="nil"/>
              <w:bottom w:val="nil"/>
              <w:right w:val="single" w:sz="4" w:space="0" w:color="FFFFFF"/>
            </w:tcBorders>
            <w:shd w:val="clear" w:color="auto" w:fill="auto"/>
            <w:vAlign w:val="bottom"/>
          </w:tcPr>
          <w:p w:rsidR="00863BB7" w:rsidRPr="00B31F43" w:rsidRDefault="00863BB7" w:rsidP="00863BB7">
            <w:pPr>
              <w:pStyle w:val="TableTextRight"/>
              <w:rPr>
                <w:b/>
              </w:rPr>
            </w:pPr>
            <w:r w:rsidRPr="00B31F43">
              <w:rPr>
                <w:b/>
              </w:rPr>
              <w:t>17</w:t>
            </w:r>
          </w:p>
        </w:tc>
      </w:tr>
      <w:tr w:rsidR="00863BB7" w:rsidTr="00863BB7">
        <w:trPr>
          <w:trHeight w:val="300"/>
        </w:trPr>
        <w:tc>
          <w:tcPr>
            <w:tcW w:w="1456" w:type="dxa"/>
            <w:shd w:val="clear" w:color="auto" w:fill="auto"/>
            <w:vAlign w:val="bottom"/>
            <w:hideMark/>
          </w:tcPr>
          <w:p w:rsidR="00863BB7" w:rsidRPr="00863BB7" w:rsidRDefault="00863BB7" w:rsidP="00863BB7">
            <w:pPr>
              <w:pStyle w:val="TableTextLeft"/>
            </w:pPr>
            <w:r w:rsidRPr="00863BB7">
              <w:t>250</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885</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909</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2.</w:t>
            </w:r>
            <w:r w:rsidR="00F66E69">
              <w:t>68</w:t>
            </w:r>
            <w:r w:rsidRPr="00863BB7">
              <w:t>%</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24</w:t>
            </w:r>
          </w:p>
        </w:tc>
      </w:tr>
      <w:tr w:rsidR="00863BB7" w:rsidTr="00863BB7">
        <w:trPr>
          <w:trHeight w:val="300"/>
        </w:trPr>
        <w:tc>
          <w:tcPr>
            <w:tcW w:w="1456" w:type="dxa"/>
            <w:shd w:val="clear" w:color="auto" w:fill="auto"/>
            <w:vAlign w:val="bottom"/>
            <w:hideMark/>
          </w:tcPr>
          <w:p w:rsidR="00863BB7" w:rsidRPr="00863BB7" w:rsidRDefault="00863BB7" w:rsidP="00863BB7">
            <w:pPr>
              <w:pStyle w:val="TableTextLeft"/>
            </w:pPr>
            <w:r w:rsidRPr="00863BB7">
              <w:t>300</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1,147</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1,178</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2.</w:t>
            </w:r>
            <w:r w:rsidR="00F66E69">
              <w:t>68</w:t>
            </w:r>
            <w:r w:rsidRPr="00863BB7">
              <w:t>%</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31</w:t>
            </w:r>
          </w:p>
        </w:tc>
      </w:tr>
      <w:tr w:rsidR="00863BB7" w:rsidTr="00863BB7">
        <w:trPr>
          <w:trHeight w:val="300"/>
        </w:trPr>
        <w:tc>
          <w:tcPr>
            <w:tcW w:w="1456" w:type="dxa"/>
            <w:shd w:val="clear" w:color="auto" w:fill="auto"/>
            <w:vAlign w:val="bottom"/>
            <w:hideMark/>
          </w:tcPr>
          <w:p w:rsidR="00863BB7" w:rsidRPr="00863BB7" w:rsidRDefault="00863BB7" w:rsidP="00863BB7">
            <w:pPr>
              <w:pStyle w:val="TableTextLeft"/>
            </w:pPr>
            <w:r w:rsidRPr="00863BB7">
              <w:t>350</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1,409</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1,447</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2.</w:t>
            </w:r>
            <w:r w:rsidR="00F66E69">
              <w:t>68</w:t>
            </w:r>
            <w:r w:rsidRPr="00863BB7">
              <w:t>%</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38</w:t>
            </w:r>
          </w:p>
        </w:tc>
      </w:tr>
      <w:tr w:rsidR="00863BB7" w:rsidTr="00863BB7">
        <w:trPr>
          <w:trHeight w:val="300"/>
        </w:trPr>
        <w:tc>
          <w:tcPr>
            <w:tcW w:w="1456" w:type="dxa"/>
            <w:shd w:val="clear" w:color="auto" w:fill="auto"/>
            <w:vAlign w:val="bottom"/>
            <w:hideMark/>
          </w:tcPr>
          <w:p w:rsidR="00863BB7" w:rsidRPr="00863BB7" w:rsidRDefault="00863BB7" w:rsidP="00863BB7">
            <w:pPr>
              <w:pStyle w:val="TableTextLeft"/>
            </w:pPr>
            <w:r w:rsidRPr="00863BB7">
              <w:t>400</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1,671</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1,716</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2.</w:t>
            </w:r>
            <w:r w:rsidR="00F66E69">
              <w:t>68</w:t>
            </w:r>
            <w:r w:rsidRPr="00863BB7">
              <w:t>%</w:t>
            </w:r>
          </w:p>
        </w:tc>
        <w:tc>
          <w:tcPr>
            <w:tcW w:w="1456" w:type="dxa"/>
            <w:tcBorders>
              <w:top w:val="nil"/>
              <w:left w:val="nil"/>
              <w:bottom w:val="nil"/>
              <w:right w:val="single" w:sz="4" w:space="0" w:color="FFFFFF"/>
            </w:tcBorders>
            <w:shd w:val="clear" w:color="auto" w:fill="auto"/>
            <w:vAlign w:val="bottom"/>
          </w:tcPr>
          <w:p w:rsidR="00863BB7" w:rsidRPr="00863BB7" w:rsidRDefault="00863BB7" w:rsidP="00863BB7">
            <w:pPr>
              <w:pStyle w:val="TableTextRight"/>
            </w:pPr>
            <w:r w:rsidRPr="00863BB7">
              <w:t>45</w:t>
            </w:r>
          </w:p>
        </w:tc>
      </w:tr>
      <w:tr w:rsidR="00863BB7" w:rsidTr="00900F9B">
        <w:trPr>
          <w:trHeight w:val="300"/>
        </w:trPr>
        <w:tc>
          <w:tcPr>
            <w:tcW w:w="1456" w:type="dxa"/>
            <w:shd w:val="clear" w:color="auto" w:fill="auto"/>
            <w:vAlign w:val="bottom"/>
            <w:hideMark/>
          </w:tcPr>
          <w:p w:rsidR="00863BB7" w:rsidRPr="00863BB7" w:rsidRDefault="00863BB7" w:rsidP="00863BB7">
            <w:pPr>
              <w:pStyle w:val="TableTextLeft"/>
            </w:pPr>
            <w:r w:rsidRPr="00863BB7">
              <w:t>500</w:t>
            </w:r>
          </w:p>
        </w:tc>
        <w:tc>
          <w:tcPr>
            <w:tcW w:w="1456" w:type="dxa"/>
            <w:tcBorders>
              <w:top w:val="nil"/>
              <w:left w:val="nil"/>
              <w:right w:val="single" w:sz="4" w:space="0" w:color="FFFFFF"/>
            </w:tcBorders>
            <w:shd w:val="clear" w:color="auto" w:fill="auto"/>
            <w:vAlign w:val="bottom"/>
          </w:tcPr>
          <w:p w:rsidR="00863BB7" w:rsidRPr="00863BB7" w:rsidRDefault="00863BB7" w:rsidP="00863BB7">
            <w:pPr>
              <w:pStyle w:val="TableTextRight"/>
            </w:pPr>
            <w:r w:rsidRPr="00863BB7">
              <w:t>2,195</w:t>
            </w:r>
          </w:p>
        </w:tc>
        <w:tc>
          <w:tcPr>
            <w:tcW w:w="1456" w:type="dxa"/>
            <w:tcBorders>
              <w:top w:val="nil"/>
              <w:left w:val="nil"/>
              <w:right w:val="single" w:sz="4" w:space="0" w:color="FFFFFF"/>
            </w:tcBorders>
            <w:shd w:val="clear" w:color="auto" w:fill="auto"/>
            <w:vAlign w:val="bottom"/>
          </w:tcPr>
          <w:p w:rsidR="00863BB7" w:rsidRPr="00863BB7" w:rsidRDefault="00863BB7" w:rsidP="00863BB7">
            <w:pPr>
              <w:pStyle w:val="TableTextRight"/>
            </w:pPr>
            <w:r w:rsidRPr="00863BB7">
              <w:t>2,254</w:t>
            </w:r>
          </w:p>
        </w:tc>
        <w:tc>
          <w:tcPr>
            <w:tcW w:w="1456" w:type="dxa"/>
            <w:tcBorders>
              <w:top w:val="nil"/>
              <w:left w:val="nil"/>
              <w:right w:val="single" w:sz="4" w:space="0" w:color="FFFFFF"/>
            </w:tcBorders>
            <w:shd w:val="clear" w:color="auto" w:fill="auto"/>
            <w:vAlign w:val="bottom"/>
          </w:tcPr>
          <w:p w:rsidR="00863BB7" w:rsidRPr="00863BB7" w:rsidRDefault="00863BB7" w:rsidP="00863BB7">
            <w:pPr>
              <w:pStyle w:val="TableTextRight"/>
            </w:pPr>
            <w:r w:rsidRPr="00863BB7">
              <w:t>2.</w:t>
            </w:r>
            <w:r w:rsidR="00F66E69">
              <w:t>68</w:t>
            </w:r>
            <w:r w:rsidRPr="00863BB7">
              <w:t>%</w:t>
            </w:r>
          </w:p>
        </w:tc>
        <w:tc>
          <w:tcPr>
            <w:tcW w:w="1456" w:type="dxa"/>
            <w:tcBorders>
              <w:top w:val="nil"/>
              <w:left w:val="nil"/>
              <w:right w:val="single" w:sz="4" w:space="0" w:color="FFFFFF"/>
            </w:tcBorders>
            <w:shd w:val="clear" w:color="auto" w:fill="auto"/>
            <w:vAlign w:val="bottom"/>
          </w:tcPr>
          <w:p w:rsidR="00863BB7" w:rsidRPr="00863BB7" w:rsidRDefault="00863BB7" w:rsidP="00863BB7">
            <w:pPr>
              <w:pStyle w:val="TableTextRight"/>
            </w:pPr>
            <w:r w:rsidRPr="00863BB7">
              <w:t>59</w:t>
            </w:r>
          </w:p>
        </w:tc>
      </w:tr>
      <w:tr w:rsidR="00863BB7" w:rsidTr="00900F9B">
        <w:trPr>
          <w:trHeight w:val="315"/>
        </w:trPr>
        <w:tc>
          <w:tcPr>
            <w:tcW w:w="1456" w:type="dxa"/>
            <w:tcBorders>
              <w:top w:val="nil"/>
              <w:left w:val="nil"/>
              <w:bottom w:val="single" w:sz="4" w:space="0" w:color="auto"/>
              <w:right w:val="nil"/>
            </w:tcBorders>
            <w:shd w:val="clear" w:color="auto" w:fill="auto"/>
            <w:vAlign w:val="bottom"/>
            <w:hideMark/>
          </w:tcPr>
          <w:p w:rsidR="00863BB7" w:rsidRPr="00863BB7" w:rsidRDefault="00863BB7" w:rsidP="00863BB7">
            <w:pPr>
              <w:pStyle w:val="TableTextLeft"/>
            </w:pPr>
            <w:r w:rsidRPr="00863BB7">
              <w:t>750</w:t>
            </w:r>
          </w:p>
        </w:tc>
        <w:tc>
          <w:tcPr>
            <w:tcW w:w="1456" w:type="dxa"/>
            <w:tcBorders>
              <w:top w:val="nil"/>
              <w:left w:val="nil"/>
              <w:bottom w:val="single" w:sz="4" w:space="0" w:color="auto"/>
              <w:right w:val="single" w:sz="4" w:space="0" w:color="FFFFFF"/>
            </w:tcBorders>
            <w:shd w:val="clear" w:color="auto" w:fill="auto"/>
            <w:vAlign w:val="bottom"/>
          </w:tcPr>
          <w:p w:rsidR="00863BB7" w:rsidRPr="00863BB7" w:rsidRDefault="00863BB7" w:rsidP="00863BB7">
            <w:pPr>
              <w:pStyle w:val="TableTextRight"/>
            </w:pPr>
            <w:r w:rsidRPr="00863BB7">
              <w:t>3,505</w:t>
            </w:r>
          </w:p>
        </w:tc>
        <w:tc>
          <w:tcPr>
            <w:tcW w:w="1456" w:type="dxa"/>
            <w:tcBorders>
              <w:top w:val="nil"/>
              <w:left w:val="nil"/>
              <w:bottom w:val="single" w:sz="4" w:space="0" w:color="auto"/>
              <w:right w:val="single" w:sz="4" w:space="0" w:color="FFFFFF"/>
            </w:tcBorders>
            <w:shd w:val="clear" w:color="auto" w:fill="auto"/>
            <w:vAlign w:val="bottom"/>
          </w:tcPr>
          <w:p w:rsidR="00863BB7" w:rsidRPr="00863BB7" w:rsidRDefault="00863BB7" w:rsidP="00863BB7">
            <w:pPr>
              <w:pStyle w:val="TableTextRight"/>
            </w:pPr>
            <w:r w:rsidRPr="00863BB7">
              <w:t>3,599</w:t>
            </w:r>
          </w:p>
        </w:tc>
        <w:tc>
          <w:tcPr>
            <w:tcW w:w="1456" w:type="dxa"/>
            <w:tcBorders>
              <w:top w:val="nil"/>
              <w:left w:val="nil"/>
              <w:bottom w:val="single" w:sz="4" w:space="0" w:color="auto"/>
              <w:right w:val="single" w:sz="4" w:space="0" w:color="FFFFFF"/>
            </w:tcBorders>
            <w:shd w:val="clear" w:color="auto" w:fill="auto"/>
            <w:vAlign w:val="bottom"/>
          </w:tcPr>
          <w:p w:rsidR="00863BB7" w:rsidRPr="00863BB7" w:rsidRDefault="00863BB7" w:rsidP="00863BB7">
            <w:pPr>
              <w:pStyle w:val="TableTextRight"/>
            </w:pPr>
            <w:r w:rsidRPr="00863BB7">
              <w:t>2.</w:t>
            </w:r>
            <w:r w:rsidR="00F66E69">
              <w:t>6</w:t>
            </w:r>
            <w:r w:rsidRPr="00863BB7">
              <w:t>7%</w:t>
            </w:r>
          </w:p>
        </w:tc>
        <w:tc>
          <w:tcPr>
            <w:tcW w:w="1456" w:type="dxa"/>
            <w:tcBorders>
              <w:top w:val="nil"/>
              <w:left w:val="nil"/>
              <w:bottom w:val="single" w:sz="4" w:space="0" w:color="auto"/>
              <w:right w:val="single" w:sz="4" w:space="0" w:color="FFFFFF"/>
            </w:tcBorders>
            <w:shd w:val="clear" w:color="auto" w:fill="auto"/>
            <w:vAlign w:val="bottom"/>
          </w:tcPr>
          <w:p w:rsidR="00863BB7" w:rsidRPr="00863BB7" w:rsidRDefault="00863BB7" w:rsidP="00863BB7">
            <w:pPr>
              <w:pStyle w:val="TableTextRight"/>
              <w:rPr>
                <w:color w:val="FFFFFF" w:themeColor="background1"/>
              </w:rPr>
            </w:pPr>
            <w:r w:rsidRPr="00863BB7">
              <w:t>94</w:t>
            </w:r>
          </w:p>
        </w:tc>
      </w:tr>
    </w:tbl>
    <w:p w:rsidR="00493678" w:rsidRDefault="002618CD" w:rsidP="00493678">
      <w:pPr>
        <w:pStyle w:val="Bodytableoutro"/>
      </w:pPr>
      <w:r>
        <w:fldChar w:fldCharType="begin"/>
      </w:r>
      <w:r w:rsidR="00625889">
        <w:instrText xml:space="preserve"> REF _Ref348854698 \h </w:instrText>
      </w:r>
      <w:r>
        <w:fldChar w:fldCharType="separate"/>
      </w:r>
      <w:r w:rsidR="00BA1301">
        <w:t xml:space="preserve">Table </w:t>
      </w:r>
      <w:r w:rsidR="00BA1301">
        <w:rPr>
          <w:noProof/>
        </w:rPr>
        <w:t>3</w:t>
      </w:r>
      <w:r w:rsidR="00BA1301">
        <w:t>.</w:t>
      </w:r>
      <w:r w:rsidR="00BA1301">
        <w:rPr>
          <w:noProof/>
        </w:rPr>
        <w:t>1</w:t>
      </w:r>
      <w:r>
        <w:fldChar w:fldCharType="end"/>
      </w:r>
      <w:r w:rsidR="00625889">
        <w:t xml:space="preserve"> shows that for a typical customer consuming 200 </w:t>
      </w:r>
      <w:r w:rsidR="000A3623">
        <w:t>kilolitres (</w:t>
      </w:r>
      <w:proofErr w:type="spellStart"/>
      <w:r w:rsidR="00625889">
        <w:t>kL</w:t>
      </w:r>
      <w:proofErr w:type="spellEnd"/>
      <w:r w:rsidR="000A3623">
        <w:t>)</w:t>
      </w:r>
      <w:r w:rsidR="00625889">
        <w:t xml:space="preserve"> per year, their annual water charge will </w:t>
      </w:r>
      <w:r w:rsidR="00D66827">
        <w:t>in</w:t>
      </w:r>
      <w:r w:rsidR="00625889">
        <w:t xml:space="preserve">crease by about </w:t>
      </w:r>
      <w:r w:rsidR="00B31F43">
        <w:t>2.7</w:t>
      </w:r>
      <w:r w:rsidR="00625889">
        <w:t xml:space="preserve"> per cent, or $</w:t>
      </w:r>
      <w:r w:rsidR="00B31F43">
        <w:t>17</w:t>
      </w:r>
      <w:r w:rsidR="00625889">
        <w:t>.</w:t>
      </w:r>
      <w:r w:rsidR="00CB2771">
        <w:rPr>
          <w:rStyle w:val="FootnoteReference"/>
        </w:rPr>
        <w:footnoteReference w:id="7"/>
      </w:r>
      <w:r w:rsidR="00293E24">
        <w:t xml:space="preserve"> </w:t>
      </w:r>
      <w:r>
        <w:fldChar w:fldCharType="begin"/>
      </w:r>
      <w:r w:rsidR="00625889">
        <w:instrText xml:space="preserve"> REF _Ref348854838 \h </w:instrText>
      </w:r>
      <w:r>
        <w:fldChar w:fldCharType="separate"/>
      </w:r>
      <w:r w:rsidR="00BA1301">
        <w:t xml:space="preserve">Table </w:t>
      </w:r>
      <w:r w:rsidR="00BA1301">
        <w:rPr>
          <w:noProof/>
        </w:rPr>
        <w:t>3</w:t>
      </w:r>
      <w:r w:rsidR="00BA1301">
        <w:t>.</w:t>
      </w:r>
      <w:r w:rsidR="00BA1301">
        <w:rPr>
          <w:noProof/>
        </w:rPr>
        <w:t>2</w:t>
      </w:r>
      <w:r>
        <w:fldChar w:fldCharType="end"/>
      </w:r>
      <w:r w:rsidR="00625889">
        <w:t xml:space="preserve"> shows a percentage </w:t>
      </w:r>
      <w:r w:rsidR="00D66827">
        <w:t>in</w:t>
      </w:r>
      <w:r w:rsidR="00625889">
        <w:t xml:space="preserve">crease of about </w:t>
      </w:r>
      <w:r w:rsidR="00B31F43">
        <w:t>2.7</w:t>
      </w:r>
      <w:r w:rsidR="00625889">
        <w:t xml:space="preserve"> per cent for non-residential customer </w:t>
      </w:r>
      <w:r w:rsidR="0082527D">
        <w:t xml:space="preserve">annual </w:t>
      </w:r>
      <w:r w:rsidR="00625889">
        <w:t>water charges.</w:t>
      </w:r>
      <w:r w:rsidR="00493678">
        <w:t xml:space="preserve"> </w:t>
      </w:r>
      <w:r w:rsidR="0037158B">
        <w:t>I</w:t>
      </w:r>
      <w:r w:rsidR="00493678">
        <w:t>ncreases range from a low of $</w:t>
      </w:r>
      <w:r w:rsidR="00B31F43">
        <w:t>129</w:t>
      </w:r>
      <w:r w:rsidR="00493678">
        <w:t xml:space="preserve"> to a high of $</w:t>
      </w:r>
      <w:r w:rsidR="00B31F43">
        <w:t>1,389</w:t>
      </w:r>
      <w:r w:rsidR="00493678">
        <w:t xml:space="preserve"> per year.</w:t>
      </w:r>
    </w:p>
    <w:p w:rsidR="00625889" w:rsidRDefault="00625889" w:rsidP="00293E24">
      <w:pPr>
        <w:pStyle w:val="Bodytableoutro"/>
      </w:pPr>
    </w:p>
    <w:p w:rsidR="00625889" w:rsidRDefault="00625889" w:rsidP="00B53365">
      <w:pPr>
        <w:pStyle w:val="TableName"/>
        <w:keepNext/>
      </w:pPr>
      <w:bookmarkStart w:id="79" w:name="_Ref348854838"/>
      <w:bookmarkStart w:id="80" w:name="_Toc358386660"/>
      <w:bookmarkStart w:id="81" w:name="_Toc353533214"/>
      <w:bookmarkStart w:id="82" w:name="_Toc349572468"/>
      <w:bookmarkStart w:id="83" w:name="_Toc349571569"/>
      <w:bookmarkStart w:id="84" w:name="_Toc349563454"/>
      <w:bookmarkStart w:id="85" w:name="_Toc349563376"/>
      <w:bookmarkStart w:id="86" w:name="_Toc349563214"/>
      <w:bookmarkStart w:id="87" w:name="_Toc360001080"/>
      <w:bookmarkStart w:id="88" w:name="_Toc483834481"/>
      <w:r>
        <w:lastRenderedPageBreak/>
        <w:t xml:space="preserve">Table </w:t>
      </w:r>
      <w:r w:rsidR="002618CD">
        <w:fldChar w:fldCharType="begin"/>
      </w:r>
      <w:r>
        <w:instrText xml:space="preserve"> STYLEREF 1 \s </w:instrText>
      </w:r>
      <w:r w:rsidR="002618CD">
        <w:fldChar w:fldCharType="separate"/>
      </w:r>
      <w:r w:rsidR="00BA1301">
        <w:rPr>
          <w:noProof/>
        </w:rPr>
        <w:t>3</w:t>
      </w:r>
      <w:r w:rsidR="002618CD">
        <w:fldChar w:fldCharType="end"/>
      </w:r>
      <w:r>
        <w:t>.</w:t>
      </w:r>
      <w:r w:rsidR="002618CD">
        <w:fldChar w:fldCharType="begin"/>
      </w:r>
      <w:r>
        <w:instrText xml:space="preserve"> SEQ Table \* ARABIC \s 1 </w:instrText>
      </w:r>
      <w:r w:rsidR="002618CD">
        <w:fldChar w:fldCharType="separate"/>
      </w:r>
      <w:r w:rsidR="00BA1301">
        <w:rPr>
          <w:noProof/>
        </w:rPr>
        <w:t>2</w:t>
      </w:r>
      <w:r w:rsidR="002618CD">
        <w:fldChar w:fldCharType="end"/>
      </w:r>
      <w:bookmarkEnd w:id="79"/>
      <w:r>
        <w:tab/>
        <w:t>Change in annual water charges for non-residential customers</w:t>
      </w:r>
      <w:r w:rsidR="00F80C82" w:rsidRPr="00F80C82">
        <w:t xml:space="preserve"> </w:t>
      </w:r>
      <w:r w:rsidR="00F80C82">
        <w:t>from 2016–17 to 2017–</w:t>
      </w:r>
      <w:proofErr w:type="gramStart"/>
      <w:r w:rsidR="00F80C82">
        <w:t xml:space="preserve">18 </w:t>
      </w:r>
      <w:r>
        <w:t xml:space="preserve"> (</w:t>
      </w:r>
      <w:proofErr w:type="gramEnd"/>
      <w:r>
        <w:t>$, current prices</w:t>
      </w:r>
      <w:r w:rsidR="00F66E69">
        <w:t>, percentages to two decimal places</w:t>
      </w:r>
      <w:r>
        <w:t>)</w:t>
      </w:r>
      <w:bookmarkEnd w:id="80"/>
      <w:bookmarkEnd w:id="81"/>
      <w:bookmarkEnd w:id="82"/>
      <w:bookmarkEnd w:id="83"/>
      <w:bookmarkEnd w:id="84"/>
      <w:bookmarkEnd w:id="85"/>
      <w:bookmarkEnd w:id="86"/>
      <w:bookmarkEnd w:id="87"/>
      <w:bookmarkEnd w:id="88"/>
    </w:p>
    <w:tbl>
      <w:tblPr>
        <w:tblW w:w="7280" w:type="dxa"/>
        <w:tblInd w:w="108" w:type="dxa"/>
        <w:tblLook w:val="04A0" w:firstRow="1" w:lastRow="0" w:firstColumn="1" w:lastColumn="0" w:noHBand="0" w:noVBand="1"/>
      </w:tblPr>
      <w:tblGrid>
        <w:gridCol w:w="1456"/>
        <w:gridCol w:w="1456"/>
        <w:gridCol w:w="1456"/>
        <w:gridCol w:w="1456"/>
        <w:gridCol w:w="1456"/>
      </w:tblGrid>
      <w:tr w:rsidR="00625889" w:rsidTr="00F5091F">
        <w:trPr>
          <w:trHeight w:val="567"/>
        </w:trPr>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Left"/>
              <w:keepNext/>
            </w:pPr>
            <w:r>
              <w:t>Annual water consumption (</w:t>
            </w:r>
            <w:proofErr w:type="spellStart"/>
            <w:r>
              <w:t>kL</w:t>
            </w:r>
            <w:proofErr w:type="spellEnd"/>
            <w:r>
              <w:t>)</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775984">
            <w:pPr>
              <w:pStyle w:val="TableHeadingRight"/>
              <w:keepNext/>
            </w:pPr>
            <w:r>
              <w:t>Annual 201</w:t>
            </w:r>
            <w:r w:rsidR="00775984">
              <w:t>6</w:t>
            </w:r>
            <w:r>
              <w:t>–1</w:t>
            </w:r>
            <w:r w:rsidR="00775984">
              <w:t>7</w:t>
            </w:r>
            <w:r>
              <w:t xml:space="preserve"> water </w:t>
            </w:r>
            <w:r w:rsidR="001E6BB6">
              <w:t>charge</w:t>
            </w:r>
            <w:r w:rsidR="009458D9">
              <w:t xml:space="preserve"> </w:t>
            </w:r>
            <w:r w:rsidRPr="00625889">
              <w:t>($)</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775984">
            <w:pPr>
              <w:pStyle w:val="TableHeadingRight"/>
              <w:keepNext/>
            </w:pPr>
            <w:r>
              <w:t>Annual 201</w:t>
            </w:r>
            <w:r w:rsidR="00775984">
              <w:t>7</w:t>
            </w:r>
            <w:r>
              <w:t>–1</w:t>
            </w:r>
            <w:r w:rsidR="00775984">
              <w:t>8</w:t>
            </w:r>
            <w:r>
              <w:t xml:space="preserve"> water </w:t>
            </w:r>
            <w:r w:rsidR="001E6BB6">
              <w:t>charge</w:t>
            </w:r>
            <w:r w:rsidRPr="00625889">
              <w:t xml:space="preserve">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Right"/>
              <w:keepNext/>
            </w:pPr>
            <w:r>
              <w:t xml:space="preserve">Change in water </w:t>
            </w:r>
            <w:r w:rsidR="001E6BB6">
              <w:t>charge</w:t>
            </w:r>
            <w:r w:rsidRPr="00625889">
              <w:t xml:space="preserve">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Right"/>
              <w:keepNext/>
            </w:pPr>
            <w:r>
              <w:t xml:space="preserve">Change in water </w:t>
            </w:r>
            <w:r w:rsidR="001E6BB6">
              <w:t>charge</w:t>
            </w:r>
            <w:r w:rsidRPr="00625889">
              <w:t xml:space="preserve"> ($)</w:t>
            </w:r>
          </w:p>
        </w:tc>
      </w:tr>
      <w:tr w:rsidR="00775984" w:rsidTr="00775984">
        <w:trPr>
          <w:trHeight w:val="300"/>
        </w:trPr>
        <w:tc>
          <w:tcPr>
            <w:tcW w:w="1456" w:type="dxa"/>
            <w:shd w:val="clear" w:color="auto" w:fill="auto"/>
            <w:vAlign w:val="bottom"/>
            <w:hideMark/>
          </w:tcPr>
          <w:p w:rsidR="00775984" w:rsidRPr="00625889" w:rsidRDefault="00775984" w:rsidP="00775984">
            <w:pPr>
              <w:pStyle w:val="TableTextLeft"/>
              <w:keepNext/>
            </w:pPr>
            <w:r>
              <w:t>1,000</w:t>
            </w:r>
          </w:p>
        </w:tc>
        <w:tc>
          <w:tcPr>
            <w:tcW w:w="1456" w:type="dxa"/>
            <w:tcBorders>
              <w:top w:val="single" w:sz="4" w:space="0" w:color="000033"/>
              <w:left w:val="nil"/>
              <w:bottom w:val="nil"/>
              <w:right w:val="single" w:sz="4" w:space="0" w:color="FFFFFF"/>
            </w:tcBorders>
            <w:shd w:val="clear" w:color="auto" w:fill="auto"/>
            <w:vAlign w:val="bottom"/>
            <w:hideMark/>
          </w:tcPr>
          <w:p w:rsidR="00775984" w:rsidRPr="00775984" w:rsidRDefault="00775984" w:rsidP="00DF09B6">
            <w:pPr>
              <w:pStyle w:val="TableTextLeft"/>
              <w:jc w:val="right"/>
            </w:pPr>
            <w:r w:rsidRPr="00775984">
              <w:t>4,815</w:t>
            </w:r>
          </w:p>
        </w:tc>
        <w:tc>
          <w:tcPr>
            <w:tcW w:w="1456" w:type="dxa"/>
            <w:tcBorders>
              <w:top w:val="single" w:sz="4" w:space="0" w:color="000033"/>
              <w:left w:val="nil"/>
              <w:bottom w:val="nil"/>
              <w:right w:val="single" w:sz="4" w:space="0" w:color="FFFFFF"/>
            </w:tcBorders>
            <w:shd w:val="clear" w:color="auto" w:fill="auto"/>
            <w:vAlign w:val="bottom"/>
            <w:hideMark/>
          </w:tcPr>
          <w:p w:rsidR="00775984" w:rsidRPr="00775984" w:rsidRDefault="00775984" w:rsidP="00DF09B6">
            <w:pPr>
              <w:pStyle w:val="TableTextLeft"/>
              <w:jc w:val="right"/>
            </w:pPr>
            <w:r w:rsidRPr="00775984">
              <w:t>4,944</w:t>
            </w:r>
          </w:p>
        </w:tc>
        <w:tc>
          <w:tcPr>
            <w:tcW w:w="1456" w:type="dxa"/>
            <w:tcBorders>
              <w:top w:val="single" w:sz="4" w:space="0" w:color="000033"/>
              <w:left w:val="nil"/>
              <w:bottom w:val="nil"/>
              <w:right w:val="single" w:sz="4" w:space="0" w:color="FFFFFF"/>
            </w:tcBorders>
            <w:shd w:val="clear" w:color="auto" w:fill="auto"/>
            <w:vAlign w:val="bottom"/>
            <w:hideMark/>
          </w:tcPr>
          <w:p w:rsidR="00775984" w:rsidRPr="00775984" w:rsidRDefault="00775984" w:rsidP="00DF09B6">
            <w:pPr>
              <w:pStyle w:val="TableTextLeft"/>
              <w:jc w:val="right"/>
            </w:pPr>
            <w:r w:rsidRPr="00775984">
              <w:t>2.</w:t>
            </w:r>
            <w:r w:rsidR="00F66E69">
              <w:t>6</w:t>
            </w:r>
            <w:r w:rsidRPr="00775984">
              <w:t>7%</w:t>
            </w:r>
          </w:p>
        </w:tc>
        <w:tc>
          <w:tcPr>
            <w:tcW w:w="1456" w:type="dxa"/>
            <w:tcBorders>
              <w:top w:val="single" w:sz="4" w:space="0" w:color="000033"/>
              <w:left w:val="nil"/>
              <w:bottom w:val="nil"/>
              <w:right w:val="single" w:sz="4" w:space="0" w:color="FFFFFF"/>
            </w:tcBorders>
            <w:shd w:val="clear" w:color="auto" w:fill="auto"/>
            <w:vAlign w:val="bottom"/>
            <w:hideMark/>
          </w:tcPr>
          <w:p w:rsidR="00775984" w:rsidRPr="00775984" w:rsidRDefault="00775984" w:rsidP="00DF09B6">
            <w:pPr>
              <w:pStyle w:val="TableTextLeft"/>
              <w:jc w:val="right"/>
            </w:pPr>
            <w:r w:rsidRPr="00775984">
              <w:t>129</w:t>
            </w:r>
          </w:p>
        </w:tc>
      </w:tr>
      <w:tr w:rsidR="00775984" w:rsidTr="00775984">
        <w:trPr>
          <w:trHeight w:val="300"/>
        </w:trPr>
        <w:tc>
          <w:tcPr>
            <w:tcW w:w="1456" w:type="dxa"/>
            <w:shd w:val="clear" w:color="auto" w:fill="auto"/>
            <w:vAlign w:val="bottom"/>
            <w:hideMark/>
          </w:tcPr>
          <w:p w:rsidR="00775984" w:rsidRPr="00625889" w:rsidRDefault="00775984" w:rsidP="00775984">
            <w:pPr>
              <w:pStyle w:val="TableTextLeft"/>
              <w:keepNext/>
            </w:pPr>
            <w:r>
              <w:t>2,000</w:t>
            </w:r>
          </w:p>
        </w:tc>
        <w:tc>
          <w:tcPr>
            <w:tcW w:w="1456" w:type="dxa"/>
            <w:tcBorders>
              <w:top w:val="nil"/>
              <w:left w:val="nil"/>
              <w:bottom w:val="single" w:sz="4" w:space="0" w:color="FFFFFF"/>
              <w:right w:val="single" w:sz="4" w:space="0" w:color="FFFFFF"/>
            </w:tcBorders>
            <w:shd w:val="clear" w:color="auto" w:fill="auto"/>
            <w:vAlign w:val="bottom"/>
            <w:hideMark/>
          </w:tcPr>
          <w:p w:rsidR="00775984" w:rsidRPr="00775984" w:rsidRDefault="00775984" w:rsidP="00DF09B6">
            <w:pPr>
              <w:pStyle w:val="TableTextLeft"/>
              <w:jc w:val="right"/>
            </w:pPr>
            <w:r w:rsidRPr="00775984">
              <w:t>10,055</w:t>
            </w:r>
          </w:p>
        </w:tc>
        <w:tc>
          <w:tcPr>
            <w:tcW w:w="1456" w:type="dxa"/>
            <w:tcBorders>
              <w:top w:val="nil"/>
              <w:left w:val="nil"/>
              <w:bottom w:val="single" w:sz="4" w:space="0" w:color="FFFFFF"/>
              <w:right w:val="single" w:sz="4" w:space="0" w:color="FFFFFF"/>
            </w:tcBorders>
            <w:shd w:val="clear" w:color="auto" w:fill="auto"/>
            <w:vAlign w:val="bottom"/>
            <w:hideMark/>
          </w:tcPr>
          <w:p w:rsidR="00775984" w:rsidRPr="00775984" w:rsidRDefault="00775984" w:rsidP="00DF09B6">
            <w:pPr>
              <w:pStyle w:val="TableTextLeft"/>
              <w:jc w:val="right"/>
            </w:pPr>
            <w:r w:rsidRPr="00775984">
              <w:t>10,324</w:t>
            </w:r>
          </w:p>
        </w:tc>
        <w:tc>
          <w:tcPr>
            <w:tcW w:w="1456" w:type="dxa"/>
            <w:tcBorders>
              <w:top w:val="nil"/>
              <w:left w:val="nil"/>
              <w:bottom w:val="single" w:sz="4" w:space="0" w:color="FFFFFF"/>
              <w:right w:val="single" w:sz="4" w:space="0" w:color="FFFFFF"/>
            </w:tcBorders>
            <w:shd w:val="clear" w:color="auto" w:fill="auto"/>
            <w:vAlign w:val="bottom"/>
            <w:hideMark/>
          </w:tcPr>
          <w:p w:rsidR="00775984" w:rsidRPr="00775984" w:rsidRDefault="00775984" w:rsidP="00DF09B6">
            <w:pPr>
              <w:pStyle w:val="TableTextLeft"/>
              <w:jc w:val="right"/>
            </w:pPr>
            <w:r w:rsidRPr="00775984">
              <w:t>2.</w:t>
            </w:r>
            <w:r w:rsidR="00F66E69">
              <w:t>6</w:t>
            </w:r>
            <w:r w:rsidRPr="00775984">
              <w:t>7%</w:t>
            </w:r>
          </w:p>
        </w:tc>
        <w:tc>
          <w:tcPr>
            <w:tcW w:w="1456" w:type="dxa"/>
            <w:tcBorders>
              <w:top w:val="nil"/>
              <w:left w:val="nil"/>
              <w:bottom w:val="single" w:sz="4" w:space="0" w:color="FFFFFF"/>
              <w:right w:val="single" w:sz="4" w:space="0" w:color="FFFFFF"/>
            </w:tcBorders>
            <w:shd w:val="clear" w:color="auto" w:fill="auto"/>
            <w:vAlign w:val="bottom"/>
            <w:hideMark/>
          </w:tcPr>
          <w:p w:rsidR="00775984" w:rsidRPr="00775984" w:rsidRDefault="00775984" w:rsidP="00DF09B6">
            <w:pPr>
              <w:pStyle w:val="TableTextLeft"/>
              <w:jc w:val="right"/>
            </w:pPr>
            <w:r w:rsidRPr="00775984">
              <w:t>269</w:t>
            </w:r>
          </w:p>
        </w:tc>
      </w:tr>
      <w:tr w:rsidR="00775984" w:rsidTr="00775984">
        <w:trPr>
          <w:trHeight w:val="300"/>
        </w:trPr>
        <w:tc>
          <w:tcPr>
            <w:tcW w:w="1456" w:type="dxa"/>
            <w:shd w:val="clear" w:color="auto" w:fill="auto"/>
            <w:vAlign w:val="bottom"/>
            <w:hideMark/>
          </w:tcPr>
          <w:p w:rsidR="00775984" w:rsidRPr="00625889" w:rsidRDefault="00775984" w:rsidP="00775984">
            <w:pPr>
              <w:pStyle w:val="TableTextLeft"/>
              <w:keepNext/>
            </w:pPr>
            <w:r>
              <w:t>5,000</w:t>
            </w:r>
          </w:p>
        </w:tc>
        <w:tc>
          <w:tcPr>
            <w:tcW w:w="1456" w:type="dxa"/>
            <w:tcBorders>
              <w:top w:val="nil"/>
              <w:left w:val="nil"/>
              <w:bottom w:val="single" w:sz="4" w:space="0" w:color="FFFFFF"/>
              <w:right w:val="single" w:sz="4" w:space="0" w:color="FFFFFF"/>
            </w:tcBorders>
            <w:shd w:val="clear" w:color="auto" w:fill="auto"/>
            <w:vAlign w:val="bottom"/>
            <w:hideMark/>
          </w:tcPr>
          <w:p w:rsidR="00775984" w:rsidRPr="00775984" w:rsidRDefault="00775984" w:rsidP="00DF09B6">
            <w:pPr>
              <w:pStyle w:val="TableTextLeft"/>
              <w:jc w:val="right"/>
            </w:pPr>
            <w:r w:rsidRPr="00775984">
              <w:t>25,775</w:t>
            </w:r>
          </w:p>
        </w:tc>
        <w:tc>
          <w:tcPr>
            <w:tcW w:w="1456" w:type="dxa"/>
            <w:tcBorders>
              <w:top w:val="nil"/>
              <w:left w:val="nil"/>
              <w:bottom w:val="single" w:sz="4" w:space="0" w:color="FFFFFF"/>
              <w:right w:val="single" w:sz="4" w:space="0" w:color="FFFFFF"/>
            </w:tcBorders>
            <w:shd w:val="clear" w:color="auto" w:fill="auto"/>
            <w:vAlign w:val="bottom"/>
            <w:hideMark/>
          </w:tcPr>
          <w:p w:rsidR="00775984" w:rsidRPr="00775984" w:rsidRDefault="00775984" w:rsidP="00DF09B6">
            <w:pPr>
              <w:pStyle w:val="TableTextLeft"/>
              <w:jc w:val="right"/>
            </w:pPr>
            <w:r w:rsidRPr="00775984">
              <w:t>26,464</w:t>
            </w:r>
          </w:p>
        </w:tc>
        <w:tc>
          <w:tcPr>
            <w:tcW w:w="1456" w:type="dxa"/>
            <w:tcBorders>
              <w:top w:val="nil"/>
              <w:left w:val="nil"/>
              <w:bottom w:val="single" w:sz="4" w:space="0" w:color="FFFFFF"/>
              <w:right w:val="single" w:sz="4" w:space="0" w:color="FFFFFF"/>
            </w:tcBorders>
            <w:shd w:val="clear" w:color="auto" w:fill="auto"/>
            <w:vAlign w:val="bottom"/>
            <w:hideMark/>
          </w:tcPr>
          <w:p w:rsidR="00775984" w:rsidRPr="00775984" w:rsidRDefault="00775984" w:rsidP="00DF09B6">
            <w:pPr>
              <w:pStyle w:val="TableTextLeft"/>
              <w:jc w:val="right"/>
            </w:pPr>
            <w:r w:rsidRPr="00775984">
              <w:t>2.</w:t>
            </w:r>
            <w:r w:rsidR="00F66E69">
              <w:t>6</w:t>
            </w:r>
            <w:r w:rsidRPr="00775984">
              <w:t>7%</w:t>
            </w:r>
          </w:p>
        </w:tc>
        <w:tc>
          <w:tcPr>
            <w:tcW w:w="1456" w:type="dxa"/>
            <w:tcBorders>
              <w:top w:val="nil"/>
              <w:left w:val="nil"/>
              <w:bottom w:val="single" w:sz="4" w:space="0" w:color="FFFFFF"/>
              <w:right w:val="single" w:sz="4" w:space="0" w:color="FFFFFF"/>
            </w:tcBorders>
            <w:shd w:val="clear" w:color="auto" w:fill="auto"/>
            <w:vAlign w:val="bottom"/>
            <w:hideMark/>
          </w:tcPr>
          <w:p w:rsidR="00775984" w:rsidRPr="00775984" w:rsidRDefault="00775984" w:rsidP="00DF09B6">
            <w:pPr>
              <w:pStyle w:val="TableTextLeft"/>
              <w:jc w:val="right"/>
            </w:pPr>
            <w:r w:rsidRPr="00775984">
              <w:t>689</w:t>
            </w:r>
          </w:p>
        </w:tc>
      </w:tr>
      <w:tr w:rsidR="00775984" w:rsidTr="00401C03">
        <w:trPr>
          <w:trHeight w:val="315"/>
        </w:trPr>
        <w:tc>
          <w:tcPr>
            <w:tcW w:w="1456" w:type="dxa"/>
            <w:tcBorders>
              <w:top w:val="nil"/>
              <w:left w:val="nil"/>
              <w:bottom w:val="single" w:sz="4" w:space="0" w:color="auto"/>
              <w:right w:val="nil"/>
            </w:tcBorders>
            <w:shd w:val="clear" w:color="auto" w:fill="auto"/>
            <w:vAlign w:val="bottom"/>
            <w:hideMark/>
          </w:tcPr>
          <w:p w:rsidR="00775984" w:rsidRPr="00625889" w:rsidRDefault="00775984" w:rsidP="00775984">
            <w:pPr>
              <w:pStyle w:val="TableTextLeft"/>
              <w:keepNext/>
            </w:pPr>
            <w:r>
              <w:t>10,000</w:t>
            </w:r>
          </w:p>
        </w:tc>
        <w:tc>
          <w:tcPr>
            <w:tcW w:w="1456" w:type="dxa"/>
            <w:tcBorders>
              <w:top w:val="nil"/>
              <w:left w:val="nil"/>
              <w:bottom w:val="single" w:sz="4" w:space="0" w:color="auto"/>
              <w:right w:val="single" w:sz="4" w:space="0" w:color="FFFFFF"/>
            </w:tcBorders>
            <w:shd w:val="clear" w:color="auto" w:fill="auto"/>
            <w:vAlign w:val="bottom"/>
            <w:hideMark/>
          </w:tcPr>
          <w:p w:rsidR="00775984" w:rsidRPr="00775984" w:rsidRDefault="00775984" w:rsidP="00DF09B6">
            <w:pPr>
              <w:pStyle w:val="TableTextLeft"/>
              <w:jc w:val="right"/>
            </w:pPr>
            <w:r w:rsidRPr="00775984">
              <w:t>51,975</w:t>
            </w:r>
          </w:p>
        </w:tc>
        <w:tc>
          <w:tcPr>
            <w:tcW w:w="1456" w:type="dxa"/>
            <w:tcBorders>
              <w:top w:val="nil"/>
              <w:left w:val="nil"/>
              <w:bottom w:val="single" w:sz="4" w:space="0" w:color="auto"/>
              <w:right w:val="single" w:sz="4" w:space="0" w:color="FFFFFF"/>
            </w:tcBorders>
            <w:shd w:val="clear" w:color="auto" w:fill="auto"/>
            <w:vAlign w:val="bottom"/>
            <w:hideMark/>
          </w:tcPr>
          <w:p w:rsidR="00775984" w:rsidRPr="00775984" w:rsidRDefault="00775984" w:rsidP="00DF09B6">
            <w:pPr>
              <w:pStyle w:val="TableTextLeft"/>
              <w:jc w:val="right"/>
            </w:pPr>
            <w:r w:rsidRPr="00775984">
              <w:t>53,364</w:t>
            </w:r>
          </w:p>
        </w:tc>
        <w:tc>
          <w:tcPr>
            <w:tcW w:w="1456" w:type="dxa"/>
            <w:tcBorders>
              <w:top w:val="nil"/>
              <w:left w:val="nil"/>
              <w:bottom w:val="single" w:sz="4" w:space="0" w:color="auto"/>
              <w:right w:val="single" w:sz="4" w:space="0" w:color="FFFFFF"/>
            </w:tcBorders>
            <w:shd w:val="clear" w:color="auto" w:fill="auto"/>
            <w:vAlign w:val="bottom"/>
            <w:hideMark/>
          </w:tcPr>
          <w:p w:rsidR="00775984" w:rsidRPr="00775984" w:rsidRDefault="00775984" w:rsidP="00DF09B6">
            <w:pPr>
              <w:pStyle w:val="TableTextLeft"/>
              <w:jc w:val="right"/>
            </w:pPr>
            <w:r w:rsidRPr="00775984">
              <w:t>2.</w:t>
            </w:r>
            <w:r w:rsidR="00F66E69">
              <w:t>6</w:t>
            </w:r>
            <w:r w:rsidRPr="00775984">
              <w:t>7%</w:t>
            </w:r>
          </w:p>
        </w:tc>
        <w:tc>
          <w:tcPr>
            <w:tcW w:w="1456" w:type="dxa"/>
            <w:tcBorders>
              <w:top w:val="nil"/>
              <w:left w:val="nil"/>
              <w:bottom w:val="single" w:sz="4" w:space="0" w:color="auto"/>
              <w:right w:val="single" w:sz="4" w:space="0" w:color="FFFFFF"/>
            </w:tcBorders>
            <w:shd w:val="clear" w:color="auto" w:fill="auto"/>
            <w:vAlign w:val="bottom"/>
            <w:hideMark/>
          </w:tcPr>
          <w:p w:rsidR="00775984" w:rsidRPr="00775984" w:rsidRDefault="00775984" w:rsidP="00DF09B6">
            <w:pPr>
              <w:pStyle w:val="TableTextLeft"/>
              <w:jc w:val="right"/>
            </w:pPr>
            <w:r w:rsidRPr="00775984">
              <w:t>1,389</w:t>
            </w:r>
          </w:p>
        </w:tc>
      </w:tr>
    </w:tbl>
    <w:p w:rsidR="00625889" w:rsidRPr="00625889" w:rsidRDefault="00625889" w:rsidP="00722BA6">
      <w:pPr>
        <w:pStyle w:val="Heading2"/>
      </w:pPr>
      <w:bookmarkStart w:id="89" w:name="_Toc348813966"/>
      <w:bookmarkStart w:id="90" w:name="_Toc483834473"/>
      <w:r>
        <w:t>Combined water and sewerage bill</w:t>
      </w:r>
      <w:bookmarkEnd w:id="89"/>
      <w:r w:rsidR="00405A68">
        <w:t>s</w:t>
      </w:r>
      <w:bookmarkEnd w:id="90"/>
    </w:p>
    <w:p w:rsidR="00625889" w:rsidRDefault="002618CD" w:rsidP="00625889">
      <w:r>
        <w:fldChar w:fldCharType="begin"/>
      </w:r>
      <w:r w:rsidR="00625889">
        <w:instrText xml:space="preserve"> REF _Ref348855226 \h </w:instrText>
      </w:r>
      <w:r>
        <w:fldChar w:fldCharType="separate"/>
      </w:r>
      <w:r w:rsidR="00BA1301">
        <w:t xml:space="preserve">Table </w:t>
      </w:r>
      <w:r w:rsidR="00BA1301">
        <w:rPr>
          <w:noProof/>
        </w:rPr>
        <w:t>3</w:t>
      </w:r>
      <w:r w:rsidR="00BA1301">
        <w:t>.</w:t>
      </w:r>
      <w:r w:rsidR="00BA1301">
        <w:rPr>
          <w:noProof/>
        </w:rPr>
        <w:t>3</w:t>
      </w:r>
      <w:r>
        <w:fldChar w:fldCharType="end"/>
      </w:r>
      <w:r w:rsidR="00625889">
        <w:t xml:space="preserve"> shows the change from 201</w:t>
      </w:r>
      <w:r w:rsidR="00F8371B">
        <w:t>6</w:t>
      </w:r>
      <w:r w:rsidR="00625889">
        <w:t>–1</w:t>
      </w:r>
      <w:r w:rsidR="00F8371B">
        <w:t>7</w:t>
      </w:r>
      <w:r w:rsidR="00625889">
        <w:t xml:space="preserve"> to 201</w:t>
      </w:r>
      <w:r w:rsidR="00F8371B">
        <w:t>7</w:t>
      </w:r>
      <w:r w:rsidR="00625889">
        <w:t>–1</w:t>
      </w:r>
      <w:r w:rsidR="00F8371B">
        <w:t>8</w:t>
      </w:r>
      <w:r w:rsidR="00625889">
        <w:t xml:space="preserve"> in the combined water and sewerage service</w:t>
      </w:r>
      <w:r w:rsidR="00405A68">
        <w:t>s</w:t>
      </w:r>
      <w:r w:rsidR="00625889">
        <w:t xml:space="preserve"> bill for residential customers. A typical customer consuming 200 </w:t>
      </w:r>
      <w:proofErr w:type="spellStart"/>
      <w:r w:rsidR="00625889">
        <w:t>kL</w:t>
      </w:r>
      <w:proofErr w:type="spellEnd"/>
      <w:r w:rsidR="00625889">
        <w:t xml:space="preserve"> of water per year will see a</w:t>
      </w:r>
      <w:r w:rsidR="00405A68">
        <w:t>n</w:t>
      </w:r>
      <w:r w:rsidR="00625889">
        <w:t xml:space="preserve"> in</w:t>
      </w:r>
      <w:r w:rsidR="00405A68">
        <w:t>crease in</w:t>
      </w:r>
      <w:r w:rsidR="00625889">
        <w:t xml:space="preserve"> their combined bill of </w:t>
      </w:r>
      <w:r w:rsidR="007E0ADD">
        <w:t>2.</w:t>
      </w:r>
      <w:r w:rsidR="00A46C3D">
        <w:t>15</w:t>
      </w:r>
      <w:r w:rsidR="00625889">
        <w:t> per cent, or $</w:t>
      </w:r>
      <w:r w:rsidR="007E0ADD">
        <w:t>25</w:t>
      </w:r>
      <w:r w:rsidR="00625889">
        <w:t>.</w:t>
      </w:r>
    </w:p>
    <w:p w:rsidR="00625889" w:rsidRDefault="00625889" w:rsidP="00625889">
      <w:pPr>
        <w:pStyle w:val="TableName"/>
      </w:pPr>
      <w:bookmarkStart w:id="91" w:name="_Ref348855226"/>
      <w:bookmarkStart w:id="92" w:name="_Toc358386662"/>
      <w:bookmarkStart w:id="93" w:name="_Toc353533216"/>
      <w:bookmarkStart w:id="94" w:name="_Toc349572470"/>
      <w:bookmarkStart w:id="95" w:name="_Toc349571571"/>
      <w:bookmarkStart w:id="96" w:name="_Toc349563456"/>
      <w:bookmarkStart w:id="97" w:name="_Toc349563378"/>
      <w:bookmarkStart w:id="98" w:name="_Toc349563216"/>
      <w:bookmarkStart w:id="99" w:name="_Toc360001082"/>
      <w:bookmarkStart w:id="100" w:name="_Toc483834482"/>
      <w:r>
        <w:t xml:space="preserve">Table </w:t>
      </w:r>
      <w:r w:rsidR="002618CD">
        <w:fldChar w:fldCharType="begin"/>
      </w:r>
      <w:r>
        <w:instrText xml:space="preserve"> STYLEREF 1 \s </w:instrText>
      </w:r>
      <w:r w:rsidR="002618CD">
        <w:fldChar w:fldCharType="separate"/>
      </w:r>
      <w:r w:rsidR="00BA1301">
        <w:rPr>
          <w:noProof/>
        </w:rPr>
        <w:t>3</w:t>
      </w:r>
      <w:r w:rsidR="002618CD">
        <w:fldChar w:fldCharType="end"/>
      </w:r>
      <w:r>
        <w:t>.</w:t>
      </w:r>
      <w:r w:rsidR="002618CD">
        <w:fldChar w:fldCharType="begin"/>
      </w:r>
      <w:r>
        <w:instrText xml:space="preserve"> SEQ Table \* ARABIC \s 1 </w:instrText>
      </w:r>
      <w:r w:rsidR="002618CD">
        <w:fldChar w:fldCharType="separate"/>
      </w:r>
      <w:r w:rsidR="00BA1301">
        <w:rPr>
          <w:noProof/>
        </w:rPr>
        <w:t>3</w:t>
      </w:r>
      <w:r w:rsidR="002618CD">
        <w:fldChar w:fldCharType="end"/>
      </w:r>
      <w:bookmarkEnd w:id="91"/>
      <w:r>
        <w:tab/>
        <w:t xml:space="preserve">Change in </w:t>
      </w:r>
      <w:r w:rsidR="008932DD">
        <w:t xml:space="preserve">annual </w:t>
      </w:r>
      <w:r>
        <w:t xml:space="preserve">combined water and sewerage </w:t>
      </w:r>
      <w:r w:rsidR="0072016D">
        <w:t xml:space="preserve">services </w:t>
      </w:r>
      <w:r>
        <w:t>bill for residential customers</w:t>
      </w:r>
      <w:r w:rsidR="00F80C82" w:rsidRPr="00F80C82">
        <w:t xml:space="preserve"> </w:t>
      </w:r>
      <w:r w:rsidR="00F80C82">
        <w:t>from 2016–17 to 2017–</w:t>
      </w:r>
      <w:proofErr w:type="gramStart"/>
      <w:r w:rsidR="00F80C82">
        <w:t xml:space="preserve">18 </w:t>
      </w:r>
      <w:r>
        <w:t xml:space="preserve"> (</w:t>
      </w:r>
      <w:proofErr w:type="gramEnd"/>
      <w:r>
        <w:t>$, current prices</w:t>
      </w:r>
      <w:r w:rsidR="00F66E69">
        <w:t>, percentages to two decimal places</w:t>
      </w:r>
      <w:r>
        <w:t>)</w:t>
      </w:r>
      <w:bookmarkEnd w:id="92"/>
      <w:bookmarkEnd w:id="93"/>
      <w:bookmarkEnd w:id="94"/>
      <w:bookmarkEnd w:id="95"/>
      <w:bookmarkEnd w:id="96"/>
      <w:bookmarkEnd w:id="97"/>
      <w:bookmarkEnd w:id="98"/>
      <w:bookmarkEnd w:id="99"/>
      <w:bookmarkEnd w:id="100"/>
    </w:p>
    <w:tbl>
      <w:tblPr>
        <w:tblW w:w="7280" w:type="dxa"/>
        <w:tblInd w:w="108" w:type="dxa"/>
        <w:tblLook w:val="04A0" w:firstRow="1" w:lastRow="0" w:firstColumn="1" w:lastColumn="0" w:noHBand="0" w:noVBand="1"/>
      </w:tblPr>
      <w:tblGrid>
        <w:gridCol w:w="1456"/>
        <w:gridCol w:w="1456"/>
        <w:gridCol w:w="1456"/>
        <w:gridCol w:w="1456"/>
        <w:gridCol w:w="1456"/>
      </w:tblGrid>
      <w:tr w:rsidR="00625889" w:rsidTr="00F5091F">
        <w:trPr>
          <w:trHeight w:val="531"/>
        </w:trPr>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625889">
            <w:pPr>
              <w:pStyle w:val="TableHeadingLeft"/>
            </w:pPr>
            <w:r>
              <w:t>Annual water consumption (</w:t>
            </w:r>
            <w:proofErr w:type="spellStart"/>
            <w:r>
              <w:t>kL</w:t>
            </w:r>
            <w:proofErr w:type="spellEnd"/>
            <w:r>
              <w:t>)</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7E0ADD">
            <w:pPr>
              <w:pStyle w:val="TableHeadingRight"/>
            </w:pPr>
            <w:r>
              <w:t xml:space="preserve">Annual </w:t>
            </w:r>
            <w:r w:rsidRPr="00625889">
              <w:t>201</w:t>
            </w:r>
            <w:r w:rsidR="007E0ADD">
              <w:t>6</w:t>
            </w:r>
            <w:r w:rsidRPr="00625889">
              <w:t>–1</w:t>
            </w:r>
            <w:r w:rsidR="007E0ADD">
              <w:t>7</w:t>
            </w:r>
            <w:r w:rsidRPr="00625889">
              <w:t xml:space="preserve"> combined bill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7E0ADD">
            <w:pPr>
              <w:pStyle w:val="TableHeadingRight"/>
            </w:pPr>
            <w:r>
              <w:t>Annual 201</w:t>
            </w:r>
            <w:r w:rsidR="007E0ADD">
              <w:t>7</w:t>
            </w:r>
            <w:r>
              <w:t>–1</w:t>
            </w:r>
            <w:r w:rsidR="007E0ADD">
              <w:t>8</w:t>
            </w:r>
            <w:r>
              <w:t xml:space="preserve"> combined bill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625889">
            <w:pPr>
              <w:pStyle w:val="TableHeadingRight"/>
            </w:pPr>
            <w:r>
              <w:t>Change in combined bill (%)</w:t>
            </w:r>
          </w:p>
        </w:tc>
        <w:tc>
          <w:tcPr>
            <w:tcW w:w="1456"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625889">
            <w:pPr>
              <w:pStyle w:val="TableHeadingRight"/>
            </w:pPr>
            <w:r>
              <w:t>Change in combined bill ($)</w:t>
            </w:r>
          </w:p>
        </w:tc>
      </w:tr>
      <w:tr w:rsidR="007E0ADD" w:rsidTr="007E0ADD">
        <w:trPr>
          <w:trHeight w:val="300"/>
        </w:trPr>
        <w:tc>
          <w:tcPr>
            <w:tcW w:w="1456" w:type="dxa"/>
            <w:tcBorders>
              <w:top w:val="single" w:sz="4" w:space="0" w:color="000033"/>
              <w:left w:val="nil"/>
              <w:bottom w:val="nil"/>
              <w:right w:val="single" w:sz="4" w:space="0" w:color="FFFFFF"/>
            </w:tcBorders>
            <w:shd w:val="clear" w:color="auto" w:fill="auto"/>
            <w:vAlign w:val="bottom"/>
            <w:hideMark/>
          </w:tcPr>
          <w:p w:rsidR="007E0ADD" w:rsidRPr="007E0ADD" w:rsidRDefault="007E0ADD" w:rsidP="007E0ADD">
            <w:pPr>
              <w:pStyle w:val="TableTextLeft"/>
              <w:keepNext/>
            </w:pPr>
            <w:r w:rsidRPr="007E0ADD">
              <w:t>0</w:t>
            </w:r>
          </w:p>
        </w:tc>
        <w:tc>
          <w:tcPr>
            <w:tcW w:w="1456" w:type="dxa"/>
            <w:tcBorders>
              <w:top w:val="single" w:sz="4" w:space="0" w:color="000033"/>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631</w:t>
            </w:r>
          </w:p>
        </w:tc>
        <w:tc>
          <w:tcPr>
            <w:tcW w:w="1456" w:type="dxa"/>
            <w:tcBorders>
              <w:top w:val="single" w:sz="4" w:space="0" w:color="000033"/>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642</w:t>
            </w:r>
          </w:p>
        </w:tc>
        <w:tc>
          <w:tcPr>
            <w:tcW w:w="1456" w:type="dxa"/>
            <w:tcBorders>
              <w:top w:val="single" w:sz="4" w:space="0" w:color="000033"/>
              <w:left w:val="nil"/>
              <w:bottom w:val="nil"/>
              <w:right w:val="single" w:sz="4" w:space="0" w:color="FFFFFF"/>
            </w:tcBorders>
            <w:shd w:val="clear" w:color="auto" w:fill="auto"/>
            <w:vAlign w:val="bottom"/>
            <w:hideMark/>
          </w:tcPr>
          <w:p w:rsidR="007E0ADD" w:rsidRPr="007E0ADD" w:rsidRDefault="00F66E69" w:rsidP="00A1543A">
            <w:pPr>
              <w:pStyle w:val="TableTextLeft"/>
              <w:keepNext/>
              <w:jc w:val="right"/>
            </w:pPr>
            <w:r>
              <w:t>1.69</w:t>
            </w:r>
            <w:r w:rsidR="007E0ADD" w:rsidRPr="007E0ADD">
              <w:t>%</w:t>
            </w:r>
          </w:p>
        </w:tc>
        <w:tc>
          <w:tcPr>
            <w:tcW w:w="1456" w:type="dxa"/>
            <w:tcBorders>
              <w:top w:val="single" w:sz="4" w:space="0" w:color="000033"/>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11</w:t>
            </w:r>
          </w:p>
        </w:tc>
      </w:tr>
      <w:tr w:rsidR="007E0ADD" w:rsidTr="007E0ADD">
        <w:trPr>
          <w:trHeight w:val="300"/>
        </w:trPr>
        <w:tc>
          <w:tcPr>
            <w:tcW w:w="1456" w:type="dxa"/>
            <w:tcBorders>
              <w:top w:val="nil"/>
              <w:left w:val="nil"/>
              <w:bottom w:val="single" w:sz="4" w:space="0" w:color="FFFFFF"/>
              <w:right w:val="single" w:sz="4" w:space="0" w:color="FFFFFF"/>
            </w:tcBorders>
            <w:shd w:val="clear" w:color="auto" w:fill="auto"/>
            <w:vAlign w:val="bottom"/>
            <w:hideMark/>
          </w:tcPr>
          <w:p w:rsidR="007E0ADD" w:rsidRPr="007E0ADD" w:rsidRDefault="007E0ADD" w:rsidP="007E0ADD">
            <w:pPr>
              <w:pStyle w:val="TableTextLeft"/>
              <w:keepNext/>
            </w:pPr>
            <w:r w:rsidRPr="007E0ADD">
              <w:t>50</w:t>
            </w:r>
          </w:p>
        </w:tc>
        <w:tc>
          <w:tcPr>
            <w:tcW w:w="1456" w:type="dxa"/>
            <w:tcBorders>
              <w:top w:val="nil"/>
              <w:left w:val="nil"/>
              <w:bottom w:val="single" w:sz="4" w:space="0" w:color="FFFFFF"/>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761</w:t>
            </w:r>
          </w:p>
        </w:tc>
        <w:tc>
          <w:tcPr>
            <w:tcW w:w="1456" w:type="dxa"/>
            <w:tcBorders>
              <w:top w:val="nil"/>
              <w:left w:val="nil"/>
              <w:bottom w:val="single" w:sz="4" w:space="0" w:color="FFFFFF"/>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776</w:t>
            </w:r>
          </w:p>
        </w:tc>
        <w:tc>
          <w:tcPr>
            <w:tcW w:w="1456" w:type="dxa"/>
            <w:tcBorders>
              <w:top w:val="nil"/>
              <w:left w:val="nil"/>
              <w:bottom w:val="single" w:sz="4" w:space="0" w:color="FFFFFF"/>
              <w:right w:val="single" w:sz="4" w:space="0" w:color="FFFFFF"/>
            </w:tcBorders>
            <w:shd w:val="clear" w:color="auto" w:fill="auto"/>
            <w:vAlign w:val="bottom"/>
            <w:hideMark/>
          </w:tcPr>
          <w:p w:rsidR="007E0ADD" w:rsidRPr="007E0ADD" w:rsidRDefault="00F66E69" w:rsidP="00A1543A">
            <w:pPr>
              <w:pStyle w:val="TableTextLeft"/>
              <w:keepNext/>
              <w:jc w:val="right"/>
            </w:pPr>
            <w:r>
              <w:t>1.86</w:t>
            </w:r>
            <w:r w:rsidR="007E0ADD" w:rsidRPr="007E0ADD">
              <w:t>%</w:t>
            </w:r>
          </w:p>
        </w:tc>
        <w:tc>
          <w:tcPr>
            <w:tcW w:w="1456" w:type="dxa"/>
            <w:tcBorders>
              <w:top w:val="nil"/>
              <w:left w:val="nil"/>
              <w:bottom w:val="single" w:sz="4" w:space="0" w:color="FFFFFF"/>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14</w:t>
            </w:r>
          </w:p>
        </w:tc>
      </w:tr>
      <w:tr w:rsidR="007E0ADD" w:rsidTr="007E0ADD">
        <w:trPr>
          <w:trHeight w:val="300"/>
        </w:trPr>
        <w:tc>
          <w:tcPr>
            <w:tcW w:w="1456" w:type="dxa"/>
            <w:tcBorders>
              <w:top w:val="nil"/>
              <w:left w:val="nil"/>
              <w:bottom w:val="single" w:sz="4" w:space="0" w:color="FFFFFF"/>
              <w:right w:val="single" w:sz="4" w:space="0" w:color="FFFFFF"/>
            </w:tcBorders>
            <w:shd w:val="clear" w:color="auto" w:fill="auto"/>
            <w:vAlign w:val="bottom"/>
            <w:hideMark/>
          </w:tcPr>
          <w:p w:rsidR="007E0ADD" w:rsidRPr="007E0ADD" w:rsidRDefault="007E0ADD" w:rsidP="007E0ADD">
            <w:pPr>
              <w:pStyle w:val="TableTextLeft"/>
              <w:keepNext/>
            </w:pPr>
            <w:r w:rsidRPr="007E0ADD">
              <w:t>100</w:t>
            </w:r>
          </w:p>
        </w:tc>
        <w:tc>
          <w:tcPr>
            <w:tcW w:w="1456" w:type="dxa"/>
            <w:tcBorders>
              <w:top w:val="nil"/>
              <w:left w:val="nil"/>
              <w:bottom w:val="single" w:sz="4" w:space="0" w:color="FFFFFF"/>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892</w:t>
            </w:r>
          </w:p>
        </w:tc>
        <w:tc>
          <w:tcPr>
            <w:tcW w:w="1456" w:type="dxa"/>
            <w:tcBorders>
              <w:top w:val="nil"/>
              <w:left w:val="nil"/>
              <w:bottom w:val="single" w:sz="4" w:space="0" w:color="FFFFFF"/>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910</w:t>
            </w:r>
          </w:p>
        </w:tc>
        <w:tc>
          <w:tcPr>
            <w:tcW w:w="1456" w:type="dxa"/>
            <w:tcBorders>
              <w:top w:val="nil"/>
              <w:left w:val="nil"/>
              <w:bottom w:val="single" w:sz="4" w:space="0" w:color="FFFFFF"/>
              <w:right w:val="single" w:sz="4" w:space="0" w:color="FFFFFF"/>
            </w:tcBorders>
            <w:shd w:val="clear" w:color="auto" w:fill="auto"/>
            <w:vAlign w:val="bottom"/>
            <w:hideMark/>
          </w:tcPr>
          <w:p w:rsidR="007E0ADD" w:rsidRPr="007E0ADD" w:rsidRDefault="00F66E69" w:rsidP="00A1543A">
            <w:pPr>
              <w:pStyle w:val="TableTextLeft"/>
              <w:keepNext/>
              <w:jc w:val="right"/>
            </w:pPr>
            <w:r>
              <w:t>1.98</w:t>
            </w:r>
            <w:r w:rsidR="007E0ADD" w:rsidRPr="007E0ADD">
              <w:t>%</w:t>
            </w:r>
          </w:p>
        </w:tc>
        <w:tc>
          <w:tcPr>
            <w:tcW w:w="1456" w:type="dxa"/>
            <w:tcBorders>
              <w:top w:val="nil"/>
              <w:left w:val="nil"/>
              <w:bottom w:val="single" w:sz="4" w:space="0" w:color="FFFFFF"/>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18</w:t>
            </w:r>
          </w:p>
        </w:tc>
      </w:tr>
      <w:tr w:rsidR="007E0ADD" w:rsidTr="007E0ADD">
        <w:trPr>
          <w:trHeight w:val="300"/>
        </w:trPr>
        <w:tc>
          <w:tcPr>
            <w:tcW w:w="1456" w:type="dxa"/>
            <w:tcBorders>
              <w:top w:val="nil"/>
              <w:left w:val="nil"/>
              <w:bottom w:val="nil"/>
              <w:right w:val="single" w:sz="4" w:space="0" w:color="FFFFFF"/>
            </w:tcBorders>
            <w:shd w:val="clear" w:color="auto" w:fill="auto"/>
            <w:vAlign w:val="bottom"/>
            <w:hideMark/>
          </w:tcPr>
          <w:p w:rsidR="007E0ADD" w:rsidRPr="007E0ADD" w:rsidRDefault="007E0ADD" w:rsidP="007E0ADD">
            <w:pPr>
              <w:pStyle w:val="TableTextLeft"/>
              <w:keepNext/>
            </w:pPr>
            <w:r w:rsidRPr="007E0ADD">
              <w:t>150</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1,022</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1,044</w:t>
            </w:r>
          </w:p>
        </w:tc>
        <w:tc>
          <w:tcPr>
            <w:tcW w:w="1456" w:type="dxa"/>
            <w:tcBorders>
              <w:top w:val="nil"/>
              <w:left w:val="nil"/>
              <w:bottom w:val="nil"/>
              <w:right w:val="single" w:sz="4" w:space="0" w:color="FFFFFF"/>
            </w:tcBorders>
            <w:shd w:val="clear" w:color="auto" w:fill="auto"/>
            <w:vAlign w:val="bottom"/>
            <w:hideMark/>
          </w:tcPr>
          <w:p w:rsidR="007E0ADD" w:rsidRPr="007E0ADD" w:rsidRDefault="00F66E69" w:rsidP="00A1543A">
            <w:pPr>
              <w:pStyle w:val="TableTextLeft"/>
              <w:keepNext/>
              <w:jc w:val="right"/>
            </w:pPr>
            <w:r>
              <w:t>2.07</w:t>
            </w:r>
            <w:r w:rsidR="007E0ADD" w:rsidRPr="007E0ADD">
              <w:t>%</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21</w:t>
            </w:r>
          </w:p>
        </w:tc>
      </w:tr>
      <w:tr w:rsidR="007E0ADD" w:rsidTr="007E0ADD">
        <w:trPr>
          <w:trHeight w:val="300"/>
        </w:trPr>
        <w:tc>
          <w:tcPr>
            <w:tcW w:w="1456" w:type="dxa"/>
            <w:tcBorders>
              <w:top w:val="nil"/>
              <w:left w:val="nil"/>
              <w:bottom w:val="nil"/>
              <w:right w:val="single" w:sz="4" w:space="0" w:color="FFFFFF"/>
            </w:tcBorders>
            <w:shd w:val="clear" w:color="auto" w:fill="auto"/>
            <w:vAlign w:val="bottom"/>
            <w:hideMark/>
          </w:tcPr>
          <w:p w:rsidR="007E0ADD" w:rsidRPr="000C5155" w:rsidRDefault="007E0ADD" w:rsidP="007E0ADD">
            <w:pPr>
              <w:pStyle w:val="TableTextLeft"/>
              <w:keepNext/>
              <w:rPr>
                <w:b/>
              </w:rPr>
            </w:pPr>
            <w:r w:rsidRPr="000C5155">
              <w:rPr>
                <w:b/>
              </w:rPr>
              <w:t>200</w:t>
            </w:r>
          </w:p>
        </w:tc>
        <w:tc>
          <w:tcPr>
            <w:tcW w:w="1456" w:type="dxa"/>
            <w:tcBorders>
              <w:top w:val="nil"/>
              <w:left w:val="nil"/>
              <w:bottom w:val="nil"/>
              <w:right w:val="single" w:sz="4" w:space="0" w:color="FFFFFF"/>
            </w:tcBorders>
            <w:shd w:val="clear" w:color="auto" w:fill="auto"/>
            <w:vAlign w:val="bottom"/>
            <w:hideMark/>
          </w:tcPr>
          <w:p w:rsidR="007E0ADD" w:rsidRPr="000C5155" w:rsidRDefault="007E0ADD" w:rsidP="00A1543A">
            <w:pPr>
              <w:pStyle w:val="TableTextLeft"/>
              <w:keepNext/>
              <w:jc w:val="right"/>
              <w:rPr>
                <w:b/>
              </w:rPr>
            </w:pPr>
            <w:r w:rsidRPr="000C5155">
              <w:rPr>
                <w:b/>
              </w:rPr>
              <w:t>1,175</w:t>
            </w:r>
          </w:p>
        </w:tc>
        <w:tc>
          <w:tcPr>
            <w:tcW w:w="1456" w:type="dxa"/>
            <w:tcBorders>
              <w:top w:val="nil"/>
              <w:left w:val="nil"/>
              <w:bottom w:val="nil"/>
              <w:right w:val="single" w:sz="4" w:space="0" w:color="FFFFFF"/>
            </w:tcBorders>
            <w:shd w:val="clear" w:color="auto" w:fill="auto"/>
            <w:vAlign w:val="bottom"/>
            <w:hideMark/>
          </w:tcPr>
          <w:p w:rsidR="007E0ADD" w:rsidRPr="000C5155" w:rsidRDefault="007E0ADD" w:rsidP="00A1543A">
            <w:pPr>
              <w:pStyle w:val="TableTextLeft"/>
              <w:keepNext/>
              <w:jc w:val="right"/>
              <w:rPr>
                <w:b/>
              </w:rPr>
            </w:pPr>
            <w:r w:rsidRPr="000C5155">
              <w:rPr>
                <w:b/>
              </w:rPr>
              <w:t>1,200</w:t>
            </w:r>
          </w:p>
        </w:tc>
        <w:tc>
          <w:tcPr>
            <w:tcW w:w="1456" w:type="dxa"/>
            <w:tcBorders>
              <w:top w:val="nil"/>
              <w:left w:val="nil"/>
              <w:bottom w:val="nil"/>
              <w:right w:val="single" w:sz="4" w:space="0" w:color="FFFFFF"/>
            </w:tcBorders>
            <w:shd w:val="clear" w:color="auto" w:fill="auto"/>
            <w:vAlign w:val="bottom"/>
            <w:hideMark/>
          </w:tcPr>
          <w:p w:rsidR="007E0ADD" w:rsidRPr="000C5155" w:rsidRDefault="00F66E69" w:rsidP="00A1543A">
            <w:pPr>
              <w:pStyle w:val="TableTextLeft"/>
              <w:keepNext/>
              <w:jc w:val="right"/>
              <w:rPr>
                <w:b/>
              </w:rPr>
            </w:pPr>
            <w:r>
              <w:rPr>
                <w:b/>
              </w:rPr>
              <w:t>2.15</w:t>
            </w:r>
            <w:r w:rsidR="007E0ADD" w:rsidRPr="000C5155">
              <w:rPr>
                <w:b/>
              </w:rPr>
              <w:t>%</w:t>
            </w:r>
          </w:p>
        </w:tc>
        <w:tc>
          <w:tcPr>
            <w:tcW w:w="1456" w:type="dxa"/>
            <w:tcBorders>
              <w:top w:val="nil"/>
              <w:left w:val="nil"/>
              <w:bottom w:val="nil"/>
              <w:right w:val="single" w:sz="4" w:space="0" w:color="FFFFFF"/>
            </w:tcBorders>
            <w:shd w:val="clear" w:color="auto" w:fill="auto"/>
            <w:vAlign w:val="bottom"/>
            <w:hideMark/>
          </w:tcPr>
          <w:p w:rsidR="007E0ADD" w:rsidRPr="000C5155" w:rsidRDefault="007E0ADD" w:rsidP="00A1543A">
            <w:pPr>
              <w:pStyle w:val="TableTextLeft"/>
              <w:keepNext/>
              <w:jc w:val="right"/>
              <w:rPr>
                <w:b/>
              </w:rPr>
            </w:pPr>
            <w:r w:rsidRPr="000C5155">
              <w:rPr>
                <w:b/>
              </w:rPr>
              <w:t>25</w:t>
            </w:r>
          </w:p>
        </w:tc>
      </w:tr>
      <w:tr w:rsidR="007E0ADD" w:rsidTr="007E0ADD">
        <w:trPr>
          <w:trHeight w:val="300"/>
        </w:trPr>
        <w:tc>
          <w:tcPr>
            <w:tcW w:w="1456" w:type="dxa"/>
            <w:tcBorders>
              <w:top w:val="nil"/>
              <w:left w:val="nil"/>
              <w:bottom w:val="nil"/>
              <w:right w:val="single" w:sz="4" w:space="0" w:color="FFFFFF"/>
            </w:tcBorders>
            <w:shd w:val="clear" w:color="auto" w:fill="auto"/>
            <w:vAlign w:val="bottom"/>
            <w:hideMark/>
          </w:tcPr>
          <w:p w:rsidR="007E0ADD" w:rsidRPr="007E0ADD" w:rsidRDefault="007E0ADD" w:rsidP="007E0ADD">
            <w:pPr>
              <w:pStyle w:val="TableTextLeft"/>
              <w:keepNext/>
            </w:pPr>
            <w:r w:rsidRPr="007E0ADD">
              <w:t>250</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1,415</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1,447</w:t>
            </w:r>
          </w:p>
        </w:tc>
        <w:tc>
          <w:tcPr>
            <w:tcW w:w="1456" w:type="dxa"/>
            <w:tcBorders>
              <w:top w:val="nil"/>
              <w:left w:val="nil"/>
              <w:bottom w:val="nil"/>
              <w:right w:val="single" w:sz="4" w:space="0" w:color="FFFFFF"/>
            </w:tcBorders>
            <w:shd w:val="clear" w:color="auto" w:fill="auto"/>
            <w:vAlign w:val="bottom"/>
            <w:hideMark/>
          </w:tcPr>
          <w:p w:rsidR="007E0ADD" w:rsidRPr="007E0ADD" w:rsidRDefault="00F66E69" w:rsidP="00A1543A">
            <w:pPr>
              <w:pStyle w:val="TableTextLeft"/>
              <w:keepNext/>
              <w:jc w:val="right"/>
            </w:pPr>
            <w:r>
              <w:t>2.24</w:t>
            </w:r>
            <w:r w:rsidR="007E0ADD" w:rsidRPr="007E0ADD">
              <w:t>%</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32</w:t>
            </w:r>
          </w:p>
        </w:tc>
      </w:tr>
      <w:tr w:rsidR="007E0ADD" w:rsidTr="007E0ADD">
        <w:trPr>
          <w:trHeight w:val="300"/>
        </w:trPr>
        <w:tc>
          <w:tcPr>
            <w:tcW w:w="1456" w:type="dxa"/>
            <w:tcBorders>
              <w:top w:val="nil"/>
              <w:left w:val="nil"/>
              <w:bottom w:val="nil"/>
              <w:right w:val="single" w:sz="4" w:space="0" w:color="FFFFFF"/>
            </w:tcBorders>
            <w:shd w:val="clear" w:color="auto" w:fill="auto"/>
            <w:vAlign w:val="bottom"/>
            <w:hideMark/>
          </w:tcPr>
          <w:p w:rsidR="007E0ADD" w:rsidRPr="007E0ADD" w:rsidRDefault="007E0ADD" w:rsidP="007E0ADD">
            <w:pPr>
              <w:pStyle w:val="TableTextLeft"/>
              <w:keepNext/>
            </w:pPr>
            <w:r w:rsidRPr="007E0ADD">
              <w:t>300</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1,677</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1,716</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2.3</w:t>
            </w:r>
            <w:r w:rsidR="00F66E69">
              <w:t>1</w:t>
            </w:r>
            <w:r w:rsidRPr="007E0ADD">
              <w:t>%</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39</w:t>
            </w:r>
          </w:p>
        </w:tc>
      </w:tr>
      <w:tr w:rsidR="007E0ADD" w:rsidTr="007E0ADD">
        <w:trPr>
          <w:trHeight w:val="300"/>
        </w:trPr>
        <w:tc>
          <w:tcPr>
            <w:tcW w:w="1456" w:type="dxa"/>
            <w:tcBorders>
              <w:top w:val="nil"/>
              <w:left w:val="nil"/>
              <w:bottom w:val="nil"/>
              <w:right w:val="single" w:sz="4" w:space="0" w:color="FFFFFF"/>
            </w:tcBorders>
            <w:shd w:val="clear" w:color="auto" w:fill="auto"/>
            <w:vAlign w:val="bottom"/>
            <w:hideMark/>
          </w:tcPr>
          <w:p w:rsidR="007E0ADD" w:rsidRPr="007E0ADD" w:rsidRDefault="007E0ADD" w:rsidP="007E0ADD">
            <w:pPr>
              <w:pStyle w:val="TableTextLeft"/>
              <w:keepNext/>
            </w:pPr>
            <w:r w:rsidRPr="007E0ADD">
              <w:t>350</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1,939</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1,985</w:t>
            </w:r>
          </w:p>
        </w:tc>
        <w:tc>
          <w:tcPr>
            <w:tcW w:w="1456" w:type="dxa"/>
            <w:tcBorders>
              <w:top w:val="nil"/>
              <w:left w:val="nil"/>
              <w:bottom w:val="nil"/>
              <w:right w:val="single" w:sz="4" w:space="0" w:color="FFFFFF"/>
            </w:tcBorders>
            <w:shd w:val="clear" w:color="auto" w:fill="auto"/>
            <w:vAlign w:val="bottom"/>
            <w:hideMark/>
          </w:tcPr>
          <w:p w:rsidR="007E0ADD" w:rsidRPr="007E0ADD" w:rsidRDefault="00F66E69" w:rsidP="00A1543A">
            <w:pPr>
              <w:pStyle w:val="TableTextLeft"/>
              <w:keepNext/>
              <w:jc w:val="right"/>
            </w:pPr>
            <w:r>
              <w:t>2.36</w:t>
            </w:r>
            <w:r w:rsidR="007E0ADD" w:rsidRPr="007E0ADD">
              <w:t>%</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46</w:t>
            </w:r>
          </w:p>
        </w:tc>
      </w:tr>
      <w:tr w:rsidR="007E0ADD" w:rsidTr="007E0ADD">
        <w:trPr>
          <w:trHeight w:val="300"/>
        </w:trPr>
        <w:tc>
          <w:tcPr>
            <w:tcW w:w="1456" w:type="dxa"/>
            <w:tcBorders>
              <w:top w:val="nil"/>
              <w:left w:val="nil"/>
              <w:bottom w:val="nil"/>
              <w:right w:val="single" w:sz="4" w:space="0" w:color="FFFFFF"/>
            </w:tcBorders>
            <w:shd w:val="clear" w:color="auto" w:fill="auto"/>
            <w:vAlign w:val="bottom"/>
            <w:hideMark/>
          </w:tcPr>
          <w:p w:rsidR="007E0ADD" w:rsidRPr="007E0ADD" w:rsidRDefault="007E0ADD" w:rsidP="007E0ADD">
            <w:pPr>
              <w:pStyle w:val="TableTextLeft"/>
              <w:keepNext/>
            </w:pPr>
            <w:r w:rsidRPr="007E0ADD">
              <w:t>400</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2,201</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2,254</w:t>
            </w:r>
          </w:p>
        </w:tc>
        <w:tc>
          <w:tcPr>
            <w:tcW w:w="1456" w:type="dxa"/>
            <w:tcBorders>
              <w:top w:val="nil"/>
              <w:left w:val="nil"/>
              <w:bottom w:val="nil"/>
              <w:right w:val="single" w:sz="4" w:space="0" w:color="FFFFFF"/>
            </w:tcBorders>
            <w:shd w:val="clear" w:color="auto" w:fill="auto"/>
            <w:vAlign w:val="bottom"/>
            <w:hideMark/>
          </w:tcPr>
          <w:p w:rsidR="007E0ADD" w:rsidRPr="007E0ADD" w:rsidRDefault="00F66E69" w:rsidP="00A1543A">
            <w:pPr>
              <w:pStyle w:val="TableTextLeft"/>
              <w:keepNext/>
              <w:jc w:val="right"/>
            </w:pPr>
            <w:r>
              <w:t>2.39</w:t>
            </w:r>
            <w:r w:rsidR="007E0ADD" w:rsidRPr="007E0ADD">
              <w:t>%</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53</w:t>
            </w:r>
          </w:p>
        </w:tc>
      </w:tr>
      <w:tr w:rsidR="007E0ADD" w:rsidTr="007E0ADD">
        <w:trPr>
          <w:trHeight w:val="300"/>
        </w:trPr>
        <w:tc>
          <w:tcPr>
            <w:tcW w:w="1456" w:type="dxa"/>
            <w:tcBorders>
              <w:top w:val="nil"/>
              <w:left w:val="nil"/>
              <w:bottom w:val="nil"/>
              <w:right w:val="single" w:sz="4" w:space="0" w:color="FFFFFF"/>
            </w:tcBorders>
            <w:shd w:val="clear" w:color="auto" w:fill="auto"/>
            <w:vAlign w:val="bottom"/>
            <w:hideMark/>
          </w:tcPr>
          <w:p w:rsidR="007E0ADD" w:rsidRPr="007E0ADD" w:rsidRDefault="007E0ADD" w:rsidP="007E0ADD">
            <w:pPr>
              <w:pStyle w:val="TableTextLeft"/>
              <w:keepNext/>
            </w:pPr>
            <w:r w:rsidRPr="007E0ADD">
              <w:t>500</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2,725</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2,792</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2.4</w:t>
            </w:r>
            <w:r w:rsidR="00F66E69">
              <w:t>5</w:t>
            </w:r>
            <w:r w:rsidRPr="007E0ADD">
              <w:t>%</w:t>
            </w:r>
          </w:p>
        </w:tc>
        <w:tc>
          <w:tcPr>
            <w:tcW w:w="1456" w:type="dxa"/>
            <w:tcBorders>
              <w:top w:val="nil"/>
              <w:left w:val="nil"/>
              <w:bottom w:val="nil"/>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67</w:t>
            </w:r>
          </w:p>
        </w:tc>
      </w:tr>
      <w:tr w:rsidR="007E0ADD" w:rsidTr="007E0ADD">
        <w:trPr>
          <w:trHeight w:val="315"/>
        </w:trPr>
        <w:tc>
          <w:tcPr>
            <w:tcW w:w="1456" w:type="dxa"/>
            <w:tcBorders>
              <w:top w:val="nil"/>
              <w:left w:val="nil"/>
              <w:bottom w:val="single" w:sz="4" w:space="0" w:color="auto"/>
              <w:right w:val="single" w:sz="4" w:space="0" w:color="FFFFFF"/>
            </w:tcBorders>
            <w:shd w:val="clear" w:color="auto" w:fill="auto"/>
            <w:vAlign w:val="bottom"/>
            <w:hideMark/>
          </w:tcPr>
          <w:p w:rsidR="007E0ADD" w:rsidRPr="007E0ADD" w:rsidRDefault="007E0ADD" w:rsidP="007E0ADD">
            <w:pPr>
              <w:pStyle w:val="TableTextLeft"/>
              <w:keepNext/>
            </w:pPr>
            <w:r w:rsidRPr="007E0ADD">
              <w:t>750</w:t>
            </w:r>
          </w:p>
        </w:tc>
        <w:tc>
          <w:tcPr>
            <w:tcW w:w="1456" w:type="dxa"/>
            <w:tcBorders>
              <w:top w:val="nil"/>
              <w:left w:val="nil"/>
              <w:bottom w:val="single" w:sz="4" w:space="0" w:color="auto"/>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4,035</w:t>
            </w:r>
          </w:p>
        </w:tc>
        <w:tc>
          <w:tcPr>
            <w:tcW w:w="1456" w:type="dxa"/>
            <w:tcBorders>
              <w:top w:val="nil"/>
              <w:left w:val="nil"/>
              <w:bottom w:val="single" w:sz="4" w:space="0" w:color="auto"/>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4,137</w:t>
            </w:r>
          </w:p>
        </w:tc>
        <w:tc>
          <w:tcPr>
            <w:tcW w:w="1456" w:type="dxa"/>
            <w:tcBorders>
              <w:top w:val="nil"/>
              <w:left w:val="nil"/>
              <w:bottom w:val="single" w:sz="4" w:space="0" w:color="auto"/>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2.5</w:t>
            </w:r>
            <w:r w:rsidR="00F66E69">
              <w:t>2</w:t>
            </w:r>
            <w:r w:rsidRPr="007E0ADD">
              <w:t>%</w:t>
            </w:r>
          </w:p>
        </w:tc>
        <w:tc>
          <w:tcPr>
            <w:tcW w:w="1456" w:type="dxa"/>
            <w:tcBorders>
              <w:top w:val="nil"/>
              <w:left w:val="nil"/>
              <w:bottom w:val="single" w:sz="4" w:space="0" w:color="auto"/>
              <w:right w:val="single" w:sz="4" w:space="0" w:color="FFFFFF"/>
            </w:tcBorders>
            <w:shd w:val="clear" w:color="auto" w:fill="auto"/>
            <w:vAlign w:val="bottom"/>
            <w:hideMark/>
          </w:tcPr>
          <w:p w:rsidR="007E0ADD" w:rsidRPr="007E0ADD" w:rsidRDefault="007E0ADD" w:rsidP="00A1543A">
            <w:pPr>
              <w:pStyle w:val="TableTextLeft"/>
              <w:keepNext/>
              <w:jc w:val="right"/>
            </w:pPr>
            <w:r w:rsidRPr="007E0ADD">
              <w:t>102</w:t>
            </w:r>
          </w:p>
        </w:tc>
      </w:tr>
    </w:tbl>
    <w:p w:rsidR="00625889" w:rsidRDefault="002618CD" w:rsidP="00625889">
      <w:pPr>
        <w:pStyle w:val="Bodytableoutro"/>
      </w:pPr>
      <w:r>
        <w:fldChar w:fldCharType="begin"/>
      </w:r>
      <w:r w:rsidR="00625889">
        <w:instrText xml:space="preserve"> REF _Ref348855353 \h </w:instrText>
      </w:r>
      <w:r>
        <w:fldChar w:fldCharType="separate"/>
      </w:r>
      <w:r w:rsidR="00BA1301">
        <w:t xml:space="preserve">Table </w:t>
      </w:r>
      <w:r w:rsidR="00BA1301">
        <w:rPr>
          <w:noProof/>
        </w:rPr>
        <w:t>3</w:t>
      </w:r>
      <w:r w:rsidR="00BA1301">
        <w:t>.</w:t>
      </w:r>
      <w:r w:rsidR="00BA1301">
        <w:rPr>
          <w:noProof/>
        </w:rPr>
        <w:t>4</w:t>
      </w:r>
      <w:r>
        <w:fldChar w:fldCharType="end"/>
      </w:r>
      <w:r w:rsidR="00625889">
        <w:t xml:space="preserve"> shows the change from 201</w:t>
      </w:r>
      <w:r w:rsidR="007E0ADD">
        <w:t>6</w:t>
      </w:r>
      <w:r w:rsidR="00625889">
        <w:t>–1</w:t>
      </w:r>
      <w:r w:rsidR="007E0ADD">
        <w:t>7</w:t>
      </w:r>
      <w:r w:rsidR="00625889">
        <w:t xml:space="preserve"> to 201</w:t>
      </w:r>
      <w:r w:rsidR="007E0ADD">
        <w:t>7</w:t>
      </w:r>
      <w:r w:rsidR="00625889">
        <w:t>–1</w:t>
      </w:r>
      <w:r w:rsidR="007E0ADD">
        <w:t>8</w:t>
      </w:r>
      <w:r w:rsidR="00625889">
        <w:t xml:space="preserve"> in the combined </w:t>
      </w:r>
      <w:r w:rsidR="0072016D">
        <w:t xml:space="preserve">annual </w:t>
      </w:r>
      <w:r w:rsidR="00625889">
        <w:t>water and sewerage service</w:t>
      </w:r>
      <w:r w:rsidR="00F5091F">
        <w:t>s</w:t>
      </w:r>
      <w:r w:rsidR="00625889">
        <w:t xml:space="preserve"> bill for non-residential customers.</w:t>
      </w:r>
      <w:r w:rsidR="00493678">
        <w:t xml:space="preserve"> </w:t>
      </w:r>
      <w:r w:rsidR="00596C34">
        <w:t>B</w:t>
      </w:r>
      <w:r w:rsidR="00493678">
        <w:t>ill increases range from a low of $</w:t>
      </w:r>
      <w:r w:rsidR="00A1543A">
        <w:t>214</w:t>
      </w:r>
      <w:r w:rsidR="00493678">
        <w:t xml:space="preserve"> to a high of $</w:t>
      </w:r>
      <w:r w:rsidR="00A1543A">
        <w:t>2</w:t>
      </w:r>
      <w:r w:rsidR="00526FFB">
        <w:t>,</w:t>
      </w:r>
      <w:r w:rsidR="00A1543A">
        <w:t>175</w:t>
      </w:r>
      <w:r w:rsidR="00493678">
        <w:t xml:space="preserve"> per year.</w:t>
      </w:r>
    </w:p>
    <w:p w:rsidR="00625889" w:rsidRDefault="00625889" w:rsidP="00B53365">
      <w:pPr>
        <w:pStyle w:val="TableName"/>
        <w:keepNext/>
      </w:pPr>
      <w:bookmarkStart w:id="101" w:name="_Ref348855353"/>
      <w:bookmarkStart w:id="102" w:name="_Toc358386663"/>
      <w:bookmarkStart w:id="103" w:name="_Toc353533217"/>
      <w:bookmarkStart w:id="104" w:name="_Toc349572471"/>
      <w:bookmarkStart w:id="105" w:name="_Toc349571572"/>
      <w:bookmarkStart w:id="106" w:name="_Toc349563457"/>
      <w:bookmarkStart w:id="107" w:name="_Toc349563379"/>
      <w:bookmarkStart w:id="108" w:name="_Toc349563217"/>
      <w:bookmarkStart w:id="109" w:name="_Toc360001083"/>
      <w:bookmarkStart w:id="110" w:name="_Toc483834483"/>
      <w:r>
        <w:lastRenderedPageBreak/>
        <w:t xml:space="preserve">Table </w:t>
      </w:r>
      <w:r w:rsidR="002618CD">
        <w:fldChar w:fldCharType="begin"/>
      </w:r>
      <w:r>
        <w:instrText xml:space="preserve"> STYLEREF 1 \s </w:instrText>
      </w:r>
      <w:r w:rsidR="002618CD">
        <w:fldChar w:fldCharType="separate"/>
      </w:r>
      <w:r w:rsidR="00BA1301">
        <w:rPr>
          <w:noProof/>
        </w:rPr>
        <w:t>3</w:t>
      </w:r>
      <w:r w:rsidR="002618CD">
        <w:fldChar w:fldCharType="end"/>
      </w:r>
      <w:r>
        <w:t>.</w:t>
      </w:r>
      <w:r w:rsidR="002618CD">
        <w:fldChar w:fldCharType="begin"/>
      </w:r>
      <w:r w:rsidR="006F1308">
        <w:instrText xml:space="preserve"> SEQ Table \* ARABIC \s 1 </w:instrText>
      </w:r>
      <w:r w:rsidR="002618CD">
        <w:fldChar w:fldCharType="separate"/>
      </w:r>
      <w:r w:rsidR="00BA1301">
        <w:rPr>
          <w:noProof/>
        </w:rPr>
        <w:t>4</w:t>
      </w:r>
      <w:r w:rsidR="002618CD">
        <w:fldChar w:fldCharType="end"/>
      </w:r>
      <w:bookmarkEnd w:id="101"/>
      <w:r>
        <w:tab/>
        <w:t xml:space="preserve">Change in </w:t>
      </w:r>
      <w:r w:rsidR="008932DD">
        <w:t xml:space="preserve">annual </w:t>
      </w:r>
      <w:r w:rsidR="00FD6210">
        <w:t xml:space="preserve">combined </w:t>
      </w:r>
      <w:r>
        <w:t xml:space="preserve">water and sewerage </w:t>
      </w:r>
      <w:r w:rsidR="008932DD">
        <w:t xml:space="preserve">services </w:t>
      </w:r>
      <w:r>
        <w:t>bill for non-residential customers</w:t>
      </w:r>
      <w:r w:rsidR="00F80C82" w:rsidRPr="00F80C82">
        <w:t xml:space="preserve"> </w:t>
      </w:r>
      <w:r w:rsidR="00F80C82">
        <w:t>from 2016–17 to 2017–</w:t>
      </w:r>
      <w:proofErr w:type="gramStart"/>
      <w:r w:rsidR="00F80C82">
        <w:t xml:space="preserve">18 </w:t>
      </w:r>
      <w:r>
        <w:t xml:space="preserve"> (</w:t>
      </w:r>
      <w:proofErr w:type="gramEnd"/>
      <w:r>
        <w:t>$,</w:t>
      </w:r>
      <w:r w:rsidR="008932DD">
        <w:t> </w:t>
      </w:r>
      <w:r>
        <w:t>current prices</w:t>
      </w:r>
      <w:r w:rsidR="009B0C81">
        <w:t>,</w:t>
      </w:r>
      <w:r w:rsidR="009B0C81" w:rsidRPr="009B0C81">
        <w:t xml:space="preserve"> </w:t>
      </w:r>
      <w:r w:rsidR="009B0C81">
        <w:t>percentages to two decimal places</w:t>
      </w:r>
      <w:r>
        <w:t>)</w:t>
      </w:r>
      <w:bookmarkEnd w:id="102"/>
      <w:bookmarkEnd w:id="103"/>
      <w:bookmarkEnd w:id="104"/>
      <w:bookmarkEnd w:id="105"/>
      <w:bookmarkEnd w:id="106"/>
      <w:bookmarkEnd w:id="107"/>
      <w:bookmarkEnd w:id="108"/>
      <w:bookmarkEnd w:id="109"/>
      <w:bookmarkEnd w:id="110"/>
    </w:p>
    <w:tbl>
      <w:tblPr>
        <w:tblW w:w="8240" w:type="dxa"/>
        <w:tblInd w:w="108" w:type="dxa"/>
        <w:tblLook w:val="04A0" w:firstRow="1" w:lastRow="0" w:firstColumn="1" w:lastColumn="0" w:noHBand="0" w:noVBand="1"/>
      </w:tblPr>
      <w:tblGrid>
        <w:gridCol w:w="1373"/>
        <w:gridCol w:w="1373"/>
        <w:gridCol w:w="1374"/>
        <w:gridCol w:w="1373"/>
        <w:gridCol w:w="1373"/>
        <w:gridCol w:w="1374"/>
      </w:tblGrid>
      <w:tr w:rsidR="00625889" w:rsidTr="00F5091F">
        <w:trPr>
          <w:trHeight w:val="554"/>
        </w:trPr>
        <w:tc>
          <w:tcPr>
            <w:tcW w:w="1373"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Left"/>
              <w:keepNext/>
            </w:pPr>
            <w:r>
              <w:t>Annual water consumption (</w:t>
            </w:r>
            <w:proofErr w:type="spellStart"/>
            <w:r>
              <w:t>kL</w:t>
            </w:r>
            <w:proofErr w:type="spellEnd"/>
            <w:r>
              <w:t>)</w:t>
            </w:r>
          </w:p>
        </w:tc>
        <w:tc>
          <w:tcPr>
            <w:tcW w:w="1373"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Right"/>
              <w:keepNext/>
            </w:pPr>
            <w:r>
              <w:t>Number of billable fixtures</w:t>
            </w:r>
            <w:r w:rsidR="00CB2771">
              <w:t xml:space="preserve"> (#)</w:t>
            </w:r>
          </w:p>
        </w:tc>
        <w:tc>
          <w:tcPr>
            <w:tcW w:w="1374"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401C03">
            <w:pPr>
              <w:pStyle w:val="TableHeadingRight"/>
              <w:keepNext/>
            </w:pPr>
            <w:r>
              <w:t>Annual 201</w:t>
            </w:r>
            <w:r w:rsidR="00401C03">
              <w:t>6</w:t>
            </w:r>
            <w:r>
              <w:t>–1</w:t>
            </w:r>
            <w:r w:rsidR="00401C03">
              <w:t>7</w:t>
            </w:r>
            <w:r>
              <w:t xml:space="preserve"> combined bill ($)</w:t>
            </w:r>
          </w:p>
        </w:tc>
        <w:tc>
          <w:tcPr>
            <w:tcW w:w="1373"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401C03">
            <w:pPr>
              <w:pStyle w:val="TableHeadingRight"/>
              <w:keepNext/>
            </w:pPr>
            <w:r>
              <w:t>Annual 201</w:t>
            </w:r>
            <w:r w:rsidR="00401C03">
              <w:t>7</w:t>
            </w:r>
            <w:r>
              <w:t>–1</w:t>
            </w:r>
            <w:r w:rsidR="00401C03">
              <w:t>8</w:t>
            </w:r>
            <w:r>
              <w:t xml:space="preserve"> combined bill ($)</w:t>
            </w:r>
          </w:p>
        </w:tc>
        <w:tc>
          <w:tcPr>
            <w:tcW w:w="1373"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Right"/>
              <w:keepNext/>
            </w:pPr>
            <w:r>
              <w:t>Change in combined bill (%)</w:t>
            </w:r>
          </w:p>
        </w:tc>
        <w:tc>
          <w:tcPr>
            <w:tcW w:w="1374" w:type="dxa"/>
            <w:tcBorders>
              <w:top w:val="single" w:sz="12" w:space="0" w:color="1F497D"/>
              <w:left w:val="nil"/>
              <w:bottom w:val="single" w:sz="8" w:space="0" w:color="1F497D"/>
              <w:right w:val="nil"/>
            </w:tcBorders>
            <w:shd w:val="clear" w:color="auto" w:fill="DBE5F1"/>
            <w:vAlign w:val="bottom"/>
            <w:hideMark/>
          </w:tcPr>
          <w:p w:rsidR="00625889" w:rsidRPr="00625889" w:rsidRDefault="00625889" w:rsidP="00B53365">
            <w:pPr>
              <w:pStyle w:val="TableHeadingRight"/>
              <w:keepNext/>
            </w:pPr>
            <w:r>
              <w:t>Change in combined bill ($)</w:t>
            </w:r>
          </w:p>
        </w:tc>
      </w:tr>
      <w:tr w:rsidR="00401C03" w:rsidTr="00401C03">
        <w:trPr>
          <w:trHeight w:val="300"/>
        </w:trPr>
        <w:tc>
          <w:tcPr>
            <w:tcW w:w="1373" w:type="dxa"/>
            <w:vAlign w:val="bottom"/>
            <w:hideMark/>
          </w:tcPr>
          <w:p w:rsidR="00401C03" w:rsidRPr="00625889" w:rsidRDefault="00401C03" w:rsidP="00401C03">
            <w:pPr>
              <w:pStyle w:val="TableTextLeft"/>
              <w:keepNext/>
            </w:pPr>
            <w:r>
              <w:t>1,000</w:t>
            </w:r>
          </w:p>
        </w:tc>
        <w:tc>
          <w:tcPr>
            <w:tcW w:w="1373" w:type="dxa"/>
            <w:vAlign w:val="bottom"/>
            <w:hideMark/>
          </w:tcPr>
          <w:p w:rsidR="00401C03" w:rsidRDefault="00401C03" w:rsidP="0013751E">
            <w:pPr>
              <w:pStyle w:val="TableTextRight"/>
              <w:rPr>
                <w:lang w:val="en-AU" w:eastAsia="en-AU"/>
              </w:rPr>
            </w:pPr>
            <w:r>
              <w:t>10</w:t>
            </w:r>
          </w:p>
        </w:tc>
        <w:tc>
          <w:tcPr>
            <w:tcW w:w="1374" w:type="dxa"/>
            <w:tcBorders>
              <w:top w:val="single" w:sz="4" w:space="0" w:color="000033"/>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10,522</w:t>
            </w:r>
          </w:p>
        </w:tc>
        <w:tc>
          <w:tcPr>
            <w:tcW w:w="1373" w:type="dxa"/>
            <w:tcBorders>
              <w:top w:val="single" w:sz="4" w:space="0" w:color="000033"/>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10,737</w:t>
            </w:r>
          </w:p>
        </w:tc>
        <w:tc>
          <w:tcPr>
            <w:tcW w:w="1373" w:type="dxa"/>
            <w:tcBorders>
              <w:top w:val="single" w:sz="4" w:space="0" w:color="000033"/>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2.04%</w:t>
            </w:r>
          </w:p>
        </w:tc>
        <w:tc>
          <w:tcPr>
            <w:tcW w:w="1374" w:type="dxa"/>
            <w:tcBorders>
              <w:top w:val="single" w:sz="4" w:space="0" w:color="000033"/>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214</w:t>
            </w:r>
          </w:p>
        </w:tc>
      </w:tr>
      <w:tr w:rsidR="00401C03" w:rsidTr="00401C03">
        <w:trPr>
          <w:trHeight w:val="190"/>
        </w:trPr>
        <w:tc>
          <w:tcPr>
            <w:tcW w:w="1373" w:type="dxa"/>
            <w:vAlign w:val="bottom"/>
            <w:hideMark/>
          </w:tcPr>
          <w:p w:rsidR="00401C03" w:rsidRPr="00625889" w:rsidRDefault="00401C03" w:rsidP="00401C03">
            <w:pPr>
              <w:pStyle w:val="TableTextRight"/>
              <w:keepNext/>
            </w:pPr>
          </w:p>
        </w:tc>
        <w:tc>
          <w:tcPr>
            <w:tcW w:w="1373" w:type="dxa"/>
            <w:vAlign w:val="bottom"/>
            <w:hideMark/>
          </w:tcPr>
          <w:p w:rsidR="00401C03" w:rsidRDefault="00401C03" w:rsidP="0013751E">
            <w:pPr>
              <w:pStyle w:val="TableTextRight"/>
            </w:pPr>
            <w:r>
              <w:t>50</w:t>
            </w:r>
          </w:p>
        </w:tc>
        <w:tc>
          <w:tcPr>
            <w:tcW w:w="1374" w:type="dxa"/>
            <w:tcBorders>
              <w:top w:val="nil"/>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31,231</w:t>
            </w:r>
          </w:p>
        </w:tc>
        <w:tc>
          <w:tcPr>
            <w:tcW w:w="1373" w:type="dxa"/>
            <w:tcBorders>
              <w:top w:val="nil"/>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31,757</w:t>
            </w:r>
          </w:p>
        </w:tc>
        <w:tc>
          <w:tcPr>
            <w:tcW w:w="1373" w:type="dxa"/>
            <w:tcBorders>
              <w:top w:val="nil"/>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1.68%</w:t>
            </w:r>
          </w:p>
        </w:tc>
        <w:tc>
          <w:tcPr>
            <w:tcW w:w="1374" w:type="dxa"/>
            <w:tcBorders>
              <w:top w:val="nil"/>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526</w:t>
            </w:r>
          </w:p>
        </w:tc>
      </w:tr>
      <w:tr w:rsidR="00401C03" w:rsidTr="00401C03">
        <w:trPr>
          <w:trHeight w:val="300"/>
        </w:trPr>
        <w:tc>
          <w:tcPr>
            <w:tcW w:w="1373" w:type="dxa"/>
            <w:tcBorders>
              <w:top w:val="nil"/>
              <w:left w:val="nil"/>
              <w:bottom w:val="single" w:sz="4" w:space="0" w:color="1F497D"/>
              <w:right w:val="nil"/>
            </w:tcBorders>
            <w:vAlign w:val="bottom"/>
            <w:hideMark/>
          </w:tcPr>
          <w:p w:rsidR="00401C03" w:rsidRPr="00625889" w:rsidRDefault="00401C03" w:rsidP="00401C03">
            <w:pPr>
              <w:pStyle w:val="TableTextLeft"/>
              <w:keepNext/>
            </w:pPr>
            <w:r>
              <w:t> </w:t>
            </w:r>
          </w:p>
        </w:tc>
        <w:tc>
          <w:tcPr>
            <w:tcW w:w="1373" w:type="dxa"/>
            <w:tcBorders>
              <w:top w:val="nil"/>
              <w:left w:val="nil"/>
              <w:bottom w:val="single" w:sz="4" w:space="0" w:color="1F497D"/>
              <w:right w:val="nil"/>
            </w:tcBorders>
            <w:vAlign w:val="bottom"/>
            <w:hideMark/>
          </w:tcPr>
          <w:p w:rsidR="00401C03" w:rsidRDefault="00401C03" w:rsidP="0013751E">
            <w:pPr>
              <w:pStyle w:val="TableTextRight"/>
            </w:pPr>
            <w:r>
              <w:t>100</w:t>
            </w:r>
          </w:p>
        </w:tc>
        <w:tc>
          <w:tcPr>
            <w:tcW w:w="1374"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57,118</w:t>
            </w:r>
          </w:p>
        </w:tc>
        <w:tc>
          <w:tcPr>
            <w:tcW w:w="1373"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58,033</w:t>
            </w:r>
          </w:p>
        </w:tc>
        <w:tc>
          <w:tcPr>
            <w:tcW w:w="1373"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1.60%</w:t>
            </w:r>
          </w:p>
        </w:tc>
        <w:tc>
          <w:tcPr>
            <w:tcW w:w="1374"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915</w:t>
            </w:r>
          </w:p>
        </w:tc>
      </w:tr>
      <w:tr w:rsidR="00401C03" w:rsidTr="00401C03">
        <w:trPr>
          <w:trHeight w:val="300"/>
        </w:trPr>
        <w:tc>
          <w:tcPr>
            <w:tcW w:w="1373" w:type="dxa"/>
            <w:vAlign w:val="bottom"/>
            <w:hideMark/>
          </w:tcPr>
          <w:p w:rsidR="00401C03" w:rsidRPr="00625889" w:rsidRDefault="00401C03" w:rsidP="00401C03">
            <w:pPr>
              <w:pStyle w:val="TableTextLeft"/>
              <w:keepNext/>
            </w:pPr>
            <w:r>
              <w:t>2,000</w:t>
            </w:r>
          </w:p>
        </w:tc>
        <w:tc>
          <w:tcPr>
            <w:tcW w:w="1373" w:type="dxa"/>
            <w:vAlign w:val="bottom"/>
            <w:hideMark/>
          </w:tcPr>
          <w:p w:rsidR="00401C03" w:rsidRDefault="00401C03" w:rsidP="0013751E">
            <w:pPr>
              <w:pStyle w:val="TableTextRight"/>
            </w:pPr>
            <w:r>
              <w:t>10</w:t>
            </w:r>
          </w:p>
        </w:tc>
        <w:tc>
          <w:tcPr>
            <w:tcW w:w="1374" w:type="dxa"/>
            <w:tcBorders>
              <w:top w:val="single" w:sz="4" w:space="0" w:color="auto"/>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15,762</w:t>
            </w:r>
          </w:p>
        </w:tc>
        <w:tc>
          <w:tcPr>
            <w:tcW w:w="1373" w:type="dxa"/>
            <w:tcBorders>
              <w:top w:val="single" w:sz="4" w:space="0" w:color="auto"/>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16,117</w:t>
            </w:r>
          </w:p>
        </w:tc>
        <w:tc>
          <w:tcPr>
            <w:tcW w:w="1373" w:type="dxa"/>
            <w:tcBorders>
              <w:top w:val="single" w:sz="4" w:space="0" w:color="auto"/>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2.25%</w:t>
            </w:r>
          </w:p>
        </w:tc>
        <w:tc>
          <w:tcPr>
            <w:tcW w:w="1374" w:type="dxa"/>
            <w:tcBorders>
              <w:top w:val="single" w:sz="4" w:space="0" w:color="auto"/>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354</w:t>
            </w:r>
          </w:p>
        </w:tc>
      </w:tr>
      <w:tr w:rsidR="00401C03" w:rsidTr="00401C03">
        <w:trPr>
          <w:trHeight w:val="300"/>
        </w:trPr>
        <w:tc>
          <w:tcPr>
            <w:tcW w:w="1373" w:type="dxa"/>
            <w:vAlign w:val="bottom"/>
            <w:hideMark/>
          </w:tcPr>
          <w:p w:rsidR="00401C03" w:rsidRPr="00625889" w:rsidRDefault="00401C03" w:rsidP="00401C03">
            <w:pPr>
              <w:pStyle w:val="TableTextRight"/>
              <w:keepNext/>
            </w:pPr>
          </w:p>
        </w:tc>
        <w:tc>
          <w:tcPr>
            <w:tcW w:w="1373" w:type="dxa"/>
            <w:vAlign w:val="bottom"/>
            <w:hideMark/>
          </w:tcPr>
          <w:p w:rsidR="00401C03" w:rsidRDefault="00401C03" w:rsidP="0013751E">
            <w:pPr>
              <w:pStyle w:val="TableTextRight"/>
            </w:pPr>
            <w:r>
              <w:t>50</w:t>
            </w:r>
          </w:p>
        </w:tc>
        <w:tc>
          <w:tcPr>
            <w:tcW w:w="1374"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36,471</w:t>
            </w:r>
          </w:p>
        </w:tc>
        <w:tc>
          <w:tcPr>
            <w:tcW w:w="1373"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37,137</w:t>
            </w:r>
          </w:p>
        </w:tc>
        <w:tc>
          <w:tcPr>
            <w:tcW w:w="1373"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1.83%</w:t>
            </w:r>
          </w:p>
        </w:tc>
        <w:tc>
          <w:tcPr>
            <w:tcW w:w="1374"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666</w:t>
            </w:r>
          </w:p>
        </w:tc>
      </w:tr>
      <w:tr w:rsidR="00401C03" w:rsidTr="00401C03">
        <w:trPr>
          <w:trHeight w:val="300"/>
        </w:trPr>
        <w:tc>
          <w:tcPr>
            <w:tcW w:w="1373" w:type="dxa"/>
            <w:tcBorders>
              <w:top w:val="nil"/>
              <w:left w:val="nil"/>
              <w:bottom w:val="single" w:sz="4" w:space="0" w:color="1F497D"/>
              <w:right w:val="nil"/>
            </w:tcBorders>
            <w:vAlign w:val="bottom"/>
            <w:hideMark/>
          </w:tcPr>
          <w:p w:rsidR="00401C03" w:rsidRPr="00625889" w:rsidRDefault="00401C03" w:rsidP="00401C03">
            <w:pPr>
              <w:pStyle w:val="TableTextLeft"/>
              <w:keepNext/>
            </w:pPr>
            <w:r>
              <w:t> </w:t>
            </w:r>
          </w:p>
        </w:tc>
        <w:tc>
          <w:tcPr>
            <w:tcW w:w="1373" w:type="dxa"/>
            <w:tcBorders>
              <w:top w:val="nil"/>
              <w:left w:val="nil"/>
              <w:bottom w:val="single" w:sz="4" w:space="0" w:color="1F497D"/>
              <w:right w:val="nil"/>
            </w:tcBorders>
            <w:vAlign w:val="bottom"/>
            <w:hideMark/>
          </w:tcPr>
          <w:p w:rsidR="00401C03" w:rsidRDefault="00401C03" w:rsidP="0013751E">
            <w:pPr>
              <w:pStyle w:val="TableTextRight"/>
            </w:pPr>
            <w:r>
              <w:t>100</w:t>
            </w:r>
          </w:p>
        </w:tc>
        <w:tc>
          <w:tcPr>
            <w:tcW w:w="1374"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62,358</w:t>
            </w:r>
          </w:p>
        </w:tc>
        <w:tc>
          <w:tcPr>
            <w:tcW w:w="1373"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63,413</w:t>
            </w:r>
          </w:p>
        </w:tc>
        <w:tc>
          <w:tcPr>
            <w:tcW w:w="1373"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1.69%</w:t>
            </w:r>
          </w:p>
        </w:tc>
        <w:tc>
          <w:tcPr>
            <w:tcW w:w="1374"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1,055</w:t>
            </w:r>
          </w:p>
        </w:tc>
      </w:tr>
      <w:tr w:rsidR="00401C03" w:rsidTr="00401C03">
        <w:trPr>
          <w:trHeight w:val="300"/>
        </w:trPr>
        <w:tc>
          <w:tcPr>
            <w:tcW w:w="1373" w:type="dxa"/>
            <w:vAlign w:val="bottom"/>
            <w:hideMark/>
          </w:tcPr>
          <w:p w:rsidR="00401C03" w:rsidRPr="00625889" w:rsidRDefault="00401C03" w:rsidP="00401C03">
            <w:pPr>
              <w:pStyle w:val="TableTextLeft"/>
              <w:keepNext/>
            </w:pPr>
            <w:r>
              <w:t>5,000</w:t>
            </w:r>
          </w:p>
        </w:tc>
        <w:tc>
          <w:tcPr>
            <w:tcW w:w="1373" w:type="dxa"/>
            <w:vAlign w:val="bottom"/>
            <w:hideMark/>
          </w:tcPr>
          <w:p w:rsidR="00401C03" w:rsidRDefault="00401C03" w:rsidP="0013751E">
            <w:pPr>
              <w:pStyle w:val="TableTextRight"/>
            </w:pPr>
            <w:r>
              <w:t>10</w:t>
            </w:r>
          </w:p>
        </w:tc>
        <w:tc>
          <w:tcPr>
            <w:tcW w:w="1374" w:type="dxa"/>
            <w:tcBorders>
              <w:top w:val="single" w:sz="4" w:space="0" w:color="auto"/>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31,482</w:t>
            </w:r>
          </w:p>
        </w:tc>
        <w:tc>
          <w:tcPr>
            <w:tcW w:w="1373" w:type="dxa"/>
            <w:tcBorders>
              <w:top w:val="single" w:sz="4" w:space="0" w:color="auto"/>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32,257</w:t>
            </w:r>
          </w:p>
        </w:tc>
        <w:tc>
          <w:tcPr>
            <w:tcW w:w="1373" w:type="dxa"/>
            <w:tcBorders>
              <w:top w:val="single" w:sz="4" w:space="0" w:color="auto"/>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2.46%</w:t>
            </w:r>
          </w:p>
        </w:tc>
        <w:tc>
          <w:tcPr>
            <w:tcW w:w="1374" w:type="dxa"/>
            <w:tcBorders>
              <w:top w:val="single" w:sz="4" w:space="0" w:color="auto"/>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774</w:t>
            </w:r>
          </w:p>
        </w:tc>
      </w:tr>
      <w:tr w:rsidR="00401C03" w:rsidTr="00401C03">
        <w:trPr>
          <w:trHeight w:val="300"/>
        </w:trPr>
        <w:tc>
          <w:tcPr>
            <w:tcW w:w="1373" w:type="dxa"/>
            <w:vAlign w:val="bottom"/>
            <w:hideMark/>
          </w:tcPr>
          <w:p w:rsidR="00401C03" w:rsidRPr="00625889" w:rsidRDefault="00401C03" w:rsidP="00401C03">
            <w:pPr>
              <w:pStyle w:val="TableTextRight"/>
              <w:keepNext/>
            </w:pPr>
          </w:p>
        </w:tc>
        <w:tc>
          <w:tcPr>
            <w:tcW w:w="1373" w:type="dxa"/>
            <w:vAlign w:val="bottom"/>
            <w:hideMark/>
          </w:tcPr>
          <w:p w:rsidR="00401C03" w:rsidRDefault="00401C03" w:rsidP="0013751E">
            <w:pPr>
              <w:pStyle w:val="TableTextRight"/>
            </w:pPr>
            <w:r>
              <w:t>50</w:t>
            </w:r>
          </w:p>
        </w:tc>
        <w:tc>
          <w:tcPr>
            <w:tcW w:w="1374"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52,191</w:t>
            </w:r>
          </w:p>
        </w:tc>
        <w:tc>
          <w:tcPr>
            <w:tcW w:w="1373"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53,277</w:t>
            </w:r>
          </w:p>
        </w:tc>
        <w:tc>
          <w:tcPr>
            <w:tcW w:w="1373"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2.08%</w:t>
            </w:r>
          </w:p>
        </w:tc>
        <w:tc>
          <w:tcPr>
            <w:tcW w:w="1374" w:type="dxa"/>
            <w:tcBorders>
              <w:top w:val="nil"/>
              <w:left w:val="nil"/>
              <w:bottom w:val="nil"/>
              <w:right w:val="nil"/>
            </w:tcBorders>
            <w:shd w:val="clear" w:color="auto" w:fill="auto"/>
            <w:vAlign w:val="bottom"/>
            <w:hideMark/>
          </w:tcPr>
          <w:p w:rsidR="00401C03" w:rsidRPr="00401C03" w:rsidRDefault="00401C03" w:rsidP="0013751E">
            <w:pPr>
              <w:pStyle w:val="TableTextLeft"/>
              <w:keepNext/>
              <w:jc w:val="right"/>
            </w:pPr>
            <w:r w:rsidRPr="00401C03">
              <w:t>1,086</w:t>
            </w:r>
          </w:p>
        </w:tc>
      </w:tr>
      <w:tr w:rsidR="00401C03" w:rsidTr="00401C03">
        <w:trPr>
          <w:trHeight w:val="300"/>
        </w:trPr>
        <w:tc>
          <w:tcPr>
            <w:tcW w:w="1373" w:type="dxa"/>
            <w:tcBorders>
              <w:top w:val="nil"/>
              <w:left w:val="nil"/>
              <w:bottom w:val="single" w:sz="4" w:space="0" w:color="1F497D"/>
              <w:right w:val="nil"/>
            </w:tcBorders>
            <w:vAlign w:val="bottom"/>
            <w:hideMark/>
          </w:tcPr>
          <w:p w:rsidR="00401C03" w:rsidRPr="00625889" w:rsidRDefault="00401C03" w:rsidP="00401C03">
            <w:pPr>
              <w:pStyle w:val="TableTextLeft"/>
              <w:keepNext/>
            </w:pPr>
            <w:r>
              <w:t> </w:t>
            </w:r>
          </w:p>
        </w:tc>
        <w:tc>
          <w:tcPr>
            <w:tcW w:w="1373" w:type="dxa"/>
            <w:tcBorders>
              <w:top w:val="nil"/>
              <w:left w:val="nil"/>
              <w:bottom w:val="single" w:sz="4" w:space="0" w:color="1F497D"/>
              <w:right w:val="nil"/>
            </w:tcBorders>
            <w:vAlign w:val="bottom"/>
            <w:hideMark/>
          </w:tcPr>
          <w:p w:rsidR="00401C03" w:rsidRDefault="00401C03" w:rsidP="0013751E">
            <w:pPr>
              <w:pStyle w:val="TableTextRight"/>
            </w:pPr>
            <w:r>
              <w:t>100</w:t>
            </w:r>
          </w:p>
        </w:tc>
        <w:tc>
          <w:tcPr>
            <w:tcW w:w="1374"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78,078</w:t>
            </w:r>
          </w:p>
        </w:tc>
        <w:tc>
          <w:tcPr>
            <w:tcW w:w="1373"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79,553</w:t>
            </w:r>
          </w:p>
        </w:tc>
        <w:tc>
          <w:tcPr>
            <w:tcW w:w="1373" w:type="dxa"/>
            <w:tcBorders>
              <w:top w:val="nil"/>
              <w:left w:val="nil"/>
              <w:bottom w:val="nil"/>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1.89%</w:t>
            </w:r>
          </w:p>
        </w:tc>
        <w:tc>
          <w:tcPr>
            <w:tcW w:w="1374" w:type="dxa"/>
            <w:tcBorders>
              <w:top w:val="nil"/>
              <w:left w:val="nil"/>
              <w:bottom w:val="nil"/>
              <w:right w:val="nil"/>
            </w:tcBorders>
            <w:shd w:val="clear" w:color="auto" w:fill="auto"/>
            <w:vAlign w:val="bottom"/>
            <w:hideMark/>
          </w:tcPr>
          <w:p w:rsidR="00401C03" w:rsidRPr="00401C03" w:rsidRDefault="00401C03" w:rsidP="0013751E">
            <w:pPr>
              <w:pStyle w:val="TableTextLeft"/>
              <w:keepNext/>
              <w:jc w:val="right"/>
            </w:pPr>
            <w:r w:rsidRPr="00401C03">
              <w:t>1,475</w:t>
            </w:r>
          </w:p>
        </w:tc>
      </w:tr>
      <w:tr w:rsidR="00401C03" w:rsidTr="00401C03">
        <w:trPr>
          <w:trHeight w:val="300"/>
        </w:trPr>
        <w:tc>
          <w:tcPr>
            <w:tcW w:w="1373" w:type="dxa"/>
            <w:vAlign w:val="bottom"/>
            <w:hideMark/>
          </w:tcPr>
          <w:p w:rsidR="00401C03" w:rsidRPr="00625889" w:rsidRDefault="00401C03" w:rsidP="00401C03">
            <w:pPr>
              <w:pStyle w:val="TableTextLeft"/>
              <w:keepNext/>
            </w:pPr>
            <w:r>
              <w:t>10,000</w:t>
            </w:r>
          </w:p>
        </w:tc>
        <w:tc>
          <w:tcPr>
            <w:tcW w:w="1373" w:type="dxa"/>
            <w:vAlign w:val="bottom"/>
            <w:hideMark/>
          </w:tcPr>
          <w:p w:rsidR="00401C03" w:rsidRDefault="00401C03" w:rsidP="0013751E">
            <w:pPr>
              <w:pStyle w:val="TableTextRight"/>
            </w:pPr>
            <w:r>
              <w:t>10</w:t>
            </w:r>
          </w:p>
        </w:tc>
        <w:tc>
          <w:tcPr>
            <w:tcW w:w="1374" w:type="dxa"/>
            <w:tcBorders>
              <w:top w:val="single" w:sz="4" w:space="0" w:color="auto"/>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57,682</w:t>
            </w:r>
          </w:p>
        </w:tc>
        <w:tc>
          <w:tcPr>
            <w:tcW w:w="1373" w:type="dxa"/>
            <w:tcBorders>
              <w:top w:val="single" w:sz="4" w:space="0" w:color="auto"/>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59,157</w:t>
            </w:r>
          </w:p>
        </w:tc>
        <w:tc>
          <w:tcPr>
            <w:tcW w:w="1373" w:type="dxa"/>
            <w:tcBorders>
              <w:top w:val="single" w:sz="4" w:space="0" w:color="auto"/>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2.56%</w:t>
            </w:r>
          </w:p>
        </w:tc>
        <w:tc>
          <w:tcPr>
            <w:tcW w:w="1374" w:type="dxa"/>
            <w:tcBorders>
              <w:top w:val="single" w:sz="4" w:space="0" w:color="auto"/>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1,474</w:t>
            </w:r>
          </w:p>
        </w:tc>
      </w:tr>
      <w:tr w:rsidR="00401C03" w:rsidTr="00401C03">
        <w:trPr>
          <w:trHeight w:val="300"/>
        </w:trPr>
        <w:tc>
          <w:tcPr>
            <w:tcW w:w="1373" w:type="dxa"/>
            <w:vAlign w:val="bottom"/>
            <w:hideMark/>
          </w:tcPr>
          <w:p w:rsidR="00401C03" w:rsidRPr="00625889" w:rsidRDefault="00401C03" w:rsidP="00401C03">
            <w:pPr>
              <w:pStyle w:val="TableTextRight"/>
              <w:keepNext/>
            </w:pPr>
          </w:p>
        </w:tc>
        <w:tc>
          <w:tcPr>
            <w:tcW w:w="1373" w:type="dxa"/>
            <w:vAlign w:val="bottom"/>
            <w:hideMark/>
          </w:tcPr>
          <w:p w:rsidR="00401C03" w:rsidRDefault="00401C03" w:rsidP="0013751E">
            <w:pPr>
              <w:pStyle w:val="TableTextRight"/>
            </w:pPr>
            <w:r>
              <w:t>50</w:t>
            </w:r>
          </w:p>
        </w:tc>
        <w:tc>
          <w:tcPr>
            <w:tcW w:w="1374" w:type="dxa"/>
            <w:tcBorders>
              <w:top w:val="nil"/>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78,391</w:t>
            </w:r>
          </w:p>
        </w:tc>
        <w:tc>
          <w:tcPr>
            <w:tcW w:w="1373" w:type="dxa"/>
            <w:tcBorders>
              <w:top w:val="nil"/>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80,177</w:t>
            </w:r>
          </w:p>
        </w:tc>
        <w:tc>
          <w:tcPr>
            <w:tcW w:w="1373" w:type="dxa"/>
            <w:tcBorders>
              <w:top w:val="nil"/>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2.28%</w:t>
            </w:r>
          </w:p>
        </w:tc>
        <w:tc>
          <w:tcPr>
            <w:tcW w:w="1374" w:type="dxa"/>
            <w:tcBorders>
              <w:top w:val="nil"/>
              <w:left w:val="nil"/>
              <w:bottom w:val="single" w:sz="4" w:space="0" w:color="FFFFFF"/>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1,786</w:t>
            </w:r>
          </w:p>
        </w:tc>
      </w:tr>
      <w:tr w:rsidR="00401C03" w:rsidTr="00401C03">
        <w:trPr>
          <w:trHeight w:val="315"/>
        </w:trPr>
        <w:tc>
          <w:tcPr>
            <w:tcW w:w="1373" w:type="dxa"/>
            <w:tcBorders>
              <w:top w:val="nil"/>
              <w:left w:val="nil"/>
              <w:bottom w:val="single" w:sz="4" w:space="0" w:color="auto"/>
              <w:right w:val="nil"/>
            </w:tcBorders>
            <w:vAlign w:val="bottom"/>
            <w:hideMark/>
          </w:tcPr>
          <w:p w:rsidR="00401C03" w:rsidRPr="00625889" w:rsidRDefault="00401C03" w:rsidP="00401C03">
            <w:pPr>
              <w:pStyle w:val="TableTextLeft"/>
              <w:keepNext/>
            </w:pPr>
            <w:r>
              <w:t> </w:t>
            </w:r>
          </w:p>
        </w:tc>
        <w:tc>
          <w:tcPr>
            <w:tcW w:w="1373" w:type="dxa"/>
            <w:tcBorders>
              <w:top w:val="nil"/>
              <w:left w:val="nil"/>
              <w:bottom w:val="single" w:sz="4" w:space="0" w:color="auto"/>
              <w:right w:val="nil"/>
            </w:tcBorders>
            <w:vAlign w:val="bottom"/>
            <w:hideMark/>
          </w:tcPr>
          <w:p w:rsidR="00401C03" w:rsidRDefault="00401C03" w:rsidP="0013751E">
            <w:pPr>
              <w:pStyle w:val="TableTextRight"/>
            </w:pPr>
            <w:r>
              <w:t>100</w:t>
            </w:r>
          </w:p>
        </w:tc>
        <w:tc>
          <w:tcPr>
            <w:tcW w:w="1374" w:type="dxa"/>
            <w:tcBorders>
              <w:top w:val="nil"/>
              <w:left w:val="nil"/>
              <w:bottom w:val="single" w:sz="4" w:space="0" w:color="auto"/>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104,278</w:t>
            </w:r>
          </w:p>
        </w:tc>
        <w:tc>
          <w:tcPr>
            <w:tcW w:w="1373" w:type="dxa"/>
            <w:tcBorders>
              <w:top w:val="nil"/>
              <w:left w:val="nil"/>
              <w:bottom w:val="single" w:sz="4" w:space="0" w:color="auto"/>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106,453</w:t>
            </w:r>
          </w:p>
        </w:tc>
        <w:tc>
          <w:tcPr>
            <w:tcW w:w="1373" w:type="dxa"/>
            <w:tcBorders>
              <w:top w:val="nil"/>
              <w:left w:val="nil"/>
              <w:bottom w:val="single" w:sz="4" w:space="0" w:color="auto"/>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2.09%</w:t>
            </w:r>
          </w:p>
        </w:tc>
        <w:tc>
          <w:tcPr>
            <w:tcW w:w="1374" w:type="dxa"/>
            <w:tcBorders>
              <w:top w:val="nil"/>
              <w:left w:val="nil"/>
              <w:bottom w:val="single" w:sz="4" w:space="0" w:color="auto"/>
              <w:right w:val="single" w:sz="4" w:space="0" w:color="FFFFFF"/>
            </w:tcBorders>
            <w:shd w:val="clear" w:color="auto" w:fill="auto"/>
            <w:vAlign w:val="bottom"/>
            <w:hideMark/>
          </w:tcPr>
          <w:p w:rsidR="00401C03" w:rsidRPr="00401C03" w:rsidRDefault="00401C03" w:rsidP="0013751E">
            <w:pPr>
              <w:pStyle w:val="TableTextLeft"/>
              <w:keepNext/>
              <w:jc w:val="right"/>
            </w:pPr>
            <w:r w:rsidRPr="00401C03">
              <w:t>2,175</w:t>
            </w:r>
          </w:p>
        </w:tc>
      </w:tr>
    </w:tbl>
    <w:p w:rsidR="00C15FEB" w:rsidRDefault="00C15FEB" w:rsidP="00C15FEB"/>
    <w:p w:rsidR="00B321E1" w:rsidRDefault="00B321E1" w:rsidP="00C15FEB"/>
    <w:p w:rsidR="00B321E1" w:rsidRDefault="00B321E1" w:rsidP="00C15FEB"/>
    <w:p w:rsidR="00B321E1" w:rsidRDefault="00B321E1" w:rsidP="00C15FEB"/>
    <w:p w:rsidR="00B321E1" w:rsidRDefault="00B321E1" w:rsidP="00C15FEB"/>
    <w:p w:rsidR="00B321E1" w:rsidRDefault="00B321E1" w:rsidP="00C15FEB"/>
    <w:p w:rsidR="0034311C" w:rsidRDefault="0034311C" w:rsidP="00E21F29">
      <w:pPr>
        <w:sectPr w:rsidR="0034311C" w:rsidSect="001452C0">
          <w:headerReference w:type="even" r:id="rId33"/>
          <w:headerReference w:type="default" r:id="rId34"/>
          <w:endnotePr>
            <w:numFmt w:val="decimal"/>
            <w:numRestart w:val="eachSect"/>
          </w:endnotePr>
          <w:type w:val="continuous"/>
          <w:pgSz w:w="11907" w:h="16840" w:code="9"/>
          <w:pgMar w:top="2245" w:right="2098" w:bottom="1701" w:left="2098" w:header="578" w:footer="578" w:gutter="0"/>
          <w:cols w:space="720"/>
          <w:noEndnote/>
          <w:docGrid w:linePitch="299"/>
        </w:sectPr>
      </w:pPr>
    </w:p>
    <w:p w:rsidR="00AD30EB" w:rsidRDefault="00417AD8" w:rsidP="002D5017">
      <w:pPr>
        <w:pStyle w:val="HeadingAppendix1"/>
      </w:pPr>
      <w:bookmarkStart w:id="111" w:name="_Ref483558498"/>
      <w:bookmarkStart w:id="112" w:name="_Ref483558505"/>
      <w:bookmarkStart w:id="113" w:name="_Ref483559589"/>
      <w:bookmarkStart w:id="114" w:name="_Toc260327931"/>
      <w:bookmarkStart w:id="115" w:name="_Toc483834474"/>
      <w:r>
        <w:lastRenderedPageBreak/>
        <w:t xml:space="preserve">Water, sewerage and miscellaneous service charges </w:t>
      </w:r>
      <w:r w:rsidR="00BB2ECA">
        <w:t>201</w:t>
      </w:r>
      <w:r w:rsidR="00FB1357">
        <w:t>7</w:t>
      </w:r>
      <w:r w:rsidR="00BB2ECA">
        <w:sym w:font="Symbol" w:char="F02D"/>
      </w:r>
      <w:r w:rsidR="00BB2ECA">
        <w:t>1</w:t>
      </w:r>
      <w:r w:rsidR="00FB1357">
        <w:t>8</w:t>
      </w:r>
      <w:bookmarkEnd w:id="111"/>
      <w:bookmarkEnd w:id="112"/>
      <w:bookmarkEnd w:id="113"/>
      <w:bookmarkEnd w:id="115"/>
    </w:p>
    <w:p w:rsidR="00881E67" w:rsidRDefault="00881E67" w:rsidP="00881E67">
      <w:r>
        <w:t xml:space="preserve">As previously mentioned, </w:t>
      </w:r>
      <w:r w:rsidR="00BF4E80">
        <w:t>I</w:t>
      </w:r>
      <w:r>
        <w:t>con Water</w:t>
      </w:r>
      <w:r w:rsidR="00BF4E80">
        <w:t>, in its submission,</w:t>
      </w:r>
      <w:r>
        <w:t xml:space="preserve"> proposed to split the current single schedule of charges into three sub-schedules to differentiate the charges that are covered by the Standard Customer Contract (SCC) and th</w:t>
      </w:r>
      <w:r w:rsidR="005E482B">
        <w:t xml:space="preserve">at </w:t>
      </w:r>
      <w:r>
        <w:t xml:space="preserve">are not covered.  </w:t>
      </w:r>
    </w:p>
    <w:p w:rsidR="005F2E0C" w:rsidRDefault="005F2E0C" w:rsidP="0097081C">
      <w:pPr>
        <w:pStyle w:val="ListParagraph"/>
        <w:numPr>
          <w:ilvl w:val="0"/>
          <w:numId w:val="29"/>
        </w:numPr>
      </w:pPr>
      <w:r w:rsidRPr="0097081C">
        <w:rPr>
          <w:b/>
        </w:rPr>
        <w:t>Schedule A: Standard water and sewerage services charges</w:t>
      </w:r>
      <w:r>
        <w:t xml:space="preserve"> – this schedule contains the </w:t>
      </w:r>
      <w:r w:rsidR="006B1326">
        <w:t>s</w:t>
      </w:r>
      <w:r>
        <w:t>tandard water and sewerage charges, Class 1 through Class 6 land category charges (except for the metered hydrant standpipe water charge) and items 1 and 2 from the current miscellaneous charges schedule.</w:t>
      </w:r>
    </w:p>
    <w:p w:rsidR="00881E67" w:rsidRDefault="005F2E0C" w:rsidP="0097081C">
      <w:pPr>
        <w:pStyle w:val="ListParagraph"/>
        <w:numPr>
          <w:ilvl w:val="0"/>
          <w:numId w:val="29"/>
        </w:numPr>
      </w:pPr>
      <w:r w:rsidRPr="0097081C">
        <w:rPr>
          <w:b/>
        </w:rPr>
        <w:t>Schedule B: Miscellaneous fees and charges</w:t>
      </w:r>
      <w:r>
        <w:t xml:space="preserve"> – this schedule contains the metered hydrant standpipe water charge and the remainder of the miscellaneous charges. </w:t>
      </w:r>
    </w:p>
    <w:p w:rsidR="005E482B" w:rsidRDefault="005E482B" w:rsidP="005E482B">
      <w:pPr>
        <w:pStyle w:val="ListParagraph"/>
        <w:numPr>
          <w:ilvl w:val="0"/>
          <w:numId w:val="29"/>
        </w:numPr>
      </w:pPr>
      <w:r w:rsidRPr="0097081C">
        <w:rPr>
          <w:b/>
        </w:rPr>
        <w:t>Schedule C: Miscellaneous fees and charges: Precinct charge</w:t>
      </w:r>
      <w:r>
        <w:t xml:space="preserve"> – this contains the precinct charge for the proposed Water and Sewerage Capital Contribution Code, and is only distinguished from Schedule B for reason of timing.</w:t>
      </w:r>
    </w:p>
    <w:p w:rsidR="005E482B" w:rsidRDefault="00555188" w:rsidP="005E482B">
      <w:r>
        <w:t xml:space="preserve">The proposed changes to the schedule of charges </w:t>
      </w:r>
      <w:r w:rsidR="007E49F1">
        <w:t xml:space="preserve">associated with Schedule A and Schedule B </w:t>
      </w:r>
      <w:r>
        <w:t xml:space="preserve">do </w:t>
      </w:r>
      <w:r w:rsidR="005E482B">
        <w:t xml:space="preserve">not </w:t>
      </w:r>
      <w:r>
        <w:t xml:space="preserve">have any implications for the final outcome or the maximum </w:t>
      </w:r>
      <w:r w:rsidR="005E482B">
        <w:t>prices determined by the Commission.</w:t>
      </w:r>
      <w:r w:rsidR="007E49F1">
        <w:t xml:space="preserve"> The Commission believes that Icon Water’s proposed sub-schedule differentiation improves the degree to which pricing information is accessible and comprehensible, and has updated its </w:t>
      </w:r>
      <w:r w:rsidR="00417AD8">
        <w:t xml:space="preserve">Standard Water and Sewerage Services Charges Schedule and Miscellaneous Fees and Charges Schedule </w:t>
      </w:r>
      <w:r w:rsidR="007E49F1">
        <w:t>accordingly</w:t>
      </w:r>
    </w:p>
    <w:p w:rsidR="005E482B" w:rsidRDefault="005E482B" w:rsidP="005E482B">
      <w:r>
        <w:t>The schedule</w:t>
      </w:r>
      <w:r w:rsidR="00555188">
        <w:t>s</w:t>
      </w:r>
      <w:r>
        <w:t xml:space="preserve"> below represent </w:t>
      </w:r>
      <w:r w:rsidR="00CE6712">
        <w:t xml:space="preserve">the charges </w:t>
      </w:r>
      <w:r w:rsidR="00555188">
        <w:t xml:space="preserve">included </w:t>
      </w:r>
      <w:r w:rsidR="00CE6712">
        <w:t xml:space="preserve">in </w:t>
      </w:r>
      <w:r>
        <w:t>Schedule A and Schedule B.</w:t>
      </w:r>
      <w:r w:rsidRPr="005E482B">
        <w:t xml:space="preserve"> </w:t>
      </w:r>
      <w:r>
        <w:t>The Commission is yet to consider the proposed water and sewerage capital contribution code, and therefore Schedule C charges are not reported here.</w:t>
      </w:r>
    </w:p>
    <w:p w:rsidR="005E482B" w:rsidRDefault="005E482B" w:rsidP="0097081C">
      <w:r>
        <w:t xml:space="preserve"> </w:t>
      </w:r>
    </w:p>
    <w:p w:rsidR="00AD30EB" w:rsidRDefault="00AD30EB">
      <w:pPr>
        <w:spacing w:after="0" w:line="240" w:lineRule="auto"/>
      </w:pPr>
    </w:p>
    <w:p w:rsidR="00A769E8" w:rsidRDefault="00A769E8">
      <w:pPr>
        <w:spacing w:after="0" w:line="240" w:lineRule="auto"/>
        <w:sectPr w:rsidR="00A769E8" w:rsidSect="00FD0141">
          <w:headerReference w:type="even" r:id="rId35"/>
          <w:headerReference w:type="default" r:id="rId36"/>
          <w:endnotePr>
            <w:numFmt w:val="decimal"/>
          </w:endnotePr>
          <w:type w:val="oddPage"/>
          <w:pgSz w:w="11907" w:h="16840" w:code="9"/>
          <w:pgMar w:top="2268" w:right="2098" w:bottom="1701" w:left="2098" w:header="578" w:footer="578" w:gutter="0"/>
          <w:cols w:space="720"/>
          <w:docGrid w:linePitch="360"/>
        </w:sectPr>
      </w:pPr>
    </w:p>
    <w:p w:rsidR="007B1435" w:rsidRDefault="00A769E8" w:rsidP="00395D87">
      <w:r w:rsidRPr="00A769E8">
        <w:rPr>
          <w:noProof/>
          <w:lang w:val="en-AU" w:eastAsia="en-AU"/>
        </w:rPr>
        <w:lastRenderedPageBreak/>
        <w:drawing>
          <wp:inline distT="0" distB="0" distL="0" distR="0">
            <wp:extent cx="5264648" cy="37839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64648" cy="3783965"/>
                    </a:xfrm>
                    <a:prstGeom prst="rect">
                      <a:avLst/>
                    </a:prstGeom>
                    <a:noFill/>
                    <a:ln>
                      <a:noFill/>
                    </a:ln>
                  </pic:spPr>
                </pic:pic>
              </a:graphicData>
            </a:graphic>
          </wp:inline>
        </w:drawing>
      </w:r>
    </w:p>
    <w:p w:rsidR="007B1435" w:rsidRDefault="00A769E8" w:rsidP="00395D87">
      <w:r w:rsidRPr="00A769E8">
        <w:rPr>
          <w:noProof/>
          <w:lang w:val="en-AU" w:eastAsia="en-AU"/>
        </w:rPr>
        <w:drawing>
          <wp:inline distT="0" distB="0" distL="0" distR="0">
            <wp:extent cx="5273040" cy="2696845"/>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3849" cy="2697259"/>
                    </a:xfrm>
                    <a:prstGeom prst="rect">
                      <a:avLst/>
                    </a:prstGeom>
                    <a:noFill/>
                    <a:ln>
                      <a:noFill/>
                    </a:ln>
                  </pic:spPr>
                </pic:pic>
              </a:graphicData>
            </a:graphic>
          </wp:inline>
        </w:drawing>
      </w:r>
    </w:p>
    <w:p w:rsidR="00395D87" w:rsidRDefault="00395D87" w:rsidP="00395D87"/>
    <w:p w:rsidR="00395D87" w:rsidRDefault="00A769E8" w:rsidP="00395D87">
      <w:r w:rsidRPr="00A769E8">
        <w:rPr>
          <w:noProof/>
          <w:lang w:val="en-AU" w:eastAsia="en-AU"/>
        </w:rPr>
        <w:lastRenderedPageBreak/>
        <w:drawing>
          <wp:inline distT="0" distB="0" distL="0" distR="0">
            <wp:extent cx="5265420" cy="3054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66142" cy="3055404"/>
                    </a:xfrm>
                    <a:prstGeom prst="rect">
                      <a:avLst/>
                    </a:prstGeom>
                    <a:noFill/>
                    <a:ln>
                      <a:noFill/>
                    </a:ln>
                  </pic:spPr>
                </pic:pic>
              </a:graphicData>
            </a:graphic>
          </wp:inline>
        </w:drawing>
      </w:r>
    </w:p>
    <w:p w:rsidR="00B77B8F" w:rsidRDefault="00B77B8F" w:rsidP="00387132"/>
    <w:p w:rsidR="00012BC9" w:rsidRDefault="00A769E8" w:rsidP="00387132">
      <w:r w:rsidRPr="00A769E8">
        <w:rPr>
          <w:noProof/>
          <w:lang w:val="en-AU" w:eastAsia="en-AU"/>
        </w:rPr>
        <w:drawing>
          <wp:inline distT="0" distB="0" distL="0" distR="0">
            <wp:extent cx="5242560" cy="1607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3892" cy="1608229"/>
                    </a:xfrm>
                    <a:prstGeom prst="rect">
                      <a:avLst/>
                    </a:prstGeom>
                    <a:noFill/>
                    <a:ln>
                      <a:noFill/>
                    </a:ln>
                  </pic:spPr>
                </pic:pic>
              </a:graphicData>
            </a:graphic>
          </wp:inline>
        </w:drawing>
      </w:r>
    </w:p>
    <w:p w:rsidR="00012BC9" w:rsidRDefault="00012BC9" w:rsidP="00387132"/>
    <w:p w:rsidR="00012BC9" w:rsidRDefault="00A769E8" w:rsidP="00387132">
      <w:r w:rsidRPr="00A769E8">
        <w:rPr>
          <w:noProof/>
          <w:lang w:val="en-AU" w:eastAsia="en-AU"/>
        </w:rPr>
        <w:drawing>
          <wp:inline distT="0" distB="0" distL="0" distR="0">
            <wp:extent cx="5234940" cy="1217295"/>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36929" cy="1217758"/>
                    </a:xfrm>
                    <a:prstGeom prst="rect">
                      <a:avLst/>
                    </a:prstGeom>
                    <a:noFill/>
                    <a:ln>
                      <a:noFill/>
                    </a:ln>
                  </pic:spPr>
                </pic:pic>
              </a:graphicData>
            </a:graphic>
          </wp:inline>
        </w:drawing>
      </w:r>
    </w:p>
    <w:p w:rsidR="00012BC9" w:rsidRDefault="00012BC9" w:rsidP="00387132"/>
    <w:p w:rsidR="00012BC9" w:rsidRDefault="00795FA5" w:rsidP="00387132">
      <w:r>
        <w:rPr>
          <w:noProof/>
          <w:lang w:val="en-AU" w:eastAsia="en-AU"/>
        </w:rPr>
        <w:lastRenderedPageBreak/>
        <w:drawing>
          <wp:inline distT="0" distB="0" distL="0" distR="0" wp14:anchorId="3F0697D5" wp14:editId="243D8FAF">
            <wp:extent cx="5334000" cy="157439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62344" cy="1582764"/>
                    </a:xfrm>
                    <a:prstGeom prst="rect">
                      <a:avLst/>
                    </a:prstGeom>
                  </pic:spPr>
                </pic:pic>
              </a:graphicData>
            </a:graphic>
          </wp:inline>
        </w:drawing>
      </w:r>
    </w:p>
    <w:p w:rsidR="00012BC9" w:rsidRDefault="00012BC9" w:rsidP="00387132"/>
    <w:p w:rsidR="00012BC9" w:rsidRDefault="00A769E8" w:rsidP="00387132">
      <w:r w:rsidRPr="00A769E8">
        <w:rPr>
          <w:noProof/>
          <w:lang w:val="en-AU" w:eastAsia="en-AU"/>
        </w:rPr>
        <w:drawing>
          <wp:inline distT="0" distB="0" distL="0" distR="0">
            <wp:extent cx="5334000" cy="1299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5220" cy="1300142"/>
                    </a:xfrm>
                    <a:prstGeom prst="rect">
                      <a:avLst/>
                    </a:prstGeom>
                    <a:noFill/>
                    <a:ln>
                      <a:noFill/>
                    </a:ln>
                  </pic:spPr>
                </pic:pic>
              </a:graphicData>
            </a:graphic>
          </wp:inline>
        </w:drawing>
      </w:r>
    </w:p>
    <w:p w:rsidR="00012BC9" w:rsidRDefault="00174707" w:rsidP="00387132">
      <w:r>
        <w:rPr>
          <w:noProof/>
          <w:lang w:val="en-AU" w:eastAsia="en-AU"/>
        </w:rPr>
        <w:drawing>
          <wp:inline distT="0" distB="0" distL="0" distR="0" wp14:anchorId="2100F09E" wp14:editId="5BD8FD69">
            <wp:extent cx="5316467" cy="166919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46324" cy="1678570"/>
                    </a:xfrm>
                    <a:prstGeom prst="rect">
                      <a:avLst/>
                    </a:prstGeom>
                  </pic:spPr>
                </pic:pic>
              </a:graphicData>
            </a:graphic>
          </wp:inline>
        </w:drawing>
      </w:r>
    </w:p>
    <w:p w:rsidR="00012BC9" w:rsidRDefault="005C07F8" w:rsidP="00387132">
      <w:r w:rsidRPr="005C07F8">
        <w:lastRenderedPageBreak/>
        <w:drawing>
          <wp:inline distT="0" distB="0" distL="0" distR="0">
            <wp:extent cx="4896485" cy="4855318"/>
            <wp:effectExtent l="19050" t="19050" r="1841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6485" cy="4855318"/>
                    </a:xfrm>
                    <a:prstGeom prst="rect">
                      <a:avLst/>
                    </a:prstGeom>
                    <a:noFill/>
                    <a:ln w="12700">
                      <a:solidFill>
                        <a:srgbClr val="061096"/>
                      </a:solidFill>
                    </a:ln>
                  </pic:spPr>
                </pic:pic>
              </a:graphicData>
            </a:graphic>
          </wp:inline>
        </w:drawing>
      </w:r>
    </w:p>
    <w:p w:rsidR="00012BC9" w:rsidRDefault="00186DCC" w:rsidP="00387132">
      <w:r w:rsidRPr="00186DCC">
        <w:rPr>
          <w:noProof/>
          <w:lang w:val="en-AU" w:eastAsia="en-AU"/>
        </w:rPr>
        <w:lastRenderedPageBreak/>
        <w:drawing>
          <wp:inline distT="0" distB="0" distL="0" distR="0">
            <wp:extent cx="4896485" cy="79891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96485" cy="7989146"/>
                    </a:xfrm>
                    <a:prstGeom prst="rect">
                      <a:avLst/>
                    </a:prstGeom>
                    <a:noFill/>
                    <a:ln>
                      <a:noFill/>
                    </a:ln>
                  </pic:spPr>
                </pic:pic>
              </a:graphicData>
            </a:graphic>
          </wp:inline>
        </w:drawing>
      </w:r>
    </w:p>
    <w:p w:rsidR="00012BC9" w:rsidRDefault="00186DCC" w:rsidP="00387132">
      <w:r w:rsidRPr="00186DCC">
        <w:rPr>
          <w:noProof/>
          <w:lang w:val="en-AU" w:eastAsia="en-AU"/>
        </w:rPr>
        <w:lastRenderedPageBreak/>
        <w:drawing>
          <wp:inline distT="0" distB="0" distL="0" distR="0">
            <wp:extent cx="4896485" cy="16607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96485" cy="1660721"/>
                    </a:xfrm>
                    <a:prstGeom prst="rect">
                      <a:avLst/>
                    </a:prstGeom>
                    <a:noFill/>
                    <a:ln>
                      <a:noFill/>
                    </a:ln>
                  </pic:spPr>
                </pic:pic>
              </a:graphicData>
            </a:graphic>
          </wp:inline>
        </w:drawing>
      </w:r>
    </w:p>
    <w:p w:rsidR="00012BC9" w:rsidRDefault="00174707" w:rsidP="00387132">
      <w:r>
        <w:rPr>
          <w:noProof/>
          <w:lang w:val="en-AU" w:eastAsia="en-AU"/>
        </w:rPr>
        <w:drawing>
          <wp:inline distT="0" distB="0" distL="0" distR="0" wp14:anchorId="364492A7" wp14:editId="7D47DC57">
            <wp:extent cx="4896485" cy="16351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96485" cy="1635125"/>
                    </a:xfrm>
                    <a:prstGeom prst="rect">
                      <a:avLst/>
                    </a:prstGeom>
                  </pic:spPr>
                </pic:pic>
              </a:graphicData>
            </a:graphic>
          </wp:inline>
        </w:drawing>
      </w:r>
    </w:p>
    <w:p w:rsidR="00174707" w:rsidRDefault="00174707" w:rsidP="00387132"/>
    <w:p w:rsidR="00174707" w:rsidRDefault="00174707" w:rsidP="00387132"/>
    <w:p w:rsidR="00012BC9" w:rsidRDefault="00012BC9" w:rsidP="00387132">
      <w:pPr>
        <w:sectPr w:rsidR="00012BC9" w:rsidSect="00A704CD">
          <w:headerReference w:type="even" r:id="rId49"/>
          <w:headerReference w:type="default" r:id="rId50"/>
          <w:endnotePr>
            <w:numFmt w:val="decimal"/>
          </w:endnotePr>
          <w:type w:val="continuous"/>
          <w:pgSz w:w="11907" w:h="16840" w:code="9"/>
          <w:pgMar w:top="2268" w:right="2098" w:bottom="1701" w:left="2098" w:header="578" w:footer="578" w:gutter="0"/>
          <w:cols w:space="720"/>
          <w:docGrid w:linePitch="360"/>
        </w:sectPr>
      </w:pPr>
    </w:p>
    <w:p w:rsidR="008C4D2D" w:rsidRDefault="007A1FA7" w:rsidP="002D5017">
      <w:pPr>
        <w:pStyle w:val="Heading1a"/>
      </w:pPr>
      <w:bookmarkStart w:id="116" w:name="Abbreviations_and_acronyms"/>
      <w:bookmarkStart w:id="117" w:name="_Toc483834475"/>
      <w:r w:rsidRPr="002E2FD3">
        <w:lastRenderedPageBreak/>
        <w:t>Abbreviations and acronyms</w:t>
      </w:r>
      <w:bookmarkEnd w:id="114"/>
      <w:bookmarkEnd w:id="116"/>
      <w:bookmarkEnd w:id="117"/>
    </w:p>
    <w:p w:rsidR="008C4D2D" w:rsidRDefault="008C4D2D" w:rsidP="008C4D2D">
      <w:pPr>
        <w:sectPr w:rsidR="008C4D2D" w:rsidSect="00FD0141">
          <w:headerReference w:type="even" r:id="rId51"/>
          <w:headerReference w:type="default" r:id="rId52"/>
          <w:endnotePr>
            <w:numFmt w:val="decimal"/>
          </w:endnotePr>
          <w:type w:val="oddPage"/>
          <w:pgSz w:w="11907" w:h="16840" w:code="9"/>
          <w:pgMar w:top="2268" w:right="2098" w:bottom="1701" w:left="2098" w:header="578" w:footer="578" w:gutter="0"/>
          <w:cols w:space="720"/>
          <w:docGrid w:linePitch="360"/>
        </w:sectPr>
      </w:pPr>
    </w:p>
    <w:tbl>
      <w:tblPr>
        <w:tblW w:w="7143" w:type="dxa"/>
        <w:shd w:val="clear" w:color="auto" w:fill="FFFFFF" w:themeFill="background1"/>
        <w:tblLayout w:type="fixed"/>
        <w:tblLook w:val="01E0" w:firstRow="1" w:lastRow="1" w:firstColumn="1" w:lastColumn="1" w:noHBand="0" w:noVBand="0"/>
      </w:tblPr>
      <w:tblGrid>
        <w:gridCol w:w="1615"/>
        <w:gridCol w:w="5528"/>
      </w:tblGrid>
      <w:tr w:rsidR="00357D8B" w:rsidRPr="007976E2" w:rsidTr="00651808">
        <w:trPr>
          <w:trHeight w:val="284"/>
        </w:trPr>
        <w:tc>
          <w:tcPr>
            <w:tcW w:w="1615" w:type="dxa"/>
            <w:shd w:val="clear" w:color="auto" w:fill="FFFFFF" w:themeFill="background1"/>
          </w:tcPr>
          <w:p w:rsidR="00357D8B" w:rsidRPr="005B6158" w:rsidRDefault="00357D8B" w:rsidP="00C201C9">
            <w:r w:rsidRPr="007976E2">
              <w:t>Commission</w:t>
            </w:r>
          </w:p>
        </w:tc>
        <w:tc>
          <w:tcPr>
            <w:tcW w:w="5528" w:type="dxa"/>
            <w:shd w:val="clear" w:color="auto" w:fill="FFFFFF" w:themeFill="background1"/>
          </w:tcPr>
          <w:p w:rsidR="00357D8B" w:rsidRPr="005B6158" w:rsidRDefault="00357D8B" w:rsidP="00C201C9">
            <w:r w:rsidRPr="007976E2">
              <w:t>Independent Competition and Regulatory Commission</w:t>
            </w:r>
          </w:p>
        </w:tc>
      </w:tr>
      <w:tr w:rsidR="00357D8B" w:rsidRPr="007976E2" w:rsidTr="00651808">
        <w:trPr>
          <w:trHeight w:val="284"/>
        </w:trPr>
        <w:tc>
          <w:tcPr>
            <w:tcW w:w="1615" w:type="dxa"/>
            <w:shd w:val="clear" w:color="auto" w:fill="FFFFFF" w:themeFill="background1"/>
          </w:tcPr>
          <w:p w:rsidR="00357D8B" w:rsidRPr="005B6158" w:rsidRDefault="00357D8B" w:rsidP="00C201C9">
            <w:r w:rsidRPr="007976E2">
              <w:t>CPI</w:t>
            </w:r>
          </w:p>
        </w:tc>
        <w:tc>
          <w:tcPr>
            <w:tcW w:w="5528" w:type="dxa"/>
            <w:shd w:val="clear" w:color="auto" w:fill="FFFFFF" w:themeFill="background1"/>
          </w:tcPr>
          <w:p w:rsidR="00357D8B" w:rsidRPr="005B6158" w:rsidRDefault="00357D8B" w:rsidP="00C201C9">
            <w:r>
              <w:t>C</w:t>
            </w:r>
            <w:r w:rsidRPr="007976E2">
              <w:t>onsumer price index</w:t>
            </w:r>
          </w:p>
        </w:tc>
      </w:tr>
      <w:tr w:rsidR="000C3EF1" w:rsidRPr="007976E2" w:rsidTr="00651808">
        <w:trPr>
          <w:trHeight w:val="284"/>
        </w:trPr>
        <w:tc>
          <w:tcPr>
            <w:tcW w:w="1615" w:type="dxa"/>
            <w:shd w:val="clear" w:color="auto" w:fill="FFFFFF" w:themeFill="background1"/>
          </w:tcPr>
          <w:p w:rsidR="000C3EF1" w:rsidRPr="007976E2" w:rsidRDefault="000C3EF1" w:rsidP="00C201C9">
            <w:r>
              <w:t>GST</w:t>
            </w:r>
          </w:p>
        </w:tc>
        <w:tc>
          <w:tcPr>
            <w:tcW w:w="5528" w:type="dxa"/>
            <w:shd w:val="clear" w:color="auto" w:fill="FFFFFF" w:themeFill="background1"/>
          </w:tcPr>
          <w:p w:rsidR="000C3EF1" w:rsidRDefault="000C3EF1" w:rsidP="00C201C9">
            <w:r>
              <w:t>Goods and services tax</w:t>
            </w:r>
          </w:p>
        </w:tc>
      </w:tr>
      <w:tr w:rsidR="00357D8B" w:rsidRPr="007976E2" w:rsidTr="00651808">
        <w:trPr>
          <w:trHeight w:val="284"/>
        </w:trPr>
        <w:tc>
          <w:tcPr>
            <w:tcW w:w="1615" w:type="dxa"/>
            <w:shd w:val="clear" w:color="auto" w:fill="FFFFFF" w:themeFill="background1"/>
          </w:tcPr>
          <w:p w:rsidR="00357D8B" w:rsidRPr="005B6158" w:rsidRDefault="00357D8B" w:rsidP="00C201C9">
            <w:r w:rsidRPr="007976E2">
              <w:t>ICRC</w:t>
            </w:r>
          </w:p>
        </w:tc>
        <w:tc>
          <w:tcPr>
            <w:tcW w:w="5528" w:type="dxa"/>
            <w:shd w:val="clear" w:color="auto" w:fill="FFFFFF" w:themeFill="background1"/>
          </w:tcPr>
          <w:p w:rsidR="00357D8B" w:rsidRPr="005B6158" w:rsidRDefault="00357D8B" w:rsidP="00C201C9">
            <w:r w:rsidRPr="007976E2">
              <w:t>Independent Competition and Regulatory Commission</w:t>
            </w:r>
          </w:p>
        </w:tc>
      </w:tr>
      <w:tr w:rsidR="00357D8B" w:rsidRPr="007976E2" w:rsidTr="00651808">
        <w:trPr>
          <w:trHeight w:val="284"/>
        </w:trPr>
        <w:tc>
          <w:tcPr>
            <w:tcW w:w="1615" w:type="dxa"/>
            <w:shd w:val="clear" w:color="auto" w:fill="FFFFFF" w:themeFill="background1"/>
          </w:tcPr>
          <w:p w:rsidR="00357D8B" w:rsidRPr="005B6158" w:rsidRDefault="00357D8B" w:rsidP="00C201C9">
            <w:r w:rsidRPr="007976E2">
              <w:t>ICRC Act</w:t>
            </w:r>
          </w:p>
        </w:tc>
        <w:tc>
          <w:tcPr>
            <w:tcW w:w="5528" w:type="dxa"/>
            <w:shd w:val="clear" w:color="auto" w:fill="FFFFFF" w:themeFill="background1"/>
          </w:tcPr>
          <w:p w:rsidR="00357D8B" w:rsidRPr="005B6158" w:rsidRDefault="00357D8B" w:rsidP="00C201C9">
            <w:r w:rsidRPr="00D56742">
              <w:rPr>
                <w:rStyle w:val="Italic"/>
              </w:rPr>
              <w:t>Independent Competition and Regulatory Commission Act</w:t>
            </w:r>
            <w:r w:rsidRPr="005B6158">
              <w:t xml:space="preserve"> </w:t>
            </w:r>
            <w:r w:rsidRPr="005B6158">
              <w:rPr>
                <w:rStyle w:val="Italic"/>
              </w:rPr>
              <w:t xml:space="preserve">1997 </w:t>
            </w:r>
            <w:r w:rsidRPr="005B6158">
              <w:t>(ACT)</w:t>
            </w:r>
          </w:p>
        </w:tc>
      </w:tr>
      <w:tr w:rsidR="00357D8B" w:rsidRPr="007976E2" w:rsidTr="00651808">
        <w:trPr>
          <w:trHeight w:val="284"/>
        </w:trPr>
        <w:tc>
          <w:tcPr>
            <w:tcW w:w="1615" w:type="dxa"/>
            <w:shd w:val="clear" w:color="auto" w:fill="FFFFFF" w:themeFill="background1"/>
          </w:tcPr>
          <w:p w:rsidR="00357D8B" w:rsidRDefault="00357D8B" w:rsidP="00C201C9">
            <w:proofErr w:type="spellStart"/>
            <w:r>
              <w:t>kL</w:t>
            </w:r>
            <w:proofErr w:type="spellEnd"/>
          </w:p>
        </w:tc>
        <w:tc>
          <w:tcPr>
            <w:tcW w:w="5528" w:type="dxa"/>
            <w:shd w:val="clear" w:color="auto" w:fill="FFFFFF" w:themeFill="background1"/>
          </w:tcPr>
          <w:p w:rsidR="00357D8B" w:rsidRDefault="00357D8B" w:rsidP="00C201C9">
            <w:r>
              <w:t>kilolitre</w:t>
            </w:r>
          </w:p>
        </w:tc>
      </w:tr>
      <w:tr w:rsidR="00357D8B" w:rsidRPr="007976E2" w:rsidTr="00651808">
        <w:trPr>
          <w:trHeight w:val="284"/>
        </w:trPr>
        <w:tc>
          <w:tcPr>
            <w:tcW w:w="1615" w:type="dxa"/>
            <w:shd w:val="clear" w:color="auto" w:fill="FFFFFF" w:themeFill="background1"/>
          </w:tcPr>
          <w:p w:rsidR="00357D8B" w:rsidRDefault="00651808" w:rsidP="00C201C9">
            <w:r>
              <w:t>price direction</w:t>
            </w:r>
          </w:p>
        </w:tc>
        <w:tc>
          <w:tcPr>
            <w:tcW w:w="5528" w:type="dxa"/>
            <w:shd w:val="clear" w:color="auto" w:fill="FFFFFF" w:themeFill="background1"/>
          </w:tcPr>
          <w:p w:rsidR="00357D8B" w:rsidRDefault="00651808" w:rsidP="00C201C9">
            <w:r w:rsidRPr="000E640D">
              <w:rPr>
                <w:i/>
              </w:rPr>
              <w:t>Substituted Price Direction for Regulated Water and Sewerage Services 1 July 2013 to 30 June 2018</w:t>
            </w:r>
          </w:p>
        </w:tc>
      </w:tr>
      <w:tr w:rsidR="000C3EF1" w:rsidRPr="007976E2" w:rsidTr="00651808">
        <w:trPr>
          <w:trHeight w:val="284"/>
        </w:trPr>
        <w:tc>
          <w:tcPr>
            <w:tcW w:w="1615" w:type="dxa"/>
            <w:shd w:val="clear" w:color="auto" w:fill="FFFFFF" w:themeFill="background1"/>
          </w:tcPr>
          <w:p w:rsidR="000C3EF1" w:rsidRDefault="000C3EF1" w:rsidP="00C201C9">
            <w:r>
              <w:t>SCC</w:t>
            </w:r>
          </w:p>
        </w:tc>
        <w:tc>
          <w:tcPr>
            <w:tcW w:w="5528" w:type="dxa"/>
            <w:shd w:val="clear" w:color="auto" w:fill="FFFFFF" w:themeFill="background1"/>
          </w:tcPr>
          <w:p w:rsidR="000C3EF1" w:rsidRPr="000C3EF1" w:rsidRDefault="000C3EF1" w:rsidP="00C201C9">
            <w:r w:rsidRPr="000C3EF1">
              <w:t xml:space="preserve">Standard </w:t>
            </w:r>
            <w:r>
              <w:t>customer contract</w:t>
            </w:r>
          </w:p>
        </w:tc>
      </w:tr>
      <w:tr w:rsidR="00651808" w:rsidRPr="007976E2" w:rsidTr="00651808">
        <w:trPr>
          <w:trHeight w:val="284"/>
        </w:trPr>
        <w:tc>
          <w:tcPr>
            <w:tcW w:w="1615" w:type="dxa"/>
            <w:shd w:val="clear" w:color="auto" w:fill="FFFFFF" w:themeFill="background1"/>
          </w:tcPr>
          <w:p w:rsidR="00651808" w:rsidRDefault="00651808" w:rsidP="00651808">
            <w:r>
              <w:t>UNFT</w:t>
            </w:r>
          </w:p>
        </w:tc>
        <w:tc>
          <w:tcPr>
            <w:tcW w:w="5528" w:type="dxa"/>
            <w:shd w:val="clear" w:color="auto" w:fill="FFFFFF" w:themeFill="background1"/>
          </w:tcPr>
          <w:p w:rsidR="00651808" w:rsidRDefault="00651808" w:rsidP="00651808">
            <w:r>
              <w:t>Utilities Network Facilities Tax</w:t>
            </w:r>
          </w:p>
        </w:tc>
      </w:tr>
      <w:tr w:rsidR="00651808" w:rsidRPr="007976E2" w:rsidTr="00651808">
        <w:trPr>
          <w:trHeight w:val="284"/>
        </w:trPr>
        <w:tc>
          <w:tcPr>
            <w:tcW w:w="1615" w:type="dxa"/>
            <w:shd w:val="clear" w:color="auto" w:fill="FFFFFF" w:themeFill="background1"/>
          </w:tcPr>
          <w:p w:rsidR="00651808" w:rsidRDefault="00651808" w:rsidP="00651808">
            <w:r>
              <w:t>WAC</w:t>
            </w:r>
          </w:p>
        </w:tc>
        <w:tc>
          <w:tcPr>
            <w:tcW w:w="5528" w:type="dxa"/>
            <w:shd w:val="clear" w:color="auto" w:fill="FFFFFF" w:themeFill="background1"/>
          </w:tcPr>
          <w:p w:rsidR="00651808" w:rsidRDefault="00651808" w:rsidP="00651808">
            <w:r>
              <w:t>Water abstraction charge</w:t>
            </w:r>
          </w:p>
        </w:tc>
      </w:tr>
      <w:tr w:rsidR="00651808" w:rsidRPr="007976E2" w:rsidTr="00651808">
        <w:trPr>
          <w:trHeight w:val="284"/>
        </w:trPr>
        <w:tc>
          <w:tcPr>
            <w:tcW w:w="1615" w:type="dxa"/>
            <w:shd w:val="clear" w:color="auto" w:fill="FFFFFF" w:themeFill="background1"/>
          </w:tcPr>
          <w:p w:rsidR="00651808" w:rsidRDefault="00651808" w:rsidP="00651808"/>
        </w:tc>
        <w:tc>
          <w:tcPr>
            <w:tcW w:w="5528" w:type="dxa"/>
            <w:shd w:val="clear" w:color="auto" w:fill="FFFFFF" w:themeFill="background1"/>
          </w:tcPr>
          <w:p w:rsidR="00651808" w:rsidRDefault="00651808" w:rsidP="00651808"/>
        </w:tc>
      </w:tr>
      <w:tr w:rsidR="00651808" w:rsidRPr="007976E2" w:rsidTr="00651808">
        <w:trPr>
          <w:trHeight w:val="284"/>
        </w:trPr>
        <w:tc>
          <w:tcPr>
            <w:tcW w:w="1615" w:type="dxa"/>
            <w:shd w:val="clear" w:color="auto" w:fill="FFFFFF" w:themeFill="background1"/>
          </w:tcPr>
          <w:p w:rsidR="00651808" w:rsidRPr="005B6158" w:rsidRDefault="00651808" w:rsidP="00651808"/>
        </w:tc>
        <w:tc>
          <w:tcPr>
            <w:tcW w:w="5528" w:type="dxa"/>
            <w:shd w:val="clear" w:color="auto" w:fill="FFFFFF" w:themeFill="background1"/>
          </w:tcPr>
          <w:p w:rsidR="00651808" w:rsidRPr="005B6158" w:rsidRDefault="00651808" w:rsidP="00651808"/>
        </w:tc>
      </w:tr>
      <w:tr w:rsidR="00651808" w:rsidRPr="007976E2" w:rsidTr="00651808">
        <w:trPr>
          <w:trHeight w:val="284"/>
        </w:trPr>
        <w:tc>
          <w:tcPr>
            <w:tcW w:w="1615" w:type="dxa"/>
            <w:shd w:val="clear" w:color="auto" w:fill="FFFFFF" w:themeFill="background1"/>
          </w:tcPr>
          <w:p w:rsidR="00651808" w:rsidRPr="005B6158" w:rsidRDefault="00651808" w:rsidP="00651808"/>
        </w:tc>
        <w:tc>
          <w:tcPr>
            <w:tcW w:w="5528" w:type="dxa"/>
            <w:shd w:val="clear" w:color="auto" w:fill="FFFFFF" w:themeFill="background1"/>
          </w:tcPr>
          <w:p w:rsidR="00651808" w:rsidRPr="005B6158" w:rsidRDefault="00651808" w:rsidP="00651808"/>
        </w:tc>
      </w:tr>
      <w:tr w:rsidR="00651808" w:rsidRPr="007976E2" w:rsidTr="00651808">
        <w:trPr>
          <w:trHeight w:val="284"/>
        </w:trPr>
        <w:tc>
          <w:tcPr>
            <w:tcW w:w="1615" w:type="dxa"/>
            <w:shd w:val="clear" w:color="auto" w:fill="FFFFFF" w:themeFill="background1"/>
          </w:tcPr>
          <w:p w:rsidR="00651808" w:rsidRPr="007976E2" w:rsidRDefault="00651808" w:rsidP="00651808"/>
        </w:tc>
        <w:tc>
          <w:tcPr>
            <w:tcW w:w="5528" w:type="dxa"/>
            <w:shd w:val="clear" w:color="auto" w:fill="FFFFFF" w:themeFill="background1"/>
          </w:tcPr>
          <w:p w:rsidR="00651808" w:rsidRPr="007976E2" w:rsidRDefault="00651808" w:rsidP="00651808"/>
        </w:tc>
      </w:tr>
      <w:tr w:rsidR="00651808" w:rsidRPr="007976E2" w:rsidTr="00651808">
        <w:trPr>
          <w:trHeight w:val="284"/>
        </w:trPr>
        <w:tc>
          <w:tcPr>
            <w:tcW w:w="1615" w:type="dxa"/>
            <w:shd w:val="clear" w:color="auto" w:fill="FFFFFF" w:themeFill="background1"/>
          </w:tcPr>
          <w:p w:rsidR="00651808" w:rsidRPr="005B6158" w:rsidRDefault="00651808" w:rsidP="00651808"/>
        </w:tc>
        <w:tc>
          <w:tcPr>
            <w:tcW w:w="5528" w:type="dxa"/>
            <w:shd w:val="clear" w:color="auto" w:fill="FFFFFF" w:themeFill="background1"/>
          </w:tcPr>
          <w:p w:rsidR="00651808" w:rsidRPr="005B6158" w:rsidRDefault="00651808" w:rsidP="00651808"/>
        </w:tc>
      </w:tr>
      <w:tr w:rsidR="00651808" w:rsidRPr="007976E2" w:rsidTr="00651808">
        <w:trPr>
          <w:trHeight w:val="284"/>
        </w:trPr>
        <w:tc>
          <w:tcPr>
            <w:tcW w:w="1615" w:type="dxa"/>
            <w:shd w:val="clear" w:color="auto" w:fill="FFFFFF" w:themeFill="background1"/>
          </w:tcPr>
          <w:p w:rsidR="00651808" w:rsidRPr="007976E2" w:rsidRDefault="00651808" w:rsidP="00651808"/>
        </w:tc>
        <w:tc>
          <w:tcPr>
            <w:tcW w:w="5528" w:type="dxa"/>
            <w:shd w:val="clear" w:color="auto" w:fill="FFFFFF" w:themeFill="background1"/>
          </w:tcPr>
          <w:p w:rsidR="00651808" w:rsidRPr="007976E2" w:rsidRDefault="00651808" w:rsidP="00651808"/>
        </w:tc>
      </w:tr>
      <w:tr w:rsidR="00651808" w:rsidRPr="007976E2" w:rsidTr="00651808">
        <w:trPr>
          <w:trHeight w:val="284"/>
        </w:trPr>
        <w:tc>
          <w:tcPr>
            <w:tcW w:w="1615" w:type="dxa"/>
            <w:shd w:val="clear" w:color="auto" w:fill="FFFFFF" w:themeFill="background1"/>
          </w:tcPr>
          <w:p w:rsidR="00651808" w:rsidRPr="007976E2" w:rsidRDefault="00651808" w:rsidP="00651808"/>
        </w:tc>
        <w:tc>
          <w:tcPr>
            <w:tcW w:w="5528" w:type="dxa"/>
            <w:shd w:val="clear" w:color="auto" w:fill="FFFFFF" w:themeFill="background1"/>
          </w:tcPr>
          <w:p w:rsidR="00651808" w:rsidRPr="007976E2" w:rsidRDefault="00651808" w:rsidP="00651808"/>
        </w:tc>
      </w:tr>
      <w:tr w:rsidR="00651808" w:rsidRPr="007976E2" w:rsidTr="00651808">
        <w:trPr>
          <w:trHeight w:val="284"/>
        </w:trPr>
        <w:tc>
          <w:tcPr>
            <w:tcW w:w="1615" w:type="dxa"/>
            <w:shd w:val="clear" w:color="auto" w:fill="FFFFFF" w:themeFill="background1"/>
          </w:tcPr>
          <w:p w:rsidR="00651808" w:rsidRPr="005B6158" w:rsidRDefault="00651808" w:rsidP="00651808"/>
        </w:tc>
        <w:tc>
          <w:tcPr>
            <w:tcW w:w="5528" w:type="dxa"/>
            <w:shd w:val="clear" w:color="auto" w:fill="FFFFFF" w:themeFill="background1"/>
          </w:tcPr>
          <w:p w:rsidR="00651808" w:rsidRPr="005B6158" w:rsidRDefault="00651808" w:rsidP="00651808"/>
        </w:tc>
      </w:tr>
    </w:tbl>
    <w:p w:rsidR="0074524D" w:rsidRDefault="0074524D" w:rsidP="00816968"/>
    <w:p w:rsidR="0074524D" w:rsidRDefault="0074524D" w:rsidP="00816968"/>
    <w:p w:rsidR="0074524D" w:rsidRDefault="0074524D" w:rsidP="00816968"/>
    <w:p w:rsidR="0074524D" w:rsidRDefault="0074524D" w:rsidP="00816968"/>
    <w:p w:rsidR="0074524D" w:rsidRDefault="0074524D" w:rsidP="00816968"/>
    <w:p w:rsidR="00E82CAF" w:rsidRDefault="00E82CAF" w:rsidP="00A50050">
      <w:pPr>
        <w:ind w:left="567" w:hanging="567"/>
        <w:sectPr w:rsidR="00E82CAF" w:rsidSect="008C4D2D">
          <w:headerReference w:type="even" r:id="rId53"/>
          <w:headerReference w:type="default" r:id="rId54"/>
          <w:endnotePr>
            <w:numFmt w:val="decimal"/>
          </w:endnotePr>
          <w:type w:val="continuous"/>
          <w:pgSz w:w="11907" w:h="16840" w:code="9"/>
          <w:pgMar w:top="2268" w:right="2098" w:bottom="1701" w:left="2098" w:header="578" w:footer="578" w:gutter="0"/>
          <w:cols w:space="720"/>
          <w:docGrid w:linePitch="360"/>
        </w:sectPr>
      </w:pPr>
    </w:p>
    <w:p w:rsidR="008C4D2D" w:rsidRDefault="007A1FA7" w:rsidP="002F06BC">
      <w:pPr>
        <w:pStyle w:val="Heading1a"/>
        <w:sectPr w:rsidR="008C4D2D" w:rsidSect="00FD0141">
          <w:headerReference w:type="even" r:id="rId55"/>
          <w:headerReference w:type="default" r:id="rId56"/>
          <w:endnotePr>
            <w:numFmt w:val="decimal"/>
          </w:endnotePr>
          <w:type w:val="oddPage"/>
          <w:pgSz w:w="11907" w:h="16840" w:code="9"/>
          <w:pgMar w:top="2268" w:right="2098" w:bottom="1701" w:left="2098" w:header="578" w:footer="578" w:gutter="0"/>
          <w:cols w:space="720"/>
          <w:docGrid w:linePitch="360"/>
        </w:sectPr>
      </w:pPr>
      <w:bookmarkStart w:id="118" w:name="References"/>
      <w:bookmarkStart w:id="119" w:name="_Toc483834476"/>
      <w:r w:rsidRPr="002E2FD3">
        <w:lastRenderedPageBreak/>
        <w:t>References</w:t>
      </w:r>
      <w:bookmarkEnd w:id="118"/>
      <w:bookmarkEnd w:id="119"/>
    </w:p>
    <w:p w:rsidR="001172BD" w:rsidRPr="001172BD" w:rsidRDefault="001172BD" w:rsidP="00B44BC9">
      <w:pPr>
        <w:pStyle w:val="References"/>
      </w:pPr>
      <w:bookmarkStart w:id="120" w:name="_ENREF_21"/>
      <w:r>
        <w:t xml:space="preserve">Icon Water (2017) </w:t>
      </w:r>
      <w:r>
        <w:rPr>
          <w:i/>
        </w:rPr>
        <w:t xml:space="preserve">Regulated water and sewerage services price adjustment for </w:t>
      </w:r>
      <w:r>
        <w:rPr>
          <w:i/>
        </w:rPr>
        <w:br/>
        <w:t>2017–18: Pas</w:t>
      </w:r>
      <w:r w:rsidR="00555FBD">
        <w:rPr>
          <w:i/>
        </w:rPr>
        <w:t>s</w:t>
      </w:r>
      <w:r>
        <w:rPr>
          <w:i/>
        </w:rPr>
        <w:t xml:space="preserve">-through submission and new miscellaneous service charge application, </w:t>
      </w:r>
      <w:r>
        <w:t>Icon Water, Canberra</w:t>
      </w:r>
      <w:r w:rsidR="00555FBD">
        <w:t>.</w:t>
      </w:r>
    </w:p>
    <w:p w:rsidR="00B44BC9" w:rsidRPr="009B4AFC" w:rsidRDefault="00DF3E19" w:rsidP="00B44BC9">
      <w:pPr>
        <w:pStyle w:val="References"/>
      </w:pPr>
      <w:r>
        <w:t>ICRC</w:t>
      </w:r>
      <w:r w:rsidR="00B44BC9" w:rsidRPr="009B4AFC">
        <w:t xml:space="preserve"> (201</w:t>
      </w:r>
      <w:r w:rsidR="006277FC">
        <w:t>5</w:t>
      </w:r>
      <w:r w:rsidR="00B44BC9" w:rsidRPr="009B4AFC">
        <w:t xml:space="preserve">) </w:t>
      </w:r>
      <w:bookmarkEnd w:id="120"/>
      <w:r w:rsidR="00BF7180">
        <w:rPr>
          <w:i/>
        </w:rPr>
        <w:t>Statement on Commission-initiated pass-through events</w:t>
      </w:r>
      <w:r w:rsidR="00BF7180" w:rsidRPr="00BF7180">
        <w:t>.</w:t>
      </w:r>
      <w:r w:rsidR="00BF7180">
        <w:rPr>
          <w:i/>
        </w:rPr>
        <w:t xml:space="preserve"> </w:t>
      </w:r>
      <w:r w:rsidR="006277FC" w:rsidRPr="009B4AFC">
        <w:t>Independent Competition and Regulatory Commission, Canberra.</w:t>
      </w:r>
      <w:r w:rsidR="006277FC">
        <w:t xml:space="preserve"> </w:t>
      </w:r>
      <w:r w:rsidR="00BF7180">
        <w:t xml:space="preserve">May </w:t>
      </w:r>
      <w:r w:rsidR="006277FC">
        <w:t>2015.</w:t>
      </w:r>
    </w:p>
    <w:p w:rsidR="00F532E8" w:rsidRDefault="00F532E8" w:rsidP="003F5C05">
      <w:pPr>
        <w:pStyle w:val="References"/>
      </w:pPr>
      <w:r>
        <w:t>Industry Panel</w:t>
      </w:r>
      <w:r w:rsidRPr="009B4AFC">
        <w:t xml:space="preserve"> (201</w:t>
      </w:r>
      <w:r w:rsidR="002A713C">
        <w:t>5</w:t>
      </w:r>
      <w:r w:rsidR="007971EA">
        <w:t>a</w:t>
      </w:r>
      <w:r w:rsidRPr="009B4AFC">
        <w:t xml:space="preserve">) </w:t>
      </w:r>
      <w:r w:rsidR="002A713C">
        <w:rPr>
          <w:i/>
        </w:rPr>
        <w:t>Substituted Price Direction: Regulated water and sewerage services 1 July 2013 to 30 June 2018</w:t>
      </w:r>
      <w:r>
        <w:rPr>
          <w:i/>
        </w:rPr>
        <w:t xml:space="preserve"> 2013,</w:t>
      </w:r>
      <w:r w:rsidRPr="009B4AFC">
        <w:t xml:space="preserve"> In</w:t>
      </w:r>
      <w:r>
        <w:t xml:space="preserve">dustry Panel, </w:t>
      </w:r>
      <w:r w:rsidRPr="009B4AFC">
        <w:t>Canberra.</w:t>
      </w:r>
      <w:r>
        <w:t xml:space="preserve"> </w:t>
      </w:r>
      <w:r w:rsidR="002A713C">
        <w:t xml:space="preserve">April </w:t>
      </w:r>
      <w:r>
        <w:t>201</w:t>
      </w:r>
      <w:r w:rsidR="002A713C">
        <w:t>5</w:t>
      </w:r>
      <w:r>
        <w:t>.</w:t>
      </w:r>
    </w:p>
    <w:p w:rsidR="00C40C9D" w:rsidRDefault="00C40C9D" w:rsidP="00C40C9D">
      <w:pPr>
        <w:pStyle w:val="References"/>
      </w:pPr>
      <w:r>
        <w:t>Industry Panel</w:t>
      </w:r>
      <w:r w:rsidRPr="009B4AFC">
        <w:t xml:space="preserve"> (201</w:t>
      </w:r>
      <w:r>
        <w:t>5</w:t>
      </w:r>
      <w:r w:rsidR="007971EA">
        <w:t>b</w:t>
      </w:r>
      <w:r w:rsidRPr="009B4AFC">
        <w:t xml:space="preserve">) </w:t>
      </w:r>
      <w:r>
        <w:rPr>
          <w:i/>
        </w:rPr>
        <w:t>Review of the Independent Competition and Regulatory Commission’s 2013 Price Direction for regulated water and sewerage services in the ACT: Final report,</w:t>
      </w:r>
      <w:r w:rsidRPr="009B4AFC">
        <w:t xml:space="preserve"> In</w:t>
      </w:r>
      <w:r>
        <w:t xml:space="preserve">dustry Panel, </w:t>
      </w:r>
      <w:r w:rsidRPr="009B4AFC">
        <w:t>Canberra.</w:t>
      </w:r>
      <w:r>
        <w:t xml:space="preserve"> April 2015.</w:t>
      </w:r>
    </w:p>
    <w:p w:rsidR="00C40C9D" w:rsidRDefault="00C40C9D" w:rsidP="003F5C05">
      <w:pPr>
        <w:pStyle w:val="References"/>
      </w:pPr>
    </w:p>
    <w:sectPr w:rsidR="00C40C9D" w:rsidSect="00FD0141">
      <w:headerReference w:type="even" r:id="rId57"/>
      <w:headerReference w:type="default" r:id="rId58"/>
      <w:endnotePr>
        <w:numFmt w:val="decimal"/>
      </w:endnotePr>
      <w:type w:val="continuous"/>
      <w:pgSz w:w="11907" w:h="16840" w:code="9"/>
      <w:pgMar w:top="2268" w:right="2098" w:bottom="1701" w:left="2098" w:header="578" w:footer="5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7B5" w:rsidRDefault="003F07B5" w:rsidP="00474ECC">
      <w:pPr>
        <w:spacing w:after="0" w:line="240" w:lineRule="auto"/>
      </w:pPr>
      <w:r>
        <w:separator/>
      </w:r>
    </w:p>
    <w:p w:rsidR="003F07B5" w:rsidRDefault="003F07B5"/>
  </w:endnote>
  <w:endnote w:type="continuationSeparator" w:id="0">
    <w:p w:rsidR="003F07B5" w:rsidRDefault="003F07B5" w:rsidP="00474ECC">
      <w:pPr>
        <w:spacing w:after="0" w:line="240" w:lineRule="auto"/>
      </w:pPr>
      <w:r>
        <w:continuationSeparator/>
      </w:r>
    </w:p>
    <w:p w:rsidR="003F07B5" w:rsidRDefault="003F07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89"/>
      <w:gridCol w:w="7038"/>
    </w:tblGrid>
    <w:tr w:rsidR="003F07B5" w:rsidTr="00DE64FD">
      <w:tc>
        <w:tcPr>
          <w:tcW w:w="918" w:type="dxa"/>
          <w:vAlign w:val="center"/>
        </w:tcPr>
        <w:p w:rsidR="003F07B5" w:rsidRDefault="003F07B5" w:rsidP="00DE64FD">
          <w:pPr>
            <w:pStyle w:val="Footer"/>
            <w:jc w:val="center"/>
            <w:rPr>
              <w:b/>
              <w:color w:val="4F81BD" w:themeColor="accent1"/>
              <w:sz w:val="32"/>
              <w:szCs w:val="32"/>
            </w:rPr>
          </w:pPr>
          <w:r>
            <w:fldChar w:fldCharType="begin"/>
          </w:r>
          <w:r>
            <w:instrText xml:space="preserve"> PAGE   \* MERGEFORMAT </w:instrText>
          </w:r>
          <w:r>
            <w:fldChar w:fldCharType="separate"/>
          </w:r>
          <w:r w:rsidRPr="00CB1337">
            <w:rPr>
              <w:b/>
              <w:noProof/>
              <w:color w:val="4F81BD" w:themeColor="accent1"/>
              <w:sz w:val="32"/>
              <w:szCs w:val="32"/>
            </w:rPr>
            <w:t>106</w:t>
          </w:r>
          <w:r>
            <w:rPr>
              <w:b/>
              <w:noProof/>
              <w:color w:val="4F81BD" w:themeColor="accent1"/>
              <w:sz w:val="32"/>
              <w:szCs w:val="32"/>
            </w:rPr>
            <w:fldChar w:fldCharType="end"/>
          </w:r>
        </w:p>
      </w:tc>
      <w:tc>
        <w:tcPr>
          <w:tcW w:w="7938" w:type="dxa"/>
          <w:vAlign w:val="center"/>
        </w:tcPr>
        <w:p w:rsidR="003F07B5" w:rsidRDefault="003F07B5" w:rsidP="00DE64FD">
          <w:pPr>
            <w:pStyle w:val="Footer"/>
            <w:ind w:left="-1134"/>
            <w:jc w:val="right"/>
          </w:pPr>
          <w:r>
            <w:rPr>
              <w:noProof/>
              <w:lang w:val="en-AU" w:eastAsia="en-AU"/>
            </w:rPr>
            <mc:AlternateContent>
              <mc:Choice Requires="wps">
                <w:drawing>
                  <wp:anchor distT="0" distB="0" distL="114300" distR="114300" simplePos="0" relativeHeight="251707392" behindDoc="0" locked="0" layoutInCell="1" allowOverlap="1">
                    <wp:simplePos x="0" y="0"/>
                    <wp:positionH relativeFrom="column">
                      <wp:posOffset>-43180</wp:posOffset>
                    </wp:positionH>
                    <wp:positionV relativeFrom="paragraph">
                      <wp:posOffset>40005</wp:posOffset>
                    </wp:positionV>
                    <wp:extent cx="2567940" cy="278130"/>
                    <wp:effectExtent l="0" t="0" r="3810" b="7620"/>
                    <wp:wrapNone/>
                    <wp:docPr id="4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7B5" w:rsidRDefault="003F07B5" w:rsidP="00723FE5">
                                <w:pPr>
                                  <w:pStyle w:val="Footer"/>
                                  <w:ind w:left="-1134"/>
                                  <w:jc w:val="both"/>
                                </w:pPr>
                                <w:r>
                                  <w:fldChar w:fldCharType="begin"/>
                                </w:r>
                                <w:r>
                                  <w:instrText xml:space="preserve"> PAGE </w:instrText>
                                </w:r>
                                <w:r>
                                  <w:fldChar w:fldCharType="separate"/>
                                </w:r>
                                <w:r>
                                  <w:rPr>
                                    <w:noProof/>
                                  </w:rPr>
                                  <w:t>106</w:t>
                                </w:r>
                                <w:r>
                                  <w:rPr>
                                    <w:noProof/>
                                  </w:rPr>
                                  <w:fldChar w:fldCharType="end"/>
                                </w:r>
                                <w:r>
                                  <w:t xml:space="preserve"> —&lt;Insert   </w:t>
                                </w:r>
                                <w:sdt>
                                  <w:sdtPr>
                                    <w:alias w:val="Title"/>
                                    <w:id w:val="1290505120"/>
                                    <w:dataBinding w:prefixMappings="xmlns:ns0='http://purl.org/dc/elements/1.1/' xmlns:ns1='http://schemas.openxmlformats.org/package/2006/metadata/core-properties' " w:xpath="/ns1:coreProperties[1]/ns0:title[1]" w:storeItemID="{6C3C8BC8-F283-45AE-878A-BAB7291924A1}"/>
                                    <w:text/>
                                  </w:sdtPr>
                                  <w:sdtEndPr/>
                                  <w:sdtContent>
                                    <w:r>
                                      <w:rPr>
                                        <w:lang w:val="en-AU"/>
                                      </w:rPr>
                                      <w:t>Outcomes and prospects</w:t>
                                    </w:r>
                                  </w:sdtContent>
                                </w:sdt>
                              </w:p>
                              <w:p w:rsidR="003F07B5" w:rsidRDefault="003F07B5" w:rsidP="00723F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7" o:spid="_x0000_s1027" type="#_x0000_t202" style="position:absolute;left:0;text-align:left;margin-left:-3.4pt;margin-top:3.15pt;width:202.2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HR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" stroked="f">
                    <v:textbox>
                      <w:txbxContent>
                        <w:p w:rsidR="003F07B5" w:rsidRDefault="003F07B5" w:rsidP="00723FE5">
                          <w:pPr>
                            <w:pStyle w:val="Footer"/>
                            <w:ind w:left="-1134"/>
                            <w:jc w:val="both"/>
                          </w:pPr>
                          <w:r>
                            <w:fldChar w:fldCharType="begin"/>
                          </w:r>
                          <w:r>
                            <w:instrText xml:space="preserve"> PAGE </w:instrText>
                          </w:r>
                          <w:r>
                            <w:fldChar w:fldCharType="separate"/>
                          </w:r>
                          <w:r>
                            <w:rPr>
                              <w:noProof/>
                            </w:rPr>
                            <w:t>106</w:t>
                          </w:r>
                          <w:r>
                            <w:rPr>
                              <w:noProof/>
                            </w:rPr>
                            <w:fldChar w:fldCharType="end"/>
                          </w:r>
                          <w:r>
                            <w:t xml:space="preserve"> —&lt;Insert   </w:t>
                          </w:r>
                          <w:sdt>
                            <w:sdtPr>
                              <w:alias w:val="Title"/>
                              <w:id w:val="1290505120"/>
                              <w:dataBinding w:prefixMappings="xmlns:ns0='http://purl.org/dc/elements/1.1/' xmlns:ns1='http://schemas.openxmlformats.org/package/2006/metadata/core-properties' " w:xpath="/ns1:coreProperties[1]/ns0:title[1]" w:storeItemID="{6C3C8BC8-F283-45AE-878A-BAB7291924A1}"/>
                              <w:text/>
                            </w:sdtPr>
                            <w:sdtEndPr/>
                            <w:sdtContent>
                              <w:r>
                                <w:rPr>
                                  <w:lang w:val="en-AU"/>
                                </w:rPr>
                                <w:t>Outcomes and prospects</w:t>
                              </w:r>
                            </w:sdtContent>
                          </w:sdt>
                        </w:p>
                        <w:p w:rsidR="003F07B5" w:rsidRDefault="003F07B5" w:rsidP="00723FE5"/>
                      </w:txbxContent>
                    </v:textbox>
                  </v:shape>
                </w:pict>
              </mc:Fallback>
            </mc:AlternateContent>
          </w:r>
          <w:r w:rsidRPr="00DE64FD">
            <w:rPr>
              <w:noProof/>
              <w:lang w:val="en-AU" w:eastAsia="en-AU"/>
            </w:rPr>
            <w:drawing>
              <wp:inline distT="0" distB="0" distL="0" distR="0">
                <wp:extent cx="1159470" cy="381693"/>
                <wp:effectExtent l="19050" t="0" r="2580" b="0"/>
                <wp:docPr id="22" name="Picture 7" descr="ICRC logo New 2011.jpg"/>
                <wp:cNvGraphicFramePr/>
                <a:graphic xmlns:a="http://schemas.openxmlformats.org/drawingml/2006/main">
                  <a:graphicData uri="http://schemas.openxmlformats.org/drawingml/2006/picture">
                    <pic:pic xmlns:pic="http://schemas.openxmlformats.org/drawingml/2006/picture">
                      <pic:nvPicPr>
                        <pic:cNvPr id="0" name="Picture 0" descr="ICRC logo New 2011.jpg"/>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1157656" cy="381096"/>
                        </a:xfrm>
                        <a:prstGeom prst="rect">
                          <a:avLst/>
                        </a:prstGeom>
                        <a:noFill/>
                        <a:ln w="9525">
                          <a:noFill/>
                          <a:miter lim="800000"/>
                          <a:headEnd/>
                          <a:tailEnd/>
                        </a:ln>
                      </pic:spPr>
                    </pic:pic>
                  </a:graphicData>
                </a:graphic>
              </wp:inline>
            </w:drawing>
          </w:r>
        </w:p>
      </w:tc>
    </w:tr>
  </w:tbl>
  <w:p w:rsidR="003F07B5" w:rsidRDefault="003F07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EF6AF3">
    <w:pPr>
      <w:pStyle w:val="Footer"/>
    </w:pPr>
    <w:r>
      <w:t xml:space="preserve">ICRC </w:t>
    </w:r>
    <w:r>
      <w:tab/>
      <w:t xml:space="preserve">Draft Report — Enlarged Cotter Dam Water Security Project — </w:t>
    </w:r>
    <w:r>
      <w:fldChar w:fldCharType="begin"/>
    </w:r>
    <w:r>
      <w:instrText xml:space="preserve"> PAGE </w:instrText>
    </w:r>
    <w:r>
      <w:fldChar w:fldCharType="separate"/>
    </w:r>
    <w:r>
      <w:rPr>
        <w:noProof/>
      </w:rPr>
      <w:t>i</w:t>
    </w:r>
    <w:r>
      <w:rPr>
        <w:noProof/>
      </w:rPr>
      <w:fldChar w:fldCharType="end"/>
    </w:r>
  </w:p>
  <w:p w:rsidR="003F07B5" w:rsidRDefault="003F07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tyle1"/>
      <w:tblW w:w="7905" w:type="dxa"/>
      <w:tblBorders>
        <w:top w:val="none" w:sz="0" w:space="0" w:color="auto"/>
        <w:bottom w:val="none" w:sz="0" w:space="0" w:color="auto"/>
      </w:tblBorders>
      <w:tblLook w:val="04A0" w:firstRow="1" w:lastRow="0" w:firstColumn="1" w:lastColumn="0" w:noHBand="0" w:noVBand="1"/>
    </w:tblPr>
    <w:tblGrid>
      <w:gridCol w:w="2916"/>
      <w:gridCol w:w="4989"/>
    </w:tblGrid>
    <w:tr w:rsidR="003F07B5" w:rsidRPr="00280AFD" w:rsidTr="00594C5C">
      <w:trPr>
        <w:trHeight w:hRule="exact" w:val="641"/>
      </w:trPr>
      <w:tc>
        <w:tcPr>
          <w:tcW w:w="2916" w:type="dxa"/>
          <w:vAlign w:val="center"/>
        </w:tcPr>
        <w:p w:rsidR="003F07B5" w:rsidRPr="00280AFD" w:rsidRDefault="003F07B5" w:rsidP="00280AFD">
          <w:pPr>
            <w:pStyle w:val="Footer"/>
            <w:tabs>
              <w:tab w:val="clear" w:pos="8732"/>
            </w:tabs>
          </w:pPr>
          <w:r>
            <w:rPr>
              <w:noProof/>
              <w:color w:val="auto"/>
              <w:lang w:val="en-AU" w:eastAsia="en-AU"/>
            </w:rPr>
            <mc:AlternateContent>
              <mc:Choice Requires="wps">
                <w:drawing>
                  <wp:anchor distT="0" distB="0" distL="114300" distR="114300" simplePos="0" relativeHeight="251777024" behindDoc="0" locked="0" layoutInCell="1" allowOverlap="1">
                    <wp:simplePos x="0" y="0"/>
                    <wp:positionH relativeFrom="column">
                      <wp:posOffset>-75565</wp:posOffset>
                    </wp:positionH>
                    <wp:positionV relativeFrom="paragraph">
                      <wp:posOffset>-108585</wp:posOffset>
                    </wp:positionV>
                    <wp:extent cx="5039995" cy="14605"/>
                    <wp:effectExtent l="0" t="0" r="8255" b="4445"/>
                    <wp:wrapNone/>
                    <wp:docPr id="4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s>
                                <a:gs pos="100000">
                                  <a:srgbClr val="FFA12D">
                                    <a:gamma/>
                                    <a:tint val="1058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D0E2A" id="Rectangle 152" o:spid="_x0000_s1026" style="position:absolute;margin-left:-5.95pt;margin-top:-8.55pt;width:396.85pt;height:1.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" fillcolor="#ffa12d" stroked="f">
                    <v:fill color2="#fff5e9" rotate="t" angle="90" focus="100%" type="gradient"/>
                  </v:rect>
                </w:pict>
              </mc:Fallback>
            </mc:AlternateContent>
          </w:r>
          <w:r w:rsidRPr="00280AFD">
            <w:rPr>
              <w:color w:val="000033"/>
            </w:rPr>
            <w:fldChar w:fldCharType="begin"/>
          </w:r>
          <w:r w:rsidRPr="00280AFD">
            <w:rPr>
              <w:color w:val="000033"/>
            </w:rPr>
            <w:instrText xml:space="preserve"> PAGE   \* MERGEFORMAT </w:instrText>
          </w:r>
          <w:r w:rsidRPr="00280AFD">
            <w:rPr>
              <w:color w:val="000033"/>
            </w:rPr>
            <w:fldChar w:fldCharType="separate"/>
          </w:r>
          <w:r w:rsidR="003F60E8" w:rsidRPr="003F60E8">
            <w:rPr>
              <w:b/>
              <w:noProof/>
              <w:color w:val="000033"/>
              <w:sz w:val="32"/>
              <w:szCs w:val="32"/>
            </w:rPr>
            <w:t>16</w:t>
          </w:r>
          <w:r w:rsidRPr="00280AFD">
            <w:rPr>
              <w:b/>
              <w:noProof/>
              <w:color w:val="000033"/>
              <w:sz w:val="32"/>
              <w:szCs w:val="32"/>
            </w:rPr>
            <w:fldChar w:fldCharType="end"/>
          </w:r>
        </w:p>
      </w:tc>
      <w:tc>
        <w:tcPr>
          <w:tcW w:w="4989" w:type="dxa"/>
          <w:vAlign w:val="center"/>
        </w:tcPr>
        <w:p w:rsidR="003F07B5" w:rsidRDefault="003F07B5" w:rsidP="00936F1E">
          <w:pPr>
            <w:pStyle w:val="Footer"/>
            <w:tabs>
              <w:tab w:val="clear" w:pos="8732"/>
            </w:tabs>
            <w:jc w:val="right"/>
          </w:pPr>
          <w:r>
            <w:t>Regulated water and sewerage services</w:t>
          </w:r>
        </w:p>
        <w:p w:rsidR="003F07B5" w:rsidRPr="00280AFD" w:rsidRDefault="003F07B5" w:rsidP="009A3F76">
          <w:pPr>
            <w:pStyle w:val="Footer"/>
            <w:tabs>
              <w:tab w:val="clear" w:pos="8732"/>
            </w:tabs>
            <w:jc w:val="right"/>
            <w:rPr>
              <w:color w:val="000033"/>
            </w:rPr>
          </w:pPr>
          <w:r>
            <w:t>2017</w:t>
          </w:r>
          <w:r>
            <w:sym w:font="Symbol" w:char="F02D"/>
          </w:r>
          <w:r>
            <w:t>18 price adjustment</w:t>
          </w:r>
        </w:p>
      </w:tc>
    </w:tr>
  </w:tbl>
  <w:p w:rsidR="003F07B5" w:rsidRPr="00D5242B" w:rsidRDefault="003F07B5" w:rsidP="00280AFD">
    <w:pPr>
      <w:pStyle w:val="Footer"/>
    </w:pPr>
    <w:r>
      <w:rPr>
        <w:noProof/>
        <w:lang w:val="en-AU" w:eastAsia="en-AU"/>
      </w:rPr>
      <w:drawing>
        <wp:anchor distT="0" distB="0" distL="114300" distR="114300" simplePos="0" relativeHeight="251659264" behindDoc="0" locked="1" layoutInCell="1" allowOverlap="1">
          <wp:simplePos x="0" y="0"/>
          <wp:positionH relativeFrom="column">
            <wp:posOffset>458470</wp:posOffset>
          </wp:positionH>
          <wp:positionV relativeFrom="paragraph">
            <wp:posOffset>-344170</wp:posOffset>
          </wp:positionV>
          <wp:extent cx="1123950" cy="266700"/>
          <wp:effectExtent l="19050" t="0" r="0" b="0"/>
          <wp:wrapNone/>
          <wp:docPr id="3"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tyle1"/>
      <w:tblW w:w="7905" w:type="dxa"/>
      <w:tblBorders>
        <w:top w:val="none" w:sz="0" w:space="0" w:color="auto"/>
        <w:bottom w:val="none" w:sz="0" w:space="0" w:color="auto"/>
      </w:tblBorders>
      <w:tblLook w:val="04A0" w:firstRow="1" w:lastRow="0" w:firstColumn="1" w:lastColumn="0" w:noHBand="0" w:noVBand="1"/>
    </w:tblPr>
    <w:tblGrid>
      <w:gridCol w:w="5070"/>
      <w:gridCol w:w="2835"/>
    </w:tblGrid>
    <w:tr w:rsidR="003F07B5" w:rsidRPr="00280AFD" w:rsidTr="00594C5C">
      <w:trPr>
        <w:trHeight w:hRule="exact" w:val="641"/>
      </w:trPr>
      <w:tc>
        <w:tcPr>
          <w:tcW w:w="5070" w:type="dxa"/>
          <w:vAlign w:val="center"/>
        </w:tcPr>
        <w:p w:rsidR="003F07B5" w:rsidRDefault="003F07B5" w:rsidP="00936F1E">
          <w:pPr>
            <w:pStyle w:val="Footer"/>
            <w:tabs>
              <w:tab w:val="clear" w:pos="8732"/>
            </w:tabs>
          </w:pPr>
          <w:r>
            <w:rPr>
              <w:noProof/>
              <w:color w:val="auto"/>
              <w:lang w:val="en-AU" w:eastAsia="en-AU"/>
            </w:rPr>
            <mc:AlternateContent>
              <mc:Choice Requires="wps">
                <w:drawing>
                  <wp:anchor distT="0" distB="0" distL="114300" distR="114300" simplePos="0" relativeHeight="251773952" behindDoc="0" locked="0" layoutInCell="1" allowOverlap="1">
                    <wp:simplePos x="0" y="0"/>
                    <wp:positionH relativeFrom="column">
                      <wp:posOffset>-80010</wp:posOffset>
                    </wp:positionH>
                    <wp:positionV relativeFrom="paragraph">
                      <wp:posOffset>-81915</wp:posOffset>
                    </wp:positionV>
                    <wp:extent cx="5039995" cy="14605"/>
                    <wp:effectExtent l="0" t="0" r="8255" b="4445"/>
                    <wp:wrapNone/>
                    <wp:docPr id="47"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amma/>
                                    <a:tint val="10588"/>
                                    <a:invGamma/>
                                  </a:srgbClr>
                                </a:gs>
                                <a:gs pos="100000">
                                  <a:srgbClr val="FFA12D"/>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BD7A8" id="Rectangle 151" o:spid="_x0000_s1026" style="position:absolute;margin-left:-6.3pt;margin-top:-6.45pt;width:396.85pt;height:1.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" fillcolor="#fff5e9" stroked="f">
                    <v:fill color2="#ffa12d" rotate="t" angle="90" focus="100%" type="gradient"/>
                  </v:rect>
                </w:pict>
              </mc:Fallback>
            </mc:AlternateContent>
          </w:r>
          <w:r>
            <w:t>Regulated water and sewerage services</w:t>
          </w:r>
        </w:p>
        <w:p w:rsidR="003F07B5" w:rsidRDefault="003F07B5" w:rsidP="008612A2">
          <w:pPr>
            <w:pStyle w:val="Footer"/>
            <w:tabs>
              <w:tab w:val="clear" w:pos="8732"/>
            </w:tabs>
          </w:pPr>
          <w:r>
            <w:t>2017</w:t>
          </w:r>
          <w:r>
            <w:sym w:font="Symbol" w:char="F02D"/>
          </w:r>
          <w:r>
            <w:t>18 price adjustment</w:t>
          </w:r>
        </w:p>
        <w:p w:rsidR="003F07B5" w:rsidRPr="00280AFD" w:rsidRDefault="003F07B5" w:rsidP="008612A2">
          <w:pPr>
            <w:pStyle w:val="Footer"/>
            <w:tabs>
              <w:tab w:val="clear" w:pos="8732"/>
            </w:tabs>
          </w:pPr>
        </w:p>
      </w:tc>
      <w:tc>
        <w:tcPr>
          <w:tcW w:w="2835" w:type="dxa"/>
          <w:vAlign w:val="center"/>
        </w:tcPr>
        <w:p w:rsidR="003F07B5" w:rsidRPr="001E3780" w:rsidRDefault="003F07B5" w:rsidP="00280AFD">
          <w:pPr>
            <w:pStyle w:val="Footer"/>
            <w:tabs>
              <w:tab w:val="clear" w:pos="8732"/>
            </w:tabs>
            <w:jc w:val="right"/>
            <w:rPr>
              <w:color w:val="000033"/>
              <w:sz w:val="32"/>
              <w:szCs w:val="32"/>
            </w:rPr>
          </w:pPr>
          <w:r w:rsidRPr="001E3780">
            <w:rPr>
              <w:color w:val="000033"/>
              <w:sz w:val="32"/>
              <w:szCs w:val="32"/>
            </w:rPr>
            <w:fldChar w:fldCharType="begin"/>
          </w:r>
          <w:r w:rsidRPr="001E3780">
            <w:rPr>
              <w:color w:val="000033"/>
              <w:sz w:val="32"/>
              <w:szCs w:val="32"/>
            </w:rPr>
            <w:instrText xml:space="preserve"> PAGE   \* MERGEFORMAT </w:instrText>
          </w:r>
          <w:r w:rsidRPr="001E3780">
            <w:rPr>
              <w:color w:val="000033"/>
              <w:sz w:val="32"/>
              <w:szCs w:val="32"/>
            </w:rPr>
            <w:fldChar w:fldCharType="separate"/>
          </w:r>
          <w:r w:rsidR="003F60E8" w:rsidRPr="003F60E8">
            <w:rPr>
              <w:rFonts w:eastAsia="Cambria"/>
              <w:b/>
              <w:bCs/>
              <w:noProof/>
              <w:color w:val="000033"/>
              <w:sz w:val="32"/>
              <w:szCs w:val="32"/>
              <w:lang w:val="en-US"/>
            </w:rPr>
            <w:t>19</w:t>
          </w:r>
          <w:r w:rsidRPr="001E3780">
            <w:rPr>
              <w:b/>
              <w:noProof/>
              <w:color w:val="000033"/>
              <w:sz w:val="32"/>
              <w:szCs w:val="32"/>
            </w:rPr>
            <w:fldChar w:fldCharType="end"/>
          </w:r>
        </w:p>
      </w:tc>
    </w:tr>
  </w:tbl>
  <w:p w:rsidR="003F07B5" w:rsidRPr="00E42160" w:rsidRDefault="003F07B5" w:rsidP="00280AFD">
    <w:pPr>
      <w:pStyle w:val="Footer"/>
    </w:pPr>
    <w:r>
      <w:rPr>
        <w:noProof/>
        <w:lang w:val="en-AU" w:eastAsia="en-AU"/>
      </w:rPr>
      <w:drawing>
        <wp:anchor distT="0" distB="0" distL="114300" distR="114300" simplePos="0" relativeHeight="251656192" behindDoc="0" locked="1" layoutInCell="1" allowOverlap="1">
          <wp:simplePos x="0" y="0"/>
          <wp:positionH relativeFrom="column">
            <wp:posOffset>3296920</wp:posOffset>
          </wp:positionH>
          <wp:positionV relativeFrom="paragraph">
            <wp:posOffset>-344170</wp:posOffset>
          </wp:positionV>
          <wp:extent cx="1123950" cy="266700"/>
          <wp:effectExtent l="19050" t="0" r="0" b="0"/>
          <wp:wrapNone/>
          <wp:docPr id="1"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7B5" w:rsidRDefault="003F07B5" w:rsidP="006522B3">
      <w:pPr>
        <w:spacing w:after="0" w:line="240" w:lineRule="auto"/>
      </w:pPr>
      <w:r>
        <w:separator/>
      </w:r>
    </w:p>
  </w:footnote>
  <w:footnote w:type="continuationSeparator" w:id="0">
    <w:p w:rsidR="003F07B5" w:rsidRDefault="003F07B5" w:rsidP="006522B3">
      <w:pPr>
        <w:spacing w:after="0" w:line="240" w:lineRule="auto"/>
      </w:pPr>
      <w:r>
        <w:continuationSeparator/>
      </w:r>
    </w:p>
  </w:footnote>
  <w:footnote w:type="continuationNotice" w:id="1">
    <w:p w:rsidR="003F07B5" w:rsidRDefault="003F07B5">
      <w:pPr>
        <w:spacing w:after="0" w:line="240" w:lineRule="auto"/>
      </w:pPr>
    </w:p>
  </w:footnote>
  <w:footnote w:id="2">
    <w:p w:rsidR="003F07B5" w:rsidRDefault="003F07B5">
      <w:pPr>
        <w:pStyle w:val="FootnoteText"/>
      </w:pPr>
      <w:r>
        <w:rPr>
          <w:rStyle w:val="FootnoteReference"/>
        </w:rPr>
        <w:footnoteRef/>
      </w:r>
      <w:r>
        <w:t xml:space="preserve"> Industry Panel (2015a). Available at: </w:t>
      </w:r>
      <w:r w:rsidRPr="00A327CA">
        <w:t>http://www.icrc.act.gov.au/water-and-sewerage/inquiries-and-investigations/</w:t>
      </w:r>
      <w:r>
        <w:t>.</w:t>
      </w:r>
    </w:p>
  </w:footnote>
  <w:footnote w:id="3">
    <w:p w:rsidR="003F07B5" w:rsidRDefault="003F07B5">
      <w:pPr>
        <w:pStyle w:val="FootnoteText"/>
      </w:pPr>
      <w:r>
        <w:rPr>
          <w:rStyle w:val="FootnoteReference"/>
        </w:rPr>
        <w:footnoteRef/>
      </w:r>
      <w:r>
        <w:t xml:space="preserve"> The details of the proposed changes to the schedule of charges can be found in Appendix 1 of this report.</w:t>
      </w:r>
    </w:p>
  </w:footnote>
  <w:footnote w:id="4">
    <w:p w:rsidR="003F07B5" w:rsidRDefault="003F07B5" w:rsidP="00386DE6">
      <w:pPr>
        <w:pStyle w:val="FootnoteText"/>
      </w:pPr>
      <w:r>
        <w:rPr>
          <w:rStyle w:val="FootnoteReference"/>
        </w:rPr>
        <w:footnoteRef/>
      </w:r>
      <w:r>
        <w:t xml:space="preserve"> The CPI adjustment for 2017</w:t>
      </w:r>
      <w:r>
        <w:sym w:font="Symbol" w:char="F02D"/>
      </w:r>
      <w:r>
        <w:t xml:space="preserve">18 prices is not a forecast of inflation in that year but rather is based on historical changes in the CPI up to March 2017 from June 2015 based on quarterly figures, using the ‘four quarter on four quarter’ approach. </w:t>
      </w:r>
      <w:proofErr w:type="gramStart"/>
      <w:r>
        <w:t>The  CPI</w:t>
      </w:r>
      <w:proofErr w:type="gramEnd"/>
      <w:r>
        <w:t xml:space="preserve"> data (weighted average of eight capital cities) are available from the Australian Bureau of Statistics website at </w:t>
      </w:r>
      <w:r w:rsidRPr="00913006">
        <w:t>http://www.abs.gov.au/ausstats/abs@.nsf/0/938DA570A34A8</w:t>
      </w:r>
      <w:r>
        <w:t>EDACA2568A900139350.</w:t>
      </w:r>
    </w:p>
  </w:footnote>
  <w:footnote w:id="5">
    <w:p w:rsidR="003F07B5" w:rsidRDefault="003F07B5">
      <w:pPr>
        <w:pStyle w:val="FootnoteText"/>
      </w:pPr>
      <w:r>
        <w:rPr>
          <w:rStyle w:val="FootnoteReference"/>
        </w:rPr>
        <w:footnoteRef/>
      </w:r>
      <w:r>
        <w:t xml:space="preserve"> The methodology is described in Industry Panel 2015a and 2015b.</w:t>
      </w:r>
    </w:p>
  </w:footnote>
  <w:footnote w:id="6">
    <w:p w:rsidR="003F07B5" w:rsidRDefault="003F07B5" w:rsidP="00594724">
      <w:pPr>
        <w:pStyle w:val="FootnoteText"/>
      </w:pPr>
      <w:r>
        <w:rPr>
          <w:rStyle w:val="FootnoteReference"/>
        </w:rPr>
        <w:footnoteRef/>
      </w:r>
      <w:r>
        <w:t xml:space="preserve"> The 2017</w:t>
      </w:r>
      <w:r w:rsidRPr="003A5B99">
        <w:sym w:font="Symbol" w:char="F02D"/>
      </w:r>
      <w:r>
        <w:t>18 price adjustments have been made after removing the 2014</w:t>
      </w:r>
      <w:r w:rsidRPr="003A5B99">
        <w:sym w:font="Symbol" w:char="F02D"/>
      </w:r>
      <w:r>
        <w:t>15 negative pass-through amounts, which have been already passed-through to customers as part of 2016</w:t>
      </w:r>
      <w:r w:rsidRPr="003A5B99">
        <w:sym w:font="Symbol" w:char="F02D"/>
      </w:r>
      <w:r>
        <w:t xml:space="preserve">17 price reset. </w:t>
      </w:r>
    </w:p>
  </w:footnote>
  <w:footnote w:id="7">
    <w:p w:rsidR="003F07B5" w:rsidRDefault="003F07B5">
      <w:pPr>
        <w:pStyle w:val="FootnoteText"/>
      </w:pPr>
      <w:r>
        <w:rPr>
          <w:rStyle w:val="FootnoteReference"/>
        </w:rPr>
        <w:footnoteRef/>
      </w:r>
      <w:r>
        <w:t xml:space="preserve"> The calculations include the application of daily pricing consistent with historical water use in each quarter. This means that 200 </w:t>
      </w:r>
      <w:proofErr w:type="spellStart"/>
      <w:r>
        <w:t>kL</w:t>
      </w:r>
      <w:proofErr w:type="spellEnd"/>
      <w:r>
        <w:t xml:space="preserve"> per year customers pay for a small amount of water at the tier 2 price in some quarters.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pPr>
      <w:spacing w:after="0" w:line="240"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7976">
    <w:pPr>
      <w:spacing w:after="0"/>
      <w:jc w:val="right"/>
    </w:pPr>
  </w:p>
  <w:p w:rsidR="003F07B5" w:rsidRDefault="003F07B5" w:rsidP="00D67976">
    <w:pPr>
      <w:spacing w:after="0"/>
      <w:jc w:val="right"/>
    </w:pPr>
  </w:p>
  <w:p w:rsidR="003F07B5" w:rsidRDefault="003F07B5" w:rsidP="00502D80">
    <w:pPr>
      <w:pStyle w:val="Headerodd"/>
    </w:pPr>
  </w:p>
  <w:p w:rsidR="003F07B5" w:rsidRPr="00790F62" w:rsidRDefault="003F07B5" w:rsidP="00502D80">
    <w:pPr>
      <w:pStyle w:val="Headerod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7976">
    <w:pPr>
      <w:spacing w:after="0"/>
    </w:pPr>
  </w:p>
  <w:p w:rsidR="003F07B5" w:rsidRDefault="003F07B5" w:rsidP="00D67976">
    <w:pPr>
      <w:spacing w:after="0"/>
    </w:pPr>
  </w:p>
  <w:p w:rsidR="003F07B5" w:rsidRDefault="003F07B5" w:rsidP="00502D80">
    <w:pPr>
      <w:pStyle w:val="Headereven"/>
    </w:pPr>
    <w:r>
      <w:fldChar w:fldCharType="begin"/>
    </w:r>
    <w:r>
      <w:instrText xml:space="preserve"> REF _Ref364695177 \r \h </w:instrText>
    </w:r>
    <w:r>
      <w:fldChar w:fldCharType="separate"/>
    </w:r>
    <w:r w:rsidR="00BA1301">
      <w:t>1</w:t>
    </w:r>
    <w:r>
      <w:fldChar w:fldCharType="end"/>
    </w:r>
    <w:r>
      <w:t xml:space="preserve"> – </w:t>
    </w:r>
    <w:r>
      <w:fldChar w:fldCharType="begin"/>
    </w:r>
    <w:r>
      <w:instrText xml:space="preserve"> REF _Ref364695177 \h </w:instrText>
    </w:r>
    <w:r>
      <w:fldChar w:fldCharType="separate"/>
    </w:r>
    <w:r w:rsidR="00BA1301">
      <w:t>Introduction</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7976">
    <w:pPr>
      <w:spacing w:after="0"/>
      <w:jc w:val="right"/>
    </w:pPr>
  </w:p>
  <w:p w:rsidR="003F07B5" w:rsidRDefault="003F07B5" w:rsidP="00D67976">
    <w:pPr>
      <w:spacing w:after="0"/>
      <w:jc w:val="right"/>
    </w:pPr>
  </w:p>
  <w:p w:rsidR="003F07B5" w:rsidRPr="00790F62" w:rsidRDefault="003F07B5" w:rsidP="00502D80">
    <w:pPr>
      <w:pStyle w:val="Headerodd"/>
    </w:pPr>
    <w:r>
      <w:fldChar w:fldCharType="begin"/>
    </w:r>
    <w:r>
      <w:instrText xml:space="preserve"> PAGEREF _Ref364695177 \h </w:instrText>
    </w:r>
    <w:r>
      <w:fldChar w:fldCharType="separate"/>
    </w:r>
    <w:r w:rsidR="00BA1301">
      <w:rPr>
        <w:noProof/>
      </w:rPr>
      <w:t>1</w:t>
    </w:r>
    <w:r>
      <w:fldChar w:fldCharType="end"/>
    </w:r>
    <w:r>
      <w:t xml:space="preserve"> – </w:t>
    </w:r>
    <w:r>
      <w:fldChar w:fldCharType="begin"/>
    </w:r>
    <w:r>
      <w:instrText xml:space="preserve"> REF _Ref364695177 \h </w:instrText>
    </w:r>
    <w:r>
      <w:fldChar w:fldCharType="separate"/>
    </w:r>
    <w:r w:rsidR="00BA1301">
      <w:t>Introduction</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7976">
    <w:pPr>
      <w:spacing w:after="0"/>
    </w:pPr>
  </w:p>
  <w:p w:rsidR="003F07B5" w:rsidRDefault="003F07B5" w:rsidP="00D67976">
    <w:pPr>
      <w:spacing w:after="0"/>
    </w:pPr>
  </w:p>
  <w:p w:rsidR="003F07B5" w:rsidRDefault="003F07B5" w:rsidP="00502D80">
    <w:pPr>
      <w:pStyle w:val="Headereven"/>
    </w:pPr>
  </w:p>
  <w:p w:rsidR="003F07B5" w:rsidRDefault="003F07B5" w:rsidP="00502D80">
    <w:pPr>
      <w:pStyle w:val="Headereven"/>
    </w:pPr>
    <w:r>
      <w:fldChar w:fldCharType="begin"/>
    </w:r>
    <w:r>
      <w:instrText xml:space="preserve"> REF _Ref364695177 \r \h </w:instrText>
    </w:r>
    <w:r>
      <w:fldChar w:fldCharType="separate"/>
    </w:r>
    <w:r w:rsidR="00BA1301">
      <w:t>1</w:t>
    </w:r>
    <w:r>
      <w:fldChar w:fldCharType="end"/>
    </w:r>
    <w:r>
      <w:t xml:space="preserve"> – </w:t>
    </w:r>
    <w:r>
      <w:fldChar w:fldCharType="begin"/>
    </w:r>
    <w:r>
      <w:instrText xml:space="preserve"> REF _Ref364695177 \h </w:instrText>
    </w:r>
    <w:r>
      <w:fldChar w:fldCharType="separate"/>
    </w:r>
    <w:r w:rsidR="00BA1301">
      <w:t>Introduction</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7976">
    <w:pPr>
      <w:spacing w:after="0"/>
      <w:jc w:val="right"/>
    </w:pPr>
  </w:p>
  <w:p w:rsidR="003F07B5" w:rsidRDefault="003F07B5" w:rsidP="00D67976">
    <w:pPr>
      <w:spacing w:after="0"/>
      <w:jc w:val="right"/>
    </w:pPr>
  </w:p>
  <w:p w:rsidR="003F07B5" w:rsidRDefault="003F07B5" w:rsidP="00502D80">
    <w:pPr>
      <w:pStyle w:val="Headerodd"/>
    </w:pPr>
  </w:p>
  <w:p w:rsidR="003F07B5" w:rsidRPr="00790F62" w:rsidRDefault="003F07B5" w:rsidP="00502D80">
    <w:pPr>
      <w:pStyle w:val="Headerod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ED2CCF">
    <w:pPr>
      <w:spacing w:after="0"/>
    </w:pPr>
  </w:p>
  <w:p w:rsidR="003F07B5" w:rsidRDefault="003F07B5" w:rsidP="00ED2CCF">
    <w:pPr>
      <w:spacing w:after="0"/>
    </w:pPr>
  </w:p>
  <w:p w:rsidR="003F07B5" w:rsidRDefault="003F07B5" w:rsidP="00E21F29">
    <w:pPr>
      <w:pStyle w:val="Headereven"/>
    </w:pPr>
    <w:r>
      <w:fldChar w:fldCharType="begin"/>
    </w:r>
    <w:r>
      <w:instrText xml:space="preserve"> REF _Ref419116185 \r \h </w:instrText>
    </w:r>
    <w:r>
      <w:fldChar w:fldCharType="separate"/>
    </w:r>
    <w:r w:rsidR="00BA1301">
      <w:t>2</w:t>
    </w:r>
    <w:r>
      <w:fldChar w:fldCharType="end"/>
    </w:r>
    <w:r>
      <w:t xml:space="preserve"> – </w:t>
    </w:r>
    <w:r>
      <w:fldChar w:fldCharType="begin"/>
    </w:r>
    <w:r>
      <w:instrText xml:space="preserve"> REF _Ref419116185 \h </w:instrText>
    </w:r>
    <w:r>
      <w:fldChar w:fldCharType="separate"/>
    </w:r>
    <w:r w:rsidR="00BA1301">
      <w:t>2017</w:t>
    </w:r>
    <w:r w:rsidR="00BA1301">
      <w:sym w:font="Symbol" w:char="F02D"/>
    </w:r>
    <w:r w:rsidR="00BA1301">
      <w:t>18 price adjustment</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ED2CCF">
    <w:pPr>
      <w:spacing w:after="0"/>
      <w:jc w:val="right"/>
    </w:pPr>
  </w:p>
  <w:p w:rsidR="003F07B5" w:rsidRDefault="003F07B5" w:rsidP="00ED2CCF">
    <w:pPr>
      <w:spacing w:after="0"/>
      <w:jc w:val="right"/>
    </w:pPr>
  </w:p>
  <w:p w:rsidR="003F07B5" w:rsidRDefault="003F07B5" w:rsidP="008B2A2F">
    <w:pPr>
      <w:pStyle w:val="Headerodd"/>
    </w:pPr>
    <w:r>
      <w:fldChar w:fldCharType="begin"/>
    </w:r>
    <w:r>
      <w:instrText xml:space="preserve"> REF _Ref419116185 \r \h </w:instrText>
    </w:r>
    <w:r>
      <w:fldChar w:fldCharType="separate"/>
    </w:r>
    <w:r w:rsidR="00BA1301">
      <w:t>2</w:t>
    </w:r>
    <w:r>
      <w:fldChar w:fldCharType="end"/>
    </w:r>
    <w:r>
      <w:t xml:space="preserve"> – </w:t>
    </w:r>
    <w:r>
      <w:fldChar w:fldCharType="begin"/>
    </w:r>
    <w:r>
      <w:instrText xml:space="preserve"> REF _Ref419116185 \h </w:instrText>
    </w:r>
    <w:r>
      <w:fldChar w:fldCharType="separate"/>
    </w:r>
    <w:r w:rsidR="00BA1301">
      <w:t>2017</w:t>
    </w:r>
    <w:r w:rsidR="00BA1301">
      <w:sym w:font="Symbol" w:char="F02D"/>
    </w:r>
    <w:r w:rsidR="00BA1301">
      <w:t>18 price adjustment</w:t>
    </w:r>
    <w:r>
      <w:fldChar w:fldCharType="end"/>
    </w:r>
  </w:p>
  <w:p w:rsidR="003F07B5" w:rsidRDefault="003F07B5" w:rsidP="008B2A2F">
    <w:pPr>
      <w:pStyle w:val="Headereven"/>
    </w:pPr>
  </w:p>
  <w:p w:rsidR="003F07B5" w:rsidRPr="00EF3464" w:rsidRDefault="003F07B5" w:rsidP="00E21F29">
    <w:pPr>
      <w:pStyle w:val="Headerod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ED2CCF">
    <w:pPr>
      <w:spacing w:after="0"/>
    </w:pPr>
  </w:p>
  <w:p w:rsidR="003F07B5" w:rsidRDefault="003F07B5" w:rsidP="00ED2CCF">
    <w:pPr>
      <w:spacing w:after="0"/>
    </w:pPr>
  </w:p>
  <w:p w:rsidR="003F07B5" w:rsidRDefault="003F07B5" w:rsidP="00E21F29">
    <w:pPr>
      <w:pStyle w:val="Headereven"/>
    </w:pPr>
    <w:r>
      <w:fldChar w:fldCharType="begin"/>
    </w:r>
    <w:r>
      <w:instrText xml:space="preserve"> REF _Ref370456821 \n \h </w:instrText>
    </w:r>
    <w:r>
      <w:fldChar w:fldCharType="separate"/>
    </w:r>
    <w:r w:rsidR="00BA1301">
      <w:rPr>
        <w:b/>
        <w:bCs/>
        <w:lang w:val="en-US"/>
      </w:rPr>
      <w:t>Error! Reference source not found.</w:t>
    </w:r>
    <w:r>
      <w:fldChar w:fldCharType="end"/>
    </w:r>
    <w:r>
      <w:t xml:space="preserve"> – </w:t>
    </w:r>
    <w:r>
      <w:fldChar w:fldCharType="begin"/>
    </w:r>
    <w:r>
      <w:instrText xml:space="preserve"> REF _Ref370456821 \h </w:instrText>
    </w:r>
    <w:r>
      <w:fldChar w:fldCharType="separate"/>
    </w:r>
    <w:r w:rsidR="00BA1301">
      <w:rPr>
        <w:b/>
        <w:bCs/>
        <w:lang w:val="en-US"/>
      </w:rPr>
      <w:t>Error! Reference source not found.</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ED2CCF">
    <w:pPr>
      <w:spacing w:after="0"/>
      <w:jc w:val="right"/>
    </w:pPr>
  </w:p>
  <w:p w:rsidR="003F07B5" w:rsidRDefault="003F07B5" w:rsidP="00ED2CCF">
    <w:pPr>
      <w:spacing w:after="0"/>
      <w:jc w:val="right"/>
    </w:pPr>
  </w:p>
  <w:p w:rsidR="003F07B5" w:rsidRDefault="003F07B5" w:rsidP="008B2A2F">
    <w:pPr>
      <w:pStyle w:val="Headereven"/>
    </w:pPr>
  </w:p>
  <w:p w:rsidR="003F07B5" w:rsidRPr="00EF3464" w:rsidRDefault="003F07B5" w:rsidP="00E21F29">
    <w:pPr>
      <w:pStyle w:val="Headerod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ED2CCF">
    <w:pPr>
      <w:spacing w:after="0"/>
    </w:pPr>
  </w:p>
  <w:p w:rsidR="003F07B5" w:rsidRDefault="003F07B5" w:rsidP="00ED2CCF">
    <w:pPr>
      <w:spacing w:after="0"/>
    </w:pPr>
  </w:p>
  <w:p w:rsidR="003F07B5" w:rsidRPr="00EF3464" w:rsidRDefault="003F07B5" w:rsidP="00E21F29">
    <w:pPr>
      <w:pStyle w:val="Headereven"/>
    </w:pPr>
    <w:r>
      <w:fldChar w:fldCharType="begin"/>
    </w:r>
    <w:r>
      <w:instrText xml:space="preserve"> REF _Ref419724419 \r \h </w:instrText>
    </w:r>
    <w:r>
      <w:fldChar w:fldCharType="separate"/>
    </w:r>
    <w:r w:rsidR="00BA1301">
      <w:t>3</w:t>
    </w:r>
    <w:r>
      <w:fldChar w:fldCharType="end"/>
    </w:r>
    <w:r>
      <w:t xml:space="preserve"> – </w:t>
    </w:r>
    <w:r>
      <w:fldChar w:fldCharType="begin"/>
    </w:r>
    <w:r>
      <w:instrText xml:space="preserve"> REF _Ref419724428 \h </w:instrText>
    </w:r>
    <w:r>
      <w:fldChar w:fldCharType="separate"/>
    </w:r>
    <w:r w:rsidR="00BA1301">
      <w:t>Impact on customers</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Pr="00EC19F8" w:rsidRDefault="003F60E8" w:rsidP="00EF6AF3">
    <w:pPr>
      <w:jc w:val="center"/>
      <w:rPr>
        <w:sz w:val="44"/>
      </w:rPr>
    </w:pPr>
    <w:r>
      <w:rPr>
        <w:noProof/>
        <w:sz w:val="44"/>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8" o:spid="_x0000_s2131" type="#_x0000_t75" style="position:absolute;left:0;text-align:left;margin-left:0;margin-top:0;width:416.3pt;height:662.55pt;z-index:-251626496;mso-position-horizontal:center;mso-position-horizontal-relative:margin;mso-position-vertical:center;mso-position-vertical-relative:margin" o:allowincell="f">
          <v:imagedata r:id="rId1" o:title="ICRC_reports_cover"/>
          <w10:wrap anchorx="margin" anchory="margin"/>
        </v:shape>
      </w:pict>
    </w:r>
    <w:r w:rsidR="003F07B5" w:rsidRPr="00EC19F8">
      <w:rPr>
        <w:sz w:val="44"/>
      </w:rPr>
      <w:t>Commission-in-Confidence</w:t>
    </w:r>
  </w:p>
  <w:p w:rsidR="003F07B5" w:rsidRDefault="003F07B5"/>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ED2CCF">
    <w:pPr>
      <w:spacing w:after="0"/>
      <w:jc w:val="right"/>
    </w:pPr>
  </w:p>
  <w:p w:rsidR="003F07B5" w:rsidRDefault="003F07B5" w:rsidP="00ED2CCF">
    <w:pPr>
      <w:spacing w:after="0"/>
      <w:jc w:val="right"/>
    </w:pPr>
  </w:p>
  <w:p w:rsidR="003F07B5" w:rsidRPr="00EF3464" w:rsidRDefault="003F07B5" w:rsidP="00FF0E1E">
    <w:pPr>
      <w:pStyle w:val="Headerodd"/>
    </w:pPr>
    <w:r>
      <w:fldChar w:fldCharType="begin"/>
    </w:r>
    <w:r>
      <w:instrText xml:space="preserve"> REF _Ref419724419 \r \h </w:instrText>
    </w:r>
    <w:r>
      <w:fldChar w:fldCharType="separate"/>
    </w:r>
    <w:r w:rsidR="00BA1301">
      <w:t>3</w:t>
    </w:r>
    <w:r>
      <w:fldChar w:fldCharType="end"/>
    </w:r>
    <w:r>
      <w:t xml:space="preserve"> – </w:t>
    </w:r>
    <w:r>
      <w:fldChar w:fldCharType="begin"/>
    </w:r>
    <w:r>
      <w:instrText xml:space="preserve"> REF _Ref419724419 \h </w:instrText>
    </w:r>
    <w:r>
      <w:fldChar w:fldCharType="separate"/>
    </w:r>
    <w:r w:rsidR="00BA1301">
      <w:t>Impact on customers</w:t>
    </w:r>
    <w:r>
      <w:fldChar w:fldCharType="end"/>
    </w:r>
  </w:p>
  <w:p w:rsidR="003F07B5" w:rsidRPr="00EF3464" w:rsidRDefault="003F07B5" w:rsidP="00FF0E1E">
    <w:pPr>
      <w:pStyle w:val="Headerod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41A8">
    <w:pPr>
      <w:spacing w:after="0"/>
    </w:pPr>
  </w:p>
  <w:p w:rsidR="003F07B5" w:rsidRDefault="003F07B5" w:rsidP="00D641A8">
    <w:pPr>
      <w:spacing w:after="0"/>
    </w:pPr>
  </w:p>
  <w:p w:rsidR="003F07B5" w:rsidRDefault="003F07B5" w:rsidP="00D641A8">
    <w:pPr>
      <w:spacing w:after="0"/>
    </w:pPr>
  </w:p>
  <w:p w:rsidR="003F07B5" w:rsidRPr="00E67D26" w:rsidRDefault="003F07B5" w:rsidP="00034E5E">
    <w:pPr>
      <w:pStyle w:val="Headereven"/>
    </w:pPr>
    <w:r>
      <w:fldChar w:fldCharType="begin"/>
    </w:r>
    <w:r>
      <w:instrText xml:space="preserve"> REF _Ref338249950 \r \h </w:instrText>
    </w:r>
    <w:r>
      <w:fldChar w:fldCharType="separate"/>
    </w:r>
    <w:r w:rsidR="00BA1301">
      <w:rPr>
        <w:b/>
        <w:bCs/>
        <w:lang w:val="en-US"/>
      </w:rPr>
      <w:t>Error! Reference source not found.</w:t>
    </w:r>
    <w:r>
      <w:fldChar w:fldCharType="end"/>
    </w:r>
    <w:r>
      <w:t xml:space="preserve"> – </w:t>
    </w:r>
    <w:r>
      <w:fldChar w:fldCharType="begin"/>
    </w:r>
    <w:r>
      <w:instrText xml:space="preserve"> REF _Ref338249950 \h </w:instrText>
    </w:r>
    <w:r>
      <w:fldChar w:fldCharType="separate"/>
    </w:r>
    <w:r w:rsidR="00BA1301">
      <w:rPr>
        <w:b/>
        <w:bCs/>
        <w:lang w:val="en-US"/>
      </w:rPr>
      <w:t>Error! Reference source not found.</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41A8">
    <w:pPr>
      <w:spacing w:after="0"/>
      <w:jc w:val="right"/>
    </w:pPr>
  </w:p>
  <w:p w:rsidR="003F07B5" w:rsidRDefault="003F07B5" w:rsidP="00D641A8">
    <w:pPr>
      <w:spacing w:after="0"/>
      <w:jc w:val="right"/>
    </w:pPr>
  </w:p>
  <w:p w:rsidR="003F07B5" w:rsidRDefault="003F07B5" w:rsidP="00D641A8">
    <w:pPr>
      <w:spacing w:after="0"/>
      <w:jc w:val="right"/>
    </w:pPr>
  </w:p>
  <w:p w:rsidR="003F07B5" w:rsidRDefault="003F07B5" w:rsidP="00E42FAB">
    <w:pPr>
      <w:pStyle w:val="Headerod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41A8">
    <w:pPr>
      <w:spacing w:after="0"/>
    </w:pPr>
  </w:p>
  <w:p w:rsidR="003F07B5" w:rsidRDefault="003F07B5" w:rsidP="00D641A8">
    <w:pPr>
      <w:spacing w:after="0"/>
    </w:pPr>
  </w:p>
  <w:p w:rsidR="003F07B5" w:rsidRDefault="003F07B5" w:rsidP="00496E92">
    <w:pPr>
      <w:pStyle w:val="Headereven"/>
    </w:pPr>
    <w:r>
      <w:fldChar w:fldCharType="begin"/>
    </w:r>
    <w:r>
      <w:instrText xml:space="preserve"> REF _Ref483558498 \r \h </w:instrText>
    </w:r>
    <w:r>
      <w:fldChar w:fldCharType="separate"/>
    </w:r>
    <w:r w:rsidR="00BA1301">
      <w:t>Appendix 1</w:t>
    </w:r>
    <w:r>
      <w:fldChar w:fldCharType="end"/>
    </w:r>
    <w:r>
      <w:t xml:space="preserve"> – </w:t>
    </w:r>
    <w:r>
      <w:fldChar w:fldCharType="begin"/>
    </w:r>
    <w:r>
      <w:instrText xml:space="preserve"> REF _Ref483558498 \h </w:instrText>
    </w:r>
    <w:r>
      <w:fldChar w:fldCharType="separate"/>
    </w:r>
    <w:r w:rsidR="00BA1301">
      <w:t>Water, sewerage and miscellaneous service charges 2017</w:t>
    </w:r>
    <w:r w:rsidR="00BA1301">
      <w:sym w:font="Symbol" w:char="F02D"/>
    </w:r>
    <w:r w:rsidR="00BA1301">
      <w:t>18</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41A8">
    <w:pPr>
      <w:spacing w:after="0"/>
      <w:jc w:val="right"/>
    </w:pPr>
    <w:r>
      <w:t>`</w:t>
    </w:r>
  </w:p>
  <w:p w:rsidR="003F07B5" w:rsidRDefault="003F07B5" w:rsidP="00D641A8">
    <w:pPr>
      <w:spacing w:after="0"/>
      <w:jc w:val="right"/>
    </w:pPr>
  </w:p>
  <w:p w:rsidR="003F07B5" w:rsidRDefault="003F07B5" w:rsidP="00D641A8">
    <w:pPr>
      <w:spacing w:after="0"/>
      <w:jc w:val="right"/>
    </w:pPr>
  </w:p>
  <w:p w:rsidR="003F07B5" w:rsidRDefault="003F07B5" w:rsidP="00E42FAB">
    <w:pPr>
      <w:pStyle w:val="Headerodd"/>
    </w:pPr>
    <w:r>
      <w:fldChar w:fldCharType="begin"/>
    </w:r>
    <w:r>
      <w:instrText xml:space="preserve"> REF _Ref483558498 \r \h </w:instrText>
    </w:r>
    <w:r>
      <w:fldChar w:fldCharType="separate"/>
    </w:r>
    <w:r w:rsidR="00BA1301">
      <w:t>Appendix 1</w:t>
    </w:r>
    <w:r>
      <w:fldChar w:fldCharType="end"/>
    </w:r>
    <w:r>
      <w:t xml:space="preserve"> – </w:t>
    </w:r>
    <w:r>
      <w:fldChar w:fldCharType="begin"/>
    </w:r>
    <w:r>
      <w:instrText xml:space="preserve"> REF _Ref483558498 \h </w:instrText>
    </w:r>
    <w:r>
      <w:fldChar w:fldCharType="separate"/>
    </w:r>
    <w:r w:rsidR="00BA1301">
      <w:t>Water, sewerage and miscellaneous service charges 2017</w:t>
    </w:r>
    <w:r w:rsidR="00BA1301">
      <w:sym w:font="Symbol" w:char="F02D"/>
    </w:r>
    <w:r w:rsidR="00BA1301">
      <w:t>18</w:t>
    </w:r>
    <w: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41A8">
    <w:pPr>
      <w:spacing w:after="0"/>
    </w:pPr>
  </w:p>
  <w:p w:rsidR="003F07B5" w:rsidRDefault="003F07B5" w:rsidP="00D641A8">
    <w:pPr>
      <w:spacing w:after="0"/>
    </w:pPr>
  </w:p>
  <w:p w:rsidR="003F07B5" w:rsidRDefault="003F07B5" w:rsidP="00D641A8">
    <w:pPr>
      <w:spacing w:after="0"/>
    </w:pPr>
  </w:p>
  <w:p w:rsidR="003F07B5" w:rsidRPr="00E67D26" w:rsidRDefault="003F07B5" w:rsidP="00034E5E">
    <w:pPr>
      <w:pStyle w:val="Headereven"/>
    </w:pPr>
    <w:r>
      <w:fldChar w:fldCharType="begin"/>
    </w:r>
    <w:r>
      <w:instrText xml:space="preserve"> REF Abbreviations_and_acronyms \h </w:instrText>
    </w:r>
    <w:r>
      <w:fldChar w:fldCharType="separate"/>
    </w:r>
    <w:r w:rsidR="00BA1301" w:rsidRPr="002E2FD3">
      <w:t>Abbreviations and acronyms</w:t>
    </w:r>
    <w: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41A8">
    <w:pPr>
      <w:spacing w:after="0"/>
      <w:jc w:val="right"/>
    </w:pPr>
  </w:p>
  <w:p w:rsidR="003F07B5" w:rsidRDefault="003F07B5" w:rsidP="00D641A8">
    <w:pPr>
      <w:spacing w:after="0"/>
      <w:jc w:val="right"/>
    </w:pPr>
  </w:p>
  <w:p w:rsidR="003F07B5" w:rsidRDefault="003F07B5" w:rsidP="00D641A8">
    <w:pPr>
      <w:spacing w:after="0"/>
      <w:jc w:val="right"/>
    </w:pPr>
  </w:p>
  <w:p w:rsidR="003F07B5" w:rsidRDefault="003F07B5" w:rsidP="00E42FAB">
    <w:pPr>
      <w:pStyle w:val="Headerod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41A8">
    <w:pPr>
      <w:spacing w:after="0"/>
    </w:pPr>
  </w:p>
  <w:p w:rsidR="003F07B5" w:rsidRDefault="003F07B5" w:rsidP="00D641A8">
    <w:pPr>
      <w:spacing w:after="0"/>
    </w:pPr>
  </w:p>
  <w:p w:rsidR="003F07B5" w:rsidRPr="00E67D26" w:rsidRDefault="003F07B5" w:rsidP="00034E5E">
    <w:pPr>
      <w:pStyle w:val="Headereven"/>
    </w:pPr>
    <w:r>
      <w:fldChar w:fldCharType="begin"/>
    </w:r>
    <w:r>
      <w:instrText xml:space="preserve"> REF Abbreviations_and_acronyms \h </w:instrText>
    </w:r>
    <w:r>
      <w:fldChar w:fldCharType="separate"/>
    </w:r>
    <w:r w:rsidR="00BA1301" w:rsidRPr="002E2FD3">
      <w:t>Abbreviations and acronyms</w:t>
    </w:r>
    <w: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41A8">
    <w:pPr>
      <w:spacing w:after="0"/>
      <w:jc w:val="right"/>
    </w:pPr>
  </w:p>
  <w:p w:rsidR="003F07B5" w:rsidRDefault="003F07B5" w:rsidP="00D641A8">
    <w:pPr>
      <w:spacing w:after="0"/>
      <w:jc w:val="right"/>
    </w:pPr>
  </w:p>
  <w:p w:rsidR="003F07B5" w:rsidRDefault="003F07B5" w:rsidP="00D641A8">
    <w:pPr>
      <w:spacing w:after="0"/>
      <w:jc w:val="right"/>
    </w:pPr>
  </w:p>
  <w:p w:rsidR="003F07B5" w:rsidRDefault="003F07B5" w:rsidP="00E42FAB">
    <w:pPr>
      <w:pStyle w:val="Headerodd"/>
    </w:pPr>
    <w:r>
      <w:fldChar w:fldCharType="begin"/>
    </w:r>
    <w:r>
      <w:instrText xml:space="preserve"> REF Abbreviations_and_acronyms \h </w:instrText>
    </w:r>
    <w:r>
      <w:fldChar w:fldCharType="separate"/>
    </w:r>
    <w:r w:rsidR="00BA1301" w:rsidRPr="002E2FD3">
      <w:t>Abbreviations and acronyms</w:t>
    </w:r>
    <w: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41A8">
    <w:pPr>
      <w:spacing w:after="0"/>
    </w:pPr>
  </w:p>
  <w:p w:rsidR="003F07B5" w:rsidRDefault="003F07B5" w:rsidP="00D641A8">
    <w:pPr>
      <w:spacing w:after="0"/>
    </w:pPr>
  </w:p>
  <w:p w:rsidR="003F07B5" w:rsidRDefault="003F07B5" w:rsidP="00D641A8">
    <w:pPr>
      <w:spacing w:after="0"/>
    </w:pPr>
  </w:p>
  <w:p w:rsidR="003F07B5" w:rsidRPr="00E67D26" w:rsidRDefault="003F07B5" w:rsidP="00034E5E">
    <w:pPr>
      <w:pStyle w:val="Headereven"/>
    </w:pPr>
    <w:r>
      <w:fldChar w:fldCharType="begin"/>
    </w:r>
    <w:r>
      <w:instrText xml:space="preserve"> REF References \h </w:instrText>
    </w:r>
    <w:r>
      <w:fldChar w:fldCharType="separate"/>
    </w:r>
    <w:r w:rsidR="00BA1301" w:rsidRPr="002E2FD3">
      <w:t>References</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60E8">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6" o:spid="_x0000_s2129" type="#_x0000_t75" style="position:absolute;margin-left:0;margin-top:0;width:457.8pt;height:728.6pt;z-index:-251628544;mso-position-horizontal:center;mso-position-horizontal-relative:margin;mso-position-vertical:center;mso-position-vertical-relative:margin" o:allowincell="f">
          <v:imagedata r:id="rId1" o:title="ICRC_reports_cover"/>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41A8">
    <w:pPr>
      <w:spacing w:after="0"/>
      <w:jc w:val="right"/>
    </w:pPr>
  </w:p>
  <w:p w:rsidR="003F07B5" w:rsidRDefault="003F07B5" w:rsidP="00D641A8">
    <w:pPr>
      <w:spacing w:after="0"/>
      <w:jc w:val="right"/>
    </w:pPr>
  </w:p>
  <w:p w:rsidR="003F07B5" w:rsidRDefault="003F07B5" w:rsidP="00D641A8">
    <w:pPr>
      <w:spacing w:after="0"/>
      <w:jc w:val="right"/>
    </w:pPr>
  </w:p>
  <w:p w:rsidR="003F07B5" w:rsidRDefault="003F07B5" w:rsidP="003C49C5">
    <w:pPr>
      <w:pStyle w:val="Headerodd"/>
    </w:pPr>
  </w:p>
  <w:p w:rsidR="003F07B5" w:rsidRDefault="003F07B5" w:rsidP="00E42FAB">
    <w:pPr>
      <w:pStyle w:val="Headerod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41A8">
    <w:pPr>
      <w:spacing w:after="0"/>
    </w:pPr>
  </w:p>
  <w:p w:rsidR="003F07B5" w:rsidRDefault="003F07B5" w:rsidP="00D641A8">
    <w:pPr>
      <w:spacing w:after="0"/>
    </w:pPr>
  </w:p>
  <w:p w:rsidR="003F07B5" w:rsidRDefault="003F07B5" w:rsidP="00617DBD">
    <w:pPr>
      <w:pStyle w:val="Headereven"/>
    </w:pPr>
    <w:r>
      <w:fldChar w:fldCharType="begin"/>
    </w:r>
    <w:r>
      <w:instrText xml:space="preserve"> REF References \h  \* MERGEFORMAT </w:instrText>
    </w:r>
    <w:r>
      <w:fldChar w:fldCharType="separate"/>
    </w:r>
    <w:r w:rsidR="00BA1301" w:rsidRPr="002E2FD3">
      <w:t>References</w:t>
    </w:r>
    <w:r>
      <w:fldChar w:fldCharType="end"/>
    </w:r>
  </w:p>
  <w:p w:rsidR="003F07B5" w:rsidRDefault="003F07B5">
    <w:pPr>
      <w:pStyle w:val="Headereven"/>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A74C85">
    <w:pPr>
      <w:pStyle w:val="Headerodd"/>
    </w:pPr>
  </w:p>
  <w:p w:rsidR="003F07B5" w:rsidRDefault="003F07B5" w:rsidP="00A74C85">
    <w:pPr>
      <w:pStyle w:val="Headerodd"/>
    </w:pPr>
  </w:p>
  <w:p w:rsidR="003F07B5" w:rsidRDefault="003F07B5" w:rsidP="00A74C85">
    <w:pPr>
      <w:pStyle w:val="Headerodd"/>
    </w:pPr>
    <w:r>
      <w:fldChar w:fldCharType="begin"/>
    </w:r>
    <w:r>
      <w:instrText xml:space="preserve"> REF References \h </w:instrText>
    </w:r>
    <w:r>
      <w:fldChar w:fldCharType="separate"/>
    </w:r>
    <w:r w:rsidR="00BA1301" w:rsidRPr="002E2FD3">
      <w:t>References</w:t>
    </w:r>
    <w:r>
      <w:fldChar w:fldCharType="end"/>
    </w:r>
  </w:p>
  <w:p w:rsidR="003F07B5" w:rsidRDefault="003F07B5" w:rsidP="00D641A8">
    <w:pPr>
      <w:spacing w:after="0"/>
      <w:jc w:val="right"/>
    </w:pPr>
  </w:p>
  <w:p w:rsidR="003F07B5" w:rsidRDefault="003F07B5" w:rsidP="00D641A8">
    <w:pPr>
      <w:spacing w:after="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Pr="00E42160" w:rsidRDefault="003F07B5" w:rsidP="00E4216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60E8">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9" o:spid="_x0000_s2132" type="#_x0000_t75" style="position:absolute;margin-left:0;margin-top:0;width:416.3pt;height:662.55pt;z-index:-251625472;mso-position-horizontal:center;mso-position-horizontal-relative:margin;mso-position-vertical:center;mso-position-vertical-relative:margin" o:allowincell="f">
          <v:imagedata r:id="rId1" o:title="ICRC_reports_cover"/>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60E8">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32" o:spid="_x0000_s2135" type="#_x0000_t75" style="position:absolute;margin-left:0;margin-top:0;width:416.3pt;height:662.55pt;z-index:-251622400;mso-position-horizontal:center;mso-position-horizontal-relative:margin;mso-position-vertical:center;mso-position-vertical-relative:margin" o:allowincell="f">
          <v:imagedata r:id="rId1" o:title="ICRC_reports_cover"/>
          <w10:wrap anchorx="margin" anchory="margin"/>
        </v:shape>
      </w:pict>
    </w:r>
    <w:r w:rsidR="003F07B5">
      <w:t xml:space="preserve">Executive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7976">
    <w:pPr>
      <w:spacing w:after="0"/>
      <w:jc w:val="right"/>
    </w:pPr>
  </w:p>
  <w:p w:rsidR="003F07B5" w:rsidRPr="0048615F" w:rsidRDefault="003F07B5" w:rsidP="00522FB8">
    <w:pPr>
      <w:pStyle w:val="Headerodd"/>
      <w:rPr>
        <w:color w:val="auto"/>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7B5" w:rsidRDefault="003F07B5" w:rsidP="00D67976">
    <w:pPr>
      <w:spacing w:after="0"/>
    </w:pPr>
  </w:p>
  <w:p w:rsidR="003F07B5" w:rsidRDefault="003F07B5" w:rsidP="00D67976">
    <w:pPr>
      <w:spacing w:after="0"/>
    </w:pPr>
  </w:p>
  <w:p w:rsidR="003F07B5" w:rsidRDefault="003F07B5" w:rsidP="00502D80">
    <w:pPr>
      <w:pStyle w:val="Headereven"/>
    </w:pPr>
    <w:r>
      <w:fldChar w:fldCharType="begin"/>
    </w:r>
    <w:r>
      <w:instrText xml:space="preserve"> REF _Ref338172668 \r \h </w:instrText>
    </w:r>
    <w:r>
      <w:fldChar w:fldCharType="separate"/>
    </w:r>
    <w:r w:rsidR="00BA1301">
      <w:rPr>
        <w:b/>
        <w:bCs/>
        <w:lang w:val="en-US"/>
      </w:rPr>
      <w:t>Error! Reference source not found.</w:t>
    </w:r>
    <w:r>
      <w:fldChar w:fldCharType="end"/>
    </w:r>
    <w:r>
      <w:t xml:space="preserve"> – </w:t>
    </w:r>
    <w:r>
      <w:fldChar w:fldCharType="begin"/>
    </w:r>
    <w:r>
      <w:instrText xml:space="preserve"> REF _Ref338172668 \h </w:instrText>
    </w:r>
    <w:r>
      <w:fldChar w:fldCharType="separate"/>
    </w:r>
    <w:r w:rsidR="00BA1301">
      <w:rPr>
        <w:b/>
        <w:bCs/>
        <w:lang w:val="en-US"/>
      </w:rPr>
      <w:t>Error! Reference source not found.</w:t>
    </w:r>
    <w:r>
      <w:fldChar w:fldCharType="end"/>
    </w:r>
  </w:p>
  <w:p w:rsidR="003F07B5" w:rsidRDefault="003F07B5" w:rsidP="00502D80">
    <w:pPr>
      <w:pStyle w:val="Headereven"/>
    </w:pPr>
    <w:r>
      <w:fldChar w:fldCharType="begin"/>
    </w:r>
    <w:r>
      <w:instrText xml:space="preserve"> REF _Ref349552358 \r \h </w:instrText>
    </w:r>
    <w:r>
      <w:fldChar w:fldCharType="separate"/>
    </w:r>
    <w:r w:rsidR="00BA1301">
      <w:rPr>
        <w:b/>
        <w:bCs/>
        <w:lang w:val="en-US"/>
      </w:rPr>
      <w:t>Error! Reference source not found.</w:t>
    </w:r>
    <w:r>
      <w:fldChar w:fldCharType="end"/>
    </w:r>
    <w:r>
      <w:t xml:space="preserve"> – </w:t>
    </w:r>
    <w:r>
      <w:fldChar w:fldCharType="begin"/>
    </w:r>
    <w:r>
      <w:instrText xml:space="preserve"> REF _Ref349552358 \h </w:instrText>
    </w:r>
    <w:r>
      <w:fldChar w:fldCharType="separate"/>
    </w:r>
    <w:r w:rsidR="00BA1301">
      <w:rPr>
        <w:b/>
        <w:bCs/>
        <w:lang w:val="en-US"/>
      </w:rPr>
      <w:t>Error! Reference source not found.</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A4A05DC"/>
    <w:lvl w:ilvl="0">
      <w:start w:val="1"/>
      <w:numFmt w:val="decimal"/>
      <w:pStyle w:val="ListNumber"/>
      <w:lvlText w:val="%1."/>
      <w:lvlJc w:val="left"/>
      <w:pPr>
        <w:tabs>
          <w:tab w:val="num" w:pos="360"/>
        </w:tabs>
        <w:ind w:left="360" w:hanging="360"/>
      </w:pPr>
    </w:lvl>
  </w:abstractNum>
  <w:abstractNum w:abstractNumId="1" w15:restartNumberingAfterBreak="0">
    <w:nsid w:val="FFFFFFFE"/>
    <w:multiLevelType w:val="singleLevel"/>
    <w:tmpl w:val="1F9E56BC"/>
    <w:lvl w:ilvl="0">
      <w:numFmt w:val="decimal"/>
      <w:pStyle w:val="QuoteBullet"/>
      <w:lvlText w:val="*"/>
      <w:lvlJc w:val="left"/>
      <w:rPr>
        <w:rFonts w:cs="Times New Roman"/>
      </w:rPr>
    </w:lvl>
  </w:abstractNum>
  <w:abstractNum w:abstractNumId="2" w15:restartNumberingAfterBreak="0">
    <w:nsid w:val="03434E67"/>
    <w:multiLevelType w:val="multilevel"/>
    <w:tmpl w:val="CF62576C"/>
    <w:lvl w:ilvl="0">
      <w:start w:val="1"/>
      <w:numFmt w:val="upperRoman"/>
      <w:pStyle w:val="HeadingPart"/>
      <w:lvlText w:val="Part %1"/>
      <w:lvlJc w:val="left"/>
      <w:pPr>
        <w:ind w:left="1814" w:hanging="18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FF79B3"/>
    <w:multiLevelType w:val="hybridMultilevel"/>
    <w:tmpl w:val="FE9C2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8F5336"/>
    <w:multiLevelType w:val="hybridMultilevel"/>
    <w:tmpl w:val="0E8ED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576930"/>
    <w:multiLevelType w:val="hybridMultilevel"/>
    <w:tmpl w:val="23CCC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0A43D0"/>
    <w:multiLevelType w:val="hybridMultilevel"/>
    <w:tmpl w:val="7FC04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2B6B23"/>
    <w:multiLevelType w:val="hybridMultilevel"/>
    <w:tmpl w:val="E0C21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B32A62"/>
    <w:multiLevelType w:val="hybridMultilevel"/>
    <w:tmpl w:val="6A549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525F94"/>
    <w:multiLevelType w:val="hybridMultilevel"/>
    <w:tmpl w:val="493287DA"/>
    <w:lvl w:ilvl="0" w:tplc="0C09000F">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ACE337A"/>
    <w:multiLevelType w:val="hybridMultilevel"/>
    <w:tmpl w:val="137CE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0774F1A"/>
    <w:multiLevelType w:val="multilevel"/>
    <w:tmpl w:val="DA104F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080"/>
        </w:tabs>
        <w:ind w:left="720" w:hanging="720"/>
      </w:pPr>
      <w:rPr>
        <w:rFonts w:cs="Times New Roman"/>
      </w:rPr>
    </w:lvl>
    <w:lvl w:ilvl="2">
      <w:start w:val="1"/>
      <w:numFmt w:val="decimal"/>
      <w:lvlText w:val="%1.%2.%3"/>
      <w:lvlJc w:val="left"/>
      <w:pPr>
        <w:tabs>
          <w:tab w:val="num" w:pos="144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43C06547"/>
    <w:multiLevelType w:val="hybridMultilevel"/>
    <w:tmpl w:val="3158754E"/>
    <w:lvl w:ilvl="0" w:tplc="E5CC8A56">
      <w:start w:val="1"/>
      <w:numFmt w:val="bullet"/>
      <w:pStyle w:val="BulletLast"/>
      <w:lvlText w:val=""/>
      <w:lvlJc w:val="left"/>
      <w:pPr>
        <w:ind w:left="4135" w:hanging="360"/>
      </w:pPr>
      <w:rPr>
        <w:rFonts w:ascii="Symbol" w:hAnsi="Symbol" w:hint="default"/>
      </w:rPr>
    </w:lvl>
    <w:lvl w:ilvl="1" w:tplc="0C090003">
      <w:start w:val="1"/>
      <w:numFmt w:val="bullet"/>
      <w:lvlText w:val="o"/>
      <w:lvlJc w:val="left"/>
      <w:pPr>
        <w:ind w:left="4855" w:hanging="360"/>
      </w:pPr>
      <w:rPr>
        <w:rFonts w:ascii="Courier New" w:hAnsi="Courier New" w:cs="Courier New" w:hint="default"/>
      </w:rPr>
    </w:lvl>
    <w:lvl w:ilvl="2" w:tplc="0C090005">
      <w:start w:val="1"/>
      <w:numFmt w:val="bullet"/>
      <w:lvlText w:val=""/>
      <w:lvlJc w:val="left"/>
      <w:pPr>
        <w:ind w:left="5575" w:hanging="360"/>
      </w:pPr>
      <w:rPr>
        <w:rFonts w:ascii="Wingdings" w:hAnsi="Wingdings" w:hint="default"/>
      </w:rPr>
    </w:lvl>
    <w:lvl w:ilvl="3" w:tplc="0C090001" w:tentative="1">
      <w:start w:val="1"/>
      <w:numFmt w:val="bullet"/>
      <w:lvlText w:val=""/>
      <w:lvlJc w:val="left"/>
      <w:pPr>
        <w:ind w:left="6295" w:hanging="360"/>
      </w:pPr>
      <w:rPr>
        <w:rFonts w:ascii="Symbol" w:hAnsi="Symbol" w:hint="default"/>
      </w:rPr>
    </w:lvl>
    <w:lvl w:ilvl="4" w:tplc="0C090003" w:tentative="1">
      <w:start w:val="1"/>
      <w:numFmt w:val="bullet"/>
      <w:lvlText w:val="o"/>
      <w:lvlJc w:val="left"/>
      <w:pPr>
        <w:ind w:left="7015" w:hanging="360"/>
      </w:pPr>
      <w:rPr>
        <w:rFonts w:ascii="Courier New" w:hAnsi="Courier New" w:cs="Courier New" w:hint="default"/>
      </w:rPr>
    </w:lvl>
    <w:lvl w:ilvl="5" w:tplc="0C090005" w:tentative="1">
      <w:start w:val="1"/>
      <w:numFmt w:val="bullet"/>
      <w:lvlText w:val=""/>
      <w:lvlJc w:val="left"/>
      <w:pPr>
        <w:ind w:left="7735" w:hanging="360"/>
      </w:pPr>
      <w:rPr>
        <w:rFonts w:ascii="Wingdings" w:hAnsi="Wingdings" w:hint="default"/>
      </w:rPr>
    </w:lvl>
    <w:lvl w:ilvl="6" w:tplc="0C090001" w:tentative="1">
      <w:start w:val="1"/>
      <w:numFmt w:val="bullet"/>
      <w:lvlText w:val=""/>
      <w:lvlJc w:val="left"/>
      <w:pPr>
        <w:ind w:left="8455" w:hanging="360"/>
      </w:pPr>
      <w:rPr>
        <w:rFonts w:ascii="Symbol" w:hAnsi="Symbol" w:hint="default"/>
      </w:rPr>
    </w:lvl>
    <w:lvl w:ilvl="7" w:tplc="0C090003" w:tentative="1">
      <w:start w:val="1"/>
      <w:numFmt w:val="bullet"/>
      <w:lvlText w:val="o"/>
      <w:lvlJc w:val="left"/>
      <w:pPr>
        <w:ind w:left="9175" w:hanging="360"/>
      </w:pPr>
      <w:rPr>
        <w:rFonts w:ascii="Courier New" w:hAnsi="Courier New" w:cs="Courier New" w:hint="default"/>
      </w:rPr>
    </w:lvl>
    <w:lvl w:ilvl="8" w:tplc="0C090005" w:tentative="1">
      <w:start w:val="1"/>
      <w:numFmt w:val="bullet"/>
      <w:lvlText w:val=""/>
      <w:lvlJc w:val="left"/>
      <w:pPr>
        <w:ind w:left="9895" w:hanging="360"/>
      </w:pPr>
      <w:rPr>
        <w:rFonts w:ascii="Wingdings" w:hAnsi="Wingdings" w:hint="default"/>
      </w:rPr>
    </w:lvl>
  </w:abstractNum>
  <w:abstractNum w:abstractNumId="13" w15:restartNumberingAfterBreak="0">
    <w:nsid w:val="49017343"/>
    <w:multiLevelType w:val="hybridMultilevel"/>
    <w:tmpl w:val="3C889A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A34653F"/>
    <w:multiLevelType w:val="hybridMultilevel"/>
    <w:tmpl w:val="D2B4C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ACF2B83"/>
    <w:multiLevelType w:val="multilevel"/>
    <w:tmpl w:val="F574FC72"/>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1.%2"/>
      <w:lvlJc w:val="left"/>
      <w:pPr>
        <w:tabs>
          <w:tab w:val="num" w:pos="1222"/>
        </w:tabs>
        <w:ind w:left="862" w:hanging="720"/>
      </w:pPr>
      <w:rPr>
        <w:rFonts w:cs="Times New Roman"/>
      </w:rPr>
    </w:lvl>
    <w:lvl w:ilvl="2">
      <w:start w:val="1"/>
      <w:numFmt w:val="decimal"/>
      <w:pStyle w:val="Heading3"/>
      <w:lvlText w:val="%1.%2.%3"/>
      <w:lvlJc w:val="left"/>
      <w:pPr>
        <w:tabs>
          <w:tab w:val="num" w:pos="144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15:restartNumberingAfterBreak="0">
    <w:nsid w:val="569C589C"/>
    <w:multiLevelType w:val="multilevel"/>
    <w:tmpl w:val="3BA80B6C"/>
    <w:lvl w:ilvl="0">
      <w:start w:val="1"/>
      <w:numFmt w:val="decimal"/>
      <w:pStyle w:val="HeadingAppendix1"/>
      <w:lvlText w:val="Appendix %1"/>
      <w:lvlJc w:val="left"/>
      <w:pPr>
        <w:ind w:left="2693" w:hanging="2693"/>
      </w:pPr>
      <w:rPr>
        <w:rFonts w:hint="default"/>
      </w:rPr>
    </w:lvl>
    <w:lvl w:ilvl="1">
      <w:start w:val="1"/>
      <w:numFmt w:val="decimal"/>
      <w:pStyle w:val="HeadingAppendix2"/>
      <w:lvlText w:val="A%1.%2"/>
      <w:lvlJc w:val="left"/>
      <w:pPr>
        <w:ind w:left="907" w:hanging="907"/>
      </w:pPr>
      <w:rPr>
        <w:rFonts w:cs="Times New Roman"/>
        <w:bCs w:val="0"/>
        <w:i w:val="0"/>
        <w:iCs w:val="0"/>
        <w:caps w:val="0"/>
        <w:smallCaps w:val="0"/>
        <w:strike w:val="0"/>
        <w:dstrike w:val="0"/>
        <w:noProof w:val="0"/>
        <w:vanish w:val="0"/>
        <w:color w:val="000000"/>
        <w:spacing w:val="0"/>
        <w:position w:val="0"/>
        <w:u w:val="none"/>
        <w:vertAlign w:val="baseline"/>
        <w:em w:val="none"/>
      </w:rPr>
    </w:lvl>
    <w:lvl w:ilvl="2">
      <w:start w:val="1"/>
      <w:numFmt w:val="decimal"/>
      <w:pStyle w:val="HeadingAppendix3"/>
      <w:lvlText w:val="A%1.%2.%3"/>
      <w:lvlJc w:val="left"/>
      <w:pPr>
        <w:ind w:left="907" w:hanging="907"/>
      </w:pPr>
      <w:rPr>
        <w:rFonts w:hint="default"/>
      </w:rPr>
    </w:lvl>
    <w:lvl w:ilvl="3">
      <w:start w:val="1"/>
      <w:numFmt w:val="decimal"/>
      <w:lvlText w:val="%4."/>
      <w:lvlJc w:val="left"/>
      <w:pPr>
        <w:ind w:left="2693" w:hanging="2693"/>
      </w:pPr>
      <w:rPr>
        <w:rFonts w:hint="default"/>
      </w:rPr>
    </w:lvl>
    <w:lvl w:ilvl="4">
      <w:start w:val="1"/>
      <w:numFmt w:val="lowerLetter"/>
      <w:lvlText w:val="%5."/>
      <w:lvlJc w:val="left"/>
      <w:pPr>
        <w:ind w:left="2693" w:hanging="2693"/>
      </w:pPr>
      <w:rPr>
        <w:rFonts w:hint="default"/>
      </w:rPr>
    </w:lvl>
    <w:lvl w:ilvl="5">
      <w:start w:val="1"/>
      <w:numFmt w:val="lowerRoman"/>
      <w:lvlText w:val="%6."/>
      <w:lvlJc w:val="right"/>
      <w:pPr>
        <w:ind w:left="2693" w:hanging="2693"/>
      </w:pPr>
      <w:rPr>
        <w:rFonts w:hint="default"/>
      </w:rPr>
    </w:lvl>
    <w:lvl w:ilvl="6">
      <w:start w:val="1"/>
      <w:numFmt w:val="decimal"/>
      <w:lvlText w:val="%7."/>
      <w:lvlJc w:val="left"/>
      <w:pPr>
        <w:ind w:left="2693" w:hanging="2693"/>
      </w:pPr>
      <w:rPr>
        <w:rFonts w:hint="default"/>
      </w:rPr>
    </w:lvl>
    <w:lvl w:ilvl="7">
      <w:start w:val="1"/>
      <w:numFmt w:val="lowerLetter"/>
      <w:lvlText w:val="%8."/>
      <w:lvlJc w:val="left"/>
      <w:pPr>
        <w:ind w:left="2693" w:hanging="2693"/>
      </w:pPr>
      <w:rPr>
        <w:rFonts w:hint="default"/>
      </w:rPr>
    </w:lvl>
    <w:lvl w:ilvl="8">
      <w:start w:val="1"/>
      <w:numFmt w:val="lowerRoman"/>
      <w:lvlText w:val="%9."/>
      <w:lvlJc w:val="right"/>
      <w:pPr>
        <w:ind w:left="2693" w:hanging="2693"/>
      </w:pPr>
      <w:rPr>
        <w:rFonts w:hint="default"/>
      </w:rPr>
    </w:lvl>
  </w:abstractNum>
  <w:abstractNum w:abstractNumId="17" w15:restartNumberingAfterBreak="0">
    <w:nsid w:val="5A565032"/>
    <w:multiLevelType w:val="multilevel"/>
    <w:tmpl w:val="9404D75E"/>
    <w:lvl w:ilvl="0">
      <w:start w:val="1"/>
      <w:numFmt w:val="lowerLetter"/>
      <w:pStyle w:val="LetteredList"/>
      <w:lvlText w:val="(%1)"/>
      <w:lvlJc w:val="left"/>
      <w:pPr>
        <w:ind w:left="680" w:hanging="396"/>
      </w:pPr>
      <w:rPr>
        <w:rFonts w:hint="default"/>
      </w:rPr>
    </w:lvl>
    <w:lvl w:ilvl="1">
      <w:start w:val="1"/>
      <w:numFmt w:val="lowerRoman"/>
      <w:lvlText w:val="(%2)"/>
      <w:lvlJc w:val="left"/>
      <w:pPr>
        <w:ind w:left="1701" w:hanging="624"/>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8" w15:restartNumberingAfterBreak="0">
    <w:nsid w:val="5BFC0F86"/>
    <w:multiLevelType w:val="hybridMultilevel"/>
    <w:tmpl w:val="967807A0"/>
    <w:lvl w:ilvl="0" w:tplc="080C19FA">
      <w:start w:val="1"/>
      <w:numFmt w:val="bullet"/>
      <w:pStyle w:val="TableBullet"/>
      <w:lvlText w:val=""/>
      <w:lvlJc w:val="left"/>
      <w:pPr>
        <w:tabs>
          <w:tab w:val="num" w:pos="360"/>
        </w:tabs>
        <w:ind w:left="216" w:hanging="216"/>
      </w:pPr>
      <w:rPr>
        <w:rFonts w:ascii="Symbol" w:hAnsi="Symbol" w:hint="default"/>
        <w:sz w:val="16"/>
      </w:rPr>
    </w:lvl>
    <w:lvl w:ilvl="1" w:tplc="F9E2E734" w:tentative="1">
      <w:start w:val="1"/>
      <w:numFmt w:val="bullet"/>
      <w:lvlText w:val="o"/>
      <w:lvlJc w:val="left"/>
      <w:pPr>
        <w:tabs>
          <w:tab w:val="num" w:pos="1440"/>
        </w:tabs>
        <w:ind w:left="1440" w:hanging="360"/>
      </w:pPr>
      <w:rPr>
        <w:rFonts w:ascii="Courier New" w:hAnsi="Courier New" w:hint="default"/>
      </w:rPr>
    </w:lvl>
    <w:lvl w:ilvl="2" w:tplc="6DEEAAA4" w:tentative="1">
      <w:start w:val="1"/>
      <w:numFmt w:val="bullet"/>
      <w:lvlText w:val=""/>
      <w:lvlJc w:val="left"/>
      <w:pPr>
        <w:tabs>
          <w:tab w:val="num" w:pos="2160"/>
        </w:tabs>
        <w:ind w:left="2160" w:hanging="360"/>
      </w:pPr>
      <w:rPr>
        <w:rFonts w:ascii="Wingdings" w:hAnsi="Wingdings" w:hint="default"/>
      </w:rPr>
    </w:lvl>
    <w:lvl w:ilvl="3" w:tplc="C598E346" w:tentative="1">
      <w:start w:val="1"/>
      <w:numFmt w:val="bullet"/>
      <w:lvlText w:val=""/>
      <w:lvlJc w:val="left"/>
      <w:pPr>
        <w:tabs>
          <w:tab w:val="num" w:pos="2880"/>
        </w:tabs>
        <w:ind w:left="2880" w:hanging="360"/>
      </w:pPr>
      <w:rPr>
        <w:rFonts w:ascii="Symbol" w:hAnsi="Symbol" w:hint="default"/>
      </w:rPr>
    </w:lvl>
    <w:lvl w:ilvl="4" w:tplc="790C274C" w:tentative="1">
      <w:start w:val="1"/>
      <w:numFmt w:val="bullet"/>
      <w:lvlText w:val="o"/>
      <w:lvlJc w:val="left"/>
      <w:pPr>
        <w:tabs>
          <w:tab w:val="num" w:pos="3600"/>
        </w:tabs>
        <w:ind w:left="3600" w:hanging="360"/>
      </w:pPr>
      <w:rPr>
        <w:rFonts w:ascii="Courier New" w:hAnsi="Courier New" w:hint="default"/>
      </w:rPr>
    </w:lvl>
    <w:lvl w:ilvl="5" w:tplc="D0E442FA" w:tentative="1">
      <w:start w:val="1"/>
      <w:numFmt w:val="bullet"/>
      <w:lvlText w:val=""/>
      <w:lvlJc w:val="left"/>
      <w:pPr>
        <w:tabs>
          <w:tab w:val="num" w:pos="4320"/>
        </w:tabs>
        <w:ind w:left="4320" w:hanging="360"/>
      </w:pPr>
      <w:rPr>
        <w:rFonts w:ascii="Wingdings" w:hAnsi="Wingdings" w:hint="default"/>
      </w:rPr>
    </w:lvl>
    <w:lvl w:ilvl="6" w:tplc="D24C2F38" w:tentative="1">
      <w:start w:val="1"/>
      <w:numFmt w:val="bullet"/>
      <w:lvlText w:val=""/>
      <w:lvlJc w:val="left"/>
      <w:pPr>
        <w:tabs>
          <w:tab w:val="num" w:pos="5040"/>
        </w:tabs>
        <w:ind w:left="5040" w:hanging="360"/>
      </w:pPr>
      <w:rPr>
        <w:rFonts w:ascii="Symbol" w:hAnsi="Symbol" w:hint="default"/>
      </w:rPr>
    </w:lvl>
    <w:lvl w:ilvl="7" w:tplc="D8A6F982" w:tentative="1">
      <w:start w:val="1"/>
      <w:numFmt w:val="bullet"/>
      <w:lvlText w:val="o"/>
      <w:lvlJc w:val="left"/>
      <w:pPr>
        <w:tabs>
          <w:tab w:val="num" w:pos="5760"/>
        </w:tabs>
        <w:ind w:left="5760" w:hanging="360"/>
      </w:pPr>
      <w:rPr>
        <w:rFonts w:ascii="Courier New" w:hAnsi="Courier New" w:hint="default"/>
      </w:rPr>
    </w:lvl>
    <w:lvl w:ilvl="8" w:tplc="9F1A4FD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5E5861"/>
    <w:multiLevelType w:val="hybridMultilevel"/>
    <w:tmpl w:val="9CA4E4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FF45464"/>
    <w:multiLevelType w:val="hybridMultilevel"/>
    <w:tmpl w:val="864E06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27F5F72"/>
    <w:multiLevelType w:val="hybridMultilevel"/>
    <w:tmpl w:val="D32247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2AB11EF"/>
    <w:multiLevelType w:val="hybridMultilevel"/>
    <w:tmpl w:val="D898C958"/>
    <w:lvl w:ilvl="0" w:tplc="BF20C17A">
      <w:start w:val="1"/>
      <w:numFmt w:val="bullet"/>
      <w:pStyle w:val="Bullet"/>
      <w:lvlText w:val=""/>
      <w:lvlJc w:val="left"/>
      <w:pPr>
        <w:ind w:left="644" w:hanging="360"/>
      </w:pPr>
      <w:rPr>
        <w:rFonts w:ascii="Symbol" w:hAnsi="Symbol" w:hint="default"/>
        <w:b w:val="0"/>
        <w:i w:val="0"/>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864EB8"/>
    <w:multiLevelType w:val="hybridMultilevel"/>
    <w:tmpl w:val="5282D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776BE3"/>
    <w:multiLevelType w:val="hybridMultilevel"/>
    <w:tmpl w:val="6EF63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2171AC"/>
    <w:multiLevelType w:val="hybridMultilevel"/>
    <w:tmpl w:val="687A8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2"/>
  </w:num>
  <w:num w:numId="2">
    <w:abstractNumId w:val="18"/>
  </w:num>
  <w:num w:numId="3">
    <w:abstractNumId w:val="1"/>
    <w:lvlOverride w:ilvl="0">
      <w:lvl w:ilvl="0">
        <w:start w:val="1"/>
        <w:numFmt w:val="bullet"/>
        <w:pStyle w:val="QuoteBullet"/>
        <w:lvlText w:val=""/>
        <w:legacy w:legacy="1" w:legacySpace="0" w:legacyIndent="360"/>
        <w:lvlJc w:val="left"/>
        <w:pPr>
          <w:ind w:left="360" w:hanging="360"/>
        </w:pPr>
        <w:rPr>
          <w:rFonts w:ascii="Symbol" w:hAnsi="Symbol" w:hint="default"/>
        </w:rPr>
      </w:lvl>
    </w:lvlOverride>
  </w:num>
  <w:num w:numId="4">
    <w:abstractNumId w:val="2"/>
  </w:num>
  <w:num w:numId="5">
    <w:abstractNumId w:val="12"/>
  </w:num>
  <w:num w:numId="6">
    <w:abstractNumId w:val="16"/>
  </w:num>
  <w:num w:numId="7">
    <w:abstractNumId w:val="15"/>
  </w:num>
  <w:num w:numId="8">
    <w:abstractNumId w:val="9"/>
  </w:num>
  <w:num w:numId="9">
    <w:abstractNumId w:val="0"/>
  </w:num>
  <w:num w:numId="10">
    <w:abstractNumId w:val="1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8"/>
  </w:num>
  <w:num w:numId="14">
    <w:abstractNumId w:val="13"/>
  </w:num>
  <w:num w:numId="15">
    <w:abstractNumId w:val="24"/>
  </w:num>
  <w:num w:numId="16">
    <w:abstractNumId w:val="10"/>
  </w:num>
  <w:num w:numId="17">
    <w:abstractNumId w:val="19"/>
  </w:num>
  <w:num w:numId="18">
    <w:abstractNumId w:val="4"/>
  </w:num>
  <w:num w:numId="19">
    <w:abstractNumId w:val="14"/>
  </w:num>
  <w:num w:numId="20">
    <w:abstractNumId w:val="23"/>
  </w:num>
  <w:num w:numId="21">
    <w:abstractNumId w:val="21"/>
  </w:num>
  <w:num w:numId="22">
    <w:abstractNumId w:val="25"/>
  </w:num>
  <w:num w:numId="23">
    <w:abstractNumId w:val="20"/>
  </w:num>
  <w:num w:numId="24">
    <w:abstractNumId w:val="22"/>
  </w:num>
  <w:num w:numId="25">
    <w:abstractNumId w:val="3"/>
  </w:num>
  <w:num w:numId="26">
    <w:abstractNumId w:val="11"/>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styleLockTheme/>
  <w:defaultTabStop w:val="720"/>
  <w:evenAndOddHeaders/>
  <w:drawingGridHorizontalSpacing w:val="110"/>
  <w:displayHorizontalDrawingGridEvery w:val="2"/>
  <w:characterSpacingControl w:val="doNotCompress"/>
  <w:hdrShapeDefaults>
    <o:shapedefaults v:ext="edit" spidmax="2136"/>
    <o:shapelayout v:ext="edit">
      <o:idmap v:ext="edit" data="2"/>
    </o:shapelayout>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ICRC Chicago 16th 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xwt9zxa6r5fesevwr5xzp97r95ev9wx9zpw&quot;&gt;ICRC Endnote Library&lt;record-ids&gt;&lt;item&gt;429&lt;/item&gt;&lt;item&gt;431&lt;/item&gt;&lt;item&gt;434&lt;/item&gt;&lt;item&gt;435&lt;/item&gt;&lt;item&gt;454&lt;/item&gt;&lt;item&gt;455&lt;/item&gt;&lt;/record-ids&gt;&lt;/item&gt;&lt;/Libraries&gt;"/>
  </w:docVars>
  <w:rsids>
    <w:rsidRoot w:val="005123B8"/>
    <w:rsid w:val="0000003A"/>
    <w:rsid w:val="0000005F"/>
    <w:rsid w:val="00000086"/>
    <w:rsid w:val="0000019A"/>
    <w:rsid w:val="00000594"/>
    <w:rsid w:val="00000646"/>
    <w:rsid w:val="00000798"/>
    <w:rsid w:val="000008FF"/>
    <w:rsid w:val="0000092A"/>
    <w:rsid w:val="00000B8D"/>
    <w:rsid w:val="00000C99"/>
    <w:rsid w:val="00000CB8"/>
    <w:rsid w:val="00000E58"/>
    <w:rsid w:val="00000EEE"/>
    <w:rsid w:val="000010D0"/>
    <w:rsid w:val="00001196"/>
    <w:rsid w:val="00001248"/>
    <w:rsid w:val="000014DB"/>
    <w:rsid w:val="00001571"/>
    <w:rsid w:val="0000165D"/>
    <w:rsid w:val="00001706"/>
    <w:rsid w:val="00001A64"/>
    <w:rsid w:val="00001B4C"/>
    <w:rsid w:val="00001B56"/>
    <w:rsid w:val="00001DC3"/>
    <w:rsid w:val="00001E01"/>
    <w:rsid w:val="00001FB0"/>
    <w:rsid w:val="0000210F"/>
    <w:rsid w:val="0000220C"/>
    <w:rsid w:val="00002215"/>
    <w:rsid w:val="000023D0"/>
    <w:rsid w:val="000025E5"/>
    <w:rsid w:val="00002767"/>
    <w:rsid w:val="000028E1"/>
    <w:rsid w:val="00002A16"/>
    <w:rsid w:val="00002C07"/>
    <w:rsid w:val="00002F3E"/>
    <w:rsid w:val="000032D2"/>
    <w:rsid w:val="00003375"/>
    <w:rsid w:val="0000385D"/>
    <w:rsid w:val="000039C7"/>
    <w:rsid w:val="00003AA7"/>
    <w:rsid w:val="00003AAF"/>
    <w:rsid w:val="00003AD0"/>
    <w:rsid w:val="00003C22"/>
    <w:rsid w:val="00003C3C"/>
    <w:rsid w:val="00003C6F"/>
    <w:rsid w:val="00003DDD"/>
    <w:rsid w:val="00004015"/>
    <w:rsid w:val="000040CD"/>
    <w:rsid w:val="00004112"/>
    <w:rsid w:val="0000455F"/>
    <w:rsid w:val="000045D1"/>
    <w:rsid w:val="0000462F"/>
    <w:rsid w:val="0000471C"/>
    <w:rsid w:val="00004B0B"/>
    <w:rsid w:val="00004B79"/>
    <w:rsid w:val="00004E3A"/>
    <w:rsid w:val="00004F11"/>
    <w:rsid w:val="000050AA"/>
    <w:rsid w:val="00005116"/>
    <w:rsid w:val="00005127"/>
    <w:rsid w:val="00005295"/>
    <w:rsid w:val="000052D0"/>
    <w:rsid w:val="0000542D"/>
    <w:rsid w:val="00005AEE"/>
    <w:rsid w:val="00005B70"/>
    <w:rsid w:val="00005BA2"/>
    <w:rsid w:val="00006000"/>
    <w:rsid w:val="000064A9"/>
    <w:rsid w:val="0000695B"/>
    <w:rsid w:val="00006A2C"/>
    <w:rsid w:val="00006A62"/>
    <w:rsid w:val="00006C61"/>
    <w:rsid w:val="00006D70"/>
    <w:rsid w:val="00006EA7"/>
    <w:rsid w:val="000070C2"/>
    <w:rsid w:val="0000726C"/>
    <w:rsid w:val="0000732B"/>
    <w:rsid w:val="000074E3"/>
    <w:rsid w:val="00007880"/>
    <w:rsid w:val="00007FB5"/>
    <w:rsid w:val="000106D8"/>
    <w:rsid w:val="00010857"/>
    <w:rsid w:val="00010B28"/>
    <w:rsid w:val="00011266"/>
    <w:rsid w:val="00011457"/>
    <w:rsid w:val="00011515"/>
    <w:rsid w:val="00011611"/>
    <w:rsid w:val="00011A94"/>
    <w:rsid w:val="00011B91"/>
    <w:rsid w:val="00011BB5"/>
    <w:rsid w:val="00011E35"/>
    <w:rsid w:val="00012182"/>
    <w:rsid w:val="000125D0"/>
    <w:rsid w:val="00012AAB"/>
    <w:rsid w:val="00012AEE"/>
    <w:rsid w:val="00012BC9"/>
    <w:rsid w:val="00012D17"/>
    <w:rsid w:val="00012DF0"/>
    <w:rsid w:val="00012E87"/>
    <w:rsid w:val="00012EDE"/>
    <w:rsid w:val="00012F28"/>
    <w:rsid w:val="00012F43"/>
    <w:rsid w:val="00012F88"/>
    <w:rsid w:val="00013477"/>
    <w:rsid w:val="0001391F"/>
    <w:rsid w:val="00013B51"/>
    <w:rsid w:val="00013E0E"/>
    <w:rsid w:val="00013EBE"/>
    <w:rsid w:val="00013F00"/>
    <w:rsid w:val="00014150"/>
    <w:rsid w:val="000141CA"/>
    <w:rsid w:val="0001440E"/>
    <w:rsid w:val="00014453"/>
    <w:rsid w:val="00014476"/>
    <w:rsid w:val="00014665"/>
    <w:rsid w:val="00014771"/>
    <w:rsid w:val="000148DE"/>
    <w:rsid w:val="00014B1C"/>
    <w:rsid w:val="00014D13"/>
    <w:rsid w:val="0001532C"/>
    <w:rsid w:val="000155B6"/>
    <w:rsid w:val="000155EA"/>
    <w:rsid w:val="0001566A"/>
    <w:rsid w:val="00015A5F"/>
    <w:rsid w:val="00015D63"/>
    <w:rsid w:val="00015EBD"/>
    <w:rsid w:val="0001603E"/>
    <w:rsid w:val="0001604F"/>
    <w:rsid w:val="00016146"/>
    <w:rsid w:val="0001644E"/>
    <w:rsid w:val="0001660A"/>
    <w:rsid w:val="00016818"/>
    <w:rsid w:val="00016A76"/>
    <w:rsid w:val="00016AF3"/>
    <w:rsid w:val="000174D7"/>
    <w:rsid w:val="00017944"/>
    <w:rsid w:val="00017EA3"/>
    <w:rsid w:val="000201AB"/>
    <w:rsid w:val="0002044A"/>
    <w:rsid w:val="00020545"/>
    <w:rsid w:val="00020689"/>
    <w:rsid w:val="000206F9"/>
    <w:rsid w:val="00020835"/>
    <w:rsid w:val="00020E71"/>
    <w:rsid w:val="00020F0D"/>
    <w:rsid w:val="00020FF9"/>
    <w:rsid w:val="000210DB"/>
    <w:rsid w:val="00021228"/>
    <w:rsid w:val="000214AA"/>
    <w:rsid w:val="00021984"/>
    <w:rsid w:val="00022038"/>
    <w:rsid w:val="00022261"/>
    <w:rsid w:val="0002235D"/>
    <w:rsid w:val="00022533"/>
    <w:rsid w:val="00022567"/>
    <w:rsid w:val="00022594"/>
    <w:rsid w:val="0002280B"/>
    <w:rsid w:val="00022960"/>
    <w:rsid w:val="000229DE"/>
    <w:rsid w:val="00022D23"/>
    <w:rsid w:val="00022DBD"/>
    <w:rsid w:val="00023211"/>
    <w:rsid w:val="00023244"/>
    <w:rsid w:val="000232DD"/>
    <w:rsid w:val="000232FB"/>
    <w:rsid w:val="0002347A"/>
    <w:rsid w:val="000234C6"/>
    <w:rsid w:val="000236CD"/>
    <w:rsid w:val="00023EDB"/>
    <w:rsid w:val="000240B7"/>
    <w:rsid w:val="000240C2"/>
    <w:rsid w:val="0002438D"/>
    <w:rsid w:val="00024454"/>
    <w:rsid w:val="00024566"/>
    <w:rsid w:val="0002459B"/>
    <w:rsid w:val="00024A76"/>
    <w:rsid w:val="00024B97"/>
    <w:rsid w:val="00024C2B"/>
    <w:rsid w:val="00024CED"/>
    <w:rsid w:val="0002512A"/>
    <w:rsid w:val="000253E1"/>
    <w:rsid w:val="00025534"/>
    <w:rsid w:val="000258A3"/>
    <w:rsid w:val="00025B1F"/>
    <w:rsid w:val="00025F2C"/>
    <w:rsid w:val="0002603C"/>
    <w:rsid w:val="00026318"/>
    <w:rsid w:val="00026426"/>
    <w:rsid w:val="0002648B"/>
    <w:rsid w:val="000264FD"/>
    <w:rsid w:val="0002673A"/>
    <w:rsid w:val="000267A9"/>
    <w:rsid w:val="00026FE8"/>
    <w:rsid w:val="000271A9"/>
    <w:rsid w:val="000271FD"/>
    <w:rsid w:val="000273BF"/>
    <w:rsid w:val="000274CD"/>
    <w:rsid w:val="00027784"/>
    <w:rsid w:val="00027C8D"/>
    <w:rsid w:val="00027DFB"/>
    <w:rsid w:val="00027F53"/>
    <w:rsid w:val="000302DF"/>
    <w:rsid w:val="00030428"/>
    <w:rsid w:val="00030474"/>
    <w:rsid w:val="0003052F"/>
    <w:rsid w:val="00030590"/>
    <w:rsid w:val="0003062E"/>
    <w:rsid w:val="00030A9B"/>
    <w:rsid w:val="00030BAA"/>
    <w:rsid w:val="00030D9D"/>
    <w:rsid w:val="00030F4B"/>
    <w:rsid w:val="00031103"/>
    <w:rsid w:val="00031BCC"/>
    <w:rsid w:val="00031D64"/>
    <w:rsid w:val="00031E16"/>
    <w:rsid w:val="00031ECB"/>
    <w:rsid w:val="000320B2"/>
    <w:rsid w:val="000323F1"/>
    <w:rsid w:val="000325B3"/>
    <w:rsid w:val="0003276A"/>
    <w:rsid w:val="000328D8"/>
    <w:rsid w:val="00032AA1"/>
    <w:rsid w:val="00032CED"/>
    <w:rsid w:val="00032DDF"/>
    <w:rsid w:val="00032E4A"/>
    <w:rsid w:val="00032FB5"/>
    <w:rsid w:val="00033398"/>
    <w:rsid w:val="000339CA"/>
    <w:rsid w:val="00033C37"/>
    <w:rsid w:val="000344C0"/>
    <w:rsid w:val="00034649"/>
    <w:rsid w:val="000346B8"/>
    <w:rsid w:val="000348BC"/>
    <w:rsid w:val="00034CF7"/>
    <w:rsid w:val="00034DD4"/>
    <w:rsid w:val="00034E32"/>
    <w:rsid w:val="00034E5E"/>
    <w:rsid w:val="00034FC4"/>
    <w:rsid w:val="000350BB"/>
    <w:rsid w:val="00035A44"/>
    <w:rsid w:val="00035A9E"/>
    <w:rsid w:val="00035C19"/>
    <w:rsid w:val="00035C38"/>
    <w:rsid w:val="0003608F"/>
    <w:rsid w:val="000360DB"/>
    <w:rsid w:val="00036920"/>
    <w:rsid w:val="000369E5"/>
    <w:rsid w:val="00036CB6"/>
    <w:rsid w:val="0003706E"/>
    <w:rsid w:val="000372BB"/>
    <w:rsid w:val="0003760E"/>
    <w:rsid w:val="00037624"/>
    <w:rsid w:val="00037640"/>
    <w:rsid w:val="000376F6"/>
    <w:rsid w:val="00037820"/>
    <w:rsid w:val="000378E3"/>
    <w:rsid w:val="0003799E"/>
    <w:rsid w:val="00037D50"/>
    <w:rsid w:val="00037E18"/>
    <w:rsid w:val="00037E55"/>
    <w:rsid w:val="00037EB4"/>
    <w:rsid w:val="00037FB0"/>
    <w:rsid w:val="00040097"/>
    <w:rsid w:val="00040494"/>
    <w:rsid w:val="0004055B"/>
    <w:rsid w:val="00040609"/>
    <w:rsid w:val="00040852"/>
    <w:rsid w:val="00040E42"/>
    <w:rsid w:val="0004104A"/>
    <w:rsid w:val="00041065"/>
    <w:rsid w:val="000412E8"/>
    <w:rsid w:val="000418F1"/>
    <w:rsid w:val="00041B48"/>
    <w:rsid w:val="00041E43"/>
    <w:rsid w:val="000421E6"/>
    <w:rsid w:val="000422FB"/>
    <w:rsid w:val="00042495"/>
    <w:rsid w:val="0004260E"/>
    <w:rsid w:val="00042ACE"/>
    <w:rsid w:val="00042D97"/>
    <w:rsid w:val="000430DF"/>
    <w:rsid w:val="00043249"/>
    <w:rsid w:val="00043276"/>
    <w:rsid w:val="00043481"/>
    <w:rsid w:val="00043897"/>
    <w:rsid w:val="00043929"/>
    <w:rsid w:val="00043AC6"/>
    <w:rsid w:val="00043BA3"/>
    <w:rsid w:val="00043BCD"/>
    <w:rsid w:val="00043D38"/>
    <w:rsid w:val="00043F82"/>
    <w:rsid w:val="00044476"/>
    <w:rsid w:val="0004450B"/>
    <w:rsid w:val="000449A5"/>
    <w:rsid w:val="00044DD2"/>
    <w:rsid w:val="00044F2D"/>
    <w:rsid w:val="00044F7D"/>
    <w:rsid w:val="00045065"/>
    <w:rsid w:val="000450AE"/>
    <w:rsid w:val="000457F4"/>
    <w:rsid w:val="00045942"/>
    <w:rsid w:val="00045E9B"/>
    <w:rsid w:val="000464FC"/>
    <w:rsid w:val="000465BA"/>
    <w:rsid w:val="000465EC"/>
    <w:rsid w:val="00046A2E"/>
    <w:rsid w:val="00046C59"/>
    <w:rsid w:val="00046CFC"/>
    <w:rsid w:val="00046E5C"/>
    <w:rsid w:val="00046E6A"/>
    <w:rsid w:val="00046FFE"/>
    <w:rsid w:val="00047570"/>
    <w:rsid w:val="0004783F"/>
    <w:rsid w:val="000479E8"/>
    <w:rsid w:val="00047A02"/>
    <w:rsid w:val="000501AB"/>
    <w:rsid w:val="000501B8"/>
    <w:rsid w:val="000504D2"/>
    <w:rsid w:val="00050803"/>
    <w:rsid w:val="00050A26"/>
    <w:rsid w:val="00050CDE"/>
    <w:rsid w:val="00050F70"/>
    <w:rsid w:val="000510E1"/>
    <w:rsid w:val="000514CF"/>
    <w:rsid w:val="00051B01"/>
    <w:rsid w:val="0005211F"/>
    <w:rsid w:val="0005234F"/>
    <w:rsid w:val="00052350"/>
    <w:rsid w:val="00052383"/>
    <w:rsid w:val="00052646"/>
    <w:rsid w:val="000526C9"/>
    <w:rsid w:val="000527F9"/>
    <w:rsid w:val="00052910"/>
    <w:rsid w:val="00052B34"/>
    <w:rsid w:val="00052D6E"/>
    <w:rsid w:val="0005326C"/>
    <w:rsid w:val="000532AA"/>
    <w:rsid w:val="00053458"/>
    <w:rsid w:val="00053694"/>
    <w:rsid w:val="00053733"/>
    <w:rsid w:val="0005383A"/>
    <w:rsid w:val="000538EC"/>
    <w:rsid w:val="00053B4C"/>
    <w:rsid w:val="00053CC9"/>
    <w:rsid w:val="00053F82"/>
    <w:rsid w:val="00054007"/>
    <w:rsid w:val="0005468E"/>
    <w:rsid w:val="00054BE2"/>
    <w:rsid w:val="00054C1D"/>
    <w:rsid w:val="00054E41"/>
    <w:rsid w:val="00054E6C"/>
    <w:rsid w:val="00054F1A"/>
    <w:rsid w:val="00054F5F"/>
    <w:rsid w:val="00054FB4"/>
    <w:rsid w:val="00055110"/>
    <w:rsid w:val="0005553E"/>
    <w:rsid w:val="00055A33"/>
    <w:rsid w:val="00055DE3"/>
    <w:rsid w:val="00056526"/>
    <w:rsid w:val="0005682F"/>
    <w:rsid w:val="00056C65"/>
    <w:rsid w:val="00056D90"/>
    <w:rsid w:val="00056E1C"/>
    <w:rsid w:val="0005708E"/>
    <w:rsid w:val="0005714B"/>
    <w:rsid w:val="0005714C"/>
    <w:rsid w:val="000571A7"/>
    <w:rsid w:val="000575D4"/>
    <w:rsid w:val="00057644"/>
    <w:rsid w:val="000576DE"/>
    <w:rsid w:val="00057AEC"/>
    <w:rsid w:val="00057FCF"/>
    <w:rsid w:val="000608A0"/>
    <w:rsid w:val="000608F8"/>
    <w:rsid w:val="00060A00"/>
    <w:rsid w:val="00060A67"/>
    <w:rsid w:val="00060D25"/>
    <w:rsid w:val="00061066"/>
    <w:rsid w:val="0006109E"/>
    <w:rsid w:val="0006118A"/>
    <w:rsid w:val="0006133B"/>
    <w:rsid w:val="00061542"/>
    <w:rsid w:val="000615C7"/>
    <w:rsid w:val="00061817"/>
    <w:rsid w:val="000618E9"/>
    <w:rsid w:val="000619B9"/>
    <w:rsid w:val="00061A43"/>
    <w:rsid w:val="00061B28"/>
    <w:rsid w:val="00061B83"/>
    <w:rsid w:val="00061C62"/>
    <w:rsid w:val="00061D30"/>
    <w:rsid w:val="00061E47"/>
    <w:rsid w:val="000623ED"/>
    <w:rsid w:val="00062540"/>
    <w:rsid w:val="0006273E"/>
    <w:rsid w:val="000627FD"/>
    <w:rsid w:val="00062A15"/>
    <w:rsid w:val="00062AC5"/>
    <w:rsid w:val="00062B04"/>
    <w:rsid w:val="00062FAE"/>
    <w:rsid w:val="0006309C"/>
    <w:rsid w:val="00063108"/>
    <w:rsid w:val="00063283"/>
    <w:rsid w:val="00063330"/>
    <w:rsid w:val="00063627"/>
    <w:rsid w:val="0006376F"/>
    <w:rsid w:val="0006394A"/>
    <w:rsid w:val="00063A1F"/>
    <w:rsid w:val="00063EA4"/>
    <w:rsid w:val="00064460"/>
    <w:rsid w:val="000644CB"/>
    <w:rsid w:val="0006452C"/>
    <w:rsid w:val="0006477D"/>
    <w:rsid w:val="000648FD"/>
    <w:rsid w:val="00064D43"/>
    <w:rsid w:val="0006558A"/>
    <w:rsid w:val="00065609"/>
    <w:rsid w:val="00065628"/>
    <w:rsid w:val="00065CA6"/>
    <w:rsid w:val="00065D6E"/>
    <w:rsid w:val="00066052"/>
    <w:rsid w:val="0006630E"/>
    <w:rsid w:val="0006662B"/>
    <w:rsid w:val="00066679"/>
    <w:rsid w:val="000667D7"/>
    <w:rsid w:val="000668F0"/>
    <w:rsid w:val="00066E53"/>
    <w:rsid w:val="00066F06"/>
    <w:rsid w:val="00066F0E"/>
    <w:rsid w:val="00066FB3"/>
    <w:rsid w:val="00067AF0"/>
    <w:rsid w:val="00067C5F"/>
    <w:rsid w:val="00067DD4"/>
    <w:rsid w:val="00067F52"/>
    <w:rsid w:val="0007003E"/>
    <w:rsid w:val="00070530"/>
    <w:rsid w:val="0007054E"/>
    <w:rsid w:val="0007055A"/>
    <w:rsid w:val="0007080F"/>
    <w:rsid w:val="00070B08"/>
    <w:rsid w:val="00071030"/>
    <w:rsid w:val="00071222"/>
    <w:rsid w:val="0007138E"/>
    <w:rsid w:val="0007142E"/>
    <w:rsid w:val="00071656"/>
    <w:rsid w:val="000718B3"/>
    <w:rsid w:val="0007194E"/>
    <w:rsid w:val="00071A9F"/>
    <w:rsid w:val="00071AC1"/>
    <w:rsid w:val="00071D3A"/>
    <w:rsid w:val="00071E33"/>
    <w:rsid w:val="00071EA3"/>
    <w:rsid w:val="00072029"/>
    <w:rsid w:val="0007209F"/>
    <w:rsid w:val="000721C4"/>
    <w:rsid w:val="000723C6"/>
    <w:rsid w:val="000726A0"/>
    <w:rsid w:val="000728BE"/>
    <w:rsid w:val="00072997"/>
    <w:rsid w:val="00072A8C"/>
    <w:rsid w:val="00072C3A"/>
    <w:rsid w:val="00073593"/>
    <w:rsid w:val="0007370F"/>
    <w:rsid w:val="00073991"/>
    <w:rsid w:val="000739AE"/>
    <w:rsid w:val="00073C6A"/>
    <w:rsid w:val="00073CC2"/>
    <w:rsid w:val="00073D58"/>
    <w:rsid w:val="00073E37"/>
    <w:rsid w:val="00073E45"/>
    <w:rsid w:val="00073F73"/>
    <w:rsid w:val="000740A5"/>
    <w:rsid w:val="0007426A"/>
    <w:rsid w:val="000743D8"/>
    <w:rsid w:val="00074647"/>
    <w:rsid w:val="00074738"/>
    <w:rsid w:val="00074B05"/>
    <w:rsid w:val="00074CA0"/>
    <w:rsid w:val="00074CD8"/>
    <w:rsid w:val="00074E24"/>
    <w:rsid w:val="00074F10"/>
    <w:rsid w:val="0007522A"/>
    <w:rsid w:val="000752C0"/>
    <w:rsid w:val="00075304"/>
    <w:rsid w:val="000754BA"/>
    <w:rsid w:val="000755E9"/>
    <w:rsid w:val="00075617"/>
    <w:rsid w:val="00075765"/>
    <w:rsid w:val="00075868"/>
    <w:rsid w:val="00075FA9"/>
    <w:rsid w:val="00076638"/>
    <w:rsid w:val="0007686C"/>
    <w:rsid w:val="00076C6B"/>
    <w:rsid w:val="00076C7B"/>
    <w:rsid w:val="00076D22"/>
    <w:rsid w:val="00076DAA"/>
    <w:rsid w:val="00076DAD"/>
    <w:rsid w:val="00076F86"/>
    <w:rsid w:val="00076FAB"/>
    <w:rsid w:val="00076FDF"/>
    <w:rsid w:val="000775F7"/>
    <w:rsid w:val="00077792"/>
    <w:rsid w:val="00077BA3"/>
    <w:rsid w:val="00077E77"/>
    <w:rsid w:val="00077F0A"/>
    <w:rsid w:val="00080197"/>
    <w:rsid w:val="00080677"/>
    <w:rsid w:val="0008098F"/>
    <w:rsid w:val="000809BA"/>
    <w:rsid w:val="00080C73"/>
    <w:rsid w:val="00080ECD"/>
    <w:rsid w:val="00080F18"/>
    <w:rsid w:val="00081155"/>
    <w:rsid w:val="000812B3"/>
    <w:rsid w:val="00081712"/>
    <w:rsid w:val="00081716"/>
    <w:rsid w:val="0008183F"/>
    <w:rsid w:val="00081CEA"/>
    <w:rsid w:val="00081D0E"/>
    <w:rsid w:val="00081E66"/>
    <w:rsid w:val="00081EAB"/>
    <w:rsid w:val="00081F46"/>
    <w:rsid w:val="000820D5"/>
    <w:rsid w:val="0008210C"/>
    <w:rsid w:val="00082211"/>
    <w:rsid w:val="000824F6"/>
    <w:rsid w:val="000825E1"/>
    <w:rsid w:val="00082606"/>
    <w:rsid w:val="000826F9"/>
    <w:rsid w:val="000828CD"/>
    <w:rsid w:val="00082D1C"/>
    <w:rsid w:val="000830BB"/>
    <w:rsid w:val="0008315B"/>
    <w:rsid w:val="00083224"/>
    <w:rsid w:val="00083390"/>
    <w:rsid w:val="000835B9"/>
    <w:rsid w:val="000835F4"/>
    <w:rsid w:val="00083659"/>
    <w:rsid w:val="00083B10"/>
    <w:rsid w:val="00083E72"/>
    <w:rsid w:val="00083F05"/>
    <w:rsid w:val="000840A5"/>
    <w:rsid w:val="000840EB"/>
    <w:rsid w:val="00084204"/>
    <w:rsid w:val="00084632"/>
    <w:rsid w:val="00084703"/>
    <w:rsid w:val="0008472C"/>
    <w:rsid w:val="00084C95"/>
    <w:rsid w:val="00084E09"/>
    <w:rsid w:val="00085490"/>
    <w:rsid w:val="0008579A"/>
    <w:rsid w:val="000857AF"/>
    <w:rsid w:val="00085860"/>
    <w:rsid w:val="00085A41"/>
    <w:rsid w:val="00085ACC"/>
    <w:rsid w:val="00085E55"/>
    <w:rsid w:val="00086185"/>
    <w:rsid w:val="000863AD"/>
    <w:rsid w:val="0008673F"/>
    <w:rsid w:val="000868E4"/>
    <w:rsid w:val="00086934"/>
    <w:rsid w:val="000869DB"/>
    <w:rsid w:val="00087176"/>
    <w:rsid w:val="0008773A"/>
    <w:rsid w:val="00087AA5"/>
    <w:rsid w:val="00087B9F"/>
    <w:rsid w:val="00087C54"/>
    <w:rsid w:val="00087FDB"/>
    <w:rsid w:val="0009007F"/>
    <w:rsid w:val="0009032A"/>
    <w:rsid w:val="000903B3"/>
    <w:rsid w:val="00090BF3"/>
    <w:rsid w:val="00090D8C"/>
    <w:rsid w:val="00090F60"/>
    <w:rsid w:val="00091331"/>
    <w:rsid w:val="000914F3"/>
    <w:rsid w:val="000916B1"/>
    <w:rsid w:val="0009197B"/>
    <w:rsid w:val="00091A04"/>
    <w:rsid w:val="00091A1D"/>
    <w:rsid w:val="00091A4A"/>
    <w:rsid w:val="00091DF5"/>
    <w:rsid w:val="0009202C"/>
    <w:rsid w:val="00092694"/>
    <w:rsid w:val="00092756"/>
    <w:rsid w:val="00092B5C"/>
    <w:rsid w:val="00092CC5"/>
    <w:rsid w:val="00092D0D"/>
    <w:rsid w:val="00092D12"/>
    <w:rsid w:val="00092D73"/>
    <w:rsid w:val="00092E49"/>
    <w:rsid w:val="00093078"/>
    <w:rsid w:val="0009308C"/>
    <w:rsid w:val="000930DA"/>
    <w:rsid w:val="000931EB"/>
    <w:rsid w:val="00093382"/>
    <w:rsid w:val="000933C9"/>
    <w:rsid w:val="00093550"/>
    <w:rsid w:val="000939A7"/>
    <w:rsid w:val="00093C27"/>
    <w:rsid w:val="00093EDE"/>
    <w:rsid w:val="0009408D"/>
    <w:rsid w:val="000941B8"/>
    <w:rsid w:val="00094280"/>
    <w:rsid w:val="00094450"/>
    <w:rsid w:val="000945C6"/>
    <w:rsid w:val="00094733"/>
    <w:rsid w:val="0009491A"/>
    <w:rsid w:val="00094D5F"/>
    <w:rsid w:val="00094EE2"/>
    <w:rsid w:val="000950C9"/>
    <w:rsid w:val="0009593B"/>
    <w:rsid w:val="00095EC1"/>
    <w:rsid w:val="00095FC6"/>
    <w:rsid w:val="00096110"/>
    <w:rsid w:val="00096430"/>
    <w:rsid w:val="0009667F"/>
    <w:rsid w:val="0009677E"/>
    <w:rsid w:val="00096977"/>
    <w:rsid w:val="00096B95"/>
    <w:rsid w:val="00096C0A"/>
    <w:rsid w:val="00096C1B"/>
    <w:rsid w:val="00096CDC"/>
    <w:rsid w:val="00096EE9"/>
    <w:rsid w:val="00096FC7"/>
    <w:rsid w:val="000976F3"/>
    <w:rsid w:val="0009777B"/>
    <w:rsid w:val="0009782A"/>
    <w:rsid w:val="000978A4"/>
    <w:rsid w:val="00097D6D"/>
    <w:rsid w:val="000A01BD"/>
    <w:rsid w:val="000A01E9"/>
    <w:rsid w:val="000A04E8"/>
    <w:rsid w:val="000A05F9"/>
    <w:rsid w:val="000A073E"/>
    <w:rsid w:val="000A07CE"/>
    <w:rsid w:val="000A080B"/>
    <w:rsid w:val="000A098B"/>
    <w:rsid w:val="000A0A38"/>
    <w:rsid w:val="000A0B9C"/>
    <w:rsid w:val="000A0CAD"/>
    <w:rsid w:val="000A0CBD"/>
    <w:rsid w:val="000A0D18"/>
    <w:rsid w:val="000A0EC5"/>
    <w:rsid w:val="000A0F17"/>
    <w:rsid w:val="000A148C"/>
    <w:rsid w:val="000A1951"/>
    <w:rsid w:val="000A209F"/>
    <w:rsid w:val="000A20CA"/>
    <w:rsid w:val="000A22BD"/>
    <w:rsid w:val="000A231E"/>
    <w:rsid w:val="000A25DD"/>
    <w:rsid w:val="000A260E"/>
    <w:rsid w:val="000A26BD"/>
    <w:rsid w:val="000A290D"/>
    <w:rsid w:val="000A29A8"/>
    <w:rsid w:val="000A2A37"/>
    <w:rsid w:val="000A2BC7"/>
    <w:rsid w:val="000A3623"/>
    <w:rsid w:val="000A3D3E"/>
    <w:rsid w:val="000A3F9C"/>
    <w:rsid w:val="000A4145"/>
    <w:rsid w:val="000A444E"/>
    <w:rsid w:val="000A495D"/>
    <w:rsid w:val="000A4AC8"/>
    <w:rsid w:val="000A4D58"/>
    <w:rsid w:val="000A4F54"/>
    <w:rsid w:val="000A514F"/>
    <w:rsid w:val="000A5313"/>
    <w:rsid w:val="000A55C5"/>
    <w:rsid w:val="000A580C"/>
    <w:rsid w:val="000A596A"/>
    <w:rsid w:val="000A5CE0"/>
    <w:rsid w:val="000A6017"/>
    <w:rsid w:val="000A616F"/>
    <w:rsid w:val="000A64DD"/>
    <w:rsid w:val="000A661C"/>
    <w:rsid w:val="000A679F"/>
    <w:rsid w:val="000A6990"/>
    <w:rsid w:val="000A6C73"/>
    <w:rsid w:val="000A709B"/>
    <w:rsid w:val="000A71A5"/>
    <w:rsid w:val="000A750C"/>
    <w:rsid w:val="000A7671"/>
    <w:rsid w:val="000A76D0"/>
    <w:rsid w:val="000A772C"/>
    <w:rsid w:val="000A778F"/>
    <w:rsid w:val="000A7837"/>
    <w:rsid w:val="000A799F"/>
    <w:rsid w:val="000A7AB4"/>
    <w:rsid w:val="000A7ADF"/>
    <w:rsid w:val="000A7DB4"/>
    <w:rsid w:val="000A7FEA"/>
    <w:rsid w:val="000B02AA"/>
    <w:rsid w:val="000B04F3"/>
    <w:rsid w:val="000B05DB"/>
    <w:rsid w:val="000B07D1"/>
    <w:rsid w:val="000B088A"/>
    <w:rsid w:val="000B0B93"/>
    <w:rsid w:val="000B11AA"/>
    <w:rsid w:val="000B144B"/>
    <w:rsid w:val="000B158F"/>
    <w:rsid w:val="000B1616"/>
    <w:rsid w:val="000B179B"/>
    <w:rsid w:val="000B1B5A"/>
    <w:rsid w:val="000B1E1B"/>
    <w:rsid w:val="000B1E48"/>
    <w:rsid w:val="000B2101"/>
    <w:rsid w:val="000B237D"/>
    <w:rsid w:val="000B23BA"/>
    <w:rsid w:val="000B2402"/>
    <w:rsid w:val="000B261E"/>
    <w:rsid w:val="000B2ADF"/>
    <w:rsid w:val="000B2EB9"/>
    <w:rsid w:val="000B2ED4"/>
    <w:rsid w:val="000B2FB3"/>
    <w:rsid w:val="000B31A2"/>
    <w:rsid w:val="000B334A"/>
    <w:rsid w:val="000B36B8"/>
    <w:rsid w:val="000B36C4"/>
    <w:rsid w:val="000B3A75"/>
    <w:rsid w:val="000B3DB8"/>
    <w:rsid w:val="000B4015"/>
    <w:rsid w:val="000B4206"/>
    <w:rsid w:val="000B42A2"/>
    <w:rsid w:val="000B4394"/>
    <w:rsid w:val="000B46DF"/>
    <w:rsid w:val="000B4AB0"/>
    <w:rsid w:val="000B4B69"/>
    <w:rsid w:val="000B4FC4"/>
    <w:rsid w:val="000B515A"/>
    <w:rsid w:val="000B5302"/>
    <w:rsid w:val="000B5332"/>
    <w:rsid w:val="000B5C90"/>
    <w:rsid w:val="000B5E06"/>
    <w:rsid w:val="000B5ED4"/>
    <w:rsid w:val="000B6339"/>
    <w:rsid w:val="000B680A"/>
    <w:rsid w:val="000B68F4"/>
    <w:rsid w:val="000B69A3"/>
    <w:rsid w:val="000B6A70"/>
    <w:rsid w:val="000B6B37"/>
    <w:rsid w:val="000B7103"/>
    <w:rsid w:val="000B7187"/>
    <w:rsid w:val="000B719B"/>
    <w:rsid w:val="000B7429"/>
    <w:rsid w:val="000B77E2"/>
    <w:rsid w:val="000B791F"/>
    <w:rsid w:val="000B7CA4"/>
    <w:rsid w:val="000B7DA0"/>
    <w:rsid w:val="000B7DB9"/>
    <w:rsid w:val="000B7ED5"/>
    <w:rsid w:val="000B7EE9"/>
    <w:rsid w:val="000C019D"/>
    <w:rsid w:val="000C0356"/>
    <w:rsid w:val="000C042D"/>
    <w:rsid w:val="000C065C"/>
    <w:rsid w:val="000C0DD5"/>
    <w:rsid w:val="000C10FA"/>
    <w:rsid w:val="000C112D"/>
    <w:rsid w:val="000C1148"/>
    <w:rsid w:val="000C13A4"/>
    <w:rsid w:val="000C1A0D"/>
    <w:rsid w:val="000C1AEF"/>
    <w:rsid w:val="000C1AF8"/>
    <w:rsid w:val="000C1D30"/>
    <w:rsid w:val="000C1ED6"/>
    <w:rsid w:val="000C201B"/>
    <w:rsid w:val="000C20ED"/>
    <w:rsid w:val="000C2162"/>
    <w:rsid w:val="000C21D1"/>
    <w:rsid w:val="000C224E"/>
    <w:rsid w:val="000C2504"/>
    <w:rsid w:val="000C2A16"/>
    <w:rsid w:val="000C2AA4"/>
    <w:rsid w:val="000C30A8"/>
    <w:rsid w:val="000C3119"/>
    <w:rsid w:val="000C34B8"/>
    <w:rsid w:val="000C3567"/>
    <w:rsid w:val="000C3569"/>
    <w:rsid w:val="000C3A1E"/>
    <w:rsid w:val="000C3BF6"/>
    <w:rsid w:val="000C3C51"/>
    <w:rsid w:val="000C3EF1"/>
    <w:rsid w:val="000C4344"/>
    <w:rsid w:val="000C43F2"/>
    <w:rsid w:val="000C4410"/>
    <w:rsid w:val="000C4516"/>
    <w:rsid w:val="000C477C"/>
    <w:rsid w:val="000C4956"/>
    <w:rsid w:val="000C49DA"/>
    <w:rsid w:val="000C4A8B"/>
    <w:rsid w:val="000C5155"/>
    <w:rsid w:val="000C560D"/>
    <w:rsid w:val="000C5639"/>
    <w:rsid w:val="000C57DE"/>
    <w:rsid w:val="000C5A3D"/>
    <w:rsid w:val="000C5CB6"/>
    <w:rsid w:val="000C5D93"/>
    <w:rsid w:val="000C5DB0"/>
    <w:rsid w:val="000C5E97"/>
    <w:rsid w:val="000C606B"/>
    <w:rsid w:val="000C60FF"/>
    <w:rsid w:val="000C61AD"/>
    <w:rsid w:val="000C61D8"/>
    <w:rsid w:val="000C63EF"/>
    <w:rsid w:val="000C6436"/>
    <w:rsid w:val="000C65B4"/>
    <w:rsid w:val="000C677C"/>
    <w:rsid w:val="000C6AAB"/>
    <w:rsid w:val="000C6FAB"/>
    <w:rsid w:val="000C724F"/>
    <w:rsid w:val="000C72C0"/>
    <w:rsid w:val="000C73C0"/>
    <w:rsid w:val="000C76FD"/>
    <w:rsid w:val="000C77C9"/>
    <w:rsid w:val="000C7805"/>
    <w:rsid w:val="000C7AB0"/>
    <w:rsid w:val="000C7CE2"/>
    <w:rsid w:val="000C7E62"/>
    <w:rsid w:val="000C7EBB"/>
    <w:rsid w:val="000C7EC8"/>
    <w:rsid w:val="000D044E"/>
    <w:rsid w:val="000D061D"/>
    <w:rsid w:val="000D0BBA"/>
    <w:rsid w:val="000D0DC9"/>
    <w:rsid w:val="000D0EF2"/>
    <w:rsid w:val="000D0EF7"/>
    <w:rsid w:val="000D11C3"/>
    <w:rsid w:val="000D13F7"/>
    <w:rsid w:val="000D1883"/>
    <w:rsid w:val="000D1982"/>
    <w:rsid w:val="000D1A63"/>
    <w:rsid w:val="000D1D2C"/>
    <w:rsid w:val="000D1DCD"/>
    <w:rsid w:val="000D2000"/>
    <w:rsid w:val="000D2183"/>
    <w:rsid w:val="000D2972"/>
    <w:rsid w:val="000D2B1E"/>
    <w:rsid w:val="000D2C19"/>
    <w:rsid w:val="000D2CFF"/>
    <w:rsid w:val="000D2DA7"/>
    <w:rsid w:val="000D303F"/>
    <w:rsid w:val="000D3084"/>
    <w:rsid w:val="000D3290"/>
    <w:rsid w:val="000D32A0"/>
    <w:rsid w:val="000D3430"/>
    <w:rsid w:val="000D3461"/>
    <w:rsid w:val="000D3501"/>
    <w:rsid w:val="000D3593"/>
    <w:rsid w:val="000D3B00"/>
    <w:rsid w:val="000D3D9B"/>
    <w:rsid w:val="000D3EA1"/>
    <w:rsid w:val="000D4250"/>
    <w:rsid w:val="000D451E"/>
    <w:rsid w:val="000D46DB"/>
    <w:rsid w:val="000D4892"/>
    <w:rsid w:val="000D4958"/>
    <w:rsid w:val="000D4B04"/>
    <w:rsid w:val="000D4D4C"/>
    <w:rsid w:val="000D4DB9"/>
    <w:rsid w:val="000D4EE5"/>
    <w:rsid w:val="000D4F8A"/>
    <w:rsid w:val="000D527F"/>
    <w:rsid w:val="000D532B"/>
    <w:rsid w:val="000D537B"/>
    <w:rsid w:val="000D54E9"/>
    <w:rsid w:val="000D583B"/>
    <w:rsid w:val="000D5BAE"/>
    <w:rsid w:val="000D6030"/>
    <w:rsid w:val="000D6082"/>
    <w:rsid w:val="000D60EB"/>
    <w:rsid w:val="000D6161"/>
    <w:rsid w:val="000D637A"/>
    <w:rsid w:val="000D63A4"/>
    <w:rsid w:val="000D64B6"/>
    <w:rsid w:val="000D6685"/>
    <w:rsid w:val="000D69EE"/>
    <w:rsid w:val="000D6AF3"/>
    <w:rsid w:val="000D6C5E"/>
    <w:rsid w:val="000D6D2B"/>
    <w:rsid w:val="000D7251"/>
    <w:rsid w:val="000D7374"/>
    <w:rsid w:val="000D739E"/>
    <w:rsid w:val="000D7611"/>
    <w:rsid w:val="000E0304"/>
    <w:rsid w:val="000E034E"/>
    <w:rsid w:val="000E06BB"/>
    <w:rsid w:val="000E0899"/>
    <w:rsid w:val="000E09A2"/>
    <w:rsid w:val="000E0B8E"/>
    <w:rsid w:val="000E0D09"/>
    <w:rsid w:val="000E0E3A"/>
    <w:rsid w:val="000E0F04"/>
    <w:rsid w:val="000E1078"/>
    <w:rsid w:val="000E11E9"/>
    <w:rsid w:val="000E1471"/>
    <w:rsid w:val="000E14AF"/>
    <w:rsid w:val="000E18C8"/>
    <w:rsid w:val="000E1C02"/>
    <w:rsid w:val="000E1C59"/>
    <w:rsid w:val="000E203A"/>
    <w:rsid w:val="000E2111"/>
    <w:rsid w:val="000E2151"/>
    <w:rsid w:val="000E21D4"/>
    <w:rsid w:val="000E22CA"/>
    <w:rsid w:val="000E267B"/>
    <w:rsid w:val="000E26B9"/>
    <w:rsid w:val="000E2893"/>
    <w:rsid w:val="000E2A5D"/>
    <w:rsid w:val="000E2E75"/>
    <w:rsid w:val="000E30DF"/>
    <w:rsid w:val="000E32C9"/>
    <w:rsid w:val="000E337E"/>
    <w:rsid w:val="000E3612"/>
    <w:rsid w:val="000E387B"/>
    <w:rsid w:val="000E38FB"/>
    <w:rsid w:val="000E3A23"/>
    <w:rsid w:val="000E3BF4"/>
    <w:rsid w:val="000E3D27"/>
    <w:rsid w:val="000E3F75"/>
    <w:rsid w:val="000E4351"/>
    <w:rsid w:val="000E443C"/>
    <w:rsid w:val="000E453E"/>
    <w:rsid w:val="000E4550"/>
    <w:rsid w:val="000E4554"/>
    <w:rsid w:val="000E45F0"/>
    <w:rsid w:val="000E4697"/>
    <w:rsid w:val="000E4C2D"/>
    <w:rsid w:val="000E501B"/>
    <w:rsid w:val="000E5095"/>
    <w:rsid w:val="000E5311"/>
    <w:rsid w:val="000E5A54"/>
    <w:rsid w:val="000E5B9A"/>
    <w:rsid w:val="000E5C56"/>
    <w:rsid w:val="000E6017"/>
    <w:rsid w:val="000E6530"/>
    <w:rsid w:val="000E661B"/>
    <w:rsid w:val="000E67D8"/>
    <w:rsid w:val="000E6E97"/>
    <w:rsid w:val="000E70D0"/>
    <w:rsid w:val="000E72C0"/>
    <w:rsid w:val="000E76CB"/>
    <w:rsid w:val="000E76D9"/>
    <w:rsid w:val="000E781D"/>
    <w:rsid w:val="000E7BC1"/>
    <w:rsid w:val="000E7C32"/>
    <w:rsid w:val="000E7F21"/>
    <w:rsid w:val="000E7F42"/>
    <w:rsid w:val="000E7F71"/>
    <w:rsid w:val="000F0590"/>
    <w:rsid w:val="000F0B02"/>
    <w:rsid w:val="000F0C68"/>
    <w:rsid w:val="000F0CB7"/>
    <w:rsid w:val="000F0D08"/>
    <w:rsid w:val="000F0FA9"/>
    <w:rsid w:val="000F1160"/>
    <w:rsid w:val="000F11EC"/>
    <w:rsid w:val="000F13F8"/>
    <w:rsid w:val="000F19DF"/>
    <w:rsid w:val="000F1A69"/>
    <w:rsid w:val="000F1BAB"/>
    <w:rsid w:val="000F1CB7"/>
    <w:rsid w:val="000F1F57"/>
    <w:rsid w:val="000F2107"/>
    <w:rsid w:val="000F2329"/>
    <w:rsid w:val="000F27F2"/>
    <w:rsid w:val="000F297C"/>
    <w:rsid w:val="000F2ABB"/>
    <w:rsid w:val="000F2CCD"/>
    <w:rsid w:val="000F2D4F"/>
    <w:rsid w:val="000F2E31"/>
    <w:rsid w:val="000F2EE3"/>
    <w:rsid w:val="000F2FE7"/>
    <w:rsid w:val="000F2FF6"/>
    <w:rsid w:val="000F316A"/>
    <w:rsid w:val="000F31F5"/>
    <w:rsid w:val="000F32B7"/>
    <w:rsid w:val="000F3424"/>
    <w:rsid w:val="000F35B1"/>
    <w:rsid w:val="000F3653"/>
    <w:rsid w:val="000F397E"/>
    <w:rsid w:val="000F3B93"/>
    <w:rsid w:val="000F3BE3"/>
    <w:rsid w:val="000F3D46"/>
    <w:rsid w:val="000F3E2B"/>
    <w:rsid w:val="000F3ED5"/>
    <w:rsid w:val="000F4085"/>
    <w:rsid w:val="000F4171"/>
    <w:rsid w:val="000F417D"/>
    <w:rsid w:val="000F4181"/>
    <w:rsid w:val="000F4193"/>
    <w:rsid w:val="000F4213"/>
    <w:rsid w:val="000F434E"/>
    <w:rsid w:val="000F4530"/>
    <w:rsid w:val="000F49B9"/>
    <w:rsid w:val="000F4A80"/>
    <w:rsid w:val="000F4ABB"/>
    <w:rsid w:val="000F4C0A"/>
    <w:rsid w:val="000F4C81"/>
    <w:rsid w:val="000F4DAA"/>
    <w:rsid w:val="000F51DD"/>
    <w:rsid w:val="000F544D"/>
    <w:rsid w:val="000F5764"/>
    <w:rsid w:val="000F57CB"/>
    <w:rsid w:val="000F5858"/>
    <w:rsid w:val="000F5D46"/>
    <w:rsid w:val="000F5DDA"/>
    <w:rsid w:val="000F60A0"/>
    <w:rsid w:val="000F6138"/>
    <w:rsid w:val="000F6161"/>
    <w:rsid w:val="000F61C1"/>
    <w:rsid w:val="000F6349"/>
    <w:rsid w:val="000F6539"/>
    <w:rsid w:val="000F6B5F"/>
    <w:rsid w:val="000F6BB3"/>
    <w:rsid w:val="000F6BC3"/>
    <w:rsid w:val="000F6C11"/>
    <w:rsid w:val="000F6F0B"/>
    <w:rsid w:val="000F7212"/>
    <w:rsid w:val="000F74A9"/>
    <w:rsid w:val="000F76CF"/>
    <w:rsid w:val="000F76DA"/>
    <w:rsid w:val="000F7AF6"/>
    <w:rsid w:val="000F7F7E"/>
    <w:rsid w:val="001001F2"/>
    <w:rsid w:val="0010024A"/>
    <w:rsid w:val="001002A3"/>
    <w:rsid w:val="0010062A"/>
    <w:rsid w:val="001006A7"/>
    <w:rsid w:val="001008D2"/>
    <w:rsid w:val="00100B9A"/>
    <w:rsid w:val="00100FD5"/>
    <w:rsid w:val="0010109A"/>
    <w:rsid w:val="0010111A"/>
    <w:rsid w:val="001012E7"/>
    <w:rsid w:val="00101792"/>
    <w:rsid w:val="001017F3"/>
    <w:rsid w:val="00101A8C"/>
    <w:rsid w:val="00101AB8"/>
    <w:rsid w:val="00101B44"/>
    <w:rsid w:val="00102589"/>
    <w:rsid w:val="00102698"/>
    <w:rsid w:val="00102733"/>
    <w:rsid w:val="00102806"/>
    <w:rsid w:val="001028E2"/>
    <w:rsid w:val="00102B33"/>
    <w:rsid w:val="00103090"/>
    <w:rsid w:val="00103188"/>
    <w:rsid w:val="0010327D"/>
    <w:rsid w:val="0010341D"/>
    <w:rsid w:val="0010357E"/>
    <w:rsid w:val="00103877"/>
    <w:rsid w:val="00103B7F"/>
    <w:rsid w:val="00103E99"/>
    <w:rsid w:val="00103F47"/>
    <w:rsid w:val="00103F8F"/>
    <w:rsid w:val="001040BF"/>
    <w:rsid w:val="00104147"/>
    <w:rsid w:val="001044F5"/>
    <w:rsid w:val="00104528"/>
    <w:rsid w:val="0010453B"/>
    <w:rsid w:val="0010472E"/>
    <w:rsid w:val="00104738"/>
    <w:rsid w:val="00104ACC"/>
    <w:rsid w:val="00104E77"/>
    <w:rsid w:val="00104F6A"/>
    <w:rsid w:val="00104F77"/>
    <w:rsid w:val="001053C6"/>
    <w:rsid w:val="00105855"/>
    <w:rsid w:val="00105D45"/>
    <w:rsid w:val="00105D96"/>
    <w:rsid w:val="00106052"/>
    <w:rsid w:val="001062AF"/>
    <w:rsid w:val="00106A08"/>
    <w:rsid w:val="00106BC9"/>
    <w:rsid w:val="00106DC5"/>
    <w:rsid w:val="00106E21"/>
    <w:rsid w:val="00107073"/>
    <w:rsid w:val="00107134"/>
    <w:rsid w:val="00107264"/>
    <w:rsid w:val="0010740E"/>
    <w:rsid w:val="00107B43"/>
    <w:rsid w:val="00107F26"/>
    <w:rsid w:val="00107F4E"/>
    <w:rsid w:val="001109CC"/>
    <w:rsid w:val="001109D6"/>
    <w:rsid w:val="00110B9F"/>
    <w:rsid w:val="00110BEC"/>
    <w:rsid w:val="00110BFE"/>
    <w:rsid w:val="00110D1C"/>
    <w:rsid w:val="00110D21"/>
    <w:rsid w:val="00111069"/>
    <w:rsid w:val="00111081"/>
    <w:rsid w:val="00111120"/>
    <w:rsid w:val="00111467"/>
    <w:rsid w:val="001115B4"/>
    <w:rsid w:val="001117BA"/>
    <w:rsid w:val="00111803"/>
    <w:rsid w:val="00111A7E"/>
    <w:rsid w:val="00111AD9"/>
    <w:rsid w:val="00111DAC"/>
    <w:rsid w:val="00111E00"/>
    <w:rsid w:val="0011206E"/>
    <w:rsid w:val="00112195"/>
    <w:rsid w:val="0011237D"/>
    <w:rsid w:val="00112666"/>
    <w:rsid w:val="00112BA6"/>
    <w:rsid w:val="0011313E"/>
    <w:rsid w:val="0011333A"/>
    <w:rsid w:val="001133C6"/>
    <w:rsid w:val="00113408"/>
    <w:rsid w:val="00113791"/>
    <w:rsid w:val="00113AE8"/>
    <w:rsid w:val="001140DE"/>
    <w:rsid w:val="00114470"/>
    <w:rsid w:val="0011475E"/>
    <w:rsid w:val="0011481F"/>
    <w:rsid w:val="00114A63"/>
    <w:rsid w:val="00114C30"/>
    <w:rsid w:val="001150E1"/>
    <w:rsid w:val="0011530A"/>
    <w:rsid w:val="00115323"/>
    <w:rsid w:val="00115425"/>
    <w:rsid w:val="00115B6D"/>
    <w:rsid w:val="00115C0B"/>
    <w:rsid w:val="00115C5F"/>
    <w:rsid w:val="00115DBC"/>
    <w:rsid w:val="00115DDF"/>
    <w:rsid w:val="00116408"/>
    <w:rsid w:val="00116E97"/>
    <w:rsid w:val="00117061"/>
    <w:rsid w:val="00117131"/>
    <w:rsid w:val="001172BD"/>
    <w:rsid w:val="001173F1"/>
    <w:rsid w:val="0011745A"/>
    <w:rsid w:val="00117497"/>
    <w:rsid w:val="001174D1"/>
    <w:rsid w:val="001175D3"/>
    <w:rsid w:val="00117B03"/>
    <w:rsid w:val="00117C40"/>
    <w:rsid w:val="00117C4C"/>
    <w:rsid w:val="00117F38"/>
    <w:rsid w:val="001207BB"/>
    <w:rsid w:val="0012088E"/>
    <w:rsid w:val="00120BB3"/>
    <w:rsid w:val="00120D19"/>
    <w:rsid w:val="00120D7A"/>
    <w:rsid w:val="00120E55"/>
    <w:rsid w:val="00120F77"/>
    <w:rsid w:val="00121060"/>
    <w:rsid w:val="00121233"/>
    <w:rsid w:val="00121458"/>
    <w:rsid w:val="0012162D"/>
    <w:rsid w:val="001217A2"/>
    <w:rsid w:val="00121A83"/>
    <w:rsid w:val="001220DB"/>
    <w:rsid w:val="001222FD"/>
    <w:rsid w:val="00122442"/>
    <w:rsid w:val="001225BD"/>
    <w:rsid w:val="00122816"/>
    <w:rsid w:val="001228B8"/>
    <w:rsid w:val="00122AA5"/>
    <w:rsid w:val="00122B17"/>
    <w:rsid w:val="00122B33"/>
    <w:rsid w:val="00122C8C"/>
    <w:rsid w:val="00122C8F"/>
    <w:rsid w:val="00122EB2"/>
    <w:rsid w:val="00122F2D"/>
    <w:rsid w:val="00122FA2"/>
    <w:rsid w:val="001233BA"/>
    <w:rsid w:val="0012350D"/>
    <w:rsid w:val="00123604"/>
    <w:rsid w:val="001236BF"/>
    <w:rsid w:val="0012381F"/>
    <w:rsid w:val="00123832"/>
    <w:rsid w:val="00123AB0"/>
    <w:rsid w:val="00123AC4"/>
    <w:rsid w:val="00123D4D"/>
    <w:rsid w:val="00124349"/>
    <w:rsid w:val="001243B7"/>
    <w:rsid w:val="001244AA"/>
    <w:rsid w:val="0012460E"/>
    <w:rsid w:val="001247E3"/>
    <w:rsid w:val="0012485E"/>
    <w:rsid w:val="00124C54"/>
    <w:rsid w:val="00124DB6"/>
    <w:rsid w:val="00124E51"/>
    <w:rsid w:val="00124ED1"/>
    <w:rsid w:val="001251F1"/>
    <w:rsid w:val="001252B0"/>
    <w:rsid w:val="00125383"/>
    <w:rsid w:val="0012570D"/>
    <w:rsid w:val="00125864"/>
    <w:rsid w:val="0012587E"/>
    <w:rsid w:val="00125A79"/>
    <w:rsid w:val="00125C2F"/>
    <w:rsid w:val="00125C39"/>
    <w:rsid w:val="00126091"/>
    <w:rsid w:val="0012620E"/>
    <w:rsid w:val="001262AE"/>
    <w:rsid w:val="0012632C"/>
    <w:rsid w:val="00126A1F"/>
    <w:rsid w:val="00126A97"/>
    <w:rsid w:val="001270C6"/>
    <w:rsid w:val="00127175"/>
    <w:rsid w:val="001277D2"/>
    <w:rsid w:val="0012787E"/>
    <w:rsid w:val="0012795E"/>
    <w:rsid w:val="00127B14"/>
    <w:rsid w:val="00127B54"/>
    <w:rsid w:val="00127D57"/>
    <w:rsid w:val="00127EA2"/>
    <w:rsid w:val="00127EA7"/>
    <w:rsid w:val="00127F9F"/>
    <w:rsid w:val="00130025"/>
    <w:rsid w:val="0013003C"/>
    <w:rsid w:val="001303DC"/>
    <w:rsid w:val="001304C1"/>
    <w:rsid w:val="0013058E"/>
    <w:rsid w:val="001307EC"/>
    <w:rsid w:val="001308BA"/>
    <w:rsid w:val="001308E2"/>
    <w:rsid w:val="001308FC"/>
    <w:rsid w:val="00130B1F"/>
    <w:rsid w:val="0013119C"/>
    <w:rsid w:val="00131768"/>
    <w:rsid w:val="001319F5"/>
    <w:rsid w:val="00131D22"/>
    <w:rsid w:val="00132088"/>
    <w:rsid w:val="001321A7"/>
    <w:rsid w:val="0013234F"/>
    <w:rsid w:val="0013254D"/>
    <w:rsid w:val="00132913"/>
    <w:rsid w:val="00132A5A"/>
    <w:rsid w:val="00132BA4"/>
    <w:rsid w:val="00132DFB"/>
    <w:rsid w:val="00132F0C"/>
    <w:rsid w:val="00133026"/>
    <w:rsid w:val="00133089"/>
    <w:rsid w:val="001332D9"/>
    <w:rsid w:val="0013344F"/>
    <w:rsid w:val="00133665"/>
    <w:rsid w:val="0013377C"/>
    <w:rsid w:val="001337FD"/>
    <w:rsid w:val="00133C7B"/>
    <w:rsid w:val="00133D41"/>
    <w:rsid w:val="00133E1A"/>
    <w:rsid w:val="00133E43"/>
    <w:rsid w:val="00133F8F"/>
    <w:rsid w:val="00134395"/>
    <w:rsid w:val="00134440"/>
    <w:rsid w:val="0013457C"/>
    <w:rsid w:val="0013476F"/>
    <w:rsid w:val="001347A1"/>
    <w:rsid w:val="001348A2"/>
    <w:rsid w:val="00134BDD"/>
    <w:rsid w:val="00134C2D"/>
    <w:rsid w:val="00134DDD"/>
    <w:rsid w:val="00134F95"/>
    <w:rsid w:val="0013505D"/>
    <w:rsid w:val="00135080"/>
    <w:rsid w:val="001351BF"/>
    <w:rsid w:val="00135343"/>
    <w:rsid w:val="001356C9"/>
    <w:rsid w:val="001357B2"/>
    <w:rsid w:val="00135A16"/>
    <w:rsid w:val="00135CE7"/>
    <w:rsid w:val="00135EDD"/>
    <w:rsid w:val="00136048"/>
    <w:rsid w:val="001362F7"/>
    <w:rsid w:val="0013651C"/>
    <w:rsid w:val="001368A6"/>
    <w:rsid w:val="00136900"/>
    <w:rsid w:val="001369C9"/>
    <w:rsid w:val="00136A9C"/>
    <w:rsid w:val="00136B89"/>
    <w:rsid w:val="00137082"/>
    <w:rsid w:val="00137159"/>
    <w:rsid w:val="0013751E"/>
    <w:rsid w:val="0013756B"/>
    <w:rsid w:val="00137590"/>
    <w:rsid w:val="001378FE"/>
    <w:rsid w:val="00137969"/>
    <w:rsid w:val="00137C07"/>
    <w:rsid w:val="00140061"/>
    <w:rsid w:val="001401E2"/>
    <w:rsid w:val="00140213"/>
    <w:rsid w:val="001402DF"/>
    <w:rsid w:val="001403A2"/>
    <w:rsid w:val="0014047D"/>
    <w:rsid w:val="00140489"/>
    <w:rsid w:val="001407A0"/>
    <w:rsid w:val="001407ED"/>
    <w:rsid w:val="001409D6"/>
    <w:rsid w:val="00140D7B"/>
    <w:rsid w:val="00140EA0"/>
    <w:rsid w:val="001410AD"/>
    <w:rsid w:val="0014110B"/>
    <w:rsid w:val="00141175"/>
    <w:rsid w:val="001411B4"/>
    <w:rsid w:val="0014136D"/>
    <w:rsid w:val="00141643"/>
    <w:rsid w:val="0014168A"/>
    <w:rsid w:val="001416A0"/>
    <w:rsid w:val="00141728"/>
    <w:rsid w:val="00141855"/>
    <w:rsid w:val="00141A32"/>
    <w:rsid w:val="00141AF6"/>
    <w:rsid w:val="00141E51"/>
    <w:rsid w:val="00142021"/>
    <w:rsid w:val="00142246"/>
    <w:rsid w:val="0014233C"/>
    <w:rsid w:val="001427E3"/>
    <w:rsid w:val="00142E0A"/>
    <w:rsid w:val="0014303E"/>
    <w:rsid w:val="00143138"/>
    <w:rsid w:val="001433A9"/>
    <w:rsid w:val="001433DD"/>
    <w:rsid w:val="00143DF2"/>
    <w:rsid w:val="00143E02"/>
    <w:rsid w:val="00143E18"/>
    <w:rsid w:val="00143F61"/>
    <w:rsid w:val="00143FEF"/>
    <w:rsid w:val="00144711"/>
    <w:rsid w:val="00144B7B"/>
    <w:rsid w:val="00144D07"/>
    <w:rsid w:val="00145027"/>
    <w:rsid w:val="001450F3"/>
    <w:rsid w:val="001452C0"/>
    <w:rsid w:val="001452C5"/>
    <w:rsid w:val="0014542D"/>
    <w:rsid w:val="0014552A"/>
    <w:rsid w:val="001457C0"/>
    <w:rsid w:val="0014599D"/>
    <w:rsid w:val="00145A41"/>
    <w:rsid w:val="00145D48"/>
    <w:rsid w:val="00146478"/>
    <w:rsid w:val="0014674C"/>
    <w:rsid w:val="00146ABA"/>
    <w:rsid w:val="00146AC9"/>
    <w:rsid w:val="00146B8C"/>
    <w:rsid w:val="00146EB8"/>
    <w:rsid w:val="0014719E"/>
    <w:rsid w:val="0014727A"/>
    <w:rsid w:val="00147499"/>
    <w:rsid w:val="001476C8"/>
    <w:rsid w:val="00147829"/>
    <w:rsid w:val="00147B85"/>
    <w:rsid w:val="00147BB3"/>
    <w:rsid w:val="00147D83"/>
    <w:rsid w:val="0015008C"/>
    <w:rsid w:val="001500D0"/>
    <w:rsid w:val="001507E6"/>
    <w:rsid w:val="00150925"/>
    <w:rsid w:val="00150AE3"/>
    <w:rsid w:val="00150EAD"/>
    <w:rsid w:val="00150F82"/>
    <w:rsid w:val="00151022"/>
    <w:rsid w:val="0015127C"/>
    <w:rsid w:val="0015135E"/>
    <w:rsid w:val="00151399"/>
    <w:rsid w:val="0015142E"/>
    <w:rsid w:val="0015153F"/>
    <w:rsid w:val="001515C0"/>
    <w:rsid w:val="0015174A"/>
    <w:rsid w:val="00151AC6"/>
    <w:rsid w:val="00151D20"/>
    <w:rsid w:val="00151D21"/>
    <w:rsid w:val="00151DDF"/>
    <w:rsid w:val="00152032"/>
    <w:rsid w:val="001523D2"/>
    <w:rsid w:val="001523F3"/>
    <w:rsid w:val="00152B82"/>
    <w:rsid w:val="00152C56"/>
    <w:rsid w:val="00152D05"/>
    <w:rsid w:val="00152ED1"/>
    <w:rsid w:val="00153061"/>
    <w:rsid w:val="001530A5"/>
    <w:rsid w:val="00153431"/>
    <w:rsid w:val="001534C3"/>
    <w:rsid w:val="001534E5"/>
    <w:rsid w:val="001536AA"/>
    <w:rsid w:val="00153703"/>
    <w:rsid w:val="0015386F"/>
    <w:rsid w:val="00153877"/>
    <w:rsid w:val="00153C4A"/>
    <w:rsid w:val="00153CB8"/>
    <w:rsid w:val="001543A0"/>
    <w:rsid w:val="001544AD"/>
    <w:rsid w:val="00154560"/>
    <w:rsid w:val="0015477C"/>
    <w:rsid w:val="0015484B"/>
    <w:rsid w:val="00154966"/>
    <w:rsid w:val="0015498F"/>
    <w:rsid w:val="00154CA4"/>
    <w:rsid w:val="00154DB5"/>
    <w:rsid w:val="00154F4E"/>
    <w:rsid w:val="00155032"/>
    <w:rsid w:val="001550EE"/>
    <w:rsid w:val="001551F1"/>
    <w:rsid w:val="00155273"/>
    <w:rsid w:val="001553C6"/>
    <w:rsid w:val="0015544F"/>
    <w:rsid w:val="0015573A"/>
    <w:rsid w:val="0015588C"/>
    <w:rsid w:val="00155A15"/>
    <w:rsid w:val="00155AA3"/>
    <w:rsid w:val="00155D3C"/>
    <w:rsid w:val="00155DAD"/>
    <w:rsid w:val="00155DCB"/>
    <w:rsid w:val="00155F67"/>
    <w:rsid w:val="00156142"/>
    <w:rsid w:val="00156354"/>
    <w:rsid w:val="00156510"/>
    <w:rsid w:val="00156556"/>
    <w:rsid w:val="00156678"/>
    <w:rsid w:val="0015668E"/>
    <w:rsid w:val="00156B50"/>
    <w:rsid w:val="00156E11"/>
    <w:rsid w:val="00156F18"/>
    <w:rsid w:val="00156FF7"/>
    <w:rsid w:val="0015767D"/>
    <w:rsid w:val="00157B42"/>
    <w:rsid w:val="001600A9"/>
    <w:rsid w:val="001601C7"/>
    <w:rsid w:val="001601CB"/>
    <w:rsid w:val="00160514"/>
    <w:rsid w:val="0016085E"/>
    <w:rsid w:val="00160930"/>
    <w:rsid w:val="001609AB"/>
    <w:rsid w:val="001609BA"/>
    <w:rsid w:val="001609C8"/>
    <w:rsid w:val="00160ADA"/>
    <w:rsid w:val="00160BC0"/>
    <w:rsid w:val="00160C00"/>
    <w:rsid w:val="00160C87"/>
    <w:rsid w:val="00160CFE"/>
    <w:rsid w:val="001615ED"/>
    <w:rsid w:val="00161683"/>
    <w:rsid w:val="001618A8"/>
    <w:rsid w:val="001619A8"/>
    <w:rsid w:val="00161B77"/>
    <w:rsid w:val="00161BD1"/>
    <w:rsid w:val="00161CB1"/>
    <w:rsid w:val="00161CD1"/>
    <w:rsid w:val="001620C1"/>
    <w:rsid w:val="0016218F"/>
    <w:rsid w:val="00162202"/>
    <w:rsid w:val="001624E2"/>
    <w:rsid w:val="001626BE"/>
    <w:rsid w:val="0016282D"/>
    <w:rsid w:val="001629E4"/>
    <w:rsid w:val="00162A6C"/>
    <w:rsid w:val="001634E0"/>
    <w:rsid w:val="00163636"/>
    <w:rsid w:val="00163CD7"/>
    <w:rsid w:val="00163D59"/>
    <w:rsid w:val="001640B1"/>
    <w:rsid w:val="001644FD"/>
    <w:rsid w:val="001645F1"/>
    <w:rsid w:val="00164655"/>
    <w:rsid w:val="0016479D"/>
    <w:rsid w:val="00164F24"/>
    <w:rsid w:val="0016528A"/>
    <w:rsid w:val="001653AB"/>
    <w:rsid w:val="001653F7"/>
    <w:rsid w:val="00165482"/>
    <w:rsid w:val="00165659"/>
    <w:rsid w:val="00165699"/>
    <w:rsid w:val="001656C6"/>
    <w:rsid w:val="0016580F"/>
    <w:rsid w:val="001658D4"/>
    <w:rsid w:val="00165960"/>
    <w:rsid w:val="00165DCD"/>
    <w:rsid w:val="001660E5"/>
    <w:rsid w:val="001661B7"/>
    <w:rsid w:val="0016635B"/>
    <w:rsid w:val="001663B1"/>
    <w:rsid w:val="00166419"/>
    <w:rsid w:val="001668ED"/>
    <w:rsid w:val="0016690D"/>
    <w:rsid w:val="0016694D"/>
    <w:rsid w:val="00166C87"/>
    <w:rsid w:val="00166EB8"/>
    <w:rsid w:val="00166FF9"/>
    <w:rsid w:val="001672AC"/>
    <w:rsid w:val="00167521"/>
    <w:rsid w:val="001675F4"/>
    <w:rsid w:val="0016768F"/>
    <w:rsid w:val="001676D9"/>
    <w:rsid w:val="001677D0"/>
    <w:rsid w:val="00167A77"/>
    <w:rsid w:val="00167AD9"/>
    <w:rsid w:val="00167B8B"/>
    <w:rsid w:val="00167BE8"/>
    <w:rsid w:val="00167DB0"/>
    <w:rsid w:val="00167E53"/>
    <w:rsid w:val="00167E7E"/>
    <w:rsid w:val="00167FFE"/>
    <w:rsid w:val="0017022E"/>
    <w:rsid w:val="001702FD"/>
    <w:rsid w:val="001703F7"/>
    <w:rsid w:val="001705C7"/>
    <w:rsid w:val="00170748"/>
    <w:rsid w:val="00170B10"/>
    <w:rsid w:val="00170B78"/>
    <w:rsid w:val="00170DD0"/>
    <w:rsid w:val="00170DDB"/>
    <w:rsid w:val="00170FE2"/>
    <w:rsid w:val="0017118F"/>
    <w:rsid w:val="001711C9"/>
    <w:rsid w:val="001711E8"/>
    <w:rsid w:val="0017147C"/>
    <w:rsid w:val="001714C4"/>
    <w:rsid w:val="00171A2F"/>
    <w:rsid w:val="00171A41"/>
    <w:rsid w:val="00172056"/>
    <w:rsid w:val="0017227B"/>
    <w:rsid w:val="001725F1"/>
    <w:rsid w:val="00172686"/>
    <w:rsid w:val="0017279D"/>
    <w:rsid w:val="001729C8"/>
    <w:rsid w:val="00172AE8"/>
    <w:rsid w:val="00172BCF"/>
    <w:rsid w:val="00172ED7"/>
    <w:rsid w:val="0017324D"/>
    <w:rsid w:val="0017341B"/>
    <w:rsid w:val="00173676"/>
    <w:rsid w:val="001736E2"/>
    <w:rsid w:val="00173C4D"/>
    <w:rsid w:val="00173CDB"/>
    <w:rsid w:val="001741A2"/>
    <w:rsid w:val="001742AF"/>
    <w:rsid w:val="00174390"/>
    <w:rsid w:val="0017442F"/>
    <w:rsid w:val="0017451B"/>
    <w:rsid w:val="00174668"/>
    <w:rsid w:val="001746CC"/>
    <w:rsid w:val="00174707"/>
    <w:rsid w:val="00174C9B"/>
    <w:rsid w:val="00174DD6"/>
    <w:rsid w:val="00174FEF"/>
    <w:rsid w:val="00175205"/>
    <w:rsid w:val="0017539A"/>
    <w:rsid w:val="001753DE"/>
    <w:rsid w:val="00175605"/>
    <w:rsid w:val="001757BA"/>
    <w:rsid w:val="00175F35"/>
    <w:rsid w:val="001760A3"/>
    <w:rsid w:val="0017627D"/>
    <w:rsid w:val="00176905"/>
    <w:rsid w:val="001769BC"/>
    <w:rsid w:val="00176AB3"/>
    <w:rsid w:val="00176C47"/>
    <w:rsid w:val="00176DE7"/>
    <w:rsid w:val="00176E0E"/>
    <w:rsid w:val="00176EA5"/>
    <w:rsid w:val="001770BC"/>
    <w:rsid w:val="001771E0"/>
    <w:rsid w:val="0017729B"/>
    <w:rsid w:val="00177781"/>
    <w:rsid w:val="001779E1"/>
    <w:rsid w:val="001779F5"/>
    <w:rsid w:val="00177A3F"/>
    <w:rsid w:val="00177B91"/>
    <w:rsid w:val="00177ED9"/>
    <w:rsid w:val="0018001A"/>
    <w:rsid w:val="001804AD"/>
    <w:rsid w:val="00180535"/>
    <w:rsid w:val="00180624"/>
    <w:rsid w:val="00180DDD"/>
    <w:rsid w:val="00180EB8"/>
    <w:rsid w:val="0018111C"/>
    <w:rsid w:val="00181129"/>
    <w:rsid w:val="00181322"/>
    <w:rsid w:val="001814DF"/>
    <w:rsid w:val="001816BF"/>
    <w:rsid w:val="00181717"/>
    <w:rsid w:val="001817F4"/>
    <w:rsid w:val="00181816"/>
    <w:rsid w:val="0018191E"/>
    <w:rsid w:val="001819BA"/>
    <w:rsid w:val="00181C2A"/>
    <w:rsid w:val="00181DE5"/>
    <w:rsid w:val="001822C4"/>
    <w:rsid w:val="00182863"/>
    <w:rsid w:val="00182C88"/>
    <w:rsid w:val="00182CB4"/>
    <w:rsid w:val="00182D19"/>
    <w:rsid w:val="0018300E"/>
    <w:rsid w:val="00183057"/>
    <w:rsid w:val="0018305F"/>
    <w:rsid w:val="00183318"/>
    <w:rsid w:val="00183384"/>
    <w:rsid w:val="00183391"/>
    <w:rsid w:val="0018371E"/>
    <w:rsid w:val="001839CD"/>
    <w:rsid w:val="00183C1B"/>
    <w:rsid w:val="00183E58"/>
    <w:rsid w:val="00183F27"/>
    <w:rsid w:val="001840E8"/>
    <w:rsid w:val="00184193"/>
    <w:rsid w:val="0018467B"/>
    <w:rsid w:val="0018497E"/>
    <w:rsid w:val="00184C47"/>
    <w:rsid w:val="00184D28"/>
    <w:rsid w:val="00184E93"/>
    <w:rsid w:val="00185034"/>
    <w:rsid w:val="001852F1"/>
    <w:rsid w:val="00185372"/>
    <w:rsid w:val="00185861"/>
    <w:rsid w:val="00185872"/>
    <w:rsid w:val="0018593A"/>
    <w:rsid w:val="00185AC6"/>
    <w:rsid w:val="00185B19"/>
    <w:rsid w:val="00185F9D"/>
    <w:rsid w:val="00186228"/>
    <w:rsid w:val="00186255"/>
    <w:rsid w:val="00186573"/>
    <w:rsid w:val="001867FD"/>
    <w:rsid w:val="00186B93"/>
    <w:rsid w:val="00186C4D"/>
    <w:rsid w:val="00186DCC"/>
    <w:rsid w:val="001870D4"/>
    <w:rsid w:val="001870D8"/>
    <w:rsid w:val="00187138"/>
    <w:rsid w:val="001871C6"/>
    <w:rsid w:val="00187235"/>
    <w:rsid w:val="00187599"/>
    <w:rsid w:val="00187731"/>
    <w:rsid w:val="00187784"/>
    <w:rsid w:val="001878D8"/>
    <w:rsid w:val="00187961"/>
    <w:rsid w:val="00187A8F"/>
    <w:rsid w:val="00187E13"/>
    <w:rsid w:val="00190268"/>
    <w:rsid w:val="0019040B"/>
    <w:rsid w:val="0019046E"/>
    <w:rsid w:val="00190552"/>
    <w:rsid w:val="001905EC"/>
    <w:rsid w:val="001907B6"/>
    <w:rsid w:val="00190836"/>
    <w:rsid w:val="0019083F"/>
    <w:rsid w:val="001908D6"/>
    <w:rsid w:val="00190956"/>
    <w:rsid w:val="00190CC1"/>
    <w:rsid w:val="00190DF2"/>
    <w:rsid w:val="00190E84"/>
    <w:rsid w:val="001912CE"/>
    <w:rsid w:val="001913EA"/>
    <w:rsid w:val="0019173D"/>
    <w:rsid w:val="001917BC"/>
    <w:rsid w:val="001917CE"/>
    <w:rsid w:val="00191D8F"/>
    <w:rsid w:val="00191F95"/>
    <w:rsid w:val="00192061"/>
    <w:rsid w:val="00192096"/>
    <w:rsid w:val="00192119"/>
    <w:rsid w:val="00192453"/>
    <w:rsid w:val="0019273A"/>
    <w:rsid w:val="00192A20"/>
    <w:rsid w:val="00192C08"/>
    <w:rsid w:val="00192E7B"/>
    <w:rsid w:val="00192F6C"/>
    <w:rsid w:val="00192F9F"/>
    <w:rsid w:val="001930F5"/>
    <w:rsid w:val="001931E7"/>
    <w:rsid w:val="0019327B"/>
    <w:rsid w:val="00193425"/>
    <w:rsid w:val="001934BD"/>
    <w:rsid w:val="00193A52"/>
    <w:rsid w:val="00193C3D"/>
    <w:rsid w:val="00193D16"/>
    <w:rsid w:val="00193D1B"/>
    <w:rsid w:val="00193F95"/>
    <w:rsid w:val="0019410C"/>
    <w:rsid w:val="00194769"/>
    <w:rsid w:val="00194E45"/>
    <w:rsid w:val="00194FE6"/>
    <w:rsid w:val="001950AE"/>
    <w:rsid w:val="00195302"/>
    <w:rsid w:val="00195680"/>
    <w:rsid w:val="00195981"/>
    <w:rsid w:val="00195BDA"/>
    <w:rsid w:val="00195CA0"/>
    <w:rsid w:val="00195F46"/>
    <w:rsid w:val="001961A5"/>
    <w:rsid w:val="00196696"/>
    <w:rsid w:val="0019686E"/>
    <w:rsid w:val="00196967"/>
    <w:rsid w:val="001969B9"/>
    <w:rsid w:val="00196B16"/>
    <w:rsid w:val="00196D0B"/>
    <w:rsid w:val="001972BE"/>
    <w:rsid w:val="0019768F"/>
    <w:rsid w:val="00197728"/>
    <w:rsid w:val="00197816"/>
    <w:rsid w:val="00197D46"/>
    <w:rsid w:val="001A001B"/>
    <w:rsid w:val="001A00B0"/>
    <w:rsid w:val="001A0127"/>
    <w:rsid w:val="001A0165"/>
    <w:rsid w:val="001A0506"/>
    <w:rsid w:val="001A06A1"/>
    <w:rsid w:val="001A06CD"/>
    <w:rsid w:val="001A07B2"/>
    <w:rsid w:val="001A0900"/>
    <w:rsid w:val="001A0A7F"/>
    <w:rsid w:val="001A0AD6"/>
    <w:rsid w:val="001A0C3A"/>
    <w:rsid w:val="001A0DB5"/>
    <w:rsid w:val="001A0E4B"/>
    <w:rsid w:val="001A0EBC"/>
    <w:rsid w:val="001A13F1"/>
    <w:rsid w:val="001A15AE"/>
    <w:rsid w:val="001A17B5"/>
    <w:rsid w:val="001A17DF"/>
    <w:rsid w:val="001A1B78"/>
    <w:rsid w:val="001A1E13"/>
    <w:rsid w:val="001A1FB7"/>
    <w:rsid w:val="001A22CA"/>
    <w:rsid w:val="001A2731"/>
    <w:rsid w:val="001A278A"/>
    <w:rsid w:val="001A2A54"/>
    <w:rsid w:val="001A2DDF"/>
    <w:rsid w:val="001A3563"/>
    <w:rsid w:val="001A39EF"/>
    <w:rsid w:val="001A3C05"/>
    <w:rsid w:val="001A3F7C"/>
    <w:rsid w:val="001A4068"/>
    <w:rsid w:val="001A4200"/>
    <w:rsid w:val="001A43EA"/>
    <w:rsid w:val="001A4584"/>
    <w:rsid w:val="001A4A7B"/>
    <w:rsid w:val="001A4C30"/>
    <w:rsid w:val="001A4DE7"/>
    <w:rsid w:val="001A4EBD"/>
    <w:rsid w:val="001A504A"/>
    <w:rsid w:val="001A5127"/>
    <w:rsid w:val="001A535B"/>
    <w:rsid w:val="001A5377"/>
    <w:rsid w:val="001A5B03"/>
    <w:rsid w:val="001A5B2A"/>
    <w:rsid w:val="001A5C5A"/>
    <w:rsid w:val="001A6192"/>
    <w:rsid w:val="001A63D1"/>
    <w:rsid w:val="001A6426"/>
    <w:rsid w:val="001A64B1"/>
    <w:rsid w:val="001A6B26"/>
    <w:rsid w:val="001A71BC"/>
    <w:rsid w:val="001A773E"/>
    <w:rsid w:val="001A7C1E"/>
    <w:rsid w:val="001A7C60"/>
    <w:rsid w:val="001A7D05"/>
    <w:rsid w:val="001A7F72"/>
    <w:rsid w:val="001B0019"/>
    <w:rsid w:val="001B018F"/>
    <w:rsid w:val="001B01D5"/>
    <w:rsid w:val="001B03CC"/>
    <w:rsid w:val="001B0454"/>
    <w:rsid w:val="001B056D"/>
    <w:rsid w:val="001B08A1"/>
    <w:rsid w:val="001B08EC"/>
    <w:rsid w:val="001B116C"/>
    <w:rsid w:val="001B13A4"/>
    <w:rsid w:val="001B1646"/>
    <w:rsid w:val="001B1B8B"/>
    <w:rsid w:val="001B1E70"/>
    <w:rsid w:val="001B22F0"/>
    <w:rsid w:val="001B244F"/>
    <w:rsid w:val="001B2674"/>
    <w:rsid w:val="001B2891"/>
    <w:rsid w:val="001B2988"/>
    <w:rsid w:val="001B2DC2"/>
    <w:rsid w:val="001B2F92"/>
    <w:rsid w:val="001B3495"/>
    <w:rsid w:val="001B35A0"/>
    <w:rsid w:val="001B3ACB"/>
    <w:rsid w:val="001B3BF7"/>
    <w:rsid w:val="001B3CCD"/>
    <w:rsid w:val="001B3DDF"/>
    <w:rsid w:val="001B3F4E"/>
    <w:rsid w:val="001B4066"/>
    <w:rsid w:val="001B41D6"/>
    <w:rsid w:val="001B42E4"/>
    <w:rsid w:val="001B4E70"/>
    <w:rsid w:val="001B4FEA"/>
    <w:rsid w:val="001B544F"/>
    <w:rsid w:val="001B5557"/>
    <w:rsid w:val="001B5682"/>
    <w:rsid w:val="001B5798"/>
    <w:rsid w:val="001B58F8"/>
    <w:rsid w:val="001B5D3D"/>
    <w:rsid w:val="001B5F85"/>
    <w:rsid w:val="001B61E3"/>
    <w:rsid w:val="001B6248"/>
    <w:rsid w:val="001B6358"/>
    <w:rsid w:val="001B6594"/>
    <w:rsid w:val="001B67CC"/>
    <w:rsid w:val="001B6AA1"/>
    <w:rsid w:val="001B6ACC"/>
    <w:rsid w:val="001B6B0C"/>
    <w:rsid w:val="001B6CD3"/>
    <w:rsid w:val="001B6E32"/>
    <w:rsid w:val="001B7170"/>
    <w:rsid w:val="001B726D"/>
    <w:rsid w:val="001B78E7"/>
    <w:rsid w:val="001B7E3B"/>
    <w:rsid w:val="001B7F45"/>
    <w:rsid w:val="001B7F4E"/>
    <w:rsid w:val="001C04CA"/>
    <w:rsid w:val="001C05F4"/>
    <w:rsid w:val="001C0727"/>
    <w:rsid w:val="001C08E7"/>
    <w:rsid w:val="001C0A7C"/>
    <w:rsid w:val="001C0D39"/>
    <w:rsid w:val="001C116A"/>
    <w:rsid w:val="001C11EC"/>
    <w:rsid w:val="001C128E"/>
    <w:rsid w:val="001C13BC"/>
    <w:rsid w:val="001C13BE"/>
    <w:rsid w:val="001C142D"/>
    <w:rsid w:val="001C1440"/>
    <w:rsid w:val="001C14D0"/>
    <w:rsid w:val="001C15BD"/>
    <w:rsid w:val="001C1636"/>
    <w:rsid w:val="001C1681"/>
    <w:rsid w:val="001C1773"/>
    <w:rsid w:val="001C1BF9"/>
    <w:rsid w:val="001C1EDD"/>
    <w:rsid w:val="001C1EF9"/>
    <w:rsid w:val="001C1F31"/>
    <w:rsid w:val="001C20C0"/>
    <w:rsid w:val="001C2275"/>
    <w:rsid w:val="001C26BB"/>
    <w:rsid w:val="001C2707"/>
    <w:rsid w:val="001C287A"/>
    <w:rsid w:val="001C2A7D"/>
    <w:rsid w:val="001C2BC5"/>
    <w:rsid w:val="001C3580"/>
    <w:rsid w:val="001C3ABD"/>
    <w:rsid w:val="001C3E2A"/>
    <w:rsid w:val="001C4295"/>
    <w:rsid w:val="001C4320"/>
    <w:rsid w:val="001C4A8E"/>
    <w:rsid w:val="001C4D9A"/>
    <w:rsid w:val="001C4FA4"/>
    <w:rsid w:val="001C4FFB"/>
    <w:rsid w:val="001C5336"/>
    <w:rsid w:val="001C5517"/>
    <w:rsid w:val="001C5553"/>
    <w:rsid w:val="001C5629"/>
    <w:rsid w:val="001C5754"/>
    <w:rsid w:val="001C5B08"/>
    <w:rsid w:val="001C5D02"/>
    <w:rsid w:val="001C5E66"/>
    <w:rsid w:val="001C60BB"/>
    <w:rsid w:val="001C61CF"/>
    <w:rsid w:val="001C6404"/>
    <w:rsid w:val="001C6B55"/>
    <w:rsid w:val="001C6C4D"/>
    <w:rsid w:val="001C6EDC"/>
    <w:rsid w:val="001C7064"/>
    <w:rsid w:val="001C720D"/>
    <w:rsid w:val="001C737A"/>
    <w:rsid w:val="001C7946"/>
    <w:rsid w:val="001C7995"/>
    <w:rsid w:val="001D0404"/>
    <w:rsid w:val="001D0C24"/>
    <w:rsid w:val="001D0E5D"/>
    <w:rsid w:val="001D0F02"/>
    <w:rsid w:val="001D120E"/>
    <w:rsid w:val="001D12BB"/>
    <w:rsid w:val="001D140E"/>
    <w:rsid w:val="001D2088"/>
    <w:rsid w:val="001D266E"/>
    <w:rsid w:val="001D291A"/>
    <w:rsid w:val="001D2973"/>
    <w:rsid w:val="001D2D9D"/>
    <w:rsid w:val="001D2FB6"/>
    <w:rsid w:val="001D33FD"/>
    <w:rsid w:val="001D34A1"/>
    <w:rsid w:val="001D35E6"/>
    <w:rsid w:val="001D36B8"/>
    <w:rsid w:val="001D36C6"/>
    <w:rsid w:val="001D3741"/>
    <w:rsid w:val="001D3795"/>
    <w:rsid w:val="001D3995"/>
    <w:rsid w:val="001D3A61"/>
    <w:rsid w:val="001D3A79"/>
    <w:rsid w:val="001D3C37"/>
    <w:rsid w:val="001D3FFA"/>
    <w:rsid w:val="001D4459"/>
    <w:rsid w:val="001D4539"/>
    <w:rsid w:val="001D455E"/>
    <w:rsid w:val="001D4719"/>
    <w:rsid w:val="001D47A8"/>
    <w:rsid w:val="001D4A81"/>
    <w:rsid w:val="001D4D43"/>
    <w:rsid w:val="001D4E1D"/>
    <w:rsid w:val="001D4F1D"/>
    <w:rsid w:val="001D4F87"/>
    <w:rsid w:val="001D5238"/>
    <w:rsid w:val="001D525C"/>
    <w:rsid w:val="001D52F3"/>
    <w:rsid w:val="001D5470"/>
    <w:rsid w:val="001D5690"/>
    <w:rsid w:val="001D5752"/>
    <w:rsid w:val="001D57CD"/>
    <w:rsid w:val="001D5CEC"/>
    <w:rsid w:val="001D5D3D"/>
    <w:rsid w:val="001D5FB2"/>
    <w:rsid w:val="001D620D"/>
    <w:rsid w:val="001D64D5"/>
    <w:rsid w:val="001D67CC"/>
    <w:rsid w:val="001D67CF"/>
    <w:rsid w:val="001D685E"/>
    <w:rsid w:val="001D6C9F"/>
    <w:rsid w:val="001D6D0A"/>
    <w:rsid w:val="001D6D6A"/>
    <w:rsid w:val="001D70C9"/>
    <w:rsid w:val="001D71B8"/>
    <w:rsid w:val="001D72F3"/>
    <w:rsid w:val="001D7B3C"/>
    <w:rsid w:val="001D7CD3"/>
    <w:rsid w:val="001D7DC5"/>
    <w:rsid w:val="001E0068"/>
    <w:rsid w:val="001E02E8"/>
    <w:rsid w:val="001E081B"/>
    <w:rsid w:val="001E0959"/>
    <w:rsid w:val="001E0C0A"/>
    <w:rsid w:val="001E0E42"/>
    <w:rsid w:val="001E124B"/>
    <w:rsid w:val="001E15A5"/>
    <w:rsid w:val="001E19CA"/>
    <w:rsid w:val="001E1A17"/>
    <w:rsid w:val="001E1CFE"/>
    <w:rsid w:val="001E1D74"/>
    <w:rsid w:val="001E1FBB"/>
    <w:rsid w:val="001E22F2"/>
    <w:rsid w:val="001E231B"/>
    <w:rsid w:val="001E2386"/>
    <w:rsid w:val="001E2B8B"/>
    <w:rsid w:val="001E2BF6"/>
    <w:rsid w:val="001E2C70"/>
    <w:rsid w:val="001E2C7D"/>
    <w:rsid w:val="001E2CBE"/>
    <w:rsid w:val="001E2DA4"/>
    <w:rsid w:val="001E2DC9"/>
    <w:rsid w:val="001E2EEE"/>
    <w:rsid w:val="001E2EF1"/>
    <w:rsid w:val="001E2F5D"/>
    <w:rsid w:val="001E3246"/>
    <w:rsid w:val="001E32CE"/>
    <w:rsid w:val="001E33EE"/>
    <w:rsid w:val="001E3780"/>
    <w:rsid w:val="001E38CE"/>
    <w:rsid w:val="001E39AC"/>
    <w:rsid w:val="001E39B8"/>
    <w:rsid w:val="001E3C89"/>
    <w:rsid w:val="001E3E55"/>
    <w:rsid w:val="001E3EA5"/>
    <w:rsid w:val="001E3FE6"/>
    <w:rsid w:val="001E436C"/>
    <w:rsid w:val="001E456E"/>
    <w:rsid w:val="001E45D0"/>
    <w:rsid w:val="001E4A72"/>
    <w:rsid w:val="001E4AF3"/>
    <w:rsid w:val="001E4BF3"/>
    <w:rsid w:val="001E4C29"/>
    <w:rsid w:val="001E4ED4"/>
    <w:rsid w:val="001E4FE9"/>
    <w:rsid w:val="001E53E2"/>
    <w:rsid w:val="001E54A8"/>
    <w:rsid w:val="001E5B49"/>
    <w:rsid w:val="001E613D"/>
    <w:rsid w:val="001E6AE1"/>
    <w:rsid w:val="001E6BB6"/>
    <w:rsid w:val="001E6E3F"/>
    <w:rsid w:val="001E6FA1"/>
    <w:rsid w:val="001E6FFF"/>
    <w:rsid w:val="001E702F"/>
    <w:rsid w:val="001E7174"/>
    <w:rsid w:val="001E7355"/>
    <w:rsid w:val="001E7A2D"/>
    <w:rsid w:val="001E7E4C"/>
    <w:rsid w:val="001E7E94"/>
    <w:rsid w:val="001E7FC6"/>
    <w:rsid w:val="001F014B"/>
    <w:rsid w:val="001F03B4"/>
    <w:rsid w:val="001F049C"/>
    <w:rsid w:val="001F049F"/>
    <w:rsid w:val="001F0980"/>
    <w:rsid w:val="001F0DFC"/>
    <w:rsid w:val="001F12C3"/>
    <w:rsid w:val="001F1657"/>
    <w:rsid w:val="001F17B6"/>
    <w:rsid w:val="001F17BB"/>
    <w:rsid w:val="001F186A"/>
    <w:rsid w:val="001F18BB"/>
    <w:rsid w:val="001F19EB"/>
    <w:rsid w:val="001F1A95"/>
    <w:rsid w:val="001F1EEC"/>
    <w:rsid w:val="001F1EF3"/>
    <w:rsid w:val="001F1FDD"/>
    <w:rsid w:val="001F230C"/>
    <w:rsid w:val="001F2414"/>
    <w:rsid w:val="001F2437"/>
    <w:rsid w:val="001F2539"/>
    <w:rsid w:val="001F2579"/>
    <w:rsid w:val="001F262F"/>
    <w:rsid w:val="001F289F"/>
    <w:rsid w:val="001F2A33"/>
    <w:rsid w:val="001F2A34"/>
    <w:rsid w:val="001F2ACE"/>
    <w:rsid w:val="001F2D79"/>
    <w:rsid w:val="001F2E7C"/>
    <w:rsid w:val="001F3321"/>
    <w:rsid w:val="001F34AA"/>
    <w:rsid w:val="001F3578"/>
    <w:rsid w:val="001F360E"/>
    <w:rsid w:val="001F3A54"/>
    <w:rsid w:val="001F3B6E"/>
    <w:rsid w:val="001F3CC9"/>
    <w:rsid w:val="001F3F4F"/>
    <w:rsid w:val="001F4654"/>
    <w:rsid w:val="001F4690"/>
    <w:rsid w:val="001F4885"/>
    <w:rsid w:val="001F48E7"/>
    <w:rsid w:val="001F4B0B"/>
    <w:rsid w:val="001F5115"/>
    <w:rsid w:val="001F5143"/>
    <w:rsid w:val="001F5212"/>
    <w:rsid w:val="001F52EB"/>
    <w:rsid w:val="001F54B3"/>
    <w:rsid w:val="001F5AC1"/>
    <w:rsid w:val="001F5AEC"/>
    <w:rsid w:val="001F5DDF"/>
    <w:rsid w:val="001F5F78"/>
    <w:rsid w:val="001F61FC"/>
    <w:rsid w:val="001F62EF"/>
    <w:rsid w:val="001F63CA"/>
    <w:rsid w:val="001F6673"/>
    <w:rsid w:val="001F68EC"/>
    <w:rsid w:val="001F6988"/>
    <w:rsid w:val="001F6B2B"/>
    <w:rsid w:val="001F6CBF"/>
    <w:rsid w:val="001F6D9D"/>
    <w:rsid w:val="001F6E3B"/>
    <w:rsid w:val="001F7528"/>
    <w:rsid w:val="001F782C"/>
    <w:rsid w:val="001F78CD"/>
    <w:rsid w:val="001F79D4"/>
    <w:rsid w:val="001F79D9"/>
    <w:rsid w:val="001F7A67"/>
    <w:rsid w:val="001F7B10"/>
    <w:rsid w:val="001F7D6B"/>
    <w:rsid w:val="001F7DEA"/>
    <w:rsid w:val="00200358"/>
    <w:rsid w:val="002003BF"/>
    <w:rsid w:val="002008AD"/>
    <w:rsid w:val="0020094E"/>
    <w:rsid w:val="00200CD1"/>
    <w:rsid w:val="00200DDF"/>
    <w:rsid w:val="00201038"/>
    <w:rsid w:val="002010FB"/>
    <w:rsid w:val="002014AB"/>
    <w:rsid w:val="00201C0B"/>
    <w:rsid w:val="00201C57"/>
    <w:rsid w:val="00201E53"/>
    <w:rsid w:val="00201EC8"/>
    <w:rsid w:val="002020F9"/>
    <w:rsid w:val="00202446"/>
    <w:rsid w:val="00202A97"/>
    <w:rsid w:val="00202AE3"/>
    <w:rsid w:val="00202B1E"/>
    <w:rsid w:val="00202B4A"/>
    <w:rsid w:val="00202D89"/>
    <w:rsid w:val="00202EC1"/>
    <w:rsid w:val="00202F8B"/>
    <w:rsid w:val="0020307A"/>
    <w:rsid w:val="0020322C"/>
    <w:rsid w:val="00203236"/>
    <w:rsid w:val="002035D0"/>
    <w:rsid w:val="002038D6"/>
    <w:rsid w:val="002038FC"/>
    <w:rsid w:val="00203995"/>
    <w:rsid w:val="00203B9C"/>
    <w:rsid w:val="00203D8B"/>
    <w:rsid w:val="00203DD7"/>
    <w:rsid w:val="00203E7F"/>
    <w:rsid w:val="00204037"/>
    <w:rsid w:val="00204102"/>
    <w:rsid w:val="002046B6"/>
    <w:rsid w:val="00204A3B"/>
    <w:rsid w:val="00205220"/>
    <w:rsid w:val="00205248"/>
    <w:rsid w:val="00205457"/>
    <w:rsid w:val="00205485"/>
    <w:rsid w:val="00205BE5"/>
    <w:rsid w:val="00205C9F"/>
    <w:rsid w:val="00205CA0"/>
    <w:rsid w:val="00205DBA"/>
    <w:rsid w:val="00205F4D"/>
    <w:rsid w:val="00206127"/>
    <w:rsid w:val="0020622B"/>
    <w:rsid w:val="002062DF"/>
    <w:rsid w:val="002066EA"/>
    <w:rsid w:val="00206766"/>
    <w:rsid w:val="00206871"/>
    <w:rsid w:val="00206886"/>
    <w:rsid w:val="00206C3F"/>
    <w:rsid w:val="00206F60"/>
    <w:rsid w:val="00206FB4"/>
    <w:rsid w:val="002072DB"/>
    <w:rsid w:val="0020758D"/>
    <w:rsid w:val="0020763A"/>
    <w:rsid w:val="002076E2"/>
    <w:rsid w:val="00207BE0"/>
    <w:rsid w:val="00207C1A"/>
    <w:rsid w:val="00207F22"/>
    <w:rsid w:val="002101E2"/>
    <w:rsid w:val="0021058E"/>
    <w:rsid w:val="002107FB"/>
    <w:rsid w:val="00210849"/>
    <w:rsid w:val="00210942"/>
    <w:rsid w:val="00210B1B"/>
    <w:rsid w:val="00210B5C"/>
    <w:rsid w:val="00210B71"/>
    <w:rsid w:val="00210E5C"/>
    <w:rsid w:val="00210EA2"/>
    <w:rsid w:val="0021105B"/>
    <w:rsid w:val="002113D9"/>
    <w:rsid w:val="002115CF"/>
    <w:rsid w:val="0021168E"/>
    <w:rsid w:val="00211964"/>
    <w:rsid w:val="00211A23"/>
    <w:rsid w:val="002127B0"/>
    <w:rsid w:val="00212879"/>
    <w:rsid w:val="002128BA"/>
    <w:rsid w:val="00212943"/>
    <w:rsid w:val="00212A90"/>
    <w:rsid w:val="00212D5A"/>
    <w:rsid w:val="00212DBA"/>
    <w:rsid w:val="00212DF7"/>
    <w:rsid w:val="00212E06"/>
    <w:rsid w:val="002131AC"/>
    <w:rsid w:val="0021353B"/>
    <w:rsid w:val="002135F4"/>
    <w:rsid w:val="002139CC"/>
    <w:rsid w:val="00213BEC"/>
    <w:rsid w:val="00214096"/>
    <w:rsid w:val="002141CE"/>
    <w:rsid w:val="002142FF"/>
    <w:rsid w:val="002145A8"/>
    <w:rsid w:val="00214D39"/>
    <w:rsid w:val="00214E29"/>
    <w:rsid w:val="00214F83"/>
    <w:rsid w:val="002150AD"/>
    <w:rsid w:val="00215160"/>
    <w:rsid w:val="00215298"/>
    <w:rsid w:val="00215522"/>
    <w:rsid w:val="00215A9B"/>
    <w:rsid w:val="00215B0A"/>
    <w:rsid w:val="00215D37"/>
    <w:rsid w:val="00215DB2"/>
    <w:rsid w:val="00215DF7"/>
    <w:rsid w:val="00215E7E"/>
    <w:rsid w:val="00215FF7"/>
    <w:rsid w:val="00216063"/>
    <w:rsid w:val="00216100"/>
    <w:rsid w:val="002161AF"/>
    <w:rsid w:val="002161CD"/>
    <w:rsid w:val="0021653A"/>
    <w:rsid w:val="002166F8"/>
    <w:rsid w:val="00216807"/>
    <w:rsid w:val="00216A2E"/>
    <w:rsid w:val="0021723F"/>
    <w:rsid w:val="0021738E"/>
    <w:rsid w:val="002177E6"/>
    <w:rsid w:val="0021791B"/>
    <w:rsid w:val="00217968"/>
    <w:rsid w:val="00217BC8"/>
    <w:rsid w:val="00220302"/>
    <w:rsid w:val="0022078D"/>
    <w:rsid w:val="002209AE"/>
    <w:rsid w:val="00220BAD"/>
    <w:rsid w:val="00220C85"/>
    <w:rsid w:val="00220CBC"/>
    <w:rsid w:val="00220EE7"/>
    <w:rsid w:val="00221039"/>
    <w:rsid w:val="002210BF"/>
    <w:rsid w:val="0022116A"/>
    <w:rsid w:val="002212C3"/>
    <w:rsid w:val="0022147A"/>
    <w:rsid w:val="002215AF"/>
    <w:rsid w:val="00221640"/>
    <w:rsid w:val="00221B7D"/>
    <w:rsid w:val="00221BAD"/>
    <w:rsid w:val="00221E9F"/>
    <w:rsid w:val="00221EBC"/>
    <w:rsid w:val="002221EB"/>
    <w:rsid w:val="0022241D"/>
    <w:rsid w:val="002227BF"/>
    <w:rsid w:val="002228F6"/>
    <w:rsid w:val="00222B97"/>
    <w:rsid w:val="00222BB2"/>
    <w:rsid w:val="00222C82"/>
    <w:rsid w:val="00222D32"/>
    <w:rsid w:val="00223188"/>
    <w:rsid w:val="0022351F"/>
    <w:rsid w:val="0022356E"/>
    <w:rsid w:val="002235B6"/>
    <w:rsid w:val="002235D9"/>
    <w:rsid w:val="00223601"/>
    <w:rsid w:val="00223621"/>
    <w:rsid w:val="00223890"/>
    <w:rsid w:val="00223A92"/>
    <w:rsid w:val="002245B1"/>
    <w:rsid w:val="002245F4"/>
    <w:rsid w:val="00224754"/>
    <w:rsid w:val="0022494F"/>
    <w:rsid w:val="00224C97"/>
    <w:rsid w:val="00224CFC"/>
    <w:rsid w:val="00225507"/>
    <w:rsid w:val="0022560D"/>
    <w:rsid w:val="00225793"/>
    <w:rsid w:val="00225B20"/>
    <w:rsid w:val="00225C2D"/>
    <w:rsid w:val="00226033"/>
    <w:rsid w:val="0022607D"/>
    <w:rsid w:val="0022623A"/>
    <w:rsid w:val="0022644F"/>
    <w:rsid w:val="00226E32"/>
    <w:rsid w:val="002270C3"/>
    <w:rsid w:val="00227195"/>
    <w:rsid w:val="002271C5"/>
    <w:rsid w:val="00227210"/>
    <w:rsid w:val="00227221"/>
    <w:rsid w:val="00227244"/>
    <w:rsid w:val="0022733A"/>
    <w:rsid w:val="002278EF"/>
    <w:rsid w:val="00227C37"/>
    <w:rsid w:val="00227E2D"/>
    <w:rsid w:val="00227F41"/>
    <w:rsid w:val="002302FE"/>
    <w:rsid w:val="00230356"/>
    <w:rsid w:val="00230458"/>
    <w:rsid w:val="0023058F"/>
    <w:rsid w:val="002305F5"/>
    <w:rsid w:val="00230789"/>
    <w:rsid w:val="00230B8C"/>
    <w:rsid w:val="00230D04"/>
    <w:rsid w:val="00230D51"/>
    <w:rsid w:val="00230EB7"/>
    <w:rsid w:val="00231100"/>
    <w:rsid w:val="002311DE"/>
    <w:rsid w:val="0023146E"/>
    <w:rsid w:val="002315DA"/>
    <w:rsid w:val="002316AD"/>
    <w:rsid w:val="002316F6"/>
    <w:rsid w:val="00231851"/>
    <w:rsid w:val="0023189E"/>
    <w:rsid w:val="00231A27"/>
    <w:rsid w:val="00231BB8"/>
    <w:rsid w:val="00232002"/>
    <w:rsid w:val="0023200A"/>
    <w:rsid w:val="0023223E"/>
    <w:rsid w:val="00232466"/>
    <w:rsid w:val="002324E2"/>
    <w:rsid w:val="00232626"/>
    <w:rsid w:val="0023271D"/>
    <w:rsid w:val="002328E3"/>
    <w:rsid w:val="002329CB"/>
    <w:rsid w:val="00232CFD"/>
    <w:rsid w:val="00232F05"/>
    <w:rsid w:val="00233062"/>
    <w:rsid w:val="0023321E"/>
    <w:rsid w:val="0023343A"/>
    <w:rsid w:val="00233761"/>
    <w:rsid w:val="002337F2"/>
    <w:rsid w:val="00233AB1"/>
    <w:rsid w:val="00233DCA"/>
    <w:rsid w:val="00233DED"/>
    <w:rsid w:val="00233E79"/>
    <w:rsid w:val="00234015"/>
    <w:rsid w:val="00234223"/>
    <w:rsid w:val="002343B6"/>
    <w:rsid w:val="00234618"/>
    <w:rsid w:val="00234645"/>
    <w:rsid w:val="00234701"/>
    <w:rsid w:val="00234821"/>
    <w:rsid w:val="00234CE8"/>
    <w:rsid w:val="00234E09"/>
    <w:rsid w:val="002353F3"/>
    <w:rsid w:val="0023559C"/>
    <w:rsid w:val="00235862"/>
    <w:rsid w:val="00235954"/>
    <w:rsid w:val="00235968"/>
    <w:rsid w:val="00235AF2"/>
    <w:rsid w:val="00235F0B"/>
    <w:rsid w:val="00235FCF"/>
    <w:rsid w:val="00235FEF"/>
    <w:rsid w:val="00235FFD"/>
    <w:rsid w:val="00236203"/>
    <w:rsid w:val="00236777"/>
    <w:rsid w:val="002369DC"/>
    <w:rsid w:val="00236C95"/>
    <w:rsid w:val="002370E6"/>
    <w:rsid w:val="00237560"/>
    <w:rsid w:val="002378DC"/>
    <w:rsid w:val="0023792D"/>
    <w:rsid w:val="00237945"/>
    <w:rsid w:val="00237C2B"/>
    <w:rsid w:val="00240095"/>
    <w:rsid w:val="002403AB"/>
    <w:rsid w:val="0024051F"/>
    <w:rsid w:val="00240660"/>
    <w:rsid w:val="00240A56"/>
    <w:rsid w:val="00240AE4"/>
    <w:rsid w:val="00240B3D"/>
    <w:rsid w:val="00240B4D"/>
    <w:rsid w:val="00240BA9"/>
    <w:rsid w:val="00240BD3"/>
    <w:rsid w:val="002412BC"/>
    <w:rsid w:val="002412BD"/>
    <w:rsid w:val="0024179C"/>
    <w:rsid w:val="00241D1C"/>
    <w:rsid w:val="00241F37"/>
    <w:rsid w:val="0024240C"/>
    <w:rsid w:val="0024254F"/>
    <w:rsid w:val="002425F1"/>
    <w:rsid w:val="00242741"/>
    <w:rsid w:val="00242EEA"/>
    <w:rsid w:val="00242F20"/>
    <w:rsid w:val="00242F99"/>
    <w:rsid w:val="00242FF8"/>
    <w:rsid w:val="0024303D"/>
    <w:rsid w:val="002431BD"/>
    <w:rsid w:val="002431C1"/>
    <w:rsid w:val="002431EB"/>
    <w:rsid w:val="002432E6"/>
    <w:rsid w:val="00243352"/>
    <w:rsid w:val="00243649"/>
    <w:rsid w:val="0024369E"/>
    <w:rsid w:val="00243746"/>
    <w:rsid w:val="002437CC"/>
    <w:rsid w:val="0024388B"/>
    <w:rsid w:val="002439C7"/>
    <w:rsid w:val="00243A55"/>
    <w:rsid w:val="00243EFD"/>
    <w:rsid w:val="00244339"/>
    <w:rsid w:val="00244356"/>
    <w:rsid w:val="00244396"/>
    <w:rsid w:val="0024457E"/>
    <w:rsid w:val="00244811"/>
    <w:rsid w:val="002448F7"/>
    <w:rsid w:val="00244A0A"/>
    <w:rsid w:val="00244F43"/>
    <w:rsid w:val="00244FC1"/>
    <w:rsid w:val="0024535A"/>
    <w:rsid w:val="002457BC"/>
    <w:rsid w:val="00245C76"/>
    <w:rsid w:val="00246035"/>
    <w:rsid w:val="002460CD"/>
    <w:rsid w:val="00246473"/>
    <w:rsid w:val="0024650C"/>
    <w:rsid w:val="002465C1"/>
    <w:rsid w:val="0024663E"/>
    <w:rsid w:val="00246775"/>
    <w:rsid w:val="00246AB2"/>
    <w:rsid w:val="00246DB3"/>
    <w:rsid w:val="00246DD2"/>
    <w:rsid w:val="002473AB"/>
    <w:rsid w:val="0024777E"/>
    <w:rsid w:val="00247B04"/>
    <w:rsid w:val="00247B10"/>
    <w:rsid w:val="00247B55"/>
    <w:rsid w:val="00247BA8"/>
    <w:rsid w:val="00247CAF"/>
    <w:rsid w:val="00247D78"/>
    <w:rsid w:val="00247E55"/>
    <w:rsid w:val="002501CD"/>
    <w:rsid w:val="002503E4"/>
    <w:rsid w:val="002504CA"/>
    <w:rsid w:val="00250667"/>
    <w:rsid w:val="002506D6"/>
    <w:rsid w:val="00250A7D"/>
    <w:rsid w:val="00250BB6"/>
    <w:rsid w:val="00250C2E"/>
    <w:rsid w:val="00250F78"/>
    <w:rsid w:val="0025119B"/>
    <w:rsid w:val="00251353"/>
    <w:rsid w:val="002515CE"/>
    <w:rsid w:val="002516E1"/>
    <w:rsid w:val="002517AC"/>
    <w:rsid w:val="002519AA"/>
    <w:rsid w:val="00251AE3"/>
    <w:rsid w:val="00251B29"/>
    <w:rsid w:val="00251D3D"/>
    <w:rsid w:val="00251EED"/>
    <w:rsid w:val="00252079"/>
    <w:rsid w:val="002520C0"/>
    <w:rsid w:val="0025211B"/>
    <w:rsid w:val="002524FF"/>
    <w:rsid w:val="00252890"/>
    <w:rsid w:val="00252CF3"/>
    <w:rsid w:val="00252E00"/>
    <w:rsid w:val="00253028"/>
    <w:rsid w:val="002530A7"/>
    <w:rsid w:val="002534A5"/>
    <w:rsid w:val="00253748"/>
    <w:rsid w:val="00253A2F"/>
    <w:rsid w:val="00253E19"/>
    <w:rsid w:val="00253E67"/>
    <w:rsid w:val="00253FD2"/>
    <w:rsid w:val="00254020"/>
    <w:rsid w:val="00254167"/>
    <w:rsid w:val="00254565"/>
    <w:rsid w:val="00254661"/>
    <w:rsid w:val="002548BA"/>
    <w:rsid w:val="002549D9"/>
    <w:rsid w:val="002549FF"/>
    <w:rsid w:val="00254AB1"/>
    <w:rsid w:val="00255391"/>
    <w:rsid w:val="002553DF"/>
    <w:rsid w:val="002555E0"/>
    <w:rsid w:val="002557AE"/>
    <w:rsid w:val="00255844"/>
    <w:rsid w:val="00255A6C"/>
    <w:rsid w:val="00255C85"/>
    <w:rsid w:val="00255CDC"/>
    <w:rsid w:val="00255D0B"/>
    <w:rsid w:val="00255DD8"/>
    <w:rsid w:val="00255F06"/>
    <w:rsid w:val="00256127"/>
    <w:rsid w:val="00256163"/>
    <w:rsid w:val="00256397"/>
    <w:rsid w:val="002564DB"/>
    <w:rsid w:val="0025721D"/>
    <w:rsid w:val="00257489"/>
    <w:rsid w:val="0025760B"/>
    <w:rsid w:val="00257634"/>
    <w:rsid w:val="00257749"/>
    <w:rsid w:val="002577ED"/>
    <w:rsid w:val="00257B34"/>
    <w:rsid w:val="00257D79"/>
    <w:rsid w:val="00260050"/>
    <w:rsid w:val="002602DA"/>
    <w:rsid w:val="00260456"/>
    <w:rsid w:val="002604AA"/>
    <w:rsid w:val="00260744"/>
    <w:rsid w:val="00260A3A"/>
    <w:rsid w:val="00260A8B"/>
    <w:rsid w:val="00260B2D"/>
    <w:rsid w:val="00260FAB"/>
    <w:rsid w:val="0026108B"/>
    <w:rsid w:val="00261392"/>
    <w:rsid w:val="002615FB"/>
    <w:rsid w:val="00261620"/>
    <w:rsid w:val="0026164C"/>
    <w:rsid w:val="002616ED"/>
    <w:rsid w:val="002618CD"/>
    <w:rsid w:val="00261DA7"/>
    <w:rsid w:val="00261E72"/>
    <w:rsid w:val="00261EFB"/>
    <w:rsid w:val="00262069"/>
    <w:rsid w:val="002622CE"/>
    <w:rsid w:val="002623AB"/>
    <w:rsid w:val="00262527"/>
    <w:rsid w:val="002626E2"/>
    <w:rsid w:val="0026270B"/>
    <w:rsid w:val="00262A6D"/>
    <w:rsid w:val="00262A6F"/>
    <w:rsid w:val="00262AA7"/>
    <w:rsid w:val="00262DB6"/>
    <w:rsid w:val="00262EC9"/>
    <w:rsid w:val="00262FB2"/>
    <w:rsid w:val="002635C9"/>
    <w:rsid w:val="00263651"/>
    <w:rsid w:val="002636D7"/>
    <w:rsid w:val="0026370B"/>
    <w:rsid w:val="002637F9"/>
    <w:rsid w:val="002638E9"/>
    <w:rsid w:val="00263ADF"/>
    <w:rsid w:val="00263C15"/>
    <w:rsid w:val="002645CC"/>
    <w:rsid w:val="002648D4"/>
    <w:rsid w:val="00264A5C"/>
    <w:rsid w:val="00264B33"/>
    <w:rsid w:val="00264B66"/>
    <w:rsid w:val="00264C2F"/>
    <w:rsid w:val="00264E1E"/>
    <w:rsid w:val="00265070"/>
    <w:rsid w:val="00265121"/>
    <w:rsid w:val="00265184"/>
    <w:rsid w:val="00265220"/>
    <w:rsid w:val="00265369"/>
    <w:rsid w:val="00265945"/>
    <w:rsid w:val="0026597A"/>
    <w:rsid w:val="002659A3"/>
    <w:rsid w:val="00265B2D"/>
    <w:rsid w:val="00265BC7"/>
    <w:rsid w:val="00265C78"/>
    <w:rsid w:val="00265CD6"/>
    <w:rsid w:val="00265CE4"/>
    <w:rsid w:val="00265D45"/>
    <w:rsid w:val="00265E76"/>
    <w:rsid w:val="00265E7D"/>
    <w:rsid w:val="00265F49"/>
    <w:rsid w:val="002661C6"/>
    <w:rsid w:val="0026624B"/>
    <w:rsid w:val="002664F1"/>
    <w:rsid w:val="00266698"/>
    <w:rsid w:val="002667EB"/>
    <w:rsid w:val="00266888"/>
    <w:rsid w:val="00266978"/>
    <w:rsid w:val="00266C2B"/>
    <w:rsid w:val="00267168"/>
    <w:rsid w:val="00267209"/>
    <w:rsid w:val="002675D7"/>
    <w:rsid w:val="00267888"/>
    <w:rsid w:val="002678B3"/>
    <w:rsid w:val="00267982"/>
    <w:rsid w:val="002679E9"/>
    <w:rsid w:val="00267E22"/>
    <w:rsid w:val="0027005C"/>
    <w:rsid w:val="002705CC"/>
    <w:rsid w:val="002706F8"/>
    <w:rsid w:val="002707B2"/>
    <w:rsid w:val="0027083D"/>
    <w:rsid w:val="00270D46"/>
    <w:rsid w:val="00270DD5"/>
    <w:rsid w:val="00270E97"/>
    <w:rsid w:val="00271169"/>
    <w:rsid w:val="002711B7"/>
    <w:rsid w:val="00271271"/>
    <w:rsid w:val="002714B3"/>
    <w:rsid w:val="00271690"/>
    <w:rsid w:val="002716DF"/>
    <w:rsid w:val="002718DF"/>
    <w:rsid w:val="00271946"/>
    <w:rsid w:val="00271A77"/>
    <w:rsid w:val="00271CE7"/>
    <w:rsid w:val="00271D4B"/>
    <w:rsid w:val="00271DAF"/>
    <w:rsid w:val="00271DFF"/>
    <w:rsid w:val="00271FDA"/>
    <w:rsid w:val="0027203C"/>
    <w:rsid w:val="0027227F"/>
    <w:rsid w:val="00272326"/>
    <w:rsid w:val="0027237B"/>
    <w:rsid w:val="002723AB"/>
    <w:rsid w:val="002723F9"/>
    <w:rsid w:val="00272519"/>
    <w:rsid w:val="00272660"/>
    <w:rsid w:val="002726B9"/>
    <w:rsid w:val="00272744"/>
    <w:rsid w:val="0027276A"/>
    <w:rsid w:val="00272891"/>
    <w:rsid w:val="00272B45"/>
    <w:rsid w:val="00272B9E"/>
    <w:rsid w:val="00272C5D"/>
    <w:rsid w:val="00272D13"/>
    <w:rsid w:val="00272EBE"/>
    <w:rsid w:val="00273397"/>
    <w:rsid w:val="00273475"/>
    <w:rsid w:val="002739A4"/>
    <w:rsid w:val="00273C6C"/>
    <w:rsid w:val="002741AE"/>
    <w:rsid w:val="0027420E"/>
    <w:rsid w:val="002743D0"/>
    <w:rsid w:val="00274690"/>
    <w:rsid w:val="00274C39"/>
    <w:rsid w:val="00274C53"/>
    <w:rsid w:val="00274DE5"/>
    <w:rsid w:val="00274E38"/>
    <w:rsid w:val="0027529A"/>
    <w:rsid w:val="00275338"/>
    <w:rsid w:val="0027542B"/>
    <w:rsid w:val="00275571"/>
    <w:rsid w:val="00275A62"/>
    <w:rsid w:val="00275C05"/>
    <w:rsid w:val="00275CC1"/>
    <w:rsid w:val="00275D93"/>
    <w:rsid w:val="0027615C"/>
    <w:rsid w:val="00276191"/>
    <w:rsid w:val="00276298"/>
    <w:rsid w:val="002762D1"/>
    <w:rsid w:val="002763D9"/>
    <w:rsid w:val="00276458"/>
    <w:rsid w:val="00276A76"/>
    <w:rsid w:val="00276AFF"/>
    <w:rsid w:val="00276D3E"/>
    <w:rsid w:val="00276ED8"/>
    <w:rsid w:val="002771A7"/>
    <w:rsid w:val="002773C1"/>
    <w:rsid w:val="0027766D"/>
    <w:rsid w:val="002777BF"/>
    <w:rsid w:val="00277A0E"/>
    <w:rsid w:val="00277B0F"/>
    <w:rsid w:val="00277B4E"/>
    <w:rsid w:val="00277E91"/>
    <w:rsid w:val="00277ED3"/>
    <w:rsid w:val="0028033F"/>
    <w:rsid w:val="00280368"/>
    <w:rsid w:val="002804B7"/>
    <w:rsid w:val="002805D5"/>
    <w:rsid w:val="00280831"/>
    <w:rsid w:val="002808A9"/>
    <w:rsid w:val="00280AFD"/>
    <w:rsid w:val="00280C4A"/>
    <w:rsid w:val="00280DA6"/>
    <w:rsid w:val="00280EB4"/>
    <w:rsid w:val="002810D2"/>
    <w:rsid w:val="00281155"/>
    <w:rsid w:val="002817D6"/>
    <w:rsid w:val="002819A5"/>
    <w:rsid w:val="00281BBD"/>
    <w:rsid w:val="00281CCC"/>
    <w:rsid w:val="00281DE7"/>
    <w:rsid w:val="00281E60"/>
    <w:rsid w:val="0028238A"/>
    <w:rsid w:val="002825EC"/>
    <w:rsid w:val="00282F79"/>
    <w:rsid w:val="00282FDC"/>
    <w:rsid w:val="0028381B"/>
    <w:rsid w:val="0028396C"/>
    <w:rsid w:val="00283C79"/>
    <w:rsid w:val="002848C0"/>
    <w:rsid w:val="002849BD"/>
    <w:rsid w:val="00284BF8"/>
    <w:rsid w:val="00285085"/>
    <w:rsid w:val="002853D3"/>
    <w:rsid w:val="002854FD"/>
    <w:rsid w:val="002857F7"/>
    <w:rsid w:val="00285B3E"/>
    <w:rsid w:val="00285C57"/>
    <w:rsid w:val="002866E3"/>
    <w:rsid w:val="002867A6"/>
    <w:rsid w:val="002867BE"/>
    <w:rsid w:val="00286817"/>
    <w:rsid w:val="002869BE"/>
    <w:rsid w:val="002869E5"/>
    <w:rsid w:val="00286D81"/>
    <w:rsid w:val="00286E9E"/>
    <w:rsid w:val="00286F17"/>
    <w:rsid w:val="00286FA6"/>
    <w:rsid w:val="00286FC2"/>
    <w:rsid w:val="002871A7"/>
    <w:rsid w:val="002874B4"/>
    <w:rsid w:val="0028751F"/>
    <w:rsid w:val="00287569"/>
    <w:rsid w:val="00287744"/>
    <w:rsid w:val="00287869"/>
    <w:rsid w:val="002878E6"/>
    <w:rsid w:val="00287980"/>
    <w:rsid w:val="00287A40"/>
    <w:rsid w:val="00287BB3"/>
    <w:rsid w:val="0029042F"/>
    <w:rsid w:val="002906DF"/>
    <w:rsid w:val="002906EB"/>
    <w:rsid w:val="00290845"/>
    <w:rsid w:val="00290A2D"/>
    <w:rsid w:val="00290B90"/>
    <w:rsid w:val="00290C8E"/>
    <w:rsid w:val="00290EF7"/>
    <w:rsid w:val="00290F79"/>
    <w:rsid w:val="00291193"/>
    <w:rsid w:val="0029145B"/>
    <w:rsid w:val="00291991"/>
    <w:rsid w:val="00291BE7"/>
    <w:rsid w:val="00291E35"/>
    <w:rsid w:val="00292106"/>
    <w:rsid w:val="0029251A"/>
    <w:rsid w:val="0029261D"/>
    <w:rsid w:val="00292930"/>
    <w:rsid w:val="00292A67"/>
    <w:rsid w:val="00292B31"/>
    <w:rsid w:val="00292C7C"/>
    <w:rsid w:val="00292F36"/>
    <w:rsid w:val="0029309D"/>
    <w:rsid w:val="002930AC"/>
    <w:rsid w:val="00293268"/>
    <w:rsid w:val="00293677"/>
    <w:rsid w:val="0029384C"/>
    <w:rsid w:val="00293A5D"/>
    <w:rsid w:val="00293E24"/>
    <w:rsid w:val="00294079"/>
    <w:rsid w:val="00294365"/>
    <w:rsid w:val="00294472"/>
    <w:rsid w:val="00294586"/>
    <w:rsid w:val="0029460B"/>
    <w:rsid w:val="002947C1"/>
    <w:rsid w:val="00294993"/>
    <w:rsid w:val="00294998"/>
    <w:rsid w:val="00294A31"/>
    <w:rsid w:val="00294A95"/>
    <w:rsid w:val="00294B56"/>
    <w:rsid w:val="00294BC7"/>
    <w:rsid w:val="00294F3F"/>
    <w:rsid w:val="002950CD"/>
    <w:rsid w:val="0029535A"/>
    <w:rsid w:val="0029537F"/>
    <w:rsid w:val="002953AA"/>
    <w:rsid w:val="002953BF"/>
    <w:rsid w:val="0029560C"/>
    <w:rsid w:val="00295922"/>
    <w:rsid w:val="00295E7F"/>
    <w:rsid w:val="00296232"/>
    <w:rsid w:val="002963FF"/>
    <w:rsid w:val="0029674A"/>
    <w:rsid w:val="00296A43"/>
    <w:rsid w:val="00296ACC"/>
    <w:rsid w:val="00296C63"/>
    <w:rsid w:val="00296C6F"/>
    <w:rsid w:val="00296D52"/>
    <w:rsid w:val="0029737C"/>
    <w:rsid w:val="0029751F"/>
    <w:rsid w:val="00297725"/>
    <w:rsid w:val="00297B37"/>
    <w:rsid w:val="00297D9E"/>
    <w:rsid w:val="00297E84"/>
    <w:rsid w:val="00297FB0"/>
    <w:rsid w:val="002A007F"/>
    <w:rsid w:val="002A0080"/>
    <w:rsid w:val="002A0232"/>
    <w:rsid w:val="002A025F"/>
    <w:rsid w:val="002A0331"/>
    <w:rsid w:val="002A05FB"/>
    <w:rsid w:val="002A073C"/>
    <w:rsid w:val="002A09F5"/>
    <w:rsid w:val="002A0A55"/>
    <w:rsid w:val="002A0A58"/>
    <w:rsid w:val="002A0C04"/>
    <w:rsid w:val="002A0D4A"/>
    <w:rsid w:val="002A0E98"/>
    <w:rsid w:val="002A0EB7"/>
    <w:rsid w:val="002A11EE"/>
    <w:rsid w:val="002A1371"/>
    <w:rsid w:val="002A16CC"/>
    <w:rsid w:val="002A1912"/>
    <w:rsid w:val="002A1C7C"/>
    <w:rsid w:val="002A1D03"/>
    <w:rsid w:val="002A1D20"/>
    <w:rsid w:val="002A1EF7"/>
    <w:rsid w:val="002A1F50"/>
    <w:rsid w:val="002A221F"/>
    <w:rsid w:val="002A2548"/>
    <w:rsid w:val="002A277C"/>
    <w:rsid w:val="002A29AA"/>
    <w:rsid w:val="002A2D71"/>
    <w:rsid w:val="002A2D96"/>
    <w:rsid w:val="002A2F1E"/>
    <w:rsid w:val="002A30F4"/>
    <w:rsid w:val="002A323E"/>
    <w:rsid w:val="002A3270"/>
    <w:rsid w:val="002A3ABE"/>
    <w:rsid w:val="002A3C7F"/>
    <w:rsid w:val="002A3E58"/>
    <w:rsid w:val="002A3E5F"/>
    <w:rsid w:val="002A4072"/>
    <w:rsid w:val="002A44B9"/>
    <w:rsid w:val="002A45C7"/>
    <w:rsid w:val="002A4743"/>
    <w:rsid w:val="002A4A1C"/>
    <w:rsid w:val="002A4C21"/>
    <w:rsid w:val="002A4F74"/>
    <w:rsid w:val="002A50C3"/>
    <w:rsid w:val="002A50D0"/>
    <w:rsid w:val="002A52A4"/>
    <w:rsid w:val="002A52AD"/>
    <w:rsid w:val="002A572E"/>
    <w:rsid w:val="002A59B3"/>
    <w:rsid w:val="002A5B38"/>
    <w:rsid w:val="002A5D35"/>
    <w:rsid w:val="002A6854"/>
    <w:rsid w:val="002A686B"/>
    <w:rsid w:val="002A68D3"/>
    <w:rsid w:val="002A6955"/>
    <w:rsid w:val="002A6B23"/>
    <w:rsid w:val="002A6DE0"/>
    <w:rsid w:val="002A6E51"/>
    <w:rsid w:val="002A7027"/>
    <w:rsid w:val="002A713C"/>
    <w:rsid w:val="002A7763"/>
    <w:rsid w:val="002A79B9"/>
    <w:rsid w:val="002A7A00"/>
    <w:rsid w:val="002A7AB3"/>
    <w:rsid w:val="002A7CD8"/>
    <w:rsid w:val="002A7DAB"/>
    <w:rsid w:val="002A7DB0"/>
    <w:rsid w:val="002A7F43"/>
    <w:rsid w:val="002A7FB2"/>
    <w:rsid w:val="002B041B"/>
    <w:rsid w:val="002B05C7"/>
    <w:rsid w:val="002B0651"/>
    <w:rsid w:val="002B0752"/>
    <w:rsid w:val="002B08FD"/>
    <w:rsid w:val="002B0A16"/>
    <w:rsid w:val="002B0AC1"/>
    <w:rsid w:val="002B0D4A"/>
    <w:rsid w:val="002B0D5D"/>
    <w:rsid w:val="002B106D"/>
    <w:rsid w:val="002B15AE"/>
    <w:rsid w:val="002B1732"/>
    <w:rsid w:val="002B176D"/>
    <w:rsid w:val="002B189D"/>
    <w:rsid w:val="002B1D72"/>
    <w:rsid w:val="002B1E6B"/>
    <w:rsid w:val="002B2171"/>
    <w:rsid w:val="002B2433"/>
    <w:rsid w:val="002B24F4"/>
    <w:rsid w:val="002B2699"/>
    <w:rsid w:val="002B298F"/>
    <w:rsid w:val="002B29CE"/>
    <w:rsid w:val="002B2A74"/>
    <w:rsid w:val="002B2C9E"/>
    <w:rsid w:val="002B2D49"/>
    <w:rsid w:val="002B2D69"/>
    <w:rsid w:val="002B2DA8"/>
    <w:rsid w:val="002B2E4D"/>
    <w:rsid w:val="002B3134"/>
    <w:rsid w:val="002B35CF"/>
    <w:rsid w:val="002B35F6"/>
    <w:rsid w:val="002B370A"/>
    <w:rsid w:val="002B386F"/>
    <w:rsid w:val="002B38A7"/>
    <w:rsid w:val="002B3CB6"/>
    <w:rsid w:val="002B3CE5"/>
    <w:rsid w:val="002B3D16"/>
    <w:rsid w:val="002B40DB"/>
    <w:rsid w:val="002B4348"/>
    <w:rsid w:val="002B43F0"/>
    <w:rsid w:val="002B47AA"/>
    <w:rsid w:val="002B4E09"/>
    <w:rsid w:val="002B4F85"/>
    <w:rsid w:val="002B501D"/>
    <w:rsid w:val="002B51BC"/>
    <w:rsid w:val="002B527A"/>
    <w:rsid w:val="002B52EC"/>
    <w:rsid w:val="002B535F"/>
    <w:rsid w:val="002B54AB"/>
    <w:rsid w:val="002B553A"/>
    <w:rsid w:val="002B5842"/>
    <w:rsid w:val="002B5A6A"/>
    <w:rsid w:val="002B5B8D"/>
    <w:rsid w:val="002B5D10"/>
    <w:rsid w:val="002B5D87"/>
    <w:rsid w:val="002B5E29"/>
    <w:rsid w:val="002B5E76"/>
    <w:rsid w:val="002B5FB6"/>
    <w:rsid w:val="002B6072"/>
    <w:rsid w:val="002B6136"/>
    <w:rsid w:val="002B6478"/>
    <w:rsid w:val="002B6510"/>
    <w:rsid w:val="002B6640"/>
    <w:rsid w:val="002B6655"/>
    <w:rsid w:val="002B6B76"/>
    <w:rsid w:val="002B7454"/>
    <w:rsid w:val="002B74FF"/>
    <w:rsid w:val="002B7770"/>
    <w:rsid w:val="002B783D"/>
    <w:rsid w:val="002B7CBD"/>
    <w:rsid w:val="002B7CFB"/>
    <w:rsid w:val="002B7DDE"/>
    <w:rsid w:val="002B7E7E"/>
    <w:rsid w:val="002C0757"/>
    <w:rsid w:val="002C0939"/>
    <w:rsid w:val="002C0B27"/>
    <w:rsid w:val="002C0C52"/>
    <w:rsid w:val="002C0C7C"/>
    <w:rsid w:val="002C0E61"/>
    <w:rsid w:val="002C0EDC"/>
    <w:rsid w:val="002C0EEC"/>
    <w:rsid w:val="002C10C7"/>
    <w:rsid w:val="002C110E"/>
    <w:rsid w:val="002C139E"/>
    <w:rsid w:val="002C17B6"/>
    <w:rsid w:val="002C1866"/>
    <w:rsid w:val="002C1E0D"/>
    <w:rsid w:val="002C228B"/>
    <w:rsid w:val="002C2367"/>
    <w:rsid w:val="002C23B4"/>
    <w:rsid w:val="002C245C"/>
    <w:rsid w:val="002C26D2"/>
    <w:rsid w:val="002C2761"/>
    <w:rsid w:val="002C2BE2"/>
    <w:rsid w:val="002C2D1F"/>
    <w:rsid w:val="002C355B"/>
    <w:rsid w:val="002C385C"/>
    <w:rsid w:val="002C38DD"/>
    <w:rsid w:val="002C38E5"/>
    <w:rsid w:val="002C3D6B"/>
    <w:rsid w:val="002C3FE9"/>
    <w:rsid w:val="002C43A2"/>
    <w:rsid w:val="002C471C"/>
    <w:rsid w:val="002C486A"/>
    <w:rsid w:val="002C4CAB"/>
    <w:rsid w:val="002C523C"/>
    <w:rsid w:val="002C54BB"/>
    <w:rsid w:val="002C54C4"/>
    <w:rsid w:val="002C56F2"/>
    <w:rsid w:val="002C5707"/>
    <w:rsid w:val="002C576B"/>
    <w:rsid w:val="002C5DC4"/>
    <w:rsid w:val="002C605A"/>
    <w:rsid w:val="002C635F"/>
    <w:rsid w:val="002C63D5"/>
    <w:rsid w:val="002C64A9"/>
    <w:rsid w:val="002C6834"/>
    <w:rsid w:val="002C6C0E"/>
    <w:rsid w:val="002C6F3D"/>
    <w:rsid w:val="002C7542"/>
    <w:rsid w:val="002C769B"/>
    <w:rsid w:val="002C7781"/>
    <w:rsid w:val="002C7854"/>
    <w:rsid w:val="002C7DFA"/>
    <w:rsid w:val="002C7E34"/>
    <w:rsid w:val="002C7EE2"/>
    <w:rsid w:val="002D0327"/>
    <w:rsid w:val="002D08FB"/>
    <w:rsid w:val="002D0934"/>
    <w:rsid w:val="002D0938"/>
    <w:rsid w:val="002D095C"/>
    <w:rsid w:val="002D09E3"/>
    <w:rsid w:val="002D0A31"/>
    <w:rsid w:val="002D0B84"/>
    <w:rsid w:val="002D0BD8"/>
    <w:rsid w:val="002D0C64"/>
    <w:rsid w:val="002D0DC6"/>
    <w:rsid w:val="002D1308"/>
    <w:rsid w:val="002D14B9"/>
    <w:rsid w:val="002D15E1"/>
    <w:rsid w:val="002D1941"/>
    <w:rsid w:val="002D1956"/>
    <w:rsid w:val="002D1AF5"/>
    <w:rsid w:val="002D2021"/>
    <w:rsid w:val="002D234A"/>
    <w:rsid w:val="002D257A"/>
    <w:rsid w:val="002D264C"/>
    <w:rsid w:val="002D26F5"/>
    <w:rsid w:val="002D29A8"/>
    <w:rsid w:val="002D2A6F"/>
    <w:rsid w:val="002D2D52"/>
    <w:rsid w:val="002D2D7B"/>
    <w:rsid w:val="002D2D7E"/>
    <w:rsid w:val="002D2E04"/>
    <w:rsid w:val="002D301C"/>
    <w:rsid w:val="002D328A"/>
    <w:rsid w:val="002D35D9"/>
    <w:rsid w:val="002D3672"/>
    <w:rsid w:val="002D36CD"/>
    <w:rsid w:val="002D394E"/>
    <w:rsid w:val="002D3BF2"/>
    <w:rsid w:val="002D3D91"/>
    <w:rsid w:val="002D3DAD"/>
    <w:rsid w:val="002D3DC4"/>
    <w:rsid w:val="002D3F0C"/>
    <w:rsid w:val="002D3F3F"/>
    <w:rsid w:val="002D3FA4"/>
    <w:rsid w:val="002D422F"/>
    <w:rsid w:val="002D438A"/>
    <w:rsid w:val="002D4447"/>
    <w:rsid w:val="002D4697"/>
    <w:rsid w:val="002D4A89"/>
    <w:rsid w:val="002D4B8D"/>
    <w:rsid w:val="002D4B8F"/>
    <w:rsid w:val="002D4BA2"/>
    <w:rsid w:val="002D4E07"/>
    <w:rsid w:val="002D4E15"/>
    <w:rsid w:val="002D4EB5"/>
    <w:rsid w:val="002D5017"/>
    <w:rsid w:val="002D501F"/>
    <w:rsid w:val="002D51E4"/>
    <w:rsid w:val="002D5209"/>
    <w:rsid w:val="002D5269"/>
    <w:rsid w:val="002D5464"/>
    <w:rsid w:val="002D55CE"/>
    <w:rsid w:val="002D5646"/>
    <w:rsid w:val="002D568A"/>
    <w:rsid w:val="002D5AB7"/>
    <w:rsid w:val="002D5DAA"/>
    <w:rsid w:val="002D5DE5"/>
    <w:rsid w:val="002D6037"/>
    <w:rsid w:val="002D633F"/>
    <w:rsid w:val="002D6392"/>
    <w:rsid w:val="002D64D2"/>
    <w:rsid w:val="002D66B8"/>
    <w:rsid w:val="002D6A27"/>
    <w:rsid w:val="002D6E01"/>
    <w:rsid w:val="002D7239"/>
    <w:rsid w:val="002D73DE"/>
    <w:rsid w:val="002D76EA"/>
    <w:rsid w:val="002D7766"/>
    <w:rsid w:val="002D77A2"/>
    <w:rsid w:val="002D7DED"/>
    <w:rsid w:val="002E0024"/>
    <w:rsid w:val="002E02AB"/>
    <w:rsid w:val="002E04EA"/>
    <w:rsid w:val="002E052A"/>
    <w:rsid w:val="002E0584"/>
    <w:rsid w:val="002E06A9"/>
    <w:rsid w:val="002E071D"/>
    <w:rsid w:val="002E07E5"/>
    <w:rsid w:val="002E08C3"/>
    <w:rsid w:val="002E0EDA"/>
    <w:rsid w:val="002E0F2F"/>
    <w:rsid w:val="002E10A9"/>
    <w:rsid w:val="002E1269"/>
    <w:rsid w:val="002E138A"/>
    <w:rsid w:val="002E13F1"/>
    <w:rsid w:val="002E140B"/>
    <w:rsid w:val="002E14DA"/>
    <w:rsid w:val="002E1783"/>
    <w:rsid w:val="002E1AC6"/>
    <w:rsid w:val="002E1C91"/>
    <w:rsid w:val="002E1FBC"/>
    <w:rsid w:val="002E2BA5"/>
    <w:rsid w:val="002E2D10"/>
    <w:rsid w:val="002E2FD3"/>
    <w:rsid w:val="002E35B8"/>
    <w:rsid w:val="002E3997"/>
    <w:rsid w:val="002E3B58"/>
    <w:rsid w:val="002E3D01"/>
    <w:rsid w:val="002E401D"/>
    <w:rsid w:val="002E4083"/>
    <w:rsid w:val="002E417F"/>
    <w:rsid w:val="002E44EC"/>
    <w:rsid w:val="002E4678"/>
    <w:rsid w:val="002E4A3E"/>
    <w:rsid w:val="002E4B2E"/>
    <w:rsid w:val="002E4C7C"/>
    <w:rsid w:val="002E5189"/>
    <w:rsid w:val="002E52D2"/>
    <w:rsid w:val="002E5349"/>
    <w:rsid w:val="002E56B1"/>
    <w:rsid w:val="002E57A6"/>
    <w:rsid w:val="002E5839"/>
    <w:rsid w:val="002E5841"/>
    <w:rsid w:val="002E5C0C"/>
    <w:rsid w:val="002E5C89"/>
    <w:rsid w:val="002E5EE4"/>
    <w:rsid w:val="002E5F11"/>
    <w:rsid w:val="002E6280"/>
    <w:rsid w:val="002E6343"/>
    <w:rsid w:val="002E6441"/>
    <w:rsid w:val="002E64DA"/>
    <w:rsid w:val="002E695B"/>
    <w:rsid w:val="002E6D83"/>
    <w:rsid w:val="002E6FC9"/>
    <w:rsid w:val="002E6FEA"/>
    <w:rsid w:val="002E72CE"/>
    <w:rsid w:val="002E735F"/>
    <w:rsid w:val="002E73F4"/>
    <w:rsid w:val="002E7588"/>
    <w:rsid w:val="002E7606"/>
    <w:rsid w:val="002E7840"/>
    <w:rsid w:val="002E793D"/>
    <w:rsid w:val="002E7C85"/>
    <w:rsid w:val="002E7CB8"/>
    <w:rsid w:val="002E7DBB"/>
    <w:rsid w:val="002E7DBF"/>
    <w:rsid w:val="002E7EE2"/>
    <w:rsid w:val="002E7F46"/>
    <w:rsid w:val="002F06BC"/>
    <w:rsid w:val="002F07E6"/>
    <w:rsid w:val="002F0840"/>
    <w:rsid w:val="002F08B7"/>
    <w:rsid w:val="002F0949"/>
    <w:rsid w:val="002F0AD3"/>
    <w:rsid w:val="002F0D1B"/>
    <w:rsid w:val="002F0D81"/>
    <w:rsid w:val="002F0E61"/>
    <w:rsid w:val="002F1040"/>
    <w:rsid w:val="002F142E"/>
    <w:rsid w:val="002F1749"/>
    <w:rsid w:val="002F1C9A"/>
    <w:rsid w:val="002F1EBF"/>
    <w:rsid w:val="002F1F65"/>
    <w:rsid w:val="002F2181"/>
    <w:rsid w:val="002F221E"/>
    <w:rsid w:val="002F22B0"/>
    <w:rsid w:val="002F270C"/>
    <w:rsid w:val="002F27B2"/>
    <w:rsid w:val="002F2946"/>
    <w:rsid w:val="002F2C89"/>
    <w:rsid w:val="002F31A6"/>
    <w:rsid w:val="002F3203"/>
    <w:rsid w:val="002F328F"/>
    <w:rsid w:val="002F3469"/>
    <w:rsid w:val="002F358F"/>
    <w:rsid w:val="002F3748"/>
    <w:rsid w:val="002F3968"/>
    <w:rsid w:val="002F3C0D"/>
    <w:rsid w:val="002F3C8A"/>
    <w:rsid w:val="002F3D03"/>
    <w:rsid w:val="002F3F41"/>
    <w:rsid w:val="002F4B26"/>
    <w:rsid w:val="002F4EF6"/>
    <w:rsid w:val="002F4FE2"/>
    <w:rsid w:val="002F5198"/>
    <w:rsid w:val="002F5228"/>
    <w:rsid w:val="002F528A"/>
    <w:rsid w:val="002F5322"/>
    <w:rsid w:val="002F5A3F"/>
    <w:rsid w:val="002F5CCA"/>
    <w:rsid w:val="002F5CFD"/>
    <w:rsid w:val="002F5D64"/>
    <w:rsid w:val="002F6168"/>
    <w:rsid w:val="002F620E"/>
    <w:rsid w:val="002F6697"/>
    <w:rsid w:val="002F670F"/>
    <w:rsid w:val="002F6889"/>
    <w:rsid w:val="002F6A9B"/>
    <w:rsid w:val="002F6E7D"/>
    <w:rsid w:val="002F721E"/>
    <w:rsid w:val="002F726C"/>
    <w:rsid w:val="002F7299"/>
    <w:rsid w:val="002F73D1"/>
    <w:rsid w:val="002F7671"/>
    <w:rsid w:val="002F76A9"/>
    <w:rsid w:val="002F7810"/>
    <w:rsid w:val="002F7B93"/>
    <w:rsid w:val="002F7D2B"/>
    <w:rsid w:val="002F7F32"/>
    <w:rsid w:val="00300156"/>
    <w:rsid w:val="00300318"/>
    <w:rsid w:val="00300733"/>
    <w:rsid w:val="00300ACE"/>
    <w:rsid w:val="00300CC0"/>
    <w:rsid w:val="003016D7"/>
    <w:rsid w:val="0030171B"/>
    <w:rsid w:val="00301875"/>
    <w:rsid w:val="00301A7C"/>
    <w:rsid w:val="00301E4F"/>
    <w:rsid w:val="00301F60"/>
    <w:rsid w:val="00302002"/>
    <w:rsid w:val="00302131"/>
    <w:rsid w:val="0030236E"/>
    <w:rsid w:val="00302383"/>
    <w:rsid w:val="00302647"/>
    <w:rsid w:val="00302A33"/>
    <w:rsid w:val="00302A8D"/>
    <w:rsid w:val="00302AE8"/>
    <w:rsid w:val="00303073"/>
    <w:rsid w:val="003036D5"/>
    <w:rsid w:val="00303AA2"/>
    <w:rsid w:val="00303AC8"/>
    <w:rsid w:val="00303DC4"/>
    <w:rsid w:val="003042C2"/>
    <w:rsid w:val="003043AB"/>
    <w:rsid w:val="003046B9"/>
    <w:rsid w:val="003046E5"/>
    <w:rsid w:val="003047E6"/>
    <w:rsid w:val="00304DC2"/>
    <w:rsid w:val="00304DDD"/>
    <w:rsid w:val="003050B0"/>
    <w:rsid w:val="00305294"/>
    <w:rsid w:val="00305348"/>
    <w:rsid w:val="00305375"/>
    <w:rsid w:val="00305649"/>
    <w:rsid w:val="00305672"/>
    <w:rsid w:val="003056DA"/>
    <w:rsid w:val="00305853"/>
    <w:rsid w:val="003058F4"/>
    <w:rsid w:val="00305906"/>
    <w:rsid w:val="00305938"/>
    <w:rsid w:val="00305B1A"/>
    <w:rsid w:val="00305B2A"/>
    <w:rsid w:val="00305C6F"/>
    <w:rsid w:val="00305D67"/>
    <w:rsid w:val="00305F0B"/>
    <w:rsid w:val="00305F6D"/>
    <w:rsid w:val="00306610"/>
    <w:rsid w:val="0030670D"/>
    <w:rsid w:val="003067A2"/>
    <w:rsid w:val="00306A12"/>
    <w:rsid w:val="00307131"/>
    <w:rsid w:val="003071C6"/>
    <w:rsid w:val="0030754E"/>
    <w:rsid w:val="00307821"/>
    <w:rsid w:val="00307ECB"/>
    <w:rsid w:val="0031048E"/>
    <w:rsid w:val="00310652"/>
    <w:rsid w:val="0031068D"/>
    <w:rsid w:val="003107ED"/>
    <w:rsid w:val="00310821"/>
    <w:rsid w:val="00310B0D"/>
    <w:rsid w:val="00310C19"/>
    <w:rsid w:val="00310D5A"/>
    <w:rsid w:val="00310F43"/>
    <w:rsid w:val="003112E7"/>
    <w:rsid w:val="00311455"/>
    <w:rsid w:val="00311654"/>
    <w:rsid w:val="003117C9"/>
    <w:rsid w:val="00311C1E"/>
    <w:rsid w:val="00311CC0"/>
    <w:rsid w:val="003125AE"/>
    <w:rsid w:val="003127C1"/>
    <w:rsid w:val="003128C5"/>
    <w:rsid w:val="00312ADC"/>
    <w:rsid w:val="00312BC6"/>
    <w:rsid w:val="00312CFB"/>
    <w:rsid w:val="00313482"/>
    <w:rsid w:val="003135A9"/>
    <w:rsid w:val="00313C59"/>
    <w:rsid w:val="00313C73"/>
    <w:rsid w:val="0031409F"/>
    <w:rsid w:val="0031426B"/>
    <w:rsid w:val="0031462D"/>
    <w:rsid w:val="0031476F"/>
    <w:rsid w:val="00314A3B"/>
    <w:rsid w:val="00314CA7"/>
    <w:rsid w:val="00314DB0"/>
    <w:rsid w:val="00314DFB"/>
    <w:rsid w:val="0031506B"/>
    <w:rsid w:val="003150D0"/>
    <w:rsid w:val="00315211"/>
    <w:rsid w:val="00315307"/>
    <w:rsid w:val="00315443"/>
    <w:rsid w:val="00315452"/>
    <w:rsid w:val="00315B44"/>
    <w:rsid w:val="00315DF4"/>
    <w:rsid w:val="00316084"/>
    <w:rsid w:val="00316811"/>
    <w:rsid w:val="00316C7C"/>
    <w:rsid w:val="0031720E"/>
    <w:rsid w:val="003172D1"/>
    <w:rsid w:val="0031750B"/>
    <w:rsid w:val="003178D0"/>
    <w:rsid w:val="00317B8F"/>
    <w:rsid w:val="00317C0D"/>
    <w:rsid w:val="00317D53"/>
    <w:rsid w:val="00317D85"/>
    <w:rsid w:val="003202D0"/>
    <w:rsid w:val="00320550"/>
    <w:rsid w:val="00320731"/>
    <w:rsid w:val="00320732"/>
    <w:rsid w:val="00320C98"/>
    <w:rsid w:val="00320D56"/>
    <w:rsid w:val="00321031"/>
    <w:rsid w:val="003212AB"/>
    <w:rsid w:val="003215EB"/>
    <w:rsid w:val="003216B4"/>
    <w:rsid w:val="003216C5"/>
    <w:rsid w:val="00321823"/>
    <w:rsid w:val="00321E3F"/>
    <w:rsid w:val="00321E6D"/>
    <w:rsid w:val="00321FF0"/>
    <w:rsid w:val="0032217D"/>
    <w:rsid w:val="003225C4"/>
    <w:rsid w:val="00322709"/>
    <w:rsid w:val="00322C8E"/>
    <w:rsid w:val="00322CB1"/>
    <w:rsid w:val="00322D3E"/>
    <w:rsid w:val="003230D3"/>
    <w:rsid w:val="003230E6"/>
    <w:rsid w:val="003233D5"/>
    <w:rsid w:val="003234BD"/>
    <w:rsid w:val="003234DE"/>
    <w:rsid w:val="00323946"/>
    <w:rsid w:val="003239A6"/>
    <w:rsid w:val="003239DD"/>
    <w:rsid w:val="00323AF0"/>
    <w:rsid w:val="00323BBD"/>
    <w:rsid w:val="00323BD7"/>
    <w:rsid w:val="00323CE0"/>
    <w:rsid w:val="00323DC5"/>
    <w:rsid w:val="00323EAC"/>
    <w:rsid w:val="00323F1A"/>
    <w:rsid w:val="00323F8E"/>
    <w:rsid w:val="00323FEF"/>
    <w:rsid w:val="00324761"/>
    <w:rsid w:val="00324923"/>
    <w:rsid w:val="00324C75"/>
    <w:rsid w:val="00324CE2"/>
    <w:rsid w:val="00324D1E"/>
    <w:rsid w:val="00324ECA"/>
    <w:rsid w:val="00324FA4"/>
    <w:rsid w:val="00325291"/>
    <w:rsid w:val="00325C93"/>
    <w:rsid w:val="00326137"/>
    <w:rsid w:val="00326303"/>
    <w:rsid w:val="00326382"/>
    <w:rsid w:val="003263BD"/>
    <w:rsid w:val="003263F5"/>
    <w:rsid w:val="003264B4"/>
    <w:rsid w:val="0032664F"/>
    <w:rsid w:val="00326A54"/>
    <w:rsid w:val="00326A91"/>
    <w:rsid w:val="00326B41"/>
    <w:rsid w:val="00326CEA"/>
    <w:rsid w:val="00326F85"/>
    <w:rsid w:val="00327A78"/>
    <w:rsid w:val="00327BD6"/>
    <w:rsid w:val="003300D3"/>
    <w:rsid w:val="003303B4"/>
    <w:rsid w:val="00330748"/>
    <w:rsid w:val="0033081E"/>
    <w:rsid w:val="00330A05"/>
    <w:rsid w:val="00330AA0"/>
    <w:rsid w:val="00330B78"/>
    <w:rsid w:val="00330CCD"/>
    <w:rsid w:val="00330F68"/>
    <w:rsid w:val="0033108E"/>
    <w:rsid w:val="00331264"/>
    <w:rsid w:val="003312BE"/>
    <w:rsid w:val="003314C5"/>
    <w:rsid w:val="003315E4"/>
    <w:rsid w:val="003315EE"/>
    <w:rsid w:val="00331625"/>
    <w:rsid w:val="0033179F"/>
    <w:rsid w:val="003319F8"/>
    <w:rsid w:val="00331AB9"/>
    <w:rsid w:val="00331F0D"/>
    <w:rsid w:val="00332008"/>
    <w:rsid w:val="0033211F"/>
    <w:rsid w:val="003323F1"/>
    <w:rsid w:val="00332445"/>
    <w:rsid w:val="0033254C"/>
    <w:rsid w:val="003327AB"/>
    <w:rsid w:val="00332A5F"/>
    <w:rsid w:val="00332B16"/>
    <w:rsid w:val="00332D22"/>
    <w:rsid w:val="003331F2"/>
    <w:rsid w:val="0033356D"/>
    <w:rsid w:val="0033374C"/>
    <w:rsid w:val="0033388A"/>
    <w:rsid w:val="003338F6"/>
    <w:rsid w:val="00333C7F"/>
    <w:rsid w:val="00333DA2"/>
    <w:rsid w:val="00334032"/>
    <w:rsid w:val="0033423C"/>
    <w:rsid w:val="00334276"/>
    <w:rsid w:val="003344C6"/>
    <w:rsid w:val="003345F1"/>
    <w:rsid w:val="003347B6"/>
    <w:rsid w:val="00334863"/>
    <w:rsid w:val="00334DF5"/>
    <w:rsid w:val="0033509A"/>
    <w:rsid w:val="00335104"/>
    <w:rsid w:val="00335258"/>
    <w:rsid w:val="003352E4"/>
    <w:rsid w:val="0033530F"/>
    <w:rsid w:val="003353C5"/>
    <w:rsid w:val="003354EA"/>
    <w:rsid w:val="003354EE"/>
    <w:rsid w:val="00335887"/>
    <w:rsid w:val="00335B24"/>
    <w:rsid w:val="00336140"/>
    <w:rsid w:val="00336207"/>
    <w:rsid w:val="00336481"/>
    <w:rsid w:val="003364EE"/>
    <w:rsid w:val="003364F9"/>
    <w:rsid w:val="003367F0"/>
    <w:rsid w:val="003367FF"/>
    <w:rsid w:val="00336BF0"/>
    <w:rsid w:val="00336D23"/>
    <w:rsid w:val="00336D32"/>
    <w:rsid w:val="00336D5C"/>
    <w:rsid w:val="00336D87"/>
    <w:rsid w:val="003370EE"/>
    <w:rsid w:val="003373E1"/>
    <w:rsid w:val="00337791"/>
    <w:rsid w:val="003379DF"/>
    <w:rsid w:val="00337A16"/>
    <w:rsid w:val="00337DAE"/>
    <w:rsid w:val="00337DB0"/>
    <w:rsid w:val="00337E1A"/>
    <w:rsid w:val="00337E3A"/>
    <w:rsid w:val="00340083"/>
    <w:rsid w:val="00340111"/>
    <w:rsid w:val="00340183"/>
    <w:rsid w:val="003402BD"/>
    <w:rsid w:val="00340413"/>
    <w:rsid w:val="00341008"/>
    <w:rsid w:val="003411AC"/>
    <w:rsid w:val="00341242"/>
    <w:rsid w:val="0034138A"/>
    <w:rsid w:val="003415AF"/>
    <w:rsid w:val="00341BA6"/>
    <w:rsid w:val="00341D59"/>
    <w:rsid w:val="003420FD"/>
    <w:rsid w:val="00342344"/>
    <w:rsid w:val="003423F2"/>
    <w:rsid w:val="003426B7"/>
    <w:rsid w:val="003429FB"/>
    <w:rsid w:val="00342E5B"/>
    <w:rsid w:val="0034306A"/>
    <w:rsid w:val="0034311C"/>
    <w:rsid w:val="00343232"/>
    <w:rsid w:val="003434F2"/>
    <w:rsid w:val="00343719"/>
    <w:rsid w:val="0034391A"/>
    <w:rsid w:val="00343E41"/>
    <w:rsid w:val="00343E55"/>
    <w:rsid w:val="00343EA9"/>
    <w:rsid w:val="00344069"/>
    <w:rsid w:val="003443A8"/>
    <w:rsid w:val="00344494"/>
    <w:rsid w:val="003444F7"/>
    <w:rsid w:val="0034453A"/>
    <w:rsid w:val="003446DD"/>
    <w:rsid w:val="0034484A"/>
    <w:rsid w:val="003448AA"/>
    <w:rsid w:val="003448E9"/>
    <w:rsid w:val="00344BE2"/>
    <w:rsid w:val="00344ED5"/>
    <w:rsid w:val="00344ED6"/>
    <w:rsid w:val="00344FAC"/>
    <w:rsid w:val="003454F4"/>
    <w:rsid w:val="00345771"/>
    <w:rsid w:val="00345B21"/>
    <w:rsid w:val="00345CC9"/>
    <w:rsid w:val="00345E27"/>
    <w:rsid w:val="00345E47"/>
    <w:rsid w:val="003460A3"/>
    <w:rsid w:val="0034618C"/>
    <w:rsid w:val="00346411"/>
    <w:rsid w:val="0034654F"/>
    <w:rsid w:val="00346789"/>
    <w:rsid w:val="003468DE"/>
    <w:rsid w:val="00346A11"/>
    <w:rsid w:val="00346B41"/>
    <w:rsid w:val="00346B42"/>
    <w:rsid w:val="00346D27"/>
    <w:rsid w:val="00346D91"/>
    <w:rsid w:val="0034700A"/>
    <w:rsid w:val="00347314"/>
    <w:rsid w:val="003474D0"/>
    <w:rsid w:val="003475EC"/>
    <w:rsid w:val="0034760A"/>
    <w:rsid w:val="00347831"/>
    <w:rsid w:val="00347B08"/>
    <w:rsid w:val="00347B43"/>
    <w:rsid w:val="00347CE3"/>
    <w:rsid w:val="00347E72"/>
    <w:rsid w:val="00347EC1"/>
    <w:rsid w:val="003500EE"/>
    <w:rsid w:val="0035019D"/>
    <w:rsid w:val="00350244"/>
    <w:rsid w:val="00350401"/>
    <w:rsid w:val="003504A4"/>
    <w:rsid w:val="00350523"/>
    <w:rsid w:val="00350730"/>
    <w:rsid w:val="00350768"/>
    <w:rsid w:val="0035078A"/>
    <w:rsid w:val="00350A5D"/>
    <w:rsid w:val="00350B53"/>
    <w:rsid w:val="00350C73"/>
    <w:rsid w:val="00350F79"/>
    <w:rsid w:val="003513BA"/>
    <w:rsid w:val="0035141D"/>
    <w:rsid w:val="00351751"/>
    <w:rsid w:val="00351A87"/>
    <w:rsid w:val="00351B59"/>
    <w:rsid w:val="00351CD6"/>
    <w:rsid w:val="00351DA0"/>
    <w:rsid w:val="00351DA3"/>
    <w:rsid w:val="00351FD3"/>
    <w:rsid w:val="0035206A"/>
    <w:rsid w:val="0035258D"/>
    <w:rsid w:val="00352648"/>
    <w:rsid w:val="0035279C"/>
    <w:rsid w:val="003528CD"/>
    <w:rsid w:val="00352C16"/>
    <w:rsid w:val="00352DB4"/>
    <w:rsid w:val="00353001"/>
    <w:rsid w:val="00353175"/>
    <w:rsid w:val="0035350D"/>
    <w:rsid w:val="00353B95"/>
    <w:rsid w:val="00353CF2"/>
    <w:rsid w:val="00353DA1"/>
    <w:rsid w:val="00353DCD"/>
    <w:rsid w:val="00354136"/>
    <w:rsid w:val="00354191"/>
    <w:rsid w:val="00354231"/>
    <w:rsid w:val="00354369"/>
    <w:rsid w:val="00354428"/>
    <w:rsid w:val="003544AE"/>
    <w:rsid w:val="003551A7"/>
    <w:rsid w:val="0035523A"/>
    <w:rsid w:val="00355538"/>
    <w:rsid w:val="0035553A"/>
    <w:rsid w:val="00355554"/>
    <w:rsid w:val="0035555B"/>
    <w:rsid w:val="00355AB2"/>
    <w:rsid w:val="00355CE5"/>
    <w:rsid w:val="00355F61"/>
    <w:rsid w:val="00355F62"/>
    <w:rsid w:val="00356032"/>
    <w:rsid w:val="0035623B"/>
    <w:rsid w:val="00356571"/>
    <w:rsid w:val="00356699"/>
    <w:rsid w:val="00356C53"/>
    <w:rsid w:val="00356CA9"/>
    <w:rsid w:val="00356CEE"/>
    <w:rsid w:val="00356D88"/>
    <w:rsid w:val="00356ECB"/>
    <w:rsid w:val="00356F29"/>
    <w:rsid w:val="00356FD2"/>
    <w:rsid w:val="00357211"/>
    <w:rsid w:val="0035728F"/>
    <w:rsid w:val="003573F0"/>
    <w:rsid w:val="003573FA"/>
    <w:rsid w:val="00357527"/>
    <w:rsid w:val="003575C5"/>
    <w:rsid w:val="003575C7"/>
    <w:rsid w:val="00357674"/>
    <w:rsid w:val="003579F5"/>
    <w:rsid w:val="00357C56"/>
    <w:rsid w:val="00357D8B"/>
    <w:rsid w:val="00357DEA"/>
    <w:rsid w:val="003603C5"/>
    <w:rsid w:val="003605FB"/>
    <w:rsid w:val="00361493"/>
    <w:rsid w:val="00361A95"/>
    <w:rsid w:val="00361ADA"/>
    <w:rsid w:val="00361B2D"/>
    <w:rsid w:val="00361D44"/>
    <w:rsid w:val="00361D7B"/>
    <w:rsid w:val="00361E00"/>
    <w:rsid w:val="003621A5"/>
    <w:rsid w:val="0036248C"/>
    <w:rsid w:val="0036298B"/>
    <w:rsid w:val="00362A11"/>
    <w:rsid w:val="00362A2E"/>
    <w:rsid w:val="00362EDF"/>
    <w:rsid w:val="003637B7"/>
    <w:rsid w:val="003637E0"/>
    <w:rsid w:val="003638F9"/>
    <w:rsid w:val="00363A77"/>
    <w:rsid w:val="00363ACA"/>
    <w:rsid w:val="00363BD0"/>
    <w:rsid w:val="0036424F"/>
    <w:rsid w:val="00364304"/>
    <w:rsid w:val="003644BE"/>
    <w:rsid w:val="0036468B"/>
    <w:rsid w:val="00364886"/>
    <w:rsid w:val="003648AE"/>
    <w:rsid w:val="00364926"/>
    <w:rsid w:val="00364969"/>
    <w:rsid w:val="00365087"/>
    <w:rsid w:val="00365817"/>
    <w:rsid w:val="00365975"/>
    <w:rsid w:val="00365A81"/>
    <w:rsid w:val="00365B09"/>
    <w:rsid w:val="00365C35"/>
    <w:rsid w:val="00365D70"/>
    <w:rsid w:val="00365F34"/>
    <w:rsid w:val="00365F38"/>
    <w:rsid w:val="0036606B"/>
    <w:rsid w:val="0036622B"/>
    <w:rsid w:val="003664C9"/>
    <w:rsid w:val="003665D7"/>
    <w:rsid w:val="00366807"/>
    <w:rsid w:val="00366A15"/>
    <w:rsid w:val="00366D65"/>
    <w:rsid w:val="00366E08"/>
    <w:rsid w:val="00366ED9"/>
    <w:rsid w:val="00367440"/>
    <w:rsid w:val="0036756A"/>
    <w:rsid w:val="003675D6"/>
    <w:rsid w:val="0036790F"/>
    <w:rsid w:val="00367BDB"/>
    <w:rsid w:val="00367BDC"/>
    <w:rsid w:val="00370132"/>
    <w:rsid w:val="003702F8"/>
    <w:rsid w:val="0037036D"/>
    <w:rsid w:val="00370459"/>
    <w:rsid w:val="0037054D"/>
    <w:rsid w:val="00370734"/>
    <w:rsid w:val="003707E6"/>
    <w:rsid w:val="0037158B"/>
    <w:rsid w:val="003715D6"/>
    <w:rsid w:val="0037166D"/>
    <w:rsid w:val="00371A70"/>
    <w:rsid w:val="00371DBB"/>
    <w:rsid w:val="003721B4"/>
    <w:rsid w:val="0037220F"/>
    <w:rsid w:val="003723D4"/>
    <w:rsid w:val="003724C5"/>
    <w:rsid w:val="0037258B"/>
    <w:rsid w:val="0037269A"/>
    <w:rsid w:val="00372808"/>
    <w:rsid w:val="0037296B"/>
    <w:rsid w:val="00372A06"/>
    <w:rsid w:val="00372A9E"/>
    <w:rsid w:val="0037301B"/>
    <w:rsid w:val="00373268"/>
    <w:rsid w:val="003733CC"/>
    <w:rsid w:val="00373966"/>
    <w:rsid w:val="00373BFA"/>
    <w:rsid w:val="00373F6F"/>
    <w:rsid w:val="00374200"/>
    <w:rsid w:val="00374532"/>
    <w:rsid w:val="003748E2"/>
    <w:rsid w:val="00374941"/>
    <w:rsid w:val="00374AC0"/>
    <w:rsid w:val="00374B27"/>
    <w:rsid w:val="00374CAF"/>
    <w:rsid w:val="00374DFE"/>
    <w:rsid w:val="00374FCA"/>
    <w:rsid w:val="00374FD3"/>
    <w:rsid w:val="003752A5"/>
    <w:rsid w:val="00375354"/>
    <w:rsid w:val="003753C0"/>
    <w:rsid w:val="0037548D"/>
    <w:rsid w:val="00375570"/>
    <w:rsid w:val="00375871"/>
    <w:rsid w:val="00375B41"/>
    <w:rsid w:val="00375C23"/>
    <w:rsid w:val="00375E68"/>
    <w:rsid w:val="00375F2D"/>
    <w:rsid w:val="00375FCC"/>
    <w:rsid w:val="00376258"/>
    <w:rsid w:val="00376391"/>
    <w:rsid w:val="00376596"/>
    <w:rsid w:val="00376709"/>
    <w:rsid w:val="00376E8E"/>
    <w:rsid w:val="00376F2F"/>
    <w:rsid w:val="00377153"/>
    <w:rsid w:val="00377291"/>
    <w:rsid w:val="00377AC4"/>
    <w:rsid w:val="00377EE8"/>
    <w:rsid w:val="00377F8E"/>
    <w:rsid w:val="003803B4"/>
    <w:rsid w:val="003805CE"/>
    <w:rsid w:val="003807CD"/>
    <w:rsid w:val="00380ABE"/>
    <w:rsid w:val="00380C7A"/>
    <w:rsid w:val="00380CA9"/>
    <w:rsid w:val="00380D5D"/>
    <w:rsid w:val="003810F1"/>
    <w:rsid w:val="00381185"/>
    <w:rsid w:val="0038136E"/>
    <w:rsid w:val="003816FC"/>
    <w:rsid w:val="00381760"/>
    <w:rsid w:val="003819B5"/>
    <w:rsid w:val="00381EEC"/>
    <w:rsid w:val="00381F79"/>
    <w:rsid w:val="0038219F"/>
    <w:rsid w:val="00382613"/>
    <w:rsid w:val="00382871"/>
    <w:rsid w:val="003828AE"/>
    <w:rsid w:val="003829ED"/>
    <w:rsid w:val="00382A17"/>
    <w:rsid w:val="00382A5A"/>
    <w:rsid w:val="00382F8F"/>
    <w:rsid w:val="00382FD1"/>
    <w:rsid w:val="00382FE4"/>
    <w:rsid w:val="0038311C"/>
    <w:rsid w:val="0038321C"/>
    <w:rsid w:val="003833A1"/>
    <w:rsid w:val="003836D1"/>
    <w:rsid w:val="00383A4C"/>
    <w:rsid w:val="00383AFF"/>
    <w:rsid w:val="00383CD9"/>
    <w:rsid w:val="00383D43"/>
    <w:rsid w:val="00383DD1"/>
    <w:rsid w:val="00383E33"/>
    <w:rsid w:val="0038402F"/>
    <w:rsid w:val="0038441B"/>
    <w:rsid w:val="00384537"/>
    <w:rsid w:val="003845EF"/>
    <w:rsid w:val="003846F6"/>
    <w:rsid w:val="00384DCF"/>
    <w:rsid w:val="00385199"/>
    <w:rsid w:val="003855EC"/>
    <w:rsid w:val="003856E3"/>
    <w:rsid w:val="0038574E"/>
    <w:rsid w:val="00385D0E"/>
    <w:rsid w:val="00385D6D"/>
    <w:rsid w:val="00386056"/>
    <w:rsid w:val="003860BE"/>
    <w:rsid w:val="00386247"/>
    <w:rsid w:val="003864EB"/>
    <w:rsid w:val="003864F5"/>
    <w:rsid w:val="003865A5"/>
    <w:rsid w:val="003865AA"/>
    <w:rsid w:val="00386600"/>
    <w:rsid w:val="0038670A"/>
    <w:rsid w:val="0038692A"/>
    <w:rsid w:val="00386DE6"/>
    <w:rsid w:val="00386DF9"/>
    <w:rsid w:val="00386EAF"/>
    <w:rsid w:val="00386FDF"/>
    <w:rsid w:val="00386FE5"/>
    <w:rsid w:val="00387132"/>
    <w:rsid w:val="00387230"/>
    <w:rsid w:val="00387282"/>
    <w:rsid w:val="003875C5"/>
    <w:rsid w:val="00387671"/>
    <w:rsid w:val="00387765"/>
    <w:rsid w:val="0038790C"/>
    <w:rsid w:val="00387980"/>
    <w:rsid w:val="00387A79"/>
    <w:rsid w:val="00387AAF"/>
    <w:rsid w:val="00387D04"/>
    <w:rsid w:val="00387D93"/>
    <w:rsid w:val="0039003D"/>
    <w:rsid w:val="0039042E"/>
    <w:rsid w:val="0039048E"/>
    <w:rsid w:val="003905F8"/>
    <w:rsid w:val="00390899"/>
    <w:rsid w:val="00390965"/>
    <w:rsid w:val="003909E9"/>
    <w:rsid w:val="00390ADD"/>
    <w:rsid w:val="00390C1A"/>
    <w:rsid w:val="00390DD7"/>
    <w:rsid w:val="00391232"/>
    <w:rsid w:val="00391311"/>
    <w:rsid w:val="0039136C"/>
    <w:rsid w:val="003913E5"/>
    <w:rsid w:val="0039188B"/>
    <w:rsid w:val="003918F3"/>
    <w:rsid w:val="0039191C"/>
    <w:rsid w:val="0039193F"/>
    <w:rsid w:val="00391AE0"/>
    <w:rsid w:val="00392031"/>
    <w:rsid w:val="0039221E"/>
    <w:rsid w:val="003922DA"/>
    <w:rsid w:val="0039238E"/>
    <w:rsid w:val="003927EE"/>
    <w:rsid w:val="00392A47"/>
    <w:rsid w:val="00392A9B"/>
    <w:rsid w:val="00392C83"/>
    <w:rsid w:val="00392C92"/>
    <w:rsid w:val="00392DF2"/>
    <w:rsid w:val="00392EAC"/>
    <w:rsid w:val="003930F9"/>
    <w:rsid w:val="00393109"/>
    <w:rsid w:val="00393131"/>
    <w:rsid w:val="00393275"/>
    <w:rsid w:val="00393493"/>
    <w:rsid w:val="00393680"/>
    <w:rsid w:val="00393824"/>
    <w:rsid w:val="00393D58"/>
    <w:rsid w:val="00393E26"/>
    <w:rsid w:val="00393FD5"/>
    <w:rsid w:val="00394109"/>
    <w:rsid w:val="0039464D"/>
    <w:rsid w:val="00394732"/>
    <w:rsid w:val="0039473C"/>
    <w:rsid w:val="0039478A"/>
    <w:rsid w:val="003949E2"/>
    <w:rsid w:val="00394B46"/>
    <w:rsid w:val="00394F69"/>
    <w:rsid w:val="00395164"/>
    <w:rsid w:val="003951EF"/>
    <w:rsid w:val="00395282"/>
    <w:rsid w:val="003953C1"/>
    <w:rsid w:val="003959DD"/>
    <w:rsid w:val="00395C56"/>
    <w:rsid w:val="00395D87"/>
    <w:rsid w:val="00395F5C"/>
    <w:rsid w:val="00395F91"/>
    <w:rsid w:val="00395FE8"/>
    <w:rsid w:val="003966F2"/>
    <w:rsid w:val="00396905"/>
    <w:rsid w:val="003969BE"/>
    <w:rsid w:val="00396CF4"/>
    <w:rsid w:val="00397072"/>
    <w:rsid w:val="00397168"/>
    <w:rsid w:val="00397497"/>
    <w:rsid w:val="003975B8"/>
    <w:rsid w:val="00397748"/>
    <w:rsid w:val="00397D20"/>
    <w:rsid w:val="00397E73"/>
    <w:rsid w:val="00397EAE"/>
    <w:rsid w:val="00397F1C"/>
    <w:rsid w:val="003A013F"/>
    <w:rsid w:val="003A0C6A"/>
    <w:rsid w:val="003A0D97"/>
    <w:rsid w:val="003A0DCA"/>
    <w:rsid w:val="003A0F87"/>
    <w:rsid w:val="003A1288"/>
    <w:rsid w:val="003A16A1"/>
    <w:rsid w:val="003A16CD"/>
    <w:rsid w:val="003A1C18"/>
    <w:rsid w:val="003A203A"/>
    <w:rsid w:val="003A2290"/>
    <w:rsid w:val="003A27B9"/>
    <w:rsid w:val="003A2926"/>
    <w:rsid w:val="003A2BDB"/>
    <w:rsid w:val="003A31E3"/>
    <w:rsid w:val="003A3642"/>
    <w:rsid w:val="003A37DA"/>
    <w:rsid w:val="003A3AEE"/>
    <w:rsid w:val="003A3E8A"/>
    <w:rsid w:val="003A4199"/>
    <w:rsid w:val="003A43ED"/>
    <w:rsid w:val="003A458F"/>
    <w:rsid w:val="003A459E"/>
    <w:rsid w:val="003A4836"/>
    <w:rsid w:val="003A4924"/>
    <w:rsid w:val="003A4A1A"/>
    <w:rsid w:val="003A4E49"/>
    <w:rsid w:val="003A5099"/>
    <w:rsid w:val="003A52BD"/>
    <w:rsid w:val="003A587F"/>
    <w:rsid w:val="003A592A"/>
    <w:rsid w:val="003A5B09"/>
    <w:rsid w:val="003A5B99"/>
    <w:rsid w:val="003A5BEE"/>
    <w:rsid w:val="003A63AD"/>
    <w:rsid w:val="003A63F7"/>
    <w:rsid w:val="003A6486"/>
    <w:rsid w:val="003A66B1"/>
    <w:rsid w:val="003A6793"/>
    <w:rsid w:val="003A6EA7"/>
    <w:rsid w:val="003A6F8E"/>
    <w:rsid w:val="003A740F"/>
    <w:rsid w:val="003A758E"/>
    <w:rsid w:val="003A7BE2"/>
    <w:rsid w:val="003A7E52"/>
    <w:rsid w:val="003B00A7"/>
    <w:rsid w:val="003B0559"/>
    <w:rsid w:val="003B06E0"/>
    <w:rsid w:val="003B09BD"/>
    <w:rsid w:val="003B0D96"/>
    <w:rsid w:val="003B0EC0"/>
    <w:rsid w:val="003B0EC5"/>
    <w:rsid w:val="003B1397"/>
    <w:rsid w:val="003B16D1"/>
    <w:rsid w:val="003B190C"/>
    <w:rsid w:val="003B221E"/>
    <w:rsid w:val="003B2630"/>
    <w:rsid w:val="003B2701"/>
    <w:rsid w:val="003B2A91"/>
    <w:rsid w:val="003B2C22"/>
    <w:rsid w:val="003B2CA1"/>
    <w:rsid w:val="003B2E4E"/>
    <w:rsid w:val="003B2E8C"/>
    <w:rsid w:val="003B2ED4"/>
    <w:rsid w:val="003B329F"/>
    <w:rsid w:val="003B33D2"/>
    <w:rsid w:val="003B3496"/>
    <w:rsid w:val="003B3787"/>
    <w:rsid w:val="003B38FA"/>
    <w:rsid w:val="003B3B14"/>
    <w:rsid w:val="003B3BC7"/>
    <w:rsid w:val="003B3C7E"/>
    <w:rsid w:val="003B49C7"/>
    <w:rsid w:val="003B4A05"/>
    <w:rsid w:val="003B4A6C"/>
    <w:rsid w:val="003B5024"/>
    <w:rsid w:val="003B5185"/>
    <w:rsid w:val="003B5256"/>
    <w:rsid w:val="003B53F7"/>
    <w:rsid w:val="003B5606"/>
    <w:rsid w:val="003B5688"/>
    <w:rsid w:val="003B5B6F"/>
    <w:rsid w:val="003B5C14"/>
    <w:rsid w:val="003B5DA4"/>
    <w:rsid w:val="003B607A"/>
    <w:rsid w:val="003B61FA"/>
    <w:rsid w:val="003B6286"/>
    <w:rsid w:val="003B6385"/>
    <w:rsid w:val="003B66FF"/>
    <w:rsid w:val="003B6A61"/>
    <w:rsid w:val="003B6A7F"/>
    <w:rsid w:val="003B6C33"/>
    <w:rsid w:val="003B6ED7"/>
    <w:rsid w:val="003B716A"/>
    <w:rsid w:val="003B734E"/>
    <w:rsid w:val="003B73A8"/>
    <w:rsid w:val="003B76A9"/>
    <w:rsid w:val="003B76C4"/>
    <w:rsid w:val="003B78AC"/>
    <w:rsid w:val="003B7947"/>
    <w:rsid w:val="003B7AC5"/>
    <w:rsid w:val="003B7B7C"/>
    <w:rsid w:val="003B7F0E"/>
    <w:rsid w:val="003C0271"/>
    <w:rsid w:val="003C03B8"/>
    <w:rsid w:val="003C05AF"/>
    <w:rsid w:val="003C0657"/>
    <w:rsid w:val="003C081B"/>
    <w:rsid w:val="003C08A2"/>
    <w:rsid w:val="003C08BA"/>
    <w:rsid w:val="003C0AF4"/>
    <w:rsid w:val="003C0B23"/>
    <w:rsid w:val="003C0C3D"/>
    <w:rsid w:val="003C0C74"/>
    <w:rsid w:val="003C0C82"/>
    <w:rsid w:val="003C0D76"/>
    <w:rsid w:val="003C1047"/>
    <w:rsid w:val="003C11E4"/>
    <w:rsid w:val="003C174C"/>
    <w:rsid w:val="003C17AB"/>
    <w:rsid w:val="003C187D"/>
    <w:rsid w:val="003C1B3D"/>
    <w:rsid w:val="003C1D23"/>
    <w:rsid w:val="003C1E2A"/>
    <w:rsid w:val="003C1F54"/>
    <w:rsid w:val="003C2432"/>
    <w:rsid w:val="003C2451"/>
    <w:rsid w:val="003C2537"/>
    <w:rsid w:val="003C299A"/>
    <w:rsid w:val="003C2AE7"/>
    <w:rsid w:val="003C2D18"/>
    <w:rsid w:val="003C2E44"/>
    <w:rsid w:val="003C31BD"/>
    <w:rsid w:val="003C34E8"/>
    <w:rsid w:val="003C3622"/>
    <w:rsid w:val="003C368B"/>
    <w:rsid w:val="003C3781"/>
    <w:rsid w:val="003C3B57"/>
    <w:rsid w:val="003C3BCB"/>
    <w:rsid w:val="003C3D33"/>
    <w:rsid w:val="003C3DB3"/>
    <w:rsid w:val="003C3E1C"/>
    <w:rsid w:val="003C3F9A"/>
    <w:rsid w:val="003C443D"/>
    <w:rsid w:val="003C4672"/>
    <w:rsid w:val="003C47DE"/>
    <w:rsid w:val="003C47FB"/>
    <w:rsid w:val="003C4870"/>
    <w:rsid w:val="003C49C5"/>
    <w:rsid w:val="003C4A22"/>
    <w:rsid w:val="003C4C63"/>
    <w:rsid w:val="003C4D05"/>
    <w:rsid w:val="003C4E3E"/>
    <w:rsid w:val="003C5150"/>
    <w:rsid w:val="003C51C9"/>
    <w:rsid w:val="003C52DA"/>
    <w:rsid w:val="003C5403"/>
    <w:rsid w:val="003C5621"/>
    <w:rsid w:val="003C5849"/>
    <w:rsid w:val="003C58AE"/>
    <w:rsid w:val="003C595B"/>
    <w:rsid w:val="003C5A4F"/>
    <w:rsid w:val="003C5C62"/>
    <w:rsid w:val="003C5CB7"/>
    <w:rsid w:val="003C5D06"/>
    <w:rsid w:val="003C5DC9"/>
    <w:rsid w:val="003C6084"/>
    <w:rsid w:val="003C612A"/>
    <w:rsid w:val="003C6249"/>
    <w:rsid w:val="003C63F6"/>
    <w:rsid w:val="003C662B"/>
    <w:rsid w:val="003C68F8"/>
    <w:rsid w:val="003C6D82"/>
    <w:rsid w:val="003C6F98"/>
    <w:rsid w:val="003C740B"/>
    <w:rsid w:val="003C7471"/>
    <w:rsid w:val="003C7632"/>
    <w:rsid w:val="003C7A3A"/>
    <w:rsid w:val="003C7B93"/>
    <w:rsid w:val="003C7C79"/>
    <w:rsid w:val="003C7D1C"/>
    <w:rsid w:val="003C7D32"/>
    <w:rsid w:val="003D0125"/>
    <w:rsid w:val="003D024D"/>
    <w:rsid w:val="003D07F1"/>
    <w:rsid w:val="003D08E2"/>
    <w:rsid w:val="003D097E"/>
    <w:rsid w:val="003D0C9B"/>
    <w:rsid w:val="003D0D99"/>
    <w:rsid w:val="003D1024"/>
    <w:rsid w:val="003D1059"/>
    <w:rsid w:val="003D10BD"/>
    <w:rsid w:val="003D10CA"/>
    <w:rsid w:val="003D142E"/>
    <w:rsid w:val="003D1754"/>
    <w:rsid w:val="003D1B8B"/>
    <w:rsid w:val="003D1D7D"/>
    <w:rsid w:val="003D1DB5"/>
    <w:rsid w:val="003D1F63"/>
    <w:rsid w:val="003D22B6"/>
    <w:rsid w:val="003D24AD"/>
    <w:rsid w:val="003D271D"/>
    <w:rsid w:val="003D29FC"/>
    <w:rsid w:val="003D2A3C"/>
    <w:rsid w:val="003D2D93"/>
    <w:rsid w:val="003D2F9E"/>
    <w:rsid w:val="003D3136"/>
    <w:rsid w:val="003D3193"/>
    <w:rsid w:val="003D321F"/>
    <w:rsid w:val="003D33D8"/>
    <w:rsid w:val="003D343B"/>
    <w:rsid w:val="003D347A"/>
    <w:rsid w:val="003D3718"/>
    <w:rsid w:val="003D3823"/>
    <w:rsid w:val="003D3B35"/>
    <w:rsid w:val="003D3BD2"/>
    <w:rsid w:val="003D3CD8"/>
    <w:rsid w:val="003D3E9F"/>
    <w:rsid w:val="003D3FE1"/>
    <w:rsid w:val="003D4075"/>
    <w:rsid w:val="003D4194"/>
    <w:rsid w:val="003D430F"/>
    <w:rsid w:val="003D43A6"/>
    <w:rsid w:val="003D43DE"/>
    <w:rsid w:val="003D4886"/>
    <w:rsid w:val="003D4A2F"/>
    <w:rsid w:val="003D4A6B"/>
    <w:rsid w:val="003D4B9D"/>
    <w:rsid w:val="003D4CD1"/>
    <w:rsid w:val="003D4D59"/>
    <w:rsid w:val="003D5110"/>
    <w:rsid w:val="003D55A0"/>
    <w:rsid w:val="003D57AF"/>
    <w:rsid w:val="003D5A82"/>
    <w:rsid w:val="003D6406"/>
    <w:rsid w:val="003D65FF"/>
    <w:rsid w:val="003D662C"/>
    <w:rsid w:val="003D67AE"/>
    <w:rsid w:val="003D697A"/>
    <w:rsid w:val="003D6A30"/>
    <w:rsid w:val="003D704E"/>
    <w:rsid w:val="003D70C4"/>
    <w:rsid w:val="003D714C"/>
    <w:rsid w:val="003D7533"/>
    <w:rsid w:val="003D75D2"/>
    <w:rsid w:val="003D7A42"/>
    <w:rsid w:val="003D7A68"/>
    <w:rsid w:val="003D7B29"/>
    <w:rsid w:val="003D7D5D"/>
    <w:rsid w:val="003E00AE"/>
    <w:rsid w:val="003E0204"/>
    <w:rsid w:val="003E0254"/>
    <w:rsid w:val="003E04FB"/>
    <w:rsid w:val="003E08EE"/>
    <w:rsid w:val="003E0918"/>
    <w:rsid w:val="003E0A1A"/>
    <w:rsid w:val="003E0A53"/>
    <w:rsid w:val="003E0BA4"/>
    <w:rsid w:val="003E0D11"/>
    <w:rsid w:val="003E0E1A"/>
    <w:rsid w:val="003E1165"/>
    <w:rsid w:val="003E14F2"/>
    <w:rsid w:val="003E152E"/>
    <w:rsid w:val="003E16D3"/>
    <w:rsid w:val="003E18C9"/>
    <w:rsid w:val="003E197C"/>
    <w:rsid w:val="003E1B01"/>
    <w:rsid w:val="003E1C8B"/>
    <w:rsid w:val="003E2026"/>
    <w:rsid w:val="003E20EB"/>
    <w:rsid w:val="003E2145"/>
    <w:rsid w:val="003E263D"/>
    <w:rsid w:val="003E27C0"/>
    <w:rsid w:val="003E2ACC"/>
    <w:rsid w:val="003E3170"/>
    <w:rsid w:val="003E35E5"/>
    <w:rsid w:val="003E37F3"/>
    <w:rsid w:val="003E3936"/>
    <w:rsid w:val="003E3AAC"/>
    <w:rsid w:val="003E3B21"/>
    <w:rsid w:val="003E3B5E"/>
    <w:rsid w:val="003E3E25"/>
    <w:rsid w:val="003E4511"/>
    <w:rsid w:val="003E46ED"/>
    <w:rsid w:val="003E49DA"/>
    <w:rsid w:val="003E4B07"/>
    <w:rsid w:val="003E4E77"/>
    <w:rsid w:val="003E52F0"/>
    <w:rsid w:val="003E5312"/>
    <w:rsid w:val="003E5831"/>
    <w:rsid w:val="003E5B5C"/>
    <w:rsid w:val="003E5BD0"/>
    <w:rsid w:val="003E5E12"/>
    <w:rsid w:val="003E5EE3"/>
    <w:rsid w:val="003E60CB"/>
    <w:rsid w:val="003E6110"/>
    <w:rsid w:val="003E63B9"/>
    <w:rsid w:val="003E63E5"/>
    <w:rsid w:val="003E6460"/>
    <w:rsid w:val="003E652A"/>
    <w:rsid w:val="003E673A"/>
    <w:rsid w:val="003E6B19"/>
    <w:rsid w:val="003E713C"/>
    <w:rsid w:val="003E727B"/>
    <w:rsid w:val="003E74AE"/>
    <w:rsid w:val="003E761A"/>
    <w:rsid w:val="003E76FB"/>
    <w:rsid w:val="003E7A05"/>
    <w:rsid w:val="003E7B7E"/>
    <w:rsid w:val="003E7C74"/>
    <w:rsid w:val="003E7E82"/>
    <w:rsid w:val="003F009A"/>
    <w:rsid w:val="003F00B3"/>
    <w:rsid w:val="003F0277"/>
    <w:rsid w:val="003F0718"/>
    <w:rsid w:val="003F07B5"/>
    <w:rsid w:val="003F0889"/>
    <w:rsid w:val="003F0D21"/>
    <w:rsid w:val="003F0D99"/>
    <w:rsid w:val="003F0F32"/>
    <w:rsid w:val="003F11A2"/>
    <w:rsid w:val="003F1254"/>
    <w:rsid w:val="003F12DB"/>
    <w:rsid w:val="003F1770"/>
    <w:rsid w:val="003F1780"/>
    <w:rsid w:val="003F17A6"/>
    <w:rsid w:val="003F19FA"/>
    <w:rsid w:val="003F1F10"/>
    <w:rsid w:val="003F1F42"/>
    <w:rsid w:val="003F21B8"/>
    <w:rsid w:val="003F25ED"/>
    <w:rsid w:val="003F2899"/>
    <w:rsid w:val="003F2E54"/>
    <w:rsid w:val="003F2E5B"/>
    <w:rsid w:val="003F30CE"/>
    <w:rsid w:val="003F30E9"/>
    <w:rsid w:val="003F3405"/>
    <w:rsid w:val="003F3687"/>
    <w:rsid w:val="003F36E7"/>
    <w:rsid w:val="003F3E7A"/>
    <w:rsid w:val="003F3EE5"/>
    <w:rsid w:val="003F3F37"/>
    <w:rsid w:val="003F4057"/>
    <w:rsid w:val="003F4140"/>
    <w:rsid w:val="003F4192"/>
    <w:rsid w:val="003F4490"/>
    <w:rsid w:val="003F44FF"/>
    <w:rsid w:val="003F4698"/>
    <w:rsid w:val="003F48E4"/>
    <w:rsid w:val="003F4A5E"/>
    <w:rsid w:val="003F4E03"/>
    <w:rsid w:val="003F56D4"/>
    <w:rsid w:val="003F574F"/>
    <w:rsid w:val="003F5A2A"/>
    <w:rsid w:val="003F5C05"/>
    <w:rsid w:val="003F602F"/>
    <w:rsid w:val="003F60E8"/>
    <w:rsid w:val="003F61B7"/>
    <w:rsid w:val="003F651C"/>
    <w:rsid w:val="003F6598"/>
    <w:rsid w:val="003F6886"/>
    <w:rsid w:val="003F68AB"/>
    <w:rsid w:val="003F6927"/>
    <w:rsid w:val="003F6D63"/>
    <w:rsid w:val="003F7058"/>
    <w:rsid w:val="003F7733"/>
    <w:rsid w:val="003F7A15"/>
    <w:rsid w:val="003F7AFE"/>
    <w:rsid w:val="003F7B2B"/>
    <w:rsid w:val="003F7CD9"/>
    <w:rsid w:val="003F7E00"/>
    <w:rsid w:val="00400066"/>
    <w:rsid w:val="00400764"/>
    <w:rsid w:val="00400C95"/>
    <w:rsid w:val="00400CED"/>
    <w:rsid w:val="004010B4"/>
    <w:rsid w:val="00401147"/>
    <w:rsid w:val="0040150F"/>
    <w:rsid w:val="0040185A"/>
    <w:rsid w:val="004018F6"/>
    <w:rsid w:val="00401AFD"/>
    <w:rsid w:val="00401C03"/>
    <w:rsid w:val="00401E2A"/>
    <w:rsid w:val="0040209E"/>
    <w:rsid w:val="0040252A"/>
    <w:rsid w:val="004025D0"/>
    <w:rsid w:val="004026AB"/>
    <w:rsid w:val="00402717"/>
    <w:rsid w:val="00402939"/>
    <w:rsid w:val="00402B12"/>
    <w:rsid w:val="00402C71"/>
    <w:rsid w:val="00402DB6"/>
    <w:rsid w:val="00403347"/>
    <w:rsid w:val="0040356A"/>
    <w:rsid w:val="0040361B"/>
    <w:rsid w:val="00403760"/>
    <w:rsid w:val="004037EA"/>
    <w:rsid w:val="004037FA"/>
    <w:rsid w:val="00403895"/>
    <w:rsid w:val="00403BE4"/>
    <w:rsid w:val="00403EE6"/>
    <w:rsid w:val="004041B8"/>
    <w:rsid w:val="0040454F"/>
    <w:rsid w:val="004045D3"/>
    <w:rsid w:val="004046D1"/>
    <w:rsid w:val="004047DA"/>
    <w:rsid w:val="0040480B"/>
    <w:rsid w:val="00404913"/>
    <w:rsid w:val="00404B81"/>
    <w:rsid w:val="00404D63"/>
    <w:rsid w:val="00404FEF"/>
    <w:rsid w:val="00404FF0"/>
    <w:rsid w:val="004051B1"/>
    <w:rsid w:val="00405A68"/>
    <w:rsid w:val="00405CFB"/>
    <w:rsid w:val="00406278"/>
    <w:rsid w:val="00406486"/>
    <w:rsid w:val="004065F3"/>
    <w:rsid w:val="0040669E"/>
    <w:rsid w:val="00406724"/>
    <w:rsid w:val="00406A8E"/>
    <w:rsid w:val="00407271"/>
    <w:rsid w:val="004077A2"/>
    <w:rsid w:val="00407E85"/>
    <w:rsid w:val="00407FE3"/>
    <w:rsid w:val="00410143"/>
    <w:rsid w:val="00410246"/>
    <w:rsid w:val="004105F6"/>
    <w:rsid w:val="00410627"/>
    <w:rsid w:val="004107BD"/>
    <w:rsid w:val="004107E2"/>
    <w:rsid w:val="00410815"/>
    <w:rsid w:val="004108A8"/>
    <w:rsid w:val="00410D6F"/>
    <w:rsid w:val="004111A0"/>
    <w:rsid w:val="0041133A"/>
    <w:rsid w:val="004118C8"/>
    <w:rsid w:val="00411D5D"/>
    <w:rsid w:val="00411F49"/>
    <w:rsid w:val="004120FE"/>
    <w:rsid w:val="004121A2"/>
    <w:rsid w:val="004121EE"/>
    <w:rsid w:val="0041260A"/>
    <w:rsid w:val="004127B8"/>
    <w:rsid w:val="00412A78"/>
    <w:rsid w:val="00413159"/>
    <w:rsid w:val="004137CF"/>
    <w:rsid w:val="00413909"/>
    <w:rsid w:val="0041394E"/>
    <w:rsid w:val="0041398E"/>
    <w:rsid w:val="00413CCE"/>
    <w:rsid w:val="00413D1A"/>
    <w:rsid w:val="00413D9C"/>
    <w:rsid w:val="00413ECA"/>
    <w:rsid w:val="00413ED8"/>
    <w:rsid w:val="004142EB"/>
    <w:rsid w:val="00414597"/>
    <w:rsid w:val="00414903"/>
    <w:rsid w:val="00414ACC"/>
    <w:rsid w:val="00414D39"/>
    <w:rsid w:val="00415071"/>
    <w:rsid w:val="0041551B"/>
    <w:rsid w:val="00415701"/>
    <w:rsid w:val="00415A81"/>
    <w:rsid w:val="0041638C"/>
    <w:rsid w:val="004165E9"/>
    <w:rsid w:val="00416717"/>
    <w:rsid w:val="004167DA"/>
    <w:rsid w:val="00416A6A"/>
    <w:rsid w:val="00416D3A"/>
    <w:rsid w:val="0041773D"/>
    <w:rsid w:val="004178EB"/>
    <w:rsid w:val="00417AD8"/>
    <w:rsid w:val="00417B81"/>
    <w:rsid w:val="00417C4F"/>
    <w:rsid w:val="00417F22"/>
    <w:rsid w:val="00420739"/>
    <w:rsid w:val="00420E42"/>
    <w:rsid w:val="00420EC6"/>
    <w:rsid w:val="00420FBE"/>
    <w:rsid w:val="00421093"/>
    <w:rsid w:val="00421299"/>
    <w:rsid w:val="0042131E"/>
    <w:rsid w:val="0042138E"/>
    <w:rsid w:val="004214ED"/>
    <w:rsid w:val="00421565"/>
    <w:rsid w:val="0042180B"/>
    <w:rsid w:val="00421811"/>
    <w:rsid w:val="00421AC7"/>
    <w:rsid w:val="00421E9D"/>
    <w:rsid w:val="00421FF6"/>
    <w:rsid w:val="00422036"/>
    <w:rsid w:val="004220EB"/>
    <w:rsid w:val="004220F2"/>
    <w:rsid w:val="0042211B"/>
    <w:rsid w:val="00422292"/>
    <w:rsid w:val="004226E9"/>
    <w:rsid w:val="00422738"/>
    <w:rsid w:val="004229DF"/>
    <w:rsid w:val="00422C76"/>
    <w:rsid w:val="00422E5A"/>
    <w:rsid w:val="00422ED4"/>
    <w:rsid w:val="00423115"/>
    <w:rsid w:val="0042322D"/>
    <w:rsid w:val="004232B3"/>
    <w:rsid w:val="00423A86"/>
    <w:rsid w:val="00423D9B"/>
    <w:rsid w:val="00423DD2"/>
    <w:rsid w:val="00423DFF"/>
    <w:rsid w:val="00424050"/>
    <w:rsid w:val="00424133"/>
    <w:rsid w:val="00424176"/>
    <w:rsid w:val="004243A5"/>
    <w:rsid w:val="00424487"/>
    <w:rsid w:val="00424528"/>
    <w:rsid w:val="00424542"/>
    <w:rsid w:val="00424925"/>
    <w:rsid w:val="00424A85"/>
    <w:rsid w:val="00424AC4"/>
    <w:rsid w:val="00424B36"/>
    <w:rsid w:val="00424C12"/>
    <w:rsid w:val="00424C5A"/>
    <w:rsid w:val="00424ED3"/>
    <w:rsid w:val="00425010"/>
    <w:rsid w:val="004250A7"/>
    <w:rsid w:val="0042523A"/>
    <w:rsid w:val="004254B2"/>
    <w:rsid w:val="00425782"/>
    <w:rsid w:val="004257C1"/>
    <w:rsid w:val="004257ED"/>
    <w:rsid w:val="00425AE7"/>
    <w:rsid w:val="00425E5B"/>
    <w:rsid w:val="00425EBF"/>
    <w:rsid w:val="00425F97"/>
    <w:rsid w:val="00426135"/>
    <w:rsid w:val="0042613A"/>
    <w:rsid w:val="0042628A"/>
    <w:rsid w:val="00426335"/>
    <w:rsid w:val="00426B58"/>
    <w:rsid w:val="00426C35"/>
    <w:rsid w:val="00426CE6"/>
    <w:rsid w:val="00426D0F"/>
    <w:rsid w:val="00427141"/>
    <w:rsid w:val="00427393"/>
    <w:rsid w:val="004273EA"/>
    <w:rsid w:val="0042760D"/>
    <w:rsid w:val="004277DC"/>
    <w:rsid w:val="00427997"/>
    <w:rsid w:val="00427DA6"/>
    <w:rsid w:val="00427E02"/>
    <w:rsid w:val="004302AF"/>
    <w:rsid w:val="004302CD"/>
    <w:rsid w:val="004304D2"/>
    <w:rsid w:val="004305F7"/>
    <w:rsid w:val="00430687"/>
    <w:rsid w:val="00430870"/>
    <w:rsid w:val="00430A28"/>
    <w:rsid w:val="004310D8"/>
    <w:rsid w:val="00431147"/>
    <w:rsid w:val="00431189"/>
    <w:rsid w:val="004311FC"/>
    <w:rsid w:val="00431254"/>
    <w:rsid w:val="004312D7"/>
    <w:rsid w:val="004313D4"/>
    <w:rsid w:val="0043159F"/>
    <w:rsid w:val="004316CD"/>
    <w:rsid w:val="00431792"/>
    <w:rsid w:val="00431D33"/>
    <w:rsid w:val="0043212D"/>
    <w:rsid w:val="004324FF"/>
    <w:rsid w:val="004326BA"/>
    <w:rsid w:val="00432817"/>
    <w:rsid w:val="00432C22"/>
    <w:rsid w:val="00432DB8"/>
    <w:rsid w:val="00432F74"/>
    <w:rsid w:val="00433078"/>
    <w:rsid w:val="004330A0"/>
    <w:rsid w:val="00433129"/>
    <w:rsid w:val="004331A7"/>
    <w:rsid w:val="00433215"/>
    <w:rsid w:val="004333ED"/>
    <w:rsid w:val="00433699"/>
    <w:rsid w:val="0043385D"/>
    <w:rsid w:val="0043386D"/>
    <w:rsid w:val="00433963"/>
    <w:rsid w:val="00433A06"/>
    <w:rsid w:val="00434189"/>
    <w:rsid w:val="00434700"/>
    <w:rsid w:val="0043472B"/>
    <w:rsid w:val="004348CB"/>
    <w:rsid w:val="00434993"/>
    <w:rsid w:val="00434E27"/>
    <w:rsid w:val="00434EC5"/>
    <w:rsid w:val="0043506D"/>
    <w:rsid w:val="0043510A"/>
    <w:rsid w:val="00435193"/>
    <w:rsid w:val="00435234"/>
    <w:rsid w:val="004352A6"/>
    <w:rsid w:val="004352E0"/>
    <w:rsid w:val="00435547"/>
    <w:rsid w:val="004357D8"/>
    <w:rsid w:val="00435DA4"/>
    <w:rsid w:val="0043604B"/>
    <w:rsid w:val="00436144"/>
    <w:rsid w:val="004361AA"/>
    <w:rsid w:val="004362F3"/>
    <w:rsid w:val="0043630C"/>
    <w:rsid w:val="004364A6"/>
    <w:rsid w:val="0043651B"/>
    <w:rsid w:val="0043673D"/>
    <w:rsid w:val="00436B5B"/>
    <w:rsid w:val="00436EE4"/>
    <w:rsid w:val="0043725F"/>
    <w:rsid w:val="00437276"/>
    <w:rsid w:val="00437630"/>
    <w:rsid w:val="004376FA"/>
    <w:rsid w:val="004377E8"/>
    <w:rsid w:val="00437823"/>
    <w:rsid w:val="004378ED"/>
    <w:rsid w:val="00437EE0"/>
    <w:rsid w:val="00437EF5"/>
    <w:rsid w:val="00440000"/>
    <w:rsid w:val="0044029D"/>
    <w:rsid w:val="00440366"/>
    <w:rsid w:val="004403AE"/>
    <w:rsid w:val="004408C2"/>
    <w:rsid w:val="004408C7"/>
    <w:rsid w:val="004409E2"/>
    <w:rsid w:val="00440A8D"/>
    <w:rsid w:val="00440DEF"/>
    <w:rsid w:val="00440F09"/>
    <w:rsid w:val="004410E5"/>
    <w:rsid w:val="004410FD"/>
    <w:rsid w:val="00441432"/>
    <w:rsid w:val="0044143E"/>
    <w:rsid w:val="004417BC"/>
    <w:rsid w:val="00441999"/>
    <w:rsid w:val="00441AAC"/>
    <w:rsid w:val="00441AEE"/>
    <w:rsid w:val="00441DCE"/>
    <w:rsid w:val="00442127"/>
    <w:rsid w:val="0044236D"/>
    <w:rsid w:val="004423FC"/>
    <w:rsid w:val="004424B1"/>
    <w:rsid w:val="00442526"/>
    <w:rsid w:val="00442643"/>
    <w:rsid w:val="004428A2"/>
    <w:rsid w:val="00442EB7"/>
    <w:rsid w:val="00442F9B"/>
    <w:rsid w:val="004431A4"/>
    <w:rsid w:val="0044348A"/>
    <w:rsid w:val="004434F0"/>
    <w:rsid w:val="004436C5"/>
    <w:rsid w:val="00443937"/>
    <w:rsid w:val="00443B16"/>
    <w:rsid w:val="00443E4E"/>
    <w:rsid w:val="00444071"/>
    <w:rsid w:val="00444299"/>
    <w:rsid w:val="00444461"/>
    <w:rsid w:val="004444B1"/>
    <w:rsid w:val="004445AD"/>
    <w:rsid w:val="00444627"/>
    <w:rsid w:val="00444872"/>
    <w:rsid w:val="00444966"/>
    <w:rsid w:val="00444BBF"/>
    <w:rsid w:val="00444BD4"/>
    <w:rsid w:val="0044507E"/>
    <w:rsid w:val="004450EA"/>
    <w:rsid w:val="0044536D"/>
    <w:rsid w:val="004454E8"/>
    <w:rsid w:val="00445808"/>
    <w:rsid w:val="00445B52"/>
    <w:rsid w:val="00445F3A"/>
    <w:rsid w:val="00446189"/>
    <w:rsid w:val="004463B5"/>
    <w:rsid w:val="00446D28"/>
    <w:rsid w:val="00446DB0"/>
    <w:rsid w:val="004472AF"/>
    <w:rsid w:val="00447A66"/>
    <w:rsid w:val="00447B0F"/>
    <w:rsid w:val="00447D3A"/>
    <w:rsid w:val="00447D4B"/>
    <w:rsid w:val="00447ED0"/>
    <w:rsid w:val="00450463"/>
    <w:rsid w:val="00450765"/>
    <w:rsid w:val="00450845"/>
    <w:rsid w:val="00450C44"/>
    <w:rsid w:val="004511D2"/>
    <w:rsid w:val="004512A4"/>
    <w:rsid w:val="004517BA"/>
    <w:rsid w:val="004518DB"/>
    <w:rsid w:val="00451A30"/>
    <w:rsid w:val="00451B41"/>
    <w:rsid w:val="00451C07"/>
    <w:rsid w:val="00451F0A"/>
    <w:rsid w:val="00451F76"/>
    <w:rsid w:val="004521C4"/>
    <w:rsid w:val="0045223D"/>
    <w:rsid w:val="004525AD"/>
    <w:rsid w:val="00452E62"/>
    <w:rsid w:val="00452EE4"/>
    <w:rsid w:val="0045307B"/>
    <w:rsid w:val="0045325D"/>
    <w:rsid w:val="004537DB"/>
    <w:rsid w:val="004537F7"/>
    <w:rsid w:val="00453AD7"/>
    <w:rsid w:val="00453CB9"/>
    <w:rsid w:val="00453D50"/>
    <w:rsid w:val="00453E0A"/>
    <w:rsid w:val="004541EB"/>
    <w:rsid w:val="004545C5"/>
    <w:rsid w:val="00454843"/>
    <w:rsid w:val="00454919"/>
    <w:rsid w:val="004549FD"/>
    <w:rsid w:val="00455318"/>
    <w:rsid w:val="00455437"/>
    <w:rsid w:val="00455930"/>
    <w:rsid w:val="00455AC3"/>
    <w:rsid w:val="00455B27"/>
    <w:rsid w:val="00455B4C"/>
    <w:rsid w:val="00455E0B"/>
    <w:rsid w:val="00456079"/>
    <w:rsid w:val="00456449"/>
    <w:rsid w:val="0045661A"/>
    <w:rsid w:val="00456698"/>
    <w:rsid w:val="004566A3"/>
    <w:rsid w:val="004567AB"/>
    <w:rsid w:val="00456A13"/>
    <w:rsid w:val="00456C7B"/>
    <w:rsid w:val="00456D5B"/>
    <w:rsid w:val="00456F65"/>
    <w:rsid w:val="00456FEB"/>
    <w:rsid w:val="0045700E"/>
    <w:rsid w:val="00457109"/>
    <w:rsid w:val="0045725D"/>
    <w:rsid w:val="00457584"/>
    <w:rsid w:val="00457779"/>
    <w:rsid w:val="0045779B"/>
    <w:rsid w:val="0045798D"/>
    <w:rsid w:val="004579C1"/>
    <w:rsid w:val="00457EC6"/>
    <w:rsid w:val="004601AA"/>
    <w:rsid w:val="0046043B"/>
    <w:rsid w:val="004604F7"/>
    <w:rsid w:val="00460901"/>
    <w:rsid w:val="0046095F"/>
    <w:rsid w:val="00460CFD"/>
    <w:rsid w:val="00460E69"/>
    <w:rsid w:val="00460E78"/>
    <w:rsid w:val="00461165"/>
    <w:rsid w:val="00461610"/>
    <w:rsid w:val="00461817"/>
    <w:rsid w:val="00461862"/>
    <w:rsid w:val="004618A0"/>
    <w:rsid w:val="00461A73"/>
    <w:rsid w:val="00461B88"/>
    <w:rsid w:val="00461F09"/>
    <w:rsid w:val="00461FB6"/>
    <w:rsid w:val="004621AE"/>
    <w:rsid w:val="00462290"/>
    <w:rsid w:val="00462D11"/>
    <w:rsid w:val="004633BA"/>
    <w:rsid w:val="004636B1"/>
    <w:rsid w:val="00463BA6"/>
    <w:rsid w:val="00463C1F"/>
    <w:rsid w:val="00463D99"/>
    <w:rsid w:val="00463DAE"/>
    <w:rsid w:val="00463FA3"/>
    <w:rsid w:val="004642DE"/>
    <w:rsid w:val="00464961"/>
    <w:rsid w:val="00464ADB"/>
    <w:rsid w:val="00464BC3"/>
    <w:rsid w:val="00464DD9"/>
    <w:rsid w:val="00464EF4"/>
    <w:rsid w:val="004654DC"/>
    <w:rsid w:val="004657E9"/>
    <w:rsid w:val="00465979"/>
    <w:rsid w:val="00465AA1"/>
    <w:rsid w:val="00465B9F"/>
    <w:rsid w:val="00465BE6"/>
    <w:rsid w:val="0046623A"/>
    <w:rsid w:val="00466620"/>
    <w:rsid w:val="004667B1"/>
    <w:rsid w:val="004667E5"/>
    <w:rsid w:val="00466A0C"/>
    <w:rsid w:val="00466E18"/>
    <w:rsid w:val="00467117"/>
    <w:rsid w:val="004672AF"/>
    <w:rsid w:val="0046732C"/>
    <w:rsid w:val="00467604"/>
    <w:rsid w:val="004676DB"/>
    <w:rsid w:val="00467786"/>
    <w:rsid w:val="004677F0"/>
    <w:rsid w:val="00467B7B"/>
    <w:rsid w:val="00467E4D"/>
    <w:rsid w:val="0047007F"/>
    <w:rsid w:val="0047038F"/>
    <w:rsid w:val="0047060B"/>
    <w:rsid w:val="00470819"/>
    <w:rsid w:val="0047081D"/>
    <w:rsid w:val="004708C7"/>
    <w:rsid w:val="00470AF1"/>
    <w:rsid w:val="00470B8E"/>
    <w:rsid w:val="00470E17"/>
    <w:rsid w:val="00470F15"/>
    <w:rsid w:val="00471075"/>
    <w:rsid w:val="0047198D"/>
    <w:rsid w:val="00471995"/>
    <w:rsid w:val="00471B28"/>
    <w:rsid w:val="00471D48"/>
    <w:rsid w:val="004722CD"/>
    <w:rsid w:val="004723D2"/>
    <w:rsid w:val="00472695"/>
    <w:rsid w:val="00472B23"/>
    <w:rsid w:val="00472BA0"/>
    <w:rsid w:val="00472BB6"/>
    <w:rsid w:val="00473369"/>
    <w:rsid w:val="004736C9"/>
    <w:rsid w:val="00473721"/>
    <w:rsid w:val="0047375C"/>
    <w:rsid w:val="0047377A"/>
    <w:rsid w:val="0047395C"/>
    <w:rsid w:val="00473AF3"/>
    <w:rsid w:val="00473C35"/>
    <w:rsid w:val="00473E8D"/>
    <w:rsid w:val="00474137"/>
    <w:rsid w:val="0047426B"/>
    <w:rsid w:val="004744AB"/>
    <w:rsid w:val="004745C5"/>
    <w:rsid w:val="00474B7B"/>
    <w:rsid w:val="00474D21"/>
    <w:rsid w:val="00474ECC"/>
    <w:rsid w:val="00474F24"/>
    <w:rsid w:val="004751EA"/>
    <w:rsid w:val="00475318"/>
    <w:rsid w:val="004754A2"/>
    <w:rsid w:val="004755C2"/>
    <w:rsid w:val="00475DE5"/>
    <w:rsid w:val="0047657A"/>
    <w:rsid w:val="00476641"/>
    <w:rsid w:val="00477110"/>
    <w:rsid w:val="004771A3"/>
    <w:rsid w:val="004773FE"/>
    <w:rsid w:val="00477542"/>
    <w:rsid w:val="00477598"/>
    <w:rsid w:val="004775D0"/>
    <w:rsid w:val="0047799D"/>
    <w:rsid w:val="00477F8B"/>
    <w:rsid w:val="0048018D"/>
    <w:rsid w:val="004804E3"/>
    <w:rsid w:val="00480692"/>
    <w:rsid w:val="00480932"/>
    <w:rsid w:val="00480AF8"/>
    <w:rsid w:val="00480B94"/>
    <w:rsid w:val="00480D18"/>
    <w:rsid w:val="0048110B"/>
    <w:rsid w:val="00481201"/>
    <w:rsid w:val="0048120B"/>
    <w:rsid w:val="0048131C"/>
    <w:rsid w:val="00481422"/>
    <w:rsid w:val="00481525"/>
    <w:rsid w:val="0048160D"/>
    <w:rsid w:val="004816F8"/>
    <w:rsid w:val="00481AE4"/>
    <w:rsid w:val="00481CD7"/>
    <w:rsid w:val="00481D16"/>
    <w:rsid w:val="00481D2F"/>
    <w:rsid w:val="00481DBA"/>
    <w:rsid w:val="00481EEF"/>
    <w:rsid w:val="004823BD"/>
    <w:rsid w:val="00482473"/>
    <w:rsid w:val="0048258D"/>
    <w:rsid w:val="004825C9"/>
    <w:rsid w:val="004825D5"/>
    <w:rsid w:val="00482646"/>
    <w:rsid w:val="00482701"/>
    <w:rsid w:val="00482E3F"/>
    <w:rsid w:val="00482FC1"/>
    <w:rsid w:val="00483038"/>
    <w:rsid w:val="004834C5"/>
    <w:rsid w:val="00483542"/>
    <w:rsid w:val="00483581"/>
    <w:rsid w:val="004836BF"/>
    <w:rsid w:val="004836ED"/>
    <w:rsid w:val="004838FB"/>
    <w:rsid w:val="00483DE1"/>
    <w:rsid w:val="004840BC"/>
    <w:rsid w:val="00484211"/>
    <w:rsid w:val="004842AC"/>
    <w:rsid w:val="004848AD"/>
    <w:rsid w:val="00484B17"/>
    <w:rsid w:val="00484D22"/>
    <w:rsid w:val="00484EBE"/>
    <w:rsid w:val="00484F3B"/>
    <w:rsid w:val="00485142"/>
    <w:rsid w:val="004851E9"/>
    <w:rsid w:val="004857CE"/>
    <w:rsid w:val="0048584F"/>
    <w:rsid w:val="004858AA"/>
    <w:rsid w:val="00485907"/>
    <w:rsid w:val="00485BDE"/>
    <w:rsid w:val="00485C09"/>
    <w:rsid w:val="00485D8D"/>
    <w:rsid w:val="00485D9F"/>
    <w:rsid w:val="00485FDA"/>
    <w:rsid w:val="00486050"/>
    <w:rsid w:val="0048615F"/>
    <w:rsid w:val="00486432"/>
    <w:rsid w:val="00486475"/>
    <w:rsid w:val="00486547"/>
    <w:rsid w:val="004866D7"/>
    <w:rsid w:val="00486700"/>
    <w:rsid w:val="004867CB"/>
    <w:rsid w:val="00486AD7"/>
    <w:rsid w:val="00486CF6"/>
    <w:rsid w:val="00486E3E"/>
    <w:rsid w:val="004872DE"/>
    <w:rsid w:val="004873CC"/>
    <w:rsid w:val="00487443"/>
    <w:rsid w:val="004875CD"/>
    <w:rsid w:val="00487C90"/>
    <w:rsid w:val="00487FE9"/>
    <w:rsid w:val="00490014"/>
    <w:rsid w:val="0049024F"/>
    <w:rsid w:val="00490461"/>
    <w:rsid w:val="00490701"/>
    <w:rsid w:val="004907F3"/>
    <w:rsid w:val="00490948"/>
    <w:rsid w:val="00490B87"/>
    <w:rsid w:val="00490EBC"/>
    <w:rsid w:val="00491066"/>
    <w:rsid w:val="00491284"/>
    <w:rsid w:val="004913EB"/>
    <w:rsid w:val="0049168A"/>
    <w:rsid w:val="00491738"/>
    <w:rsid w:val="004918D4"/>
    <w:rsid w:val="00491B32"/>
    <w:rsid w:val="004925D7"/>
    <w:rsid w:val="00492AAC"/>
    <w:rsid w:val="00492B88"/>
    <w:rsid w:val="0049313F"/>
    <w:rsid w:val="00493639"/>
    <w:rsid w:val="00493678"/>
    <w:rsid w:val="0049384F"/>
    <w:rsid w:val="00493941"/>
    <w:rsid w:val="00494173"/>
    <w:rsid w:val="00494843"/>
    <w:rsid w:val="00494B1D"/>
    <w:rsid w:val="00494DBD"/>
    <w:rsid w:val="00494DC5"/>
    <w:rsid w:val="004950F3"/>
    <w:rsid w:val="0049523A"/>
    <w:rsid w:val="0049535A"/>
    <w:rsid w:val="004953FA"/>
    <w:rsid w:val="004954F7"/>
    <w:rsid w:val="004956F7"/>
    <w:rsid w:val="0049598E"/>
    <w:rsid w:val="00495B37"/>
    <w:rsid w:val="00495C33"/>
    <w:rsid w:val="00495DF1"/>
    <w:rsid w:val="00495E01"/>
    <w:rsid w:val="00495E85"/>
    <w:rsid w:val="00495E9B"/>
    <w:rsid w:val="00495F05"/>
    <w:rsid w:val="00495FB1"/>
    <w:rsid w:val="00496226"/>
    <w:rsid w:val="004966DB"/>
    <w:rsid w:val="004966FD"/>
    <w:rsid w:val="00496743"/>
    <w:rsid w:val="00496A49"/>
    <w:rsid w:val="00496CB2"/>
    <w:rsid w:val="00496CD3"/>
    <w:rsid w:val="00496D0F"/>
    <w:rsid w:val="00496E92"/>
    <w:rsid w:val="004970EF"/>
    <w:rsid w:val="0049712F"/>
    <w:rsid w:val="004971B8"/>
    <w:rsid w:val="0049729B"/>
    <w:rsid w:val="00497B98"/>
    <w:rsid w:val="00497BC9"/>
    <w:rsid w:val="004A01BB"/>
    <w:rsid w:val="004A03B7"/>
    <w:rsid w:val="004A0460"/>
    <w:rsid w:val="004A07C8"/>
    <w:rsid w:val="004A08A9"/>
    <w:rsid w:val="004A0AA3"/>
    <w:rsid w:val="004A0F09"/>
    <w:rsid w:val="004A1030"/>
    <w:rsid w:val="004A11F0"/>
    <w:rsid w:val="004A123F"/>
    <w:rsid w:val="004A13B6"/>
    <w:rsid w:val="004A1626"/>
    <w:rsid w:val="004A164D"/>
    <w:rsid w:val="004A1881"/>
    <w:rsid w:val="004A195C"/>
    <w:rsid w:val="004A1A39"/>
    <w:rsid w:val="004A1AD9"/>
    <w:rsid w:val="004A1E96"/>
    <w:rsid w:val="004A209F"/>
    <w:rsid w:val="004A22DE"/>
    <w:rsid w:val="004A2443"/>
    <w:rsid w:val="004A25B2"/>
    <w:rsid w:val="004A283B"/>
    <w:rsid w:val="004A2CD5"/>
    <w:rsid w:val="004A2DA3"/>
    <w:rsid w:val="004A3170"/>
    <w:rsid w:val="004A31B6"/>
    <w:rsid w:val="004A3459"/>
    <w:rsid w:val="004A3527"/>
    <w:rsid w:val="004A39CE"/>
    <w:rsid w:val="004A3ABB"/>
    <w:rsid w:val="004A3D2B"/>
    <w:rsid w:val="004A4198"/>
    <w:rsid w:val="004A431D"/>
    <w:rsid w:val="004A4359"/>
    <w:rsid w:val="004A43EE"/>
    <w:rsid w:val="004A44C4"/>
    <w:rsid w:val="004A4705"/>
    <w:rsid w:val="004A474D"/>
    <w:rsid w:val="004A47FD"/>
    <w:rsid w:val="004A4B10"/>
    <w:rsid w:val="004A4BB4"/>
    <w:rsid w:val="004A4C33"/>
    <w:rsid w:val="004A4E3A"/>
    <w:rsid w:val="004A51F0"/>
    <w:rsid w:val="004A5401"/>
    <w:rsid w:val="004A54CD"/>
    <w:rsid w:val="004A55A5"/>
    <w:rsid w:val="004A5719"/>
    <w:rsid w:val="004A57D4"/>
    <w:rsid w:val="004A58F1"/>
    <w:rsid w:val="004A5970"/>
    <w:rsid w:val="004A5999"/>
    <w:rsid w:val="004A5C56"/>
    <w:rsid w:val="004A5CDE"/>
    <w:rsid w:val="004A655D"/>
    <w:rsid w:val="004A66E2"/>
    <w:rsid w:val="004A67BE"/>
    <w:rsid w:val="004A6877"/>
    <w:rsid w:val="004A6903"/>
    <w:rsid w:val="004A699F"/>
    <w:rsid w:val="004A6E4F"/>
    <w:rsid w:val="004A7044"/>
    <w:rsid w:val="004A709F"/>
    <w:rsid w:val="004A726C"/>
    <w:rsid w:val="004A76A9"/>
    <w:rsid w:val="004A76FD"/>
    <w:rsid w:val="004A7C57"/>
    <w:rsid w:val="004A7D6C"/>
    <w:rsid w:val="004A7E3A"/>
    <w:rsid w:val="004B08FD"/>
    <w:rsid w:val="004B0E9D"/>
    <w:rsid w:val="004B0F2F"/>
    <w:rsid w:val="004B0F43"/>
    <w:rsid w:val="004B104B"/>
    <w:rsid w:val="004B11D5"/>
    <w:rsid w:val="004B1315"/>
    <w:rsid w:val="004B1408"/>
    <w:rsid w:val="004B1468"/>
    <w:rsid w:val="004B14F2"/>
    <w:rsid w:val="004B15B3"/>
    <w:rsid w:val="004B17D4"/>
    <w:rsid w:val="004B1966"/>
    <w:rsid w:val="004B1AF2"/>
    <w:rsid w:val="004B1BB1"/>
    <w:rsid w:val="004B1CA0"/>
    <w:rsid w:val="004B1E2F"/>
    <w:rsid w:val="004B2110"/>
    <w:rsid w:val="004B243A"/>
    <w:rsid w:val="004B2451"/>
    <w:rsid w:val="004B2530"/>
    <w:rsid w:val="004B261F"/>
    <w:rsid w:val="004B29F9"/>
    <w:rsid w:val="004B2B54"/>
    <w:rsid w:val="004B33D5"/>
    <w:rsid w:val="004B384F"/>
    <w:rsid w:val="004B3A09"/>
    <w:rsid w:val="004B3CDE"/>
    <w:rsid w:val="004B3E31"/>
    <w:rsid w:val="004B3F1E"/>
    <w:rsid w:val="004B4641"/>
    <w:rsid w:val="004B4734"/>
    <w:rsid w:val="004B4808"/>
    <w:rsid w:val="004B4B06"/>
    <w:rsid w:val="004B4DDD"/>
    <w:rsid w:val="004B4F9A"/>
    <w:rsid w:val="004B5366"/>
    <w:rsid w:val="004B53A5"/>
    <w:rsid w:val="004B5AC1"/>
    <w:rsid w:val="004B5ACA"/>
    <w:rsid w:val="004B5AED"/>
    <w:rsid w:val="004B5B2E"/>
    <w:rsid w:val="004B65C3"/>
    <w:rsid w:val="004B6752"/>
    <w:rsid w:val="004B6784"/>
    <w:rsid w:val="004B67FB"/>
    <w:rsid w:val="004B683A"/>
    <w:rsid w:val="004B6980"/>
    <w:rsid w:val="004B6CC7"/>
    <w:rsid w:val="004B6E74"/>
    <w:rsid w:val="004B7008"/>
    <w:rsid w:val="004B719F"/>
    <w:rsid w:val="004B7518"/>
    <w:rsid w:val="004B75AA"/>
    <w:rsid w:val="004B75F5"/>
    <w:rsid w:val="004B7616"/>
    <w:rsid w:val="004B761A"/>
    <w:rsid w:val="004B7655"/>
    <w:rsid w:val="004B7763"/>
    <w:rsid w:val="004B7846"/>
    <w:rsid w:val="004B792F"/>
    <w:rsid w:val="004B7AC7"/>
    <w:rsid w:val="004B7B13"/>
    <w:rsid w:val="004C002D"/>
    <w:rsid w:val="004C014C"/>
    <w:rsid w:val="004C029B"/>
    <w:rsid w:val="004C038B"/>
    <w:rsid w:val="004C0498"/>
    <w:rsid w:val="004C054C"/>
    <w:rsid w:val="004C0566"/>
    <w:rsid w:val="004C05F2"/>
    <w:rsid w:val="004C06FF"/>
    <w:rsid w:val="004C0711"/>
    <w:rsid w:val="004C091E"/>
    <w:rsid w:val="004C0966"/>
    <w:rsid w:val="004C0C4D"/>
    <w:rsid w:val="004C10AE"/>
    <w:rsid w:val="004C1363"/>
    <w:rsid w:val="004C154F"/>
    <w:rsid w:val="004C1990"/>
    <w:rsid w:val="004C2013"/>
    <w:rsid w:val="004C22FB"/>
    <w:rsid w:val="004C272A"/>
    <w:rsid w:val="004C2C43"/>
    <w:rsid w:val="004C2C90"/>
    <w:rsid w:val="004C2E45"/>
    <w:rsid w:val="004C2F3F"/>
    <w:rsid w:val="004C31EB"/>
    <w:rsid w:val="004C37BD"/>
    <w:rsid w:val="004C3AE6"/>
    <w:rsid w:val="004C3BA9"/>
    <w:rsid w:val="004C3C43"/>
    <w:rsid w:val="004C3CCE"/>
    <w:rsid w:val="004C3CDB"/>
    <w:rsid w:val="004C3E9E"/>
    <w:rsid w:val="004C4263"/>
    <w:rsid w:val="004C42A2"/>
    <w:rsid w:val="004C4502"/>
    <w:rsid w:val="004C4565"/>
    <w:rsid w:val="004C46AD"/>
    <w:rsid w:val="004C476D"/>
    <w:rsid w:val="004C4885"/>
    <w:rsid w:val="004C564C"/>
    <w:rsid w:val="004C590D"/>
    <w:rsid w:val="004C591F"/>
    <w:rsid w:val="004C5B61"/>
    <w:rsid w:val="004C5C14"/>
    <w:rsid w:val="004C5D2F"/>
    <w:rsid w:val="004C6031"/>
    <w:rsid w:val="004C6461"/>
    <w:rsid w:val="004C66B5"/>
    <w:rsid w:val="004C6B77"/>
    <w:rsid w:val="004C71FC"/>
    <w:rsid w:val="004C7309"/>
    <w:rsid w:val="004C7629"/>
    <w:rsid w:val="004C7837"/>
    <w:rsid w:val="004C797C"/>
    <w:rsid w:val="004C7A07"/>
    <w:rsid w:val="004C7D8C"/>
    <w:rsid w:val="004D0152"/>
    <w:rsid w:val="004D0384"/>
    <w:rsid w:val="004D078D"/>
    <w:rsid w:val="004D0C52"/>
    <w:rsid w:val="004D0F02"/>
    <w:rsid w:val="004D106A"/>
    <w:rsid w:val="004D108A"/>
    <w:rsid w:val="004D117B"/>
    <w:rsid w:val="004D1235"/>
    <w:rsid w:val="004D12B2"/>
    <w:rsid w:val="004D1385"/>
    <w:rsid w:val="004D1486"/>
    <w:rsid w:val="004D14D4"/>
    <w:rsid w:val="004D14F3"/>
    <w:rsid w:val="004D166E"/>
    <w:rsid w:val="004D17AB"/>
    <w:rsid w:val="004D17FC"/>
    <w:rsid w:val="004D1862"/>
    <w:rsid w:val="004D1B7B"/>
    <w:rsid w:val="004D1CFD"/>
    <w:rsid w:val="004D1F0A"/>
    <w:rsid w:val="004D2184"/>
    <w:rsid w:val="004D21FA"/>
    <w:rsid w:val="004D265C"/>
    <w:rsid w:val="004D3176"/>
    <w:rsid w:val="004D32A1"/>
    <w:rsid w:val="004D3419"/>
    <w:rsid w:val="004D37BD"/>
    <w:rsid w:val="004D38BB"/>
    <w:rsid w:val="004D3952"/>
    <w:rsid w:val="004D3A6F"/>
    <w:rsid w:val="004D3A91"/>
    <w:rsid w:val="004D3AE4"/>
    <w:rsid w:val="004D3BB5"/>
    <w:rsid w:val="004D3DCA"/>
    <w:rsid w:val="004D4013"/>
    <w:rsid w:val="004D45C7"/>
    <w:rsid w:val="004D464F"/>
    <w:rsid w:val="004D4941"/>
    <w:rsid w:val="004D49DB"/>
    <w:rsid w:val="004D4ABC"/>
    <w:rsid w:val="004D51EF"/>
    <w:rsid w:val="004D522C"/>
    <w:rsid w:val="004D54EE"/>
    <w:rsid w:val="004D554D"/>
    <w:rsid w:val="004D5721"/>
    <w:rsid w:val="004D5C17"/>
    <w:rsid w:val="004D5CA2"/>
    <w:rsid w:val="004D5CDA"/>
    <w:rsid w:val="004D5DA3"/>
    <w:rsid w:val="004D5E21"/>
    <w:rsid w:val="004D6817"/>
    <w:rsid w:val="004D694D"/>
    <w:rsid w:val="004D69DD"/>
    <w:rsid w:val="004D6A40"/>
    <w:rsid w:val="004D6AC9"/>
    <w:rsid w:val="004D6E47"/>
    <w:rsid w:val="004D7357"/>
    <w:rsid w:val="004D73ED"/>
    <w:rsid w:val="004D75D1"/>
    <w:rsid w:val="004D769C"/>
    <w:rsid w:val="004D7887"/>
    <w:rsid w:val="004D790A"/>
    <w:rsid w:val="004D7932"/>
    <w:rsid w:val="004D7BBC"/>
    <w:rsid w:val="004D7CB0"/>
    <w:rsid w:val="004D7E45"/>
    <w:rsid w:val="004E014F"/>
    <w:rsid w:val="004E024F"/>
    <w:rsid w:val="004E031D"/>
    <w:rsid w:val="004E0A24"/>
    <w:rsid w:val="004E0E7C"/>
    <w:rsid w:val="004E12D6"/>
    <w:rsid w:val="004E1571"/>
    <w:rsid w:val="004E15AB"/>
    <w:rsid w:val="004E1670"/>
    <w:rsid w:val="004E169B"/>
    <w:rsid w:val="004E16B6"/>
    <w:rsid w:val="004E1907"/>
    <w:rsid w:val="004E19A1"/>
    <w:rsid w:val="004E19A8"/>
    <w:rsid w:val="004E1A3B"/>
    <w:rsid w:val="004E1B97"/>
    <w:rsid w:val="004E1E78"/>
    <w:rsid w:val="004E20A8"/>
    <w:rsid w:val="004E2854"/>
    <w:rsid w:val="004E285E"/>
    <w:rsid w:val="004E2BBD"/>
    <w:rsid w:val="004E2C42"/>
    <w:rsid w:val="004E2D2B"/>
    <w:rsid w:val="004E2E6B"/>
    <w:rsid w:val="004E2F42"/>
    <w:rsid w:val="004E3223"/>
    <w:rsid w:val="004E34F4"/>
    <w:rsid w:val="004E35BB"/>
    <w:rsid w:val="004E3649"/>
    <w:rsid w:val="004E3AA6"/>
    <w:rsid w:val="004E3BF6"/>
    <w:rsid w:val="004E3CB0"/>
    <w:rsid w:val="004E4194"/>
    <w:rsid w:val="004E42A9"/>
    <w:rsid w:val="004E47D4"/>
    <w:rsid w:val="004E48F5"/>
    <w:rsid w:val="004E4DFE"/>
    <w:rsid w:val="004E4F22"/>
    <w:rsid w:val="004E52AF"/>
    <w:rsid w:val="004E53A1"/>
    <w:rsid w:val="004E54E9"/>
    <w:rsid w:val="004E5735"/>
    <w:rsid w:val="004E59CF"/>
    <w:rsid w:val="004E5A20"/>
    <w:rsid w:val="004E5AB7"/>
    <w:rsid w:val="004E5C07"/>
    <w:rsid w:val="004E62A9"/>
    <w:rsid w:val="004E62BA"/>
    <w:rsid w:val="004E6349"/>
    <w:rsid w:val="004E63D7"/>
    <w:rsid w:val="004E6616"/>
    <w:rsid w:val="004E6899"/>
    <w:rsid w:val="004E6A8C"/>
    <w:rsid w:val="004E6ACB"/>
    <w:rsid w:val="004E6BF4"/>
    <w:rsid w:val="004E6C55"/>
    <w:rsid w:val="004E6F22"/>
    <w:rsid w:val="004E7062"/>
    <w:rsid w:val="004E7183"/>
    <w:rsid w:val="004E73EF"/>
    <w:rsid w:val="004E771B"/>
    <w:rsid w:val="004F00B6"/>
    <w:rsid w:val="004F016C"/>
    <w:rsid w:val="004F03AA"/>
    <w:rsid w:val="004F0E3F"/>
    <w:rsid w:val="004F0F18"/>
    <w:rsid w:val="004F13D4"/>
    <w:rsid w:val="004F1473"/>
    <w:rsid w:val="004F14A6"/>
    <w:rsid w:val="004F151D"/>
    <w:rsid w:val="004F15B5"/>
    <w:rsid w:val="004F178A"/>
    <w:rsid w:val="004F18FE"/>
    <w:rsid w:val="004F1B25"/>
    <w:rsid w:val="004F1DF7"/>
    <w:rsid w:val="004F2160"/>
    <w:rsid w:val="004F2625"/>
    <w:rsid w:val="004F2861"/>
    <w:rsid w:val="004F299B"/>
    <w:rsid w:val="004F2B64"/>
    <w:rsid w:val="004F2DB1"/>
    <w:rsid w:val="004F2FA9"/>
    <w:rsid w:val="004F30FF"/>
    <w:rsid w:val="004F312F"/>
    <w:rsid w:val="004F313D"/>
    <w:rsid w:val="004F32C7"/>
    <w:rsid w:val="004F3319"/>
    <w:rsid w:val="004F35C6"/>
    <w:rsid w:val="004F35EB"/>
    <w:rsid w:val="004F3711"/>
    <w:rsid w:val="004F3884"/>
    <w:rsid w:val="004F38D8"/>
    <w:rsid w:val="004F3BCA"/>
    <w:rsid w:val="004F3BE4"/>
    <w:rsid w:val="004F3CC2"/>
    <w:rsid w:val="004F3E6F"/>
    <w:rsid w:val="004F3EE4"/>
    <w:rsid w:val="004F41F0"/>
    <w:rsid w:val="004F447D"/>
    <w:rsid w:val="004F44EE"/>
    <w:rsid w:val="004F45A7"/>
    <w:rsid w:val="004F47EE"/>
    <w:rsid w:val="004F48D0"/>
    <w:rsid w:val="004F4AAB"/>
    <w:rsid w:val="004F4DE8"/>
    <w:rsid w:val="004F4E80"/>
    <w:rsid w:val="004F51D3"/>
    <w:rsid w:val="004F54F4"/>
    <w:rsid w:val="004F589D"/>
    <w:rsid w:val="004F5B65"/>
    <w:rsid w:val="004F5D9C"/>
    <w:rsid w:val="004F6005"/>
    <w:rsid w:val="004F6379"/>
    <w:rsid w:val="004F64C7"/>
    <w:rsid w:val="004F6542"/>
    <w:rsid w:val="004F658A"/>
    <w:rsid w:val="004F6639"/>
    <w:rsid w:val="004F6784"/>
    <w:rsid w:val="004F6CCB"/>
    <w:rsid w:val="004F6E6E"/>
    <w:rsid w:val="004F7058"/>
    <w:rsid w:val="004F766E"/>
    <w:rsid w:val="004F77F2"/>
    <w:rsid w:val="004F7837"/>
    <w:rsid w:val="004F7A47"/>
    <w:rsid w:val="004F7AB0"/>
    <w:rsid w:val="004F7AC3"/>
    <w:rsid w:val="004F7CAE"/>
    <w:rsid w:val="005001D3"/>
    <w:rsid w:val="0050045C"/>
    <w:rsid w:val="00500760"/>
    <w:rsid w:val="0050083A"/>
    <w:rsid w:val="00500E9A"/>
    <w:rsid w:val="00500F03"/>
    <w:rsid w:val="00501100"/>
    <w:rsid w:val="00501140"/>
    <w:rsid w:val="0050142D"/>
    <w:rsid w:val="005014FA"/>
    <w:rsid w:val="00501547"/>
    <w:rsid w:val="0050156B"/>
    <w:rsid w:val="0050160D"/>
    <w:rsid w:val="00501628"/>
    <w:rsid w:val="005016FC"/>
    <w:rsid w:val="0050177F"/>
    <w:rsid w:val="005017C8"/>
    <w:rsid w:val="005019E1"/>
    <w:rsid w:val="00501A78"/>
    <w:rsid w:val="00502456"/>
    <w:rsid w:val="00502B00"/>
    <w:rsid w:val="00502D80"/>
    <w:rsid w:val="00502F3C"/>
    <w:rsid w:val="005030D3"/>
    <w:rsid w:val="0050312F"/>
    <w:rsid w:val="00503239"/>
    <w:rsid w:val="005034A7"/>
    <w:rsid w:val="0050371C"/>
    <w:rsid w:val="00503863"/>
    <w:rsid w:val="00503B55"/>
    <w:rsid w:val="00503DEF"/>
    <w:rsid w:val="00503EA2"/>
    <w:rsid w:val="00503F88"/>
    <w:rsid w:val="00504249"/>
    <w:rsid w:val="00504339"/>
    <w:rsid w:val="005044E3"/>
    <w:rsid w:val="0050450E"/>
    <w:rsid w:val="0050462E"/>
    <w:rsid w:val="0050472E"/>
    <w:rsid w:val="005047C7"/>
    <w:rsid w:val="005048EB"/>
    <w:rsid w:val="00504B29"/>
    <w:rsid w:val="00504C8C"/>
    <w:rsid w:val="00505518"/>
    <w:rsid w:val="00505553"/>
    <w:rsid w:val="00505BB4"/>
    <w:rsid w:val="00505F5F"/>
    <w:rsid w:val="00506278"/>
    <w:rsid w:val="00506289"/>
    <w:rsid w:val="005064B8"/>
    <w:rsid w:val="005066E8"/>
    <w:rsid w:val="005068FF"/>
    <w:rsid w:val="00506905"/>
    <w:rsid w:val="00506A21"/>
    <w:rsid w:val="00506F1C"/>
    <w:rsid w:val="00506F72"/>
    <w:rsid w:val="00507346"/>
    <w:rsid w:val="00507583"/>
    <w:rsid w:val="005078E7"/>
    <w:rsid w:val="005079AD"/>
    <w:rsid w:val="00507B88"/>
    <w:rsid w:val="00507CD5"/>
    <w:rsid w:val="00507D29"/>
    <w:rsid w:val="00507DBE"/>
    <w:rsid w:val="00507DE9"/>
    <w:rsid w:val="00507E5B"/>
    <w:rsid w:val="00507F35"/>
    <w:rsid w:val="00507FC6"/>
    <w:rsid w:val="0051020A"/>
    <w:rsid w:val="0051037D"/>
    <w:rsid w:val="0051039F"/>
    <w:rsid w:val="005103CD"/>
    <w:rsid w:val="005104A4"/>
    <w:rsid w:val="005105D7"/>
    <w:rsid w:val="005109A1"/>
    <w:rsid w:val="00510B8E"/>
    <w:rsid w:val="00510BED"/>
    <w:rsid w:val="00510C4D"/>
    <w:rsid w:val="00510D15"/>
    <w:rsid w:val="00510E63"/>
    <w:rsid w:val="00510EB1"/>
    <w:rsid w:val="00510EC9"/>
    <w:rsid w:val="00511184"/>
    <w:rsid w:val="00511359"/>
    <w:rsid w:val="005113AC"/>
    <w:rsid w:val="0051163D"/>
    <w:rsid w:val="00511A1C"/>
    <w:rsid w:val="00511C6C"/>
    <w:rsid w:val="00511D1E"/>
    <w:rsid w:val="005123B8"/>
    <w:rsid w:val="005125D4"/>
    <w:rsid w:val="0051283C"/>
    <w:rsid w:val="00512DF2"/>
    <w:rsid w:val="00512ECA"/>
    <w:rsid w:val="005136B7"/>
    <w:rsid w:val="00513762"/>
    <w:rsid w:val="00513D78"/>
    <w:rsid w:val="00514316"/>
    <w:rsid w:val="00514388"/>
    <w:rsid w:val="00514520"/>
    <w:rsid w:val="0051452C"/>
    <w:rsid w:val="005147CE"/>
    <w:rsid w:val="005147EA"/>
    <w:rsid w:val="0051491D"/>
    <w:rsid w:val="00514C5E"/>
    <w:rsid w:val="00514E8B"/>
    <w:rsid w:val="00515491"/>
    <w:rsid w:val="00515A6E"/>
    <w:rsid w:val="00515B42"/>
    <w:rsid w:val="00515BA1"/>
    <w:rsid w:val="00515BFA"/>
    <w:rsid w:val="00515D83"/>
    <w:rsid w:val="0051675F"/>
    <w:rsid w:val="00516B24"/>
    <w:rsid w:val="00516B66"/>
    <w:rsid w:val="00516B8F"/>
    <w:rsid w:val="00516DEA"/>
    <w:rsid w:val="00516F26"/>
    <w:rsid w:val="00516FD9"/>
    <w:rsid w:val="0051729D"/>
    <w:rsid w:val="00517681"/>
    <w:rsid w:val="0051774A"/>
    <w:rsid w:val="0051792A"/>
    <w:rsid w:val="00517978"/>
    <w:rsid w:val="00517B37"/>
    <w:rsid w:val="00517CB3"/>
    <w:rsid w:val="00517D41"/>
    <w:rsid w:val="00517F24"/>
    <w:rsid w:val="005200C0"/>
    <w:rsid w:val="0052032B"/>
    <w:rsid w:val="00520519"/>
    <w:rsid w:val="0052052C"/>
    <w:rsid w:val="005205D7"/>
    <w:rsid w:val="00520718"/>
    <w:rsid w:val="005207F6"/>
    <w:rsid w:val="00520861"/>
    <w:rsid w:val="005208A6"/>
    <w:rsid w:val="00520FEF"/>
    <w:rsid w:val="00521136"/>
    <w:rsid w:val="00521181"/>
    <w:rsid w:val="005211BB"/>
    <w:rsid w:val="0052128A"/>
    <w:rsid w:val="00521C9C"/>
    <w:rsid w:val="00521D60"/>
    <w:rsid w:val="00521ED1"/>
    <w:rsid w:val="0052234B"/>
    <w:rsid w:val="005224B3"/>
    <w:rsid w:val="005226F2"/>
    <w:rsid w:val="005226F9"/>
    <w:rsid w:val="00522A31"/>
    <w:rsid w:val="00522B3B"/>
    <w:rsid w:val="00522BB3"/>
    <w:rsid w:val="00522FB8"/>
    <w:rsid w:val="00522FDB"/>
    <w:rsid w:val="00523134"/>
    <w:rsid w:val="00523157"/>
    <w:rsid w:val="00523314"/>
    <w:rsid w:val="0052332B"/>
    <w:rsid w:val="005236C4"/>
    <w:rsid w:val="00523736"/>
    <w:rsid w:val="00523816"/>
    <w:rsid w:val="00523C95"/>
    <w:rsid w:val="00523CE0"/>
    <w:rsid w:val="00523E23"/>
    <w:rsid w:val="005240A3"/>
    <w:rsid w:val="00524374"/>
    <w:rsid w:val="00524456"/>
    <w:rsid w:val="00524602"/>
    <w:rsid w:val="00524A89"/>
    <w:rsid w:val="00524AAB"/>
    <w:rsid w:val="00524D28"/>
    <w:rsid w:val="00524D6D"/>
    <w:rsid w:val="00524EC5"/>
    <w:rsid w:val="00524FAD"/>
    <w:rsid w:val="0052516B"/>
    <w:rsid w:val="00525265"/>
    <w:rsid w:val="00525422"/>
    <w:rsid w:val="005258E3"/>
    <w:rsid w:val="00525E1D"/>
    <w:rsid w:val="00525EE9"/>
    <w:rsid w:val="00525F4D"/>
    <w:rsid w:val="0052600F"/>
    <w:rsid w:val="005260DF"/>
    <w:rsid w:val="005261C3"/>
    <w:rsid w:val="00526528"/>
    <w:rsid w:val="005265CE"/>
    <w:rsid w:val="0052694C"/>
    <w:rsid w:val="00526FFB"/>
    <w:rsid w:val="00527003"/>
    <w:rsid w:val="005271BB"/>
    <w:rsid w:val="00527207"/>
    <w:rsid w:val="005279D7"/>
    <w:rsid w:val="00527C9B"/>
    <w:rsid w:val="00527C9E"/>
    <w:rsid w:val="00527CED"/>
    <w:rsid w:val="00527D79"/>
    <w:rsid w:val="00530479"/>
    <w:rsid w:val="00530584"/>
    <w:rsid w:val="00530878"/>
    <w:rsid w:val="00530C8F"/>
    <w:rsid w:val="00530CFB"/>
    <w:rsid w:val="005310B5"/>
    <w:rsid w:val="0053118C"/>
    <w:rsid w:val="0053185C"/>
    <w:rsid w:val="005318CD"/>
    <w:rsid w:val="00531934"/>
    <w:rsid w:val="00531D55"/>
    <w:rsid w:val="00531EB6"/>
    <w:rsid w:val="0053220D"/>
    <w:rsid w:val="005327EB"/>
    <w:rsid w:val="005328E2"/>
    <w:rsid w:val="00532928"/>
    <w:rsid w:val="00532A01"/>
    <w:rsid w:val="00532BD6"/>
    <w:rsid w:val="00532DA9"/>
    <w:rsid w:val="00532E76"/>
    <w:rsid w:val="00532F7A"/>
    <w:rsid w:val="00533304"/>
    <w:rsid w:val="005334E2"/>
    <w:rsid w:val="00533647"/>
    <w:rsid w:val="0053380B"/>
    <w:rsid w:val="0053390F"/>
    <w:rsid w:val="00533C31"/>
    <w:rsid w:val="00533ECD"/>
    <w:rsid w:val="00534190"/>
    <w:rsid w:val="0053440D"/>
    <w:rsid w:val="00534627"/>
    <w:rsid w:val="005347E9"/>
    <w:rsid w:val="00534B19"/>
    <w:rsid w:val="00534B40"/>
    <w:rsid w:val="00534BAC"/>
    <w:rsid w:val="00534E61"/>
    <w:rsid w:val="00534E87"/>
    <w:rsid w:val="00535086"/>
    <w:rsid w:val="00535131"/>
    <w:rsid w:val="00535923"/>
    <w:rsid w:val="00535A0F"/>
    <w:rsid w:val="00535C53"/>
    <w:rsid w:val="00535C78"/>
    <w:rsid w:val="00536529"/>
    <w:rsid w:val="005366B0"/>
    <w:rsid w:val="00536908"/>
    <w:rsid w:val="00536947"/>
    <w:rsid w:val="00536991"/>
    <w:rsid w:val="00536A66"/>
    <w:rsid w:val="00536BDC"/>
    <w:rsid w:val="00536C82"/>
    <w:rsid w:val="00536F73"/>
    <w:rsid w:val="00537150"/>
    <w:rsid w:val="00537260"/>
    <w:rsid w:val="005372F6"/>
    <w:rsid w:val="00537497"/>
    <w:rsid w:val="00537665"/>
    <w:rsid w:val="00537787"/>
    <w:rsid w:val="005377A7"/>
    <w:rsid w:val="005379A7"/>
    <w:rsid w:val="00537B0B"/>
    <w:rsid w:val="00540592"/>
    <w:rsid w:val="00540844"/>
    <w:rsid w:val="0054098C"/>
    <w:rsid w:val="00540E9E"/>
    <w:rsid w:val="00540FC4"/>
    <w:rsid w:val="0054108C"/>
    <w:rsid w:val="00541313"/>
    <w:rsid w:val="005414F5"/>
    <w:rsid w:val="005416DB"/>
    <w:rsid w:val="00541820"/>
    <w:rsid w:val="00541A5F"/>
    <w:rsid w:val="00541B38"/>
    <w:rsid w:val="005421A0"/>
    <w:rsid w:val="0054220D"/>
    <w:rsid w:val="005422B5"/>
    <w:rsid w:val="0054242F"/>
    <w:rsid w:val="005425A3"/>
    <w:rsid w:val="005427AD"/>
    <w:rsid w:val="005427F5"/>
    <w:rsid w:val="00542849"/>
    <w:rsid w:val="00542F72"/>
    <w:rsid w:val="00542F8E"/>
    <w:rsid w:val="00543249"/>
    <w:rsid w:val="00543568"/>
    <w:rsid w:val="0054360A"/>
    <w:rsid w:val="00543AAA"/>
    <w:rsid w:val="00543CFF"/>
    <w:rsid w:val="00543D09"/>
    <w:rsid w:val="00543DC5"/>
    <w:rsid w:val="00543DDD"/>
    <w:rsid w:val="00544224"/>
    <w:rsid w:val="00544481"/>
    <w:rsid w:val="00544924"/>
    <w:rsid w:val="00544FF6"/>
    <w:rsid w:val="005450A8"/>
    <w:rsid w:val="00545473"/>
    <w:rsid w:val="00545666"/>
    <w:rsid w:val="00545940"/>
    <w:rsid w:val="00545F02"/>
    <w:rsid w:val="00546087"/>
    <w:rsid w:val="005462A9"/>
    <w:rsid w:val="00546B4F"/>
    <w:rsid w:val="005473BB"/>
    <w:rsid w:val="005475CF"/>
    <w:rsid w:val="005477B7"/>
    <w:rsid w:val="0054782E"/>
    <w:rsid w:val="0054792C"/>
    <w:rsid w:val="00547B1F"/>
    <w:rsid w:val="00547C8E"/>
    <w:rsid w:val="00547D09"/>
    <w:rsid w:val="00547F95"/>
    <w:rsid w:val="0055022F"/>
    <w:rsid w:val="00550301"/>
    <w:rsid w:val="005503FE"/>
    <w:rsid w:val="0055056F"/>
    <w:rsid w:val="00550766"/>
    <w:rsid w:val="00550B59"/>
    <w:rsid w:val="00550E2D"/>
    <w:rsid w:val="00550F59"/>
    <w:rsid w:val="00551203"/>
    <w:rsid w:val="00551505"/>
    <w:rsid w:val="00551B4D"/>
    <w:rsid w:val="00551D14"/>
    <w:rsid w:val="00551DF9"/>
    <w:rsid w:val="00551F75"/>
    <w:rsid w:val="00551FDE"/>
    <w:rsid w:val="00552014"/>
    <w:rsid w:val="005520D9"/>
    <w:rsid w:val="0055214B"/>
    <w:rsid w:val="00552A78"/>
    <w:rsid w:val="00552F84"/>
    <w:rsid w:val="0055313E"/>
    <w:rsid w:val="005533AE"/>
    <w:rsid w:val="00553534"/>
    <w:rsid w:val="00553573"/>
    <w:rsid w:val="00553661"/>
    <w:rsid w:val="005536D2"/>
    <w:rsid w:val="005536FB"/>
    <w:rsid w:val="00553921"/>
    <w:rsid w:val="005539A5"/>
    <w:rsid w:val="00553A8F"/>
    <w:rsid w:val="00553CDC"/>
    <w:rsid w:val="005543D0"/>
    <w:rsid w:val="005544A5"/>
    <w:rsid w:val="005546D8"/>
    <w:rsid w:val="00554866"/>
    <w:rsid w:val="00554AF8"/>
    <w:rsid w:val="00554D5C"/>
    <w:rsid w:val="00554D6C"/>
    <w:rsid w:val="00554E6E"/>
    <w:rsid w:val="00554F6C"/>
    <w:rsid w:val="00555111"/>
    <w:rsid w:val="00555188"/>
    <w:rsid w:val="005554F6"/>
    <w:rsid w:val="00555731"/>
    <w:rsid w:val="00555B3D"/>
    <w:rsid w:val="00555B52"/>
    <w:rsid w:val="00555BE2"/>
    <w:rsid w:val="00555DFA"/>
    <w:rsid w:val="00555F1A"/>
    <w:rsid w:val="00555F20"/>
    <w:rsid w:val="00555FBD"/>
    <w:rsid w:val="005561AF"/>
    <w:rsid w:val="005562E2"/>
    <w:rsid w:val="00556379"/>
    <w:rsid w:val="0055645B"/>
    <w:rsid w:val="005566BA"/>
    <w:rsid w:val="005566E1"/>
    <w:rsid w:val="00556DCA"/>
    <w:rsid w:val="00557222"/>
    <w:rsid w:val="00557431"/>
    <w:rsid w:val="0055744E"/>
    <w:rsid w:val="005574C2"/>
    <w:rsid w:val="00557537"/>
    <w:rsid w:val="005576BE"/>
    <w:rsid w:val="005576C5"/>
    <w:rsid w:val="00557A9E"/>
    <w:rsid w:val="00557C9C"/>
    <w:rsid w:val="005604E9"/>
    <w:rsid w:val="0056063E"/>
    <w:rsid w:val="00560D3C"/>
    <w:rsid w:val="00560D87"/>
    <w:rsid w:val="00561381"/>
    <w:rsid w:val="005614C5"/>
    <w:rsid w:val="00561651"/>
    <w:rsid w:val="005619CE"/>
    <w:rsid w:val="00562318"/>
    <w:rsid w:val="00562461"/>
    <w:rsid w:val="0056248B"/>
    <w:rsid w:val="00562547"/>
    <w:rsid w:val="005625C4"/>
    <w:rsid w:val="00562681"/>
    <w:rsid w:val="00562A03"/>
    <w:rsid w:val="00562A09"/>
    <w:rsid w:val="00562A99"/>
    <w:rsid w:val="00562BF7"/>
    <w:rsid w:val="00563225"/>
    <w:rsid w:val="005632CE"/>
    <w:rsid w:val="00563311"/>
    <w:rsid w:val="005635DA"/>
    <w:rsid w:val="00563974"/>
    <w:rsid w:val="005639DB"/>
    <w:rsid w:val="00563AD3"/>
    <w:rsid w:val="00563FEE"/>
    <w:rsid w:val="0056405F"/>
    <w:rsid w:val="0056407D"/>
    <w:rsid w:val="005640FE"/>
    <w:rsid w:val="005645CE"/>
    <w:rsid w:val="00564654"/>
    <w:rsid w:val="005646C1"/>
    <w:rsid w:val="00564995"/>
    <w:rsid w:val="005649A2"/>
    <w:rsid w:val="00564CEA"/>
    <w:rsid w:val="00564D16"/>
    <w:rsid w:val="00564E92"/>
    <w:rsid w:val="00564F34"/>
    <w:rsid w:val="00565037"/>
    <w:rsid w:val="005652BC"/>
    <w:rsid w:val="005654EA"/>
    <w:rsid w:val="00565AF1"/>
    <w:rsid w:val="005661A5"/>
    <w:rsid w:val="005661CF"/>
    <w:rsid w:val="005667FE"/>
    <w:rsid w:val="005668DE"/>
    <w:rsid w:val="00566DB7"/>
    <w:rsid w:val="00566F54"/>
    <w:rsid w:val="00566F85"/>
    <w:rsid w:val="00567094"/>
    <w:rsid w:val="00567499"/>
    <w:rsid w:val="005679C9"/>
    <w:rsid w:val="00567FB0"/>
    <w:rsid w:val="00570277"/>
    <w:rsid w:val="005702BB"/>
    <w:rsid w:val="00570342"/>
    <w:rsid w:val="0057036E"/>
    <w:rsid w:val="005706FC"/>
    <w:rsid w:val="005708A5"/>
    <w:rsid w:val="005708AC"/>
    <w:rsid w:val="00570E59"/>
    <w:rsid w:val="00570F55"/>
    <w:rsid w:val="005711E3"/>
    <w:rsid w:val="005711E9"/>
    <w:rsid w:val="005715F0"/>
    <w:rsid w:val="005718D9"/>
    <w:rsid w:val="00571A9D"/>
    <w:rsid w:val="00571D9B"/>
    <w:rsid w:val="005721F0"/>
    <w:rsid w:val="00572207"/>
    <w:rsid w:val="00572610"/>
    <w:rsid w:val="00572BC2"/>
    <w:rsid w:val="00572BFD"/>
    <w:rsid w:val="00572DEE"/>
    <w:rsid w:val="00572DF0"/>
    <w:rsid w:val="005730CC"/>
    <w:rsid w:val="00573150"/>
    <w:rsid w:val="00573478"/>
    <w:rsid w:val="005735E5"/>
    <w:rsid w:val="00573690"/>
    <w:rsid w:val="00573F9E"/>
    <w:rsid w:val="005742B5"/>
    <w:rsid w:val="005743B6"/>
    <w:rsid w:val="00574623"/>
    <w:rsid w:val="00574907"/>
    <w:rsid w:val="00574A72"/>
    <w:rsid w:val="00574BAB"/>
    <w:rsid w:val="00575941"/>
    <w:rsid w:val="00575B11"/>
    <w:rsid w:val="00575D8F"/>
    <w:rsid w:val="00575FC7"/>
    <w:rsid w:val="0057608F"/>
    <w:rsid w:val="005760A9"/>
    <w:rsid w:val="005762C3"/>
    <w:rsid w:val="00576585"/>
    <w:rsid w:val="005765CC"/>
    <w:rsid w:val="00576A27"/>
    <w:rsid w:val="00576BD3"/>
    <w:rsid w:val="00576C9F"/>
    <w:rsid w:val="00576CED"/>
    <w:rsid w:val="00577212"/>
    <w:rsid w:val="0057756D"/>
    <w:rsid w:val="00577E61"/>
    <w:rsid w:val="005800BB"/>
    <w:rsid w:val="005800D5"/>
    <w:rsid w:val="005801C2"/>
    <w:rsid w:val="00580392"/>
    <w:rsid w:val="0058070D"/>
    <w:rsid w:val="00580D9E"/>
    <w:rsid w:val="00580E65"/>
    <w:rsid w:val="00580F83"/>
    <w:rsid w:val="00581095"/>
    <w:rsid w:val="00581249"/>
    <w:rsid w:val="00581252"/>
    <w:rsid w:val="0058144D"/>
    <w:rsid w:val="005814ED"/>
    <w:rsid w:val="00581628"/>
    <w:rsid w:val="00581776"/>
    <w:rsid w:val="0058178D"/>
    <w:rsid w:val="005817EC"/>
    <w:rsid w:val="00581877"/>
    <w:rsid w:val="005818C9"/>
    <w:rsid w:val="005819C8"/>
    <w:rsid w:val="005819DE"/>
    <w:rsid w:val="00581A5B"/>
    <w:rsid w:val="00581CA4"/>
    <w:rsid w:val="00581CC4"/>
    <w:rsid w:val="005820E3"/>
    <w:rsid w:val="00582357"/>
    <w:rsid w:val="005824BB"/>
    <w:rsid w:val="0058282D"/>
    <w:rsid w:val="00582895"/>
    <w:rsid w:val="00582F87"/>
    <w:rsid w:val="005831BC"/>
    <w:rsid w:val="0058320A"/>
    <w:rsid w:val="005833EC"/>
    <w:rsid w:val="0058350C"/>
    <w:rsid w:val="00583A25"/>
    <w:rsid w:val="00583A4E"/>
    <w:rsid w:val="00583ACE"/>
    <w:rsid w:val="00583C81"/>
    <w:rsid w:val="00583ECE"/>
    <w:rsid w:val="00583F81"/>
    <w:rsid w:val="00584154"/>
    <w:rsid w:val="0058415B"/>
    <w:rsid w:val="00584518"/>
    <w:rsid w:val="0058461C"/>
    <w:rsid w:val="005849CE"/>
    <w:rsid w:val="005849D9"/>
    <w:rsid w:val="00584FA7"/>
    <w:rsid w:val="0058525A"/>
    <w:rsid w:val="0058547A"/>
    <w:rsid w:val="00585738"/>
    <w:rsid w:val="005858B2"/>
    <w:rsid w:val="005859F1"/>
    <w:rsid w:val="00585E66"/>
    <w:rsid w:val="00586089"/>
    <w:rsid w:val="00586167"/>
    <w:rsid w:val="005861E8"/>
    <w:rsid w:val="005863B7"/>
    <w:rsid w:val="00586523"/>
    <w:rsid w:val="005866EF"/>
    <w:rsid w:val="0058679D"/>
    <w:rsid w:val="005868AD"/>
    <w:rsid w:val="00586C04"/>
    <w:rsid w:val="00586C1A"/>
    <w:rsid w:val="00586D28"/>
    <w:rsid w:val="00586E2C"/>
    <w:rsid w:val="005873B6"/>
    <w:rsid w:val="005878E1"/>
    <w:rsid w:val="00587AD0"/>
    <w:rsid w:val="00587AED"/>
    <w:rsid w:val="00587BB0"/>
    <w:rsid w:val="00587BF3"/>
    <w:rsid w:val="00587C99"/>
    <w:rsid w:val="00587E73"/>
    <w:rsid w:val="00590320"/>
    <w:rsid w:val="00590542"/>
    <w:rsid w:val="005905CD"/>
    <w:rsid w:val="0059092E"/>
    <w:rsid w:val="00590DA2"/>
    <w:rsid w:val="0059111E"/>
    <w:rsid w:val="005911FF"/>
    <w:rsid w:val="005913D6"/>
    <w:rsid w:val="005915DF"/>
    <w:rsid w:val="00591728"/>
    <w:rsid w:val="00591752"/>
    <w:rsid w:val="00591832"/>
    <w:rsid w:val="00591AF3"/>
    <w:rsid w:val="00591F20"/>
    <w:rsid w:val="00591FAE"/>
    <w:rsid w:val="005921AD"/>
    <w:rsid w:val="00592298"/>
    <w:rsid w:val="0059249A"/>
    <w:rsid w:val="00592840"/>
    <w:rsid w:val="00592908"/>
    <w:rsid w:val="00592995"/>
    <w:rsid w:val="005929A7"/>
    <w:rsid w:val="00592A49"/>
    <w:rsid w:val="00592D31"/>
    <w:rsid w:val="00592E76"/>
    <w:rsid w:val="00592E8E"/>
    <w:rsid w:val="00592EFA"/>
    <w:rsid w:val="00593090"/>
    <w:rsid w:val="00593114"/>
    <w:rsid w:val="00593243"/>
    <w:rsid w:val="00593392"/>
    <w:rsid w:val="005933FE"/>
    <w:rsid w:val="005935BD"/>
    <w:rsid w:val="005935E5"/>
    <w:rsid w:val="0059363A"/>
    <w:rsid w:val="00593645"/>
    <w:rsid w:val="005939EB"/>
    <w:rsid w:val="00593A1B"/>
    <w:rsid w:val="00593BBD"/>
    <w:rsid w:val="005942AA"/>
    <w:rsid w:val="00594414"/>
    <w:rsid w:val="00594423"/>
    <w:rsid w:val="00594635"/>
    <w:rsid w:val="00594724"/>
    <w:rsid w:val="0059483E"/>
    <w:rsid w:val="00594845"/>
    <w:rsid w:val="005948FC"/>
    <w:rsid w:val="00594A9C"/>
    <w:rsid w:val="00594B80"/>
    <w:rsid w:val="00594C5C"/>
    <w:rsid w:val="00594DE2"/>
    <w:rsid w:val="00594E6A"/>
    <w:rsid w:val="00595031"/>
    <w:rsid w:val="00595391"/>
    <w:rsid w:val="00595593"/>
    <w:rsid w:val="0059561D"/>
    <w:rsid w:val="005959B4"/>
    <w:rsid w:val="00595D9C"/>
    <w:rsid w:val="0059603C"/>
    <w:rsid w:val="0059621B"/>
    <w:rsid w:val="005966D4"/>
    <w:rsid w:val="00596C34"/>
    <w:rsid w:val="00596C71"/>
    <w:rsid w:val="005970F5"/>
    <w:rsid w:val="0059728A"/>
    <w:rsid w:val="005972EA"/>
    <w:rsid w:val="00597535"/>
    <w:rsid w:val="00597728"/>
    <w:rsid w:val="00597D43"/>
    <w:rsid w:val="00597DB0"/>
    <w:rsid w:val="00597DB2"/>
    <w:rsid w:val="00597F6D"/>
    <w:rsid w:val="005A012D"/>
    <w:rsid w:val="005A045F"/>
    <w:rsid w:val="005A08F5"/>
    <w:rsid w:val="005A0DDF"/>
    <w:rsid w:val="005A0E7D"/>
    <w:rsid w:val="005A138E"/>
    <w:rsid w:val="005A13DF"/>
    <w:rsid w:val="005A1435"/>
    <w:rsid w:val="005A1815"/>
    <w:rsid w:val="005A1C68"/>
    <w:rsid w:val="005A213E"/>
    <w:rsid w:val="005A2448"/>
    <w:rsid w:val="005A2485"/>
    <w:rsid w:val="005A27E0"/>
    <w:rsid w:val="005A280D"/>
    <w:rsid w:val="005A2863"/>
    <w:rsid w:val="005A2909"/>
    <w:rsid w:val="005A29EB"/>
    <w:rsid w:val="005A2A3D"/>
    <w:rsid w:val="005A2A8E"/>
    <w:rsid w:val="005A2B9E"/>
    <w:rsid w:val="005A2EAB"/>
    <w:rsid w:val="005A334A"/>
    <w:rsid w:val="005A352F"/>
    <w:rsid w:val="005A36EA"/>
    <w:rsid w:val="005A3868"/>
    <w:rsid w:val="005A39FD"/>
    <w:rsid w:val="005A3DBC"/>
    <w:rsid w:val="005A3E4A"/>
    <w:rsid w:val="005A4023"/>
    <w:rsid w:val="005A406B"/>
    <w:rsid w:val="005A4155"/>
    <w:rsid w:val="005A4622"/>
    <w:rsid w:val="005A4763"/>
    <w:rsid w:val="005A48EF"/>
    <w:rsid w:val="005A4A83"/>
    <w:rsid w:val="005A4CA6"/>
    <w:rsid w:val="005A4F7B"/>
    <w:rsid w:val="005A51DB"/>
    <w:rsid w:val="005A56A1"/>
    <w:rsid w:val="005A5948"/>
    <w:rsid w:val="005A5C44"/>
    <w:rsid w:val="005A5E1D"/>
    <w:rsid w:val="005A6007"/>
    <w:rsid w:val="005A62DA"/>
    <w:rsid w:val="005A6499"/>
    <w:rsid w:val="005A6572"/>
    <w:rsid w:val="005A66C1"/>
    <w:rsid w:val="005A6757"/>
    <w:rsid w:val="005A67F2"/>
    <w:rsid w:val="005A6AE2"/>
    <w:rsid w:val="005A6F2E"/>
    <w:rsid w:val="005A6FFA"/>
    <w:rsid w:val="005A713A"/>
    <w:rsid w:val="005A71FB"/>
    <w:rsid w:val="005A73D7"/>
    <w:rsid w:val="005A790E"/>
    <w:rsid w:val="005A7A0D"/>
    <w:rsid w:val="005A7BD4"/>
    <w:rsid w:val="005B01AC"/>
    <w:rsid w:val="005B01D1"/>
    <w:rsid w:val="005B0326"/>
    <w:rsid w:val="005B065B"/>
    <w:rsid w:val="005B085D"/>
    <w:rsid w:val="005B09B6"/>
    <w:rsid w:val="005B0A91"/>
    <w:rsid w:val="005B1077"/>
    <w:rsid w:val="005B1264"/>
    <w:rsid w:val="005B1C65"/>
    <w:rsid w:val="005B1EFA"/>
    <w:rsid w:val="005B223E"/>
    <w:rsid w:val="005B26E9"/>
    <w:rsid w:val="005B284A"/>
    <w:rsid w:val="005B28D2"/>
    <w:rsid w:val="005B29C4"/>
    <w:rsid w:val="005B2B21"/>
    <w:rsid w:val="005B2BAA"/>
    <w:rsid w:val="005B2BBE"/>
    <w:rsid w:val="005B2FED"/>
    <w:rsid w:val="005B3095"/>
    <w:rsid w:val="005B3124"/>
    <w:rsid w:val="005B3350"/>
    <w:rsid w:val="005B3544"/>
    <w:rsid w:val="005B35D5"/>
    <w:rsid w:val="005B3662"/>
    <w:rsid w:val="005B3A37"/>
    <w:rsid w:val="005B3E9D"/>
    <w:rsid w:val="005B4130"/>
    <w:rsid w:val="005B448D"/>
    <w:rsid w:val="005B44FF"/>
    <w:rsid w:val="005B4A10"/>
    <w:rsid w:val="005B4AD2"/>
    <w:rsid w:val="005B4BA7"/>
    <w:rsid w:val="005B4D51"/>
    <w:rsid w:val="005B4EB5"/>
    <w:rsid w:val="005B4EE5"/>
    <w:rsid w:val="005B5159"/>
    <w:rsid w:val="005B5355"/>
    <w:rsid w:val="005B53BF"/>
    <w:rsid w:val="005B53F1"/>
    <w:rsid w:val="005B54EF"/>
    <w:rsid w:val="005B56A4"/>
    <w:rsid w:val="005B56EF"/>
    <w:rsid w:val="005B587E"/>
    <w:rsid w:val="005B5928"/>
    <w:rsid w:val="005B59DE"/>
    <w:rsid w:val="005B5AAC"/>
    <w:rsid w:val="005B5B5E"/>
    <w:rsid w:val="005B5D51"/>
    <w:rsid w:val="005B5D7C"/>
    <w:rsid w:val="005B6152"/>
    <w:rsid w:val="005B6158"/>
    <w:rsid w:val="005B61E1"/>
    <w:rsid w:val="005B62C0"/>
    <w:rsid w:val="005B64FB"/>
    <w:rsid w:val="005B6618"/>
    <w:rsid w:val="005B6901"/>
    <w:rsid w:val="005B6A78"/>
    <w:rsid w:val="005B6BF2"/>
    <w:rsid w:val="005B6C74"/>
    <w:rsid w:val="005B6FCE"/>
    <w:rsid w:val="005B73D3"/>
    <w:rsid w:val="005B7411"/>
    <w:rsid w:val="005B7465"/>
    <w:rsid w:val="005B76FF"/>
    <w:rsid w:val="005B7918"/>
    <w:rsid w:val="005B7C3E"/>
    <w:rsid w:val="005B7C5B"/>
    <w:rsid w:val="005B7EA0"/>
    <w:rsid w:val="005C0017"/>
    <w:rsid w:val="005C0070"/>
    <w:rsid w:val="005C0260"/>
    <w:rsid w:val="005C037D"/>
    <w:rsid w:val="005C0452"/>
    <w:rsid w:val="005C053F"/>
    <w:rsid w:val="005C064F"/>
    <w:rsid w:val="005C07F8"/>
    <w:rsid w:val="005C087D"/>
    <w:rsid w:val="005C0ACA"/>
    <w:rsid w:val="005C0EE7"/>
    <w:rsid w:val="005C1049"/>
    <w:rsid w:val="005C1094"/>
    <w:rsid w:val="005C10D9"/>
    <w:rsid w:val="005C1272"/>
    <w:rsid w:val="005C158A"/>
    <w:rsid w:val="005C1674"/>
    <w:rsid w:val="005C16F9"/>
    <w:rsid w:val="005C17EF"/>
    <w:rsid w:val="005C1980"/>
    <w:rsid w:val="005C1ACE"/>
    <w:rsid w:val="005C1BD3"/>
    <w:rsid w:val="005C1D10"/>
    <w:rsid w:val="005C1D61"/>
    <w:rsid w:val="005C1E87"/>
    <w:rsid w:val="005C2303"/>
    <w:rsid w:val="005C250F"/>
    <w:rsid w:val="005C2573"/>
    <w:rsid w:val="005C259E"/>
    <w:rsid w:val="005C26FE"/>
    <w:rsid w:val="005C271D"/>
    <w:rsid w:val="005C2AE1"/>
    <w:rsid w:val="005C2B83"/>
    <w:rsid w:val="005C2B97"/>
    <w:rsid w:val="005C2C3A"/>
    <w:rsid w:val="005C2D14"/>
    <w:rsid w:val="005C2DBD"/>
    <w:rsid w:val="005C2F15"/>
    <w:rsid w:val="005C30E7"/>
    <w:rsid w:val="005C3194"/>
    <w:rsid w:val="005C3296"/>
    <w:rsid w:val="005C3323"/>
    <w:rsid w:val="005C3437"/>
    <w:rsid w:val="005C3670"/>
    <w:rsid w:val="005C373E"/>
    <w:rsid w:val="005C39EF"/>
    <w:rsid w:val="005C3D1A"/>
    <w:rsid w:val="005C3F1B"/>
    <w:rsid w:val="005C417A"/>
    <w:rsid w:val="005C43B1"/>
    <w:rsid w:val="005C45A6"/>
    <w:rsid w:val="005C4735"/>
    <w:rsid w:val="005C48A8"/>
    <w:rsid w:val="005C4932"/>
    <w:rsid w:val="005C49A9"/>
    <w:rsid w:val="005C4C65"/>
    <w:rsid w:val="005C4D9F"/>
    <w:rsid w:val="005C4E10"/>
    <w:rsid w:val="005C543B"/>
    <w:rsid w:val="005C557F"/>
    <w:rsid w:val="005C5670"/>
    <w:rsid w:val="005C5898"/>
    <w:rsid w:val="005C58DC"/>
    <w:rsid w:val="005C5A2D"/>
    <w:rsid w:val="005C5D20"/>
    <w:rsid w:val="005C5F60"/>
    <w:rsid w:val="005C5FF6"/>
    <w:rsid w:val="005C6166"/>
    <w:rsid w:val="005C6291"/>
    <w:rsid w:val="005C6571"/>
    <w:rsid w:val="005C6976"/>
    <w:rsid w:val="005C6B12"/>
    <w:rsid w:val="005C6D78"/>
    <w:rsid w:val="005C6EBD"/>
    <w:rsid w:val="005C70D4"/>
    <w:rsid w:val="005C7627"/>
    <w:rsid w:val="005C76A7"/>
    <w:rsid w:val="005C77F6"/>
    <w:rsid w:val="005C7D1A"/>
    <w:rsid w:val="005C7F0B"/>
    <w:rsid w:val="005C7F13"/>
    <w:rsid w:val="005D00A4"/>
    <w:rsid w:val="005D01EC"/>
    <w:rsid w:val="005D02C1"/>
    <w:rsid w:val="005D039F"/>
    <w:rsid w:val="005D03D3"/>
    <w:rsid w:val="005D0578"/>
    <w:rsid w:val="005D07A5"/>
    <w:rsid w:val="005D0818"/>
    <w:rsid w:val="005D0AA1"/>
    <w:rsid w:val="005D0D4E"/>
    <w:rsid w:val="005D0D77"/>
    <w:rsid w:val="005D0DEF"/>
    <w:rsid w:val="005D0DF7"/>
    <w:rsid w:val="005D10B3"/>
    <w:rsid w:val="005D1378"/>
    <w:rsid w:val="005D13AA"/>
    <w:rsid w:val="005D1C76"/>
    <w:rsid w:val="005D1D7E"/>
    <w:rsid w:val="005D1E8B"/>
    <w:rsid w:val="005D1EAF"/>
    <w:rsid w:val="005D20D0"/>
    <w:rsid w:val="005D2324"/>
    <w:rsid w:val="005D2525"/>
    <w:rsid w:val="005D25F7"/>
    <w:rsid w:val="005D26EF"/>
    <w:rsid w:val="005D2A8E"/>
    <w:rsid w:val="005D2B9A"/>
    <w:rsid w:val="005D352E"/>
    <w:rsid w:val="005D3836"/>
    <w:rsid w:val="005D3918"/>
    <w:rsid w:val="005D3BF3"/>
    <w:rsid w:val="005D3DC6"/>
    <w:rsid w:val="005D3E88"/>
    <w:rsid w:val="005D3F0C"/>
    <w:rsid w:val="005D4170"/>
    <w:rsid w:val="005D4241"/>
    <w:rsid w:val="005D42B5"/>
    <w:rsid w:val="005D4876"/>
    <w:rsid w:val="005D4927"/>
    <w:rsid w:val="005D499D"/>
    <w:rsid w:val="005D4B0A"/>
    <w:rsid w:val="005D4D62"/>
    <w:rsid w:val="005D4DC6"/>
    <w:rsid w:val="005D5092"/>
    <w:rsid w:val="005D50E4"/>
    <w:rsid w:val="005D5156"/>
    <w:rsid w:val="005D5426"/>
    <w:rsid w:val="005D5435"/>
    <w:rsid w:val="005D54AB"/>
    <w:rsid w:val="005D554F"/>
    <w:rsid w:val="005D55F3"/>
    <w:rsid w:val="005D57AF"/>
    <w:rsid w:val="005D5A7C"/>
    <w:rsid w:val="005D5A81"/>
    <w:rsid w:val="005D5F3E"/>
    <w:rsid w:val="005D61DA"/>
    <w:rsid w:val="005D6667"/>
    <w:rsid w:val="005D6721"/>
    <w:rsid w:val="005D6A32"/>
    <w:rsid w:val="005D6E33"/>
    <w:rsid w:val="005D703B"/>
    <w:rsid w:val="005D737A"/>
    <w:rsid w:val="005D79FE"/>
    <w:rsid w:val="005D7A0A"/>
    <w:rsid w:val="005D7C4C"/>
    <w:rsid w:val="005D7D81"/>
    <w:rsid w:val="005D7D9B"/>
    <w:rsid w:val="005E0034"/>
    <w:rsid w:val="005E01D8"/>
    <w:rsid w:val="005E0264"/>
    <w:rsid w:val="005E05C8"/>
    <w:rsid w:val="005E0B73"/>
    <w:rsid w:val="005E0D81"/>
    <w:rsid w:val="005E0DE7"/>
    <w:rsid w:val="005E0F2C"/>
    <w:rsid w:val="005E10F9"/>
    <w:rsid w:val="005E1446"/>
    <w:rsid w:val="005E1517"/>
    <w:rsid w:val="005E1535"/>
    <w:rsid w:val="005E1672"/>
    <w:rsid w:val="005E19C1"/>
    <w:rsid w:val="005E1A35"/>
    <w:rsid w:val="005E1AE8"/>
    <w:rsid w:val="005E1B7F"/>
    <w:rsid w:val="005E1C10"/>
    <w:rsid w:val="005E1CF9"/>
    <w:rsid w:val="005E1D33"/>
    <w:rsid w:val="005E1F11"/>
    <w:rsid w:val="005E205E"/>
    <w:rsid w:val="005E20E6"/>
    <w:rsid w:val="005E2100"/>
    <w:rsid w:val="005E2171"/>
    <w:rsid w:val="005E2413"/>
    <w:rsid w:val="005E2A25"/>
    <w:rsid w:val="005E2A7F"/>
    <w:rsid w:val="005E2B06"/>
    <w:rsid w:val="005E2BA7"/>
    <w:rsid w:val="005E2D99"/>
    <w:rsid w:val="005E305D"/>
    <w:rsid w:val="005E3281"/>
    <w:rsid w:val="005E3353"/>
    <w:rsid w:val="005E33B5"/>
    <w:rsid w:val="005E353C"/>
    <w:rsid w:val="005E3646"/>
    <w:rsid w:val="005E37CF"/>
    <w:rsid w:val="005E395B"/>
    <w:rsid w:val="005E3A3C"/>
    <w:rsid w:val="005E3AA7"/>
    <w:rsid w:val="005E3C8D"/>
    <w:rsid w:val="005E3CA8"/>
    <w:rsid w:val="005E43A1"/>
    <w:rsid w:val="005E46B4"/>
    <w:rsid w:val="005E4744"/>
    <w:rsid w:val="005E482B"/>
    <w:rsid w:val="005E482F"/>
    <w:rsid w:val="005E4F19"/>
    <w:rsid w:val="005E4FB2"/>
    <w:rsid w:val="005E51BB"/>
    <w:rsid w:val="005E5822"/>
    <w:rsid w:val="005E5D8F"/>
    <w:rsid w:val="005E6050"/>
    <w:rsid w:val="005E60FC"/>
    <w:rsid w:val="005E6231"/>
    <w:rsid w:val="005E6249"/>
    <w:rsid w:val="005E6431"/>
    <w:rsid w:val="005E645C"/>
    <w:rsid w:val="005E6471"/>
    <w:rsid w:val="005E6658"/>
    <w:rsid w:val="005E6894"/>
    <w:rsid w:val="005E6AE6"/>
    <w:rsid w:val="005E6D49"/>
    <w:rsid w:val="005E6D8B"/>
    <w:rsid w:val="005E70E8"/>
    <w:rsid w:val="005E71C0"/>
    <w:rsid w:val="005E75C9"/>
    <w:rsid w:val="005E76C6"/>
    <w:rsid w:val="005E7860"/>
    <w:rsid w:val="005E79D0"/>
    <w:rsid w:val="005E7C7F"/>
    <w:rsid w:val="005E7DF6"/>
    <w:rsid w:val="005F0062"/>
    <w:rsid w:val="005F00A2"/>
    <w:rsid w:val="005F02D8"/>
    <w:rsid w:val="005F02FB"/>
    <w:rsid w:val="005F03EC"/>
    <w:rsid w:val="005F051A"/>
    <w:rsid w:val="005F07B6"/>
    <w:rsid w:val="005F07C7"/>
    <w:rsid w:val="005F09AA"/>
    <w:rsid w:val="005F0A3A"/>
    <w:rsid w:val="005F0A79"/>
    <w:rsid w:val="005F0BE4"/>
    <w:rsid w:val="005F0CFF"/>
    <w:rsid w:val="005F0D19"/>
    <w:rsid w:val="005F0E58"/>
    <w:rsid w:val="005F0EEF"/>
    <w:rsid w:val="005F110F"/>
    <w:rsid w:val="005F114B"/>
    <w:rsid w:val="005F1184"/>
    <w:rsid w:val="005F11CB"/>
    <w:rsid w:val="005F1222"/>
    <w:rsid w:val="005F12FC"/>
    <w:rsid w:val="005F1312"/>
    <w:rsid w:val="005F159E"/>
    <w:rsid w:val="005F173D"/>
    <w:rsid w:val="005F1849"/>
    <w:rsid w:val="005F19EA"/>
    <w:rsid w:val="005F1A4F"/>
    <w:rsid w:val="005F1A78"/>
    <w:rsid w:val="005F1C9A"/>
    <w:rsid w:val="005F1D6A"/>
    <w:rsid w:val="005F207E"/>
    <w:rsid w:val="005F22F6"/>
    <w:rsid w:val="005F231A"/>
    <w:rsid w:val="005F239D"/>
    <w:rsid w:val="005F24FA"/>
    <w:rsid w:val="005F2671"/>
    <w:rsid w:val="005F2764"/>
    <w:rsid w:val="005F2AA4"/>
    <w:rsid w:val="005F2C5E"/>
    <w:rsid w:val="005F2E0C"/>
    <w:rsid w:val="005F2EB2"/>
    <w:rsid w:val="005F2F92"/>
    <w:rsid w:val="005F3164"/>
    <w:rsid w:val="005F33A4"/>
    <w:rsid w:val="005F347B"/>
    <w:rsid w:val="005F35A1"/>
    <w:rsid w:val="005F3AF1"/>
    <w:rsid w:val="005F3B86"/>
    <w:rsid w:val="005F3BA1"/>
    <w:rsid w:val="005F3D64"/>
    <w:rsid w:val="005F3F3F"/>
    <w:rsid w:val="005F414D"/>
    <w:rsid w:val="005F4767"/>
    <w:rsid w:val="005F4DE0"/>
    <w:rsid w:val="005F4E21"/>
    <w:rsid w:val="005F4EA3"/>
    <w:rsid w:val="005F5232"/>
    <w:rsid w:val="005F5330"/>
    <w:rsid w:val="005F53B0"/>
    <w:rsid w:val="005F5417"/>
    <w:rsid w:val="005F54C3"/>
    <w:rsid w:val="005F55B5"/>
    <w:rsid w:val="005F5711"/>
    <w:rsid w:val="005F57BE"/>
    <w:rsid w:val="005F590A"/>
    <w:rsid w:val="005F598B"/>
    <w:rsid w:val="005F5D96"/>
    <w:rsid w:val="005F5DD2"/>
    <w:rsid w:val="005F6326"/>
    <w:rsid w:val="005F6467"/>
    <w:rsid w:val="005F6598"/>
    <w:rsid w:val="005F65A8"/>
    <w:rsid w:val="005F6B0B"/>
    <w:rsid w:val="005F6B75"/>
    <w:rsid w:val="005F7097"/>
    <w:rsid w:val="005F748A"/>
    <w:rsid w:val="005F748F"/>
    <w:rsid w:val="005F7871"/>
    <w:rsid w:val="005F7A4E"/>
    <w:rsid w:val="005F7A6D"/>
    <w:rsid w:val="005F7B1D"/>
    <w:rsid w:val="005F7E3C"/>
    <w:rsid w:val="00600199"/>
    <w:rsid w:val="006007E3"/>
    <w:rsid w:val="00600F43"/>
    <w:rsid w:val="00600FDB"/>
    <w:rsid w:val="00601079"/>
    <w:rsid w:val="00601380"/>
    <w:rsid w:val="00601426"/>
    <w:rsid w:val="006014C0"/>
    <w:rsid w:val="00601620"/>
    <w:rsid w:val="0060162C"/>
    <w:rsid w:val="006018C8"/>
    <w:rsid w:val="00601DAF"/>
    <w:rsid w:val="0060241F"/>
    <w:rsid w:val="006026BC"/>
    <w:rsid w:val="006026EB"/>
    <w:rsid w:val="00602BB5"/>
    <w:rsid w:val="00602BD4"/>
    <w:rsid w:val="00602DF7"/>
    <w:rsid w:val="00602FCB"/>
    <w:rsid w:val="00603072"/>
    <w:rsid w:val="00603495"/>
    <w:rsid w:val="006035B1"/>
    <w:rsid w:val="0060362F"/>
    <w:rsid w:val="006037F3"/>
    <w:rsid w:val="006038F7"/>
    <w:rsid w:val="00603A42"/>
    <w:rsid w:val="00603B5B"/>
    <w:rsid w:val="00603D76"/>
    <w:rsid w:val="0060416F"/>
    <w:rsid w:val="006042A4"/>
    <w:rsid w:val="006042FB"/>
    <w:rsid w:val="00604533"/>
    <w:rsid w:val="006047A6"/>
    <w:rsid w:val="006048C7"/>
    <w:rsid w:val="00604912"/>
    <w:rsid w:val="00604BD6"/>
    <w:rsid w:val="00604C06"/>
    <w:rsid w:val="00604C1C"/>
    <w:rsid w:val="00604DEF"/>
    <w:rsid w:val="006050CC"/>
    <w:rsid w:val="0060526C"/>
    <w:rsid w:val="00605270"/>
    <w:rsid w:val="006054F3"/>
    <w:rsid w:val="0060561B"/>
    <w:rsid w:val="0060590D"/>
    <w:rsid w:val="0060595D"/>
    <w:rsid w:val="006059A7"/>
    <w:rsid w:val="00605B49"/>
    <w:rsid w:val="00605BFD"/>
    <w:rsid w:val="00605D60"/>
    <w:rsid w:val="00605F50"/>
    <w:rsid w:val="00606052"/>
    <w:rsid w:val="00606132"/>
    <w:rsid w:val="006062B1"/>
    <w:rsid w:val="00606350"/>
    <w:rsid w:val="006067A2"/>
    <w:rsid w:val="0060683C"/>
    <w:rsid w:val="00606939"/>
    <w:rsid w:val="00606A97"/>
    <w:rsid w:val="00606B3F"/>
    <w:rsid w:val="00606C83"/>
    <w:rsid w:val="00606E51"/>
    <w:rsid w:val="00606E61"/>
    <w:rsid w:val="00606EDB"/>
    <w:rsid w:val="00606EED"/>
    <w:rsid w:val="006077C2"/>
    <w:rsid w:val="006077F7"/>
    <w:rsid w:val="0060784F"/>
    <w:rsid w:val="00607937"/>
    <w:rsid w:val="00607B5B"/>
    <w:rsid w:val="00607BF1"/>
    <w:rsid w:val="00607DB9"/>
    <w:rsid w:val="00610057"/>
    <w:rsid w:val="00610239"/>
    <w:rsid w:val="006104A1"/>
    <w:rsid w:val="00610754"/>
    <w:rsid w:val="00610836"/>
    <w:rsid w:val="0061089B"/>
    <w:rsid w:val="00610CDA"/>
    <w:rsid w:val="00610E00"/>
    <w:rsid w:val="00610E4F"/>
    <w:rsid w:val="00610F5E"/>
    <w:rsid w:val="00611034"/>
    <w:rsid w:val="006111E8"/>
    <w:rsid w:val="00611340"/>
    <w:rsid w:val="00611352"/>
    <w:rsid w:val="006113BD"/>
    <w:rsid w:val="00611A36"/>
    <w:rsid w:val="00611A7E"/>
    <w:rsid w:val="00611E69"/>
    <w:rsid w:val="006120EB"/>
    <w:rsid w:val="00612DD4"/>
    <w:rsid w:val="006130ED"/>
    <w:rsid w:val="00613279"/>
    <w:rsid w:val="006135D9"/>
    <w:rsid w:val="00613F85"/>
    <w:rsid w:val="0061438B"/>
    <w:rsid w:val="006143D1"/>
    <w:rsid w:val="00614922"/>
    <w:rsid w:val="00614943"/>
    <w:rsid w:val="006149BD"/>
    <w:rsid w:val="00614A74"/>
    <w:rsid w:val="00614AE7"/>
    <w:rsid w:val="00614C5F"/>
    <w:rsid w:val="00614D15"/>
    <w:rsid w:val="00614D38"/>
    <w:rsid w:val="00614ED8"/>
    <w:rsid w:val="006155F4"/>
    <w:rsid w:val="006157CB"/>
    <w:rsid w:val="006157E2"/>
    <w:rsid w:val="0061583D"/>
    <w:rsid w:val="00615883"/>
    <w:rsid w:val="00615E97"/>
    <w:rsid w:val="00615F0B"/>
    <w:rsid w:val="00615FE4"/>
    <w:rsid w:val="0061646A"/>
    <w:rsid w:val="006165F6"/>
    <w:rsid w:val="00616981"/>
    <w:rsid w:val="006169CD"/>
    <w:rsid w:val="00616A3E"/>
    <w:rsid w:val="00616ADC"/>
    <w:rsid w:val="00616E81"/>
    <w:rsid w:val="00617204"/>
    <w:rsid w:val="006174BD"/>
    <w:rsid w:val="00617566"/>
    <w:rsid w:val="006176FD"/>
    <w:rsid w:val="00617906"/>
    <w:rsid w:val="00617B29"/>
    <w:rsid w:val="00617C85"/>
    <w:rsid w:val="00617DBD"/>
    <w:rsid w:val="00620071"/>
    <w:rsid w:val="00620264"/>
    <w:rsid w:val="00620268"/>
    <w:rsid w:val="0062028C"/>
    <w:rsid w:val="00620393"/>
    <w:rsid w:val="0062092F"/>
    <w:rsid w:val="00620A8A"/>
    <w:rsid w:val="00620DFE"/>
    <w:rsid w:val="00621011"/>
    <w:rsid w:val="006211A9"/>
    <w:rsid w:val="0062139E"/>
    <w:rsid w:val="006218B9"/>
    <w:rsid w:val="00621A40"/>
    <w:rsid w:val="00621BC2"/>
    <w:rsid w:val="00621E1F"/>
    <w:rsid w:val="00622117"/>
    <w:rsid w:val="006222C4"/>
    <w:rsid w:val="00622514"/>
    <w:rsid w:val="0062252F"/>
    <w:rsid w:val="00622744"/>
    <w:rsid w:val="00622A7C"/>
    <w:rsid w:val="00622BF0"/>
    <w:rsid w:val="006234EE"/>
    <w:rsid w:val="006235F7"/>
    <w:rsid w:val="00623969"/>
    <w:rsid w:val="00623979"/>
    <w:rsid w:val="00623A67"/>
    <w:rsid w:val="00623AD3"/>
    <w:rsid w:val="00623C99"/>
    <w:rsid w:val="00623D3F"/>
    <w:rsid w:val="00623E7F"/>
    <w:rsid w:val="006241E4"/>
    <w:rsid w:val="006242EB"/>
    <w:rsid w:val="00624344"/>
    <w:rsid w:val="00624396"/>
    <w:rsid w:val="006243E3"/>
    <w:rsid w:val="00624480"/>
    <w:rsid w:val="00624627"/>
    <w:rsid w:val="00624817"/>
    <w:rsid w:val="00624CD9"/>
    <w:rsid w:val="00624EAE"/>
    <w:rsid w:val="00625398"/>
    <w:rsid w:val="00625774"/>
    <w:rsid w:val="00625889"/>
    <w:rsid w:val="0062593A"/>
    <w:rsid w:val="00625A2D"/>
    <w:rsid w:val="00625A7B"/>
    <w:rsid w:val="00625AE0"/>
    <w:rsid w:val="00625FA6"/>
    <w:rsid w:val="00626158"/>
    <w:rsid w:val="00626177"/>
    <w:rsid w:val="00626264"/>
    <w:rsid w:val="006263FF"/>
    <w:rsid w:val="006264B1"/>
    <w:rsid w:val="0062674D"/>
    <w:rsid w:val="0062693C"/>
    <w:rsid w:val="00626A2D"/>
    <w:rsid w:val="00626B67"/>
    <w:rsid w:val="00626B70"/>
    <w:rsid w:val="00626BB4"/>
    <w:rsid w:val="00626C9A"/>
    <w:rsid w:val="00626EF3"/>
    <w:rsid w:val="006271CF"/>
    <w:rsid w:val="00627211"/>
    <w:rsid w:val="0062721E"/>
    <w:rsid w:val="00627404"/>
    <w:rsid w:val="006274AC"/>
    <w:rsid w:val="006277A2"/>
    <w:rsid w:val="006277FC"/>
    <w:rsid w:val="0062795A"/>
    <w:rsid w:val="00627F9A"/>
    <w:rsid w:val="0063012B"/>
    <w:rsid w:val="006303D6"/>
    <w:rsid w:val="00630421"/>
    <w:rsid w:val="00630664"/>
    <w:rsid w:val="00630672"/>
    <w:rsid w:val="00630898"/>
    <w:rsid w:val="006309E7"/>
    <w:rsid w:val="00630CA8"/>
    <w:rsid w:val="00630F2A"/>
    <w:rsid w:val="00630F54"/>
    <w:rsid w:val="006310AA"/>
    <w:rsid w:val="006310F2"/>
    <w:rsid w:val="0063134F"/>
    <w:rsid w:val="00631724"/>
    <w:rsid w:val="0063181F"/>
    <w:rsid w:val="0063194D"/>
    <w:rsid w:val="00631AF9"/>
    <w:rsid w:val="00631B82"/>
    <w:rsid w:val="00632095"/>
    <w:rsid w:val="0063251F"/>
    <w:rsid w:val="006325D4"/>
    <w:rsid w:val="0063270D"/>
    <w:rsid w:val="00632784"/>
    <w:rsid w:val="006328BC"/>
    <w:rsid w:val="00632949"/>
    <w:rsid w:val="00632E1B"/>
    <w:rsid w:val="00632F61"/>
    <w:rsid w:val="006330E0"/>
    <w:rsid w:val="006332A9"/>
    <w:rsid w:val="006334B5"/>
    <w:rsid w:val="006335A1"/>
    <w:rsid w:val="006335FE"/>
    <w:rsid w:val="006336E9"/>
    <w:rsid w:val="006337BA"/>
    <w:rsid w:val="006340E5"/>
    <w:rsid w:val="0063483A"/>
    <w:rsid w:val="00634AB4"/>
    <w:rsid w:val="00634C58"/>
    <w:rsid w:val="00634E0B"/>
    <w:rsid w:val="00634E2D"/>
    <w:rsid w:val="00634E85"/>
    <w:rsid w:val="00634F67"/>
    <w:rsid w:val="0063523E"/>
    <w:rsid w:val="0063545F"/>
    <w:rsid w:val="00635754"/>
    <w:rsid w:val="00635769"/>
    <w:rsid w:val="006358D4"/>
    <w:rsid w:val="00635C1A"/>
    <w:rsid w:val="0063618C"/>
    <w:rsid w:val="00636247"/>
    <w:rsid w:val="0063631C"/>
    <w:rsid w:val="006365C0"/>
    <w:rsid w:val="00636977"/>
    <w:rsid w:val="00636E24"/>
    <w:rsid w:val="00636E82"/>
    <w:rsid w:val="00636E86"/>
    <w:rsid w:val="00636FA5"/>
    <w:rsid w:val="00637043"/>
    <w:rsid w:val="00637111"/>
    <w:rsid w:val="00637418"/>
    <w:rsid w:val="00637570"/>
    <w:rsid w:val="0063782E"/>
    <w:rsid w:val="006379FA"/>
    <w:rsid w:val="00640184"/>
    <w:rsid w:val="0064039A"/>
    <w:rsid w:val="006404A5"/>
    <w:rsid w:val="00640706"/>
    <w:rsid w:val="00640849"/>
    <w:rsid w:val="006409AF"/>
    <w:rsid w:val="00640C5A"/>
    <w:rsid w:val="00640CF2"/>
    <w:rsid w:val="00640DAD"/>
    <w:rsid w:val="0064134A"/>
    <w:rsid w:val="006413E5"/>
    <w:rsid w:val="006416EA"/>
    <w:rsid w:val="00641815"/>
    <w:rsid w:val="00641920"/>
    <w:rsid w:val="0064199D"/>
    <w:rsid w:val="00641C25"/>
    <w:rsid w:val="0064218E"/>
    <w:rsid w:val="0064228C"/>
    <w:rsid w:val="00642491"/>
    <w:rsid w:val="006426C5"/>
    <w:rsid w:val="00642731"/>
    <w:rsid w:val="00642B46"/>
    <w:rsid w:val="00642B9A"/>
    <w:rsid w:val="00642C18"/>
    <w:rsid w:val="00642D1F"/>
    <w:rsid w:val="00642F22"/>
    <w:rsid w:val="0064319C"/>
    <w:rsid w:val="006433AF"/>
    <w:rsid w:val="00643437"/>
    <w:rsid w:val="00643488"/>
    <w:rsid w:val="0064393B"/>
    <w:rsid w:val="00643DFD"/>
    <w:rsid w:val="00643F1A"/>
    <w:rsid w:val="0064401F"/>
    <w:rsid w:val="006440C0"/>
    <w:rsid w:val="00644518"/>
    <w:rsid w:val="00644F0F"/>
    <w:rsid w:val="006455F1"/>
    <w:rsid w:val="0064562C"/>
    <w:rsid w:val="0064575E"/>
    <w:rsid w:val="00645B83"/>
    <w:rsid w:val="00645C21"/>
    <w:rsid w:val="00645F86"/>
    <w:rsid w:val="00645FD6"/>
    <w:rsid w:val="00645FE5"/>
    <w:rsid w:val="00646297"/>
    <w:rsid w:val="00646678"/>
    <w:rsid w:val="00646987"/>
    <w:rsid w:val="00646A98"/>
    <w:rsid w:val="00646D96"/>
    <w:rsid w:val="00646F01"/>
    <w:rsid w:val="00646F6F"/>
    <w:rsid w:val="006471D6"/>
    <w:rsid w:val="00647403"/>
    <w:rsid w:val="00647407"/>
    <w:rsid w:val="006474DF"/>
    <w:rsid w:val="0064753B"/>
    <w:rsid w:val="006476AB"/>
    <w:rsid w:val="00647727"/>
    <w:rsid w:val="006477A0"/>
    <w:rsid w:val="00647AC8"/>
    <w:rsid w:val="00647EB7"/>
    <w:rsid w:val="00647EC3"/>
    <w:rsid w:val="006506A9"/>
    <w:rsid w:val="006507CC"/>
    <w:rsid w:val="00650B32"/>
    <w:rsid w:val="00650E67"/>
    <w:rsid w:val="00651105"/>
    <w:rsid w:val="00651430"/>
    <w:rsid w:val="00651808"/>
    <w:rsid w:val="00651906"/>
    <w:rsid w:val="00651981"/>
    <w:rsid w:val="006519CC"/>
    <w:rsid w:val="00651E26"/>
    <w:rsid w:val="00651E8A"/>
    <w:rsid w:val="006520AF"/>
    <w:rsid w:val="006522B3"/>
    <w:rsid w:val="00652A0A"/>
    <w:rsid w:val="00652B7A"/>
    <w:rsid w:val="00652BF7"/>
    <w:rsid w:val="006533FC"/>
    <w:rsid w:val="006536B7"/>
    <w:rsid w:val="00653961"/>
    <w:rsid w:val="006539F2"/>
    <w:rsid w:val="00653A19"/>
    <w:rsid w:val="00653DE3"/>
    <w:rsid w:val="00653E34"/>
    <w:rsid w:val="0065409F"/>
    <w:rsid w:val="0065464B"/>
    <w:rsid w:val="00654863"/>
    <w:rsid w:val="00654A77"/>
    <w:rsid w:val="00654C3E"/>
    <w:rsid w:val="00654E93"/>
    <w:rsid w:val="00655465"/>
    <w:rsid w:val="006554FF"/>
    <w:rsid w:val="00655808"/>
    <w:rsid w:val="0065588D"/>
    <w:rsid w:val="00655A0C"/>
    <w:rsid w:val="00655F8B"/>
    <w:rsid w:val="00656225"/>
    <w:rsid w:val="00656390"/>
    <w:rsid w:val="00656505"/>
    <w:rsid w:val="006569A9"/>
    <w:rsid w:val="006569B5"/>
    <w:rsid w:val="00656BF9"/>
    <w:rsid w:val="0065701C"/>
    <w:rsid w:val="00657263"/>
    <w:rsid w:val="0065754C"/>
    <w:rsid w:val="00657A5E"/>
    <w:rsid w:val="00657A9B"/>
    <w:rsid w:val="00657B5D"/>
    <w:rsid w:val="00657C8B"/>
    <w:rsid w:val="00660412"/>
    <w:rsid w:val="006607A8"/>
    <w:rsid w:val="0066108F"/>
    <w:rsid w:val="0066118B"/>
    <w:rsid w:val="00661655"/>
    <w:rsid w:val="00661702"/>
    <w:rsid w:val="00661A69"/>
    <w:rsid w:val="00661B6E"/>
    <w:rsid w:val="00661F61"/>
    <w:rsid w:val="00661F9C"/>
    <w:rsid w:val="00662997"/>
    <w:rsid w:val="00662B3A"/>
    <w:rsid w:val="00662BF9"/>
    <w:rsid w:val="00662FA3"/>
    <w:rsid w:val="00663027"/>
    <w:rsid w:val="0066333D"/>
    <w:rsid w:val="00663763"/>
    <w:rsid w:val="006638B5"/>
    <w:rsid w:val="0066392B"/>
    <w:rsid w:val="00663ADA"/>
    <w:rsid w:val="00663B79"/>
    <w:rsid w:val="00663C89"/>
    <w:rsid w:val="00664031"/>
    <w:rsid w:val="00664046"/>
    <w:rsid w:val="0066406B"/>
    <w:rsid w:val="006642B1"/>
    <w:rsid w:val="0066442B"/>
    <w:rsid w:val="006644FB"/>
    <w:rsid w:val="006649DF"/>
    <w:rsid w:val="00664C07"/>
    <w:rsid w:val="00664E1D"/>
    <w:rsid w:val="00664FF0"/>
    <w:rsid w:val="006652F1"/>
    <w:rsid w:val="00665486"/>
    <w:rsid w:val="00665558"/>
    <w:rsid w:val="0066584A"/>
    <w:rsid w:val="00665AC2"/>
    <w:rsid w:val="00665D40"/>
    <w:rsid w:val="00666673"/>
    <w:rsid w:val="00666BEE"/>
    <w:rsid w:val="00666C8C"/>
    <w:rsid w:val="00666EEA"/>
    <w:rsid w:val="00666FEB"/>
    <w:rsid w:val="0066739A"/>
    <w:rsid w:val="006673B2"/>
    <w:rsid w:val="006675EF"/>
    <w:rsid w:val="006676D4"/>
    <w:rsid w:val="00667743"/>
    <w:rsid w:val="006677EE"/>
    <w:rsid w:val="006677F6"/>
    <w:rsid w:val="00667818"/>
    <w:rsid w:val="00667C9E"/>
    <w:rsid w:val="00667E4C"/>
    <w:rsid w:val="00667E7E"/>
    <w:rsid w:val="00670453"/>
    <w:rsid w:val="006704AF"/>
    <w:rsid w:val="00670503"/>
    <w:rsid w:val="006707EE"/>
    <w:rsid w:val="00670976"/>
    <w:rsid w:val="00670A5E"/>
    <w:rsid w:val="00670D40"/>
    <w:rsid w:val="00670E76"/>
    <w:rsid w:val="0067141D"/>
    <w:rsid w:val="0067181E"/>
    <w:rsid w:val="00671836"/>
    <w:rsid w:val="006719BE"/>
    <w:rsid w:val="00671A32"/>
    <w:rsid w:val="00671BBA"/>
    <w:rsid w:val="00671C3F"/>
    <w:rsid w:val="00671CBF"/>
    <w:rsid w:val="00671EC7"/>
    <w:rsid w:val="00671FB1"/>
    <w:rsid w:val="00672144"/>
    <w:rsid w:val="00672550"/>
    <w:rsid w:val="0067271B"/>
    <w:rsid w:val="00672910"/>
    <w:rsid w:val="00672B66"/>
    <w:rsid w:val="00672E10"/>
    <w:rsid w:val="00672E98"/>
    <w:rsid w:val="00673346"/>
    <w:rsid w:val="006734DD"/>
    <w:rsid w:val="00673538"/>
    <w:rsid w:val="0067356E"/>
    <w:rsid w:val="0067357B"/>
    <w:rsid w:val="0067363F"/>
    <w:rsid w:val="00673761"/>
    <w:rsid w:val="0067376C"/>
    <w:rsid w:val="00674025"/>
    <w:rsid w:val="006740C7"/>
    <w:rsid w:val="00674102"/>
    <w:rsid w:val="006742D0"/>
    <w:rsid w:val="00674401"/>
    <w:rsid w:val="00674414"/>
    <w:rsid w:val="00674478"/>
    <w:rsid w:val="00674640"/>
    <w:rsid w:val="0067484E"/>
    <w:rsid w:val="006749B8"/>
    <w:rsid w:val="00674C9E"/>
    <w:rsid w:val="00674F0C"/>
    <w:rsid w:val="006750CE"/>
    <w:rsid w:val="006750D5"/>
    <w:rsid w:val="006751EE"/>
    <w:rsid w:val="00675281"/>
    <w:rsid w:val="00675493"/>
    <w:rsid w:val="006754C6"/>
    <w:rsid w:val="006756FB"/>
    <w:rsid w:val="0067578B"/>
    <w:rsid w:val="00675C34"/>
    <w:rsid w:val="00675D9A"/>
    <w:rsid w:val="0067606D"/>
    <w:rsid w:val="00676079"/>
    <w:rsid w:val="0067611B"/>
    <w:rsid w:val="006761B4"/>
    <w:rsid w:val="006763E8"/>
    <w:rsid w:val="00676401"/>
    <w:rsid w:val="00676415"/>
    <w:rsid w:val="006769D5"/>
    <w:rsid w:val="00676DAE"/>
    <w:rsid w:val="00676DD1"/>
    <w:rsid w:val="00676E77"/>
    <w:rsid w:val="00677449"/>
    <w:rsid w:val="00677716"/>
    <w:rsid w:val="006777BD"/>
    <w:rsid w:val="00677A65"/>
    <w:rsid w:val="00677B30"/>
    <w:rsid w:val="00677BC2"/>
    <w:rsid w:val="00680225"/>
    <w:rsid w:val="0068072E"/>
    <w:rsid w:val="00680764"/>
    <w:rsid w:val="00680BFD"/>
    <w:rsid w:val="00680D61"/>
    <w:rsid w:val="00681492"/>
    <w:rsid w:val="006814B8"/>
    <w:rsid w:val="006814FF"/>
    <w:rsid w:val="0068172F"/>
    <w:rsid w:val="006818A3"/>
    <w:rsid w:val="006819D0"/>
    <w:rsid w:val="00681C28"/>
    <w:rsid w:val="00681F59"/>
    <w:rsid w:val="006821BF"/>
    <w:rsid w:val="006821EC"/>
    <w:rsid w:val="006827EB"/>
    <w:rsid w:val="00682943"/>
    <w:rsid w:val="0068294B"/>
    <w:rsid w:val="00682C39"/>
    <w:rsid w:val="0068304E"/>
    <w:rsid w:val="00683194"/>
    <w:rsid w:val="0068340E"/>
    <w:rsid w:val="00683567"/>
    <w:rsid w:val="0068358F"/>
    <w:rsid w:val="006836FB"/>
    <w:rsid w:val="00683781"/>
    <w:rsid w:val="00683BCE"/>
    <w:rsid w:val="006843E0"/>
    <w:rsid w:val="006845DB"/>
    <w:rsid w:val="00684877"/>
    <w:rsid w:val="00684C92"/>
    <w:rsid w:val="00684D88"/>
    <w:rsid w:val="00684DE4"/>
    <w:rsid w:val="00684DE5"/>
    <w:rsid w:val="00684EDF"/>
    <w:rsid w:val="006851CA"/>
    <w:rsid w:val="0068522D"/>
    <w:rsid w:val="00685558"/>
    <w:rsid w:val="0068595E"/>
    <w:rsid w:val="00685B38"/>
    <w:rsid w:val="00685B76"/>
    <w:rsid w:val="00685D2A"/>
    <w:rsid w:val="00685E32"/>
    <w:rsid w:val="00685E34"/>
    <w:rsid w:val="00685E86"/>
    <w:rsid w:val="00686163"/>
    <w:rsid w:val="006863AF"/>
    <w:rsid w:val="00686522"/>
    <w:rsid w:val="00686763"/>
    <w:rsid w:val="0068680D"/>
    <w:rsid w:val="00686A79"/>
    <w:rsid w:val="00686BF8"/>
    <w:rsid w:val="00686EDF"/>
    <w:rsid w:val="00686EE4"/>
    <w:rsid w:val="00686EE9"/>
    <w:rsid w:val="00687230"/>
    <w:rsid w:val="00687232"/>
    <w:rsid w:val="006873D2"/>
    <w:rsid w:val="00687673"/>
    <w:rsid w:val="00687720"/>
    <w:rsid w:val="00687822"/>
    <w:rsid w:val="00687823"/>
    <w:rsid w:val="006879F3"/>
    <w:rsid w:val="00687A3E"/>
    <w:rsid w:val="00687B5C"/>
    <w:rsid w:val="00687C0C"/>
    <w:rsid w:val="00687E6A"/>
    <w:rsid w:val="00687EF5"/>
    <w:rsid w:val="00687F8A"/>
    <w:rsid w:val="00690118"/>
    <w:rsid w:val="00690436"/>
    <w:rsid w:val="00690725"/>
    <w:rsid w:val="006907D2"/>
    <w:rsid w:val="0069111B"/>
    <w:rsid w:val="006912F1"/>
    <w:rsid w:val="00691928"/>
    <w:rsid w:val="00691AB7"/>
    <w:rsid w:val="00691C98"/>
    <w:rsid w:val="00691D58"/>
    <w:rsid w:val="00691F7A"/>
    <w:rsid w:val="006920B4"/>
    <w:rsid w:val="006920CA"/>
    <w:rsid w:val="00692202"/>
    <w:rsid w:val="0069230D"/>
    <w:rsid w:val="0069256B"/>
    <w:rsid w:val="00692672"/>
    <w:rsid w:val="00692D31"/>
    <w:rsid w:val="00692F6F"/>
    <w:rsid w:val="006930AA"/>
    <w:rsid w:val="0069334B"/>
    <w:rsid w:val="00693652"/>
    <w:rsid w:val="006936A3"/>
    <w:rsid w:val="0069379B"/>
    <w:rsid w:val="00693942"/>
    <w:rsid w:val="0069394A"/>
    <w:rsid w:val="00693AA4"/>
    <w:rsid w:val="00693B18"/>
    <w:rsid w:val="00693C40"/>
    <w:rsid w:val="006941D9"/>
    <w:rsid w:val="006941DB"/>
    <w:rsid w:val="00694A39"/>
    <w:rsid w:val="00694C0F"/>
    <w:rsid w:val="00694C99"/>
    <w:rsid w:val="00694D32"/>
    <w:rsid w:val="006955A0"/>
    <w:rsid w:val="0069581C"/>
    <w:rsid w:val="006958EF"/>
    <w:rsid w:val="00695C64"/>
    <w:rsid w:val="00695FAA"/>
    <w:rsid w:val="006961B3"/>
    <w:rsid w:val="006963E1"/>
    <w:rsid w:val="006964A2"/>
    <w:rsid w:val="00696759"/>
    <w:rsid w:val="00696B1F"/>
    <w:rsid w:val="00696DC1"/>
    <w:rsid w:val="0069715B"/>
    <w:rsid w:val="00697520"/>
    <w:rsid w:val="0069762C"/>
    <w:rsid w:val="006976D4"/>
    <w:rsid w:val="00697765"/>
    <w:rsid w:val="006978CE"/>
    <w:rsid w:val="0069793E"/>
    <w:rsid w:val="00697942"/>
    <w:rsid w:val="006979F5"/>
    <w:rsid w:val="00697B32"/>
    <w:rsid w:val="00697BCB"/>
    <w:rsid w:val="00697E02"/>
    <w:rsid w:val="00697FCD"/>
    <w:rsid w:val="006A01E5"/>
    <w:rsid w:val="006A0365"/>
    <w:rsid w:val="006A04E2"/>
    <w:rsid w:val="006A088F"/>
    <w:rsid w:val="006A08CF"/>
    <w:rsid w:val="006A091A"/>
    <w:rsid w:val="006A0A11"/>
    <w:rsid w:val="006A0A18"/>
    <w:rsid w:val="006A0AA1"/>
    <w:rsid w:val="006A105D"/>
    <w:rsid w:val="006A10E4"/>
    <w:rsid w:val="006A121C"/>
    <w:rsid w:val="006A13CC"/>
    <w:rsid w:val="006A16BA"/>
    <w:rsid w:val="006A1957"/>
    <w:rsid w:val="006A19FB"/>
    <w:rsid w:val="006A1B68"/>
    <w:rsid w:val="006A1BC1"/>
    <w:rsid w:val="006A1D9E"/>
    <w:rsid w:val="006A28F7"/>
    <w:rsid w:val="006A2984"/>
    <w:rsid w:val="006A29C6"/>
    <w:rsid w:val="006A32A8"/>
    <w:rsid w:val="006A359B"/>
    <w:rsid w:val="006A3A89"/>
    <w:rsid w:val="006A3A9D"/>
    <w:rsid w:val="006A3D98"/>
    <w:rsid w:val="006A3E36"/>
    <w:rsid w:val="006A40D3"/>
    <w:rsid w:val="006A42B6"/>
    <w:rsid w:val="006A42C0"/>
    <w:rsid w:val="006A4C62"/>
    <w:rsid w:val="006A4D2D"/>
    <w:rsid w:val="006A4D5F"/>
    <w:rsid w:val="006A4FA4"/>
    <w:rsid w:val="006A4FB0"/>
    <w:rsid w:val="006A500D"/>
    <w:rsid w:val="006A52E1"/>
    <w:rsid w:val="006A5342"/>
    <w:rsid w:val="006A5558"/>
    <w:rsid w:val="006A56BE"/>
    <w:rsid w:val="006A584E"/>
    <w:rsid w:val="006A597F"/>
    <w:rsid w:val="006A5A7A"/>
    <w:rsid w:val="006A5B42"/>
    <w:rsid w:val="006A5E31"/>
    <w:rsid w:val="006A6704"/>
    <w:rsid w:val="006A67DB"/>
    <w:rsid w:val="006A6900"/>
    <w:rsid w:val="006A6DD9"/>
    <w:rsid w:val="006A708A"/>
    <w:rsid w:val="006A70D6"/>
    <w:rsid w:val="006A71F0"/>
    <w:rsid w:val="006A72CA"/>
    <w:rsid w:val="006A72D3"/>
    <w:rsid w:val="006A7681"/>
    <w:rsid w:val="006A77DE"/>
    <w:rsid w:val="006A781F"/>
    <w:rsid w:val="006A7844"/>
    <w:rsid w:val="006A7B45"/>
    <w:rsid w:val="006A7BC7"/>
    <w:rsid w:val="006A7CFA"/>
    <w:rsid w:val="006A7DB5"/>
    <w:rsid w:val="006A7F20"/>
    <w:rsid w:val="006A7F8D"/>
    <w:rsid w:val="006B0141"/>
    <w:rsid w:val="006B0237"/>
    <w:rsid w:val="006B0339"/>
    <w:rsid w:val="006B0402"/>
    <w:rsid w:val="006B0868"/>
    <w:rsid w:val="006B0B64"/>
    <w:rsid w:val="006B0CEB"/>
    <w:rsid w:val="006B0EDB"/>
    <w:rsid w:val="006B0F36"/>
    <w:rsid w:val="006B1279"/>
    <w:rsid w:val="006B1326"/>
    <w:rsid w:val="006B13D7"/>
    <w:rsid w:val="006B1D1A"/>
    <w:rsid w:val="006B1DCB"/>
    <w:rsid w:val="006B201F"/>
    <w:rsid w:val="006B207B"/>
    <w:rsid w:val="006B21A3"/>
    <w:rsid w:val="006B2390"/>
    <w:rsid w:val="006B249C"/>
    <w:rsid w:val="006B2CE1"/>
    <w:rsid w:val="006B2E3F"/>
    <w:rsid w:val="006B31C2"/>
    <w:rsid w:val="006B335C"/>
    <w:rsid w:val="006B335D"/>
    <w:rsid w:val="006B33A3"/>
    <w:rsid w:val="006B3567"/>
    <w:rsid w:val="006B3CEE"/>
    <w:rsid w:val="006B3F10"/>
    <w:rsid w:val="006B436B"/>
    <w:rsid w:val="006B4780"/>
    <w:rsid w:val="006B4B0A"/>
    <w:rsid w:val="006B4B79"/>
    <w:rsid w:val="006B4BD1"/>
    <w:rsid w:val="006B4C3C"/>
    <w:rsid w:val="006B4FB5"/>
    <w:rsid w:val="006B52CF"/>
    <w:rsid w:val="006B56B7"/>
    <w:rsid w:val="006B56FE"/>
    <w:rsid w:val="006B5C67"/>
    <w:rsid w:val="006B60E4"/>
    <w:rsid w:val="006B61B4"/>
    <w:rsid w:val="006B6255"/>
    <w:rsid w:val="006B626F"/>
    <w:rsid w:val="006B62A3"/>
    <w:rsid w:val="006B67C9"/>
    <w:rsid w:val="006B6FD1"/>
    <w:rsid w:val="006B7076"/>
    <w:rsid w:val="006B7307"/>
    <w:rsid w:val="006B73AA"/>
    <w:rsid w:val="006B7676"/>
    <w:rsid w:val="006B770F"/>
    <w:rsid w:val="006B799F"/>
    <w:rsid w:val="006B7A4A"/>
    <w:rsid w:val="006B7E41"/>
    <w:rsid w:val="006C017C"/>
    <w:rsid w:val="006C04DD"/>
    <w:rsid w:val="006C063E"/>
    <w:rsid w:val="006C06FB"/>
    <w:rsid w:val="006C08C7"/>
    <w:rsid w:val="006C0909"/>
    <w:rsid w:val="006C0D41"/>
    <w:rsid w:val="006C0F39"/>
    <w:rsid w:val="006C100D"/>
    <w:rsid w:val="006C1020"/>
    <w:rsid w:val="006C10A8"/>
    <w:rsid w:val="006C1549"/>
    <w:rsid w:val="006C1757"/>
    <w:rsid w:val="006C19FE"/>
    <w:rsid w:val="006C1BBB"/>
    <w:rsid w:val="006C1BE8"/>
    <w:rsid w:val="006C1EDF"/>
    <w:rsid w:val="006C2008"/>
    <w:rsid w:val="006C2261"/>
    <w:rsid w:val="006C22B2"/>
    <w:rsid w:val="006C22BC"/>
    <w:rsid w:val="006C254C"/>
    <w:rsid w:val="006C2597"/>
    <w:rsid w:val="006C2636"/>
    <w:rsid w:val="006C26E9"/>
    <w:rsid w:val="006C27FD"/>
    <w:rsid w:val="006C2BA3"/>
    <w:rsid w:val="006C2C15"/>
    <w:rsid w:val="006C2E78"/>
    <w:rsid w:val="006C2ED6"/>
    <w:rsid w:val="006C2F67"/>
    <w:rsid w:val="006C2FF8"/>
    <w:rsid w:val="006C3093"/>
    <w:rsid w:val="006C3248"/>
    <w:rsid w:val="006C329D"/>
    <w:rsid w:val="006C3947"/>
    <w:rsid w:val="006C3983"/>
    <w:rsid w:val="006C3C95"/>
    <w:rsid w:val="006C3E39"/>
    <w:rsid w:val="006C3F0C"/>
    <w:rsid w:val="006C3F71"/>
    <w:rsid w:val="006C4332"/>
    <w:rsid w:val="006C434D"/>
    <w:rsid w:val="006C43B4"/>
    <w:rsid w:val="006C46DC"/>
    <w:rsid w:val="006C46F9"/>
    <w:rsid w:val="006C47AB"/>
    <w:rsid w:val="006C491E"/>
    <w:rsid w:val="006C49FD"/>
    <w:rsid w:val="006C4BEF"/>
    <w:rsid w:val="006C4DB0"/>
    <w:rsid w:val="006C4E17"/>
    <w:rsid w:val="006C4E4F"/>
    <w:rsid w:val="006C531A"/>
    <w:rsid w:val="006C581F"/>
    <w:rsid w:val="006C5CB0"/>
    <w:rsid w:val="006C5D17"/>
    <w:rsid w:val="006C5F58"/>
    <w:rsid w:val="006C6421"/>
    <w:rsid w:val="006C646E"/>
    <w:rsid w:val="006C647C"/>
    <w:rsid w:val="006C66BF"/>
    <w:rsid w:val="006C6E8D"/>
    <w:rsid w:val="006C723B"/>
    <w:rsid w:val="006C7444"/>
    <w:rsid w:val="006C7B90"/>
    <w:rsid w:val="006C7E5A"/>
    <w:rsid w:val="006D0053"/>
    <w:rsid w:val="006D0240"/>
    <w:rsid w:val="006D074B"/>
    <w:rsid w:val="006D09EA"/>
    <w:rsid w:val="006D1197"/>
    <w:rsid w:val="006D11FB"/>
    <w:rsid w:val="006D14AA"/>
    <w:rsid w:val="006D1BB5"/>
    <w:rsid w:val="006D1BFF"/>
    <w:rsid w:val="006D1DA0"/>
    <w:rsid w:val="006D1F70"/>
    <w:rsid w:val="006D1F97"/>
    <w:rsid w:val="006D258C"/>
    <w:rsid w:val="006D25FE"/>
    <w:rsid w:val="006D2A1E"/>
    <w:rsid w:val="006D2A43"/>
    <w:rsid w:val="006D2B04"/>
    <w:rsid w:val="006D2D51"/>
    <w:rsid w:val="006D2E95"/>
    <w:rsid w:val="006D318F"/>
    <w:rsid w:val="006D33CA"/>
    <w:rsid w:val="006D344B"/>
    <w:rsid w:val="006D3689"/>
    <w:rsid w:val="006D38AB"/>
    <w:rsid w:val="006D3A13"/>
    <w:rsid w:val="006D3A95"/>
    <w:rsid w:val="006D3F69"/>
    <w:rsid w:val="006D42CE"/>
    <w:rsid w:val="006D434F"/>
    <w:rsid w:val="006D43FD"/>
    <w:rsid w:val="006D4554"/>
    <w:rsid w:val="006D4F4C"/>
    <w:rsid w:val="006D4FAA"/>
    <w:rsid w:val="006D5076"/>
    <w:rsid w:val="006D5412"/>
    <w:rsid w:val="006D560A"/>
    <w:rsid w:val="006D568F"/>
    <w:rsid w:val="006D5716"/>
    <w:rsid w:val="006D58F2"/>
    <w:rsid w:val="006D5AC8"/>
    <w:rsid w:val="006D5B6F"/>
    <w:rsid w:val="006D5BA8"/>
    <w:rsid w:val="006D5CF7"/>
    <w:rsid w:val="006D6093"/>
    <w:rsid w:val="006D62A9"/>
    <w:rsid w:val="006D664E"/>
    <w:rsid w:val="006D67A8"/>
    <w:rsid w:val="006D6B12"/>
    <w:rsid w:val="006D6C9D"/>
    <w:rsid w:val="006D6D0F"/>
    <w:rsid w:val="006D6D20"/>
    <w:rsid w:val="006D6F48"/>
    <w:rsid w:val="006D72D3"/>
    <w:rsid w:val="006D72E9"/>
    <w:rsid w:val="006D731E"/>
    <w:rsid w:val="006D73E3"/>
    <w:rsid w:val="006D785A"/>
    <w:rsid w:val="006D79CF"/>
    <w:rsid w:val="006E0058"/>
    <w:rsid w:val="006E04C9"/>
    <w:rsid w:val="006E086E"/>
    <w:rsid w:val="006E0A81"/>
    <w:rsid w:val="006E0CCA"/>
    <w:rsid w:val="006E0D6A"/>
    <w:rsid w:val="006E0E85"/>
    <w:rsid w:val="006E196A"/>
    <w:rsid w:val="006E1C49"/>
    <w:rsid w:val="006E1C9C"/>
    <w:rsid w:val="006E1D87"/>
    <w:rsid w:val="006E2074"/>
    <w:rsid w:val="006E2230"/>
    <w:rsid w:val="006E25CC"/>
    <w:rsid w:val="006E29D0"/>
    <w:rsid w:val="006E2D46"/>
    <w:rsid w:val="006E2F0F"/>
    <w:rsid w:val="006E3210"/>
    <w:rsid w:val="006E3A94"/>
    <w:rsid w:val="006E3BFE"/>
    <w:rsid w:val="006E3D20"/>
    <w:rsid w:val="006E4016"/>
    <w:rsid w:val="006E40EB"/>
    <w:rsid w:val="006E42F5"/>
    <w:rsid w:val="006E499A"/>
    <w:rsid w:val="006E4ABC"/>
    <w:rsid w:val="006E4EA1"/>
    <w:rsid w:val="006E5171"/>
    <w:rsid w:val="006E52A1"/>
    <w:rsid w:val="006E5575"/>
    <w:rsid w:val="006E5AFE"/>
    <w:rsid w:val="006E5BEE"/>
    <w:rsid w:val="006E5D47"/>
    <w:rsid w:val="006E5FE5"/>
    <w:rsid w:val="006E60A1"/>
    <w:rsid w:val="006E61A2"/>
    <w:rsid w:val="006E6237"/>
    <w:rsid w:val="006E662B"/>
    <w:rsid w:val="006E676A"/>
    <w:rsid w:val="006E68FC"/>
    <w:rsid w:val="006E69AA"/>
    <w:rsid w:val="006E6C80"/>
    <w:rsid w:val="006E6CA6"/>
    <w:rsid w:val="006E6DB9"/>
    <w:rsid w:val="006E6DED"/>
    <w:rsid w:val="006E6FC5"/>
    <w:rsid w:val="006E7058"/>
    <w:rsid w:val="006E714C"/>
    <w:rsid w:val="006E71BD"/>
    <w:rsid w:val="006E71E3"/>
    <w:rsid w:val="006E725D"/>
    <w:rsid w:val="006E72E7"/>
    <w:rsid w:val="006E7383"/>
    <w:rsid w:val="006E7549"/>
    <w:rsid w:val="006E767C"/>
    <w:rsid w:val="006E7789"/>
    <w:rsid w:val="006E793A"/>
    <w:rsid w:val="006E7951"/>
    <w:rsid w:val="006E7A13"/>
    <w:rsid w:val="006E7A7F"/>
    <w:rsid w:val="006E7D8F"/>
    <w:rsid w:val="006F0400"/>
    <w:rsid w:val="006F0517"/>
    <w:rsid w:val="006F06BE"/>
    <w:rsid w:val="006F073A"/>
    <w:rsid w:val="006F075F"/>
    <w:rsid w:val="006F089B"/>
    <w:rsid w:val="006F0CCF"/>
    <w:rsid w:val="006F0D6D"/>
    <w:rsid w:val="006F0D8A"/>
    <w:rsid w:val="006F0DF1"/>
    <w:rsid w:val="006F10AF"/>
    <w:rsid w:val="006F12DB"/>
    <w:rsid w:val="006F1308"/>
    <w:rsid w:val="006F1380"/>
    <w:rsid w:val="006F14C8"/>
    <w:rsid w:val="006F15C5"/>
    <w:rsid w:val="006F181D"/>
    <w:rsid w:val="006F182F"/>
    <w:rsid w:val="006F1F13"/>
    <w:rsid w:val="006F21FC"/>
    <w:rsid w:val="006F221E"/>
    <w:rsid w:val="006F2271"/>
    <w:rsid w:val="006F23B3"/>
    <w:rsid w:val="006F243F"/>
    <w:rsid w:val="006F28D3"/>
    <w:rsid w:val="006F2B49"/>
    <w:rsid w:val="006F2C2C"/>
    <w:rsid w:val="006F2C67"/>
    <w:rsid w:val="006F301F"/>
    <w:rsid w:val="006F3846"/>
    <w:rsid w:val="006F3A88"/>
    <w:rsid w:val="006F3B9E"/>
    <w:rsid w:val="006F3DEC"/>
    <w:rsid w:val="006F3FA7"/>
    <w:rsid w:val="006F40F0"/>
    <w:rsid w:val="006F410D"/>
    <w:rsid w:val="006F41CE"/>
    <w:rsid w:val="006F4676"/>
    <w:rsid w:val="006F47C1"/>
    <w:rsid w:val="006F4815"/>
    <w:rsid w:val="006F4ACD"/>
    <w:rsid w:val="006F4C2F"/>
    <w:rsid w:val="006F4E0B"/>
    <w:rsid w:val="006F5245"/>
    <w:rsid w:val="006F533E"/>
    <w:rsid w:val="006F535A"/>
    <w:rsid w:val="006F5A03"/>
    <w:rsid w:val="006F5B63"/>
    <w:rsid w:val="006F5BCE"/>
    <w:rsid w:val="006F5EE7"/>
    <w:rsid w:val="006F6009"/>
    <w:rsid w:val="006F60A0"/>
    <w:rsid w:val="006F64BB"/>
    <w:rsid w:val="006F654E"/>
    <w:rsid w:val="006F675D"/>
    <w:rsid w:val="006F685B"/>
    <w:rsid w:val="006F6B9A"/>
    <w:rsid w:val="006F6E21"/>
    <w:rsid w:val="006F6E60"/>
    <w:rsid w:val="006F7420"/>
    <w:rsid w:val="006F75F7"/>
    <w:rsid w:val="006F765E"/>
    <w:rsid w:val="006F7B0C"/>
    <w:rsid w:val="006F7B4A"/>
    <w:rsid w:val="006F7C3C"/>
    <w:rsid w:val="006F7D13"/>
    <w:rsid w:val="006F7F3D"/>
    <w:rsid w:val="007006ED"/>
    <w:rsid w:val="0070075B"/>
    <w:rsid w:val="0070085E"/>
    <w:rsid w:val="00700AD4"/>
    <w:rsid w:val="00700B5B"/>
    <w:rsid w:val="00700B8F"/>
    <w:rsid w:val="0070114C"/>
    <w:rsid w:val="007011F0"/>
    <w:rsid w:val="00701558"/>
    <w:rsid w:val="007016EB"/>
    <w:rsid w:val="00701A24"/>
    <w:rsid w:val="00701BB9"/>
    <w:rsid w:val="00701C48"/>
    <w:rsid w:val="00701D98"/>
    <w:rsid w:val="00701FCB"/>
    <w:rsid w:val="0070202D"/>
    <w:rsid w:val="00702098"/>
    <w:rsid w:val="0070248E"/>
    <w:rsid w:val="007024A3"/>
    <w:rsid w:val="007024DA"/>
    <w:rsid w:val="007025C2"/>
    <w:rsid w:val="007025E1"/>
    <w:rsid w:val="007027C3"/>
    <w:rsid w:val="00702A82"/>
    <w:rsid w:val="00702EDA"/>
    <w:rsid w:val="00703255"/>
    <w:rsid w:val="0070333D"/>
    <w:rsid w:val="007034B9"/>
    <w:rsid w:val="007034E4"/>
    <w:rsid w:val="007034F9"/>
    <w:rsid w:val="00703576"/>
    <w:rsid w:val="007035D9"/>
    <w:rsid w:val="00703815"/>
    <w:rsid w:val="00703A65"/>
    <w:rsid w:val="00703E0E"/>
    <w:rsid w:val="00703F5F"/>
    <w:rsid w:val="0070426D"/>
    <w:rsid w:val="00704503"/>
    <w:rsid w:val="007045E1"/>
    <w:rsid w:val="007049B9"/>
    <w:rsid w:val="00704B85"/>
    <w:rsid w:val="00704BF9"/>
    <w:rsid w:val="00704CB8"/>
    <w:rsid w:val="00704D96"/>
    <w:rsid w:val="00704DC0"/>
    <w:rsid w:val="007052CE"/>
    <w:rsid w:val="007056B5"/>
    <w:rsid w:val="007056F8"/>
    <w:rsid w:val="007059BB"/>
    <w:rsid w:val="00705A45"/>
    <w:rsid w:val="00705C41"/>
    <w:rsid w:val="00705C53"/>
    <w:rsid w:val="00705E19"/>
    <w:rsid w:val="00706101"/>
    <w:rsid w:val="00706240"/>
    <w:rsid w:val="007065CB"/>
    <w:rsid w:val="007065E5"/>
    <w:rsid w:val="0070679C"/>
    <w:rsid w:val="0070698C"/>
    <w:rsid w:val="00706AA7"/>
    <w:rsid w:val="00706AE3"/>
    <w:rsid w:val="00706E61"/>
    <w:rsid w:val="00706F62"/>
    <w:rsid w:val="00706F95"/>
    <w:rsid w:val="0070702E"/>
    <w:rsid w:val="00707060"/>
    <w:rsid w:val="00707376"/>
    <w:rsid w:val="00707886"/>
    <w:rsid w:val="007078F0"/>
    <w:rsid w:val="00707B34"/>
    <w:rsid w:val="00707B4D"/>
    <w:rsid w:val="00707E7C"/>
    <w:rsid w:val="00707F9E"/>
    <w:rsid w:val="00707FFE"/>
    <w:rsid w:val="007101F6"/>
    <w:rsid w:val="0071027D"/>
    <w:rsid w:val="0071058B"/>
    <w:rsid w:val="00710A7C"/>
    <w:rsid w:val="00710CFC"/>
    <w:rsid w:val="00710DE6"/>
    <w:rsid w:val="00710EBB"/>
    <w:rsid w:val="00710EC3"/>
    <w:rsid w:val="00711272"/>
    <w:rsid w:val="0071169D"/>
    <w:rsid w:val="00711987"/>
    <w:rsid w:val="00711B6B"/>
    <w:rsid w:val="00711B9D"/>
    <w:rsid w:val="00711BCE"/>
    <w:rsid w:val="0071227E"/>
    <w:rsid w:val="0071228F"/>
    <w:rsid w:val="007123D0"/>
    <w:rsid w:val="00712590"/>
    <w:rsid w:val="007125E0"/>
    <w:rsid w:val="00712A21"/>
    <w:rsid w:val="00712A76"/>
    <w:rsid w:val="00712AF4"/>
    <w:rsid w:val="00712F28"/>
    <w:rsid w:val="007132A7"/>
    <w:rsid w:val="007133B5"/>
    <w:rsid w:val="00713853"/>
    <w:rsid w:val="007138DF"/>
    <w:rsid w:val="0071391F"/>
    <w:rsid w:val="00713AC6"/>
    <w:rsid w:val="0071401B"/>
    <w:rsid w:val="00714031"/>
    <w:rsid w:val="0071404A"/>
    <w:rsid w:val="007141E8"/>
    <w:rsid w:val="007144BC"/>
    <w:rsid w:val="00714510"/>
    <w:rsid w:val="0071482E"/>
    <w:rsid w:val="0071494D"/>
    <w:rsid w:val="00714CB7"/>
    <w:rsid w:val="00714E47"/>
    <w:rsid w:val="0071504D"/>
    <w:rsid w:val="007152A3"/>
    <w:rsid w:val="0071544A"/>
    <w:rsid w:val="007155D9"/>
    <w:rsid w:val="00715702"/>
    <w:rsid w:val="00715748"/>
    <w:rsid w:val="007159B9"/>
    <w:rsid w:val="00715FF9"/>
    <w:rsid w:val="00716247"/>
    <w:rsid w:val="007162BB"/>
    <w:rsid w:val="007164BB"/>
    <w:rsid w:val="007165C9"/>
    <w:rsid w:val="00716979"/>
    <w:rsid w:val="00716C52"/>
    <w:rsid w:val="00717108"/>
    <w:rsid w:val="007173D7"/>
    <w:rsid w:val="007176DB"/>
    <w:rsid w:val="007178F3"/>
    <w:rsid w:val="0072016D"/>
    <w:rsid w:val="007207CF"/>
    <w:rsid w:val="00720982"/>
    <w:rsid w:val="007209CC"/>
    <w:rsid w:val="007209D9"/>
    <w:rsid w:val="00720ADC"/>
    <w:rsid w:val="00721024"/>
    <w:rsid w:val="00721366"/>
    <w:rsid w:val="00721917"/>
    <w:rsid w:val="00721B83"/>
    <w:rsid w:val="00721D93"/>
    <w:rsid w:val="00721F71"/>
    <w:rsid w:val="00722194"/>
    <w:rsid w:val="007222A5"/>
    <w:rsid w:val="00722653"/>
    <w:rsid w:val="007226BA"/>
    <w:rsid w:val="00722A8D"/>
    <w:rsid w:val="00722BA6"/>
    <w:rsid w:val="00722F56"/>
    <w:rsid w:val="00722F84"/>
    <w:rsid w:val="00722FE7"/>
    <w:rsid w:val="007235DA"/>
    <w:rsid w:val="007236C6"/>
    <w:rsid w:val="007237ED"/>
    <w:rsid w:val="00723885"/>
    <w:rsid w:val="007238F1"/>
    <w:rsid w:val="00723ADA"/>
    <w:rsid w:val="00723FE5"/>
    <w:rsid w:val="00724011"/>
    <w:rsid w:val="00724254"/>
    <w:rsid w:val="00724409"/>
    <w:rsid w:val="00724CA5"/>
    <w:rsid w:val="007257E1"/>
    <w:rsid w:val="00725846"/>
    <w:rsid w:val="007258EC"/>
    <w:rsid w:val="00725AED"/>
    <w:rsid w:val="00725DC4"/>
    <w:rsid w:val="00725F42"/>
    <w:rsid w:val="007261A3"/>
    <w:rsid w:val="00726347"/>
    <w:rsid w:val="0072641E"/>
    <w:rsid w:val="0072684B"/>
    <w:rsid w:val="00726B82"/>
    <w:rsid w:val="00726E2E"/>
    <w:rsid w:val="00726E3F"/>
    <w:rsid w:val="00726E79"/>
    <w:rsid w:val="0072713A"/>
    <w:rsid w:val="0072713B"/>
    <w:rsid w:val="00727432"/>
    <w:rsid w:val="00727552"/>
    <w:rsid w:val="007275E3"/>
    <w:rsid w:val="00727D3C"/>
    <w:rsid w:val="00727E2E"/>
    <w:rsid w:val="00730045"/>
    <w:rsid w:val="00730118"/>
    <w:rsid w:val="00730178"/>
    <w:rsid w:val="007301EC"/>
    <w:rsid w:val="0073038F"/>
    <w:rsid w:val="007304FE"/>
    <w:rsid w:val="00730882"/>
    <w:rsid w:val="00730C34"/>
    <w:rsid w:val="00731199"/>
    <w:rsid w:val="007313AD"/>
    <w:rsid w:val="00731BF5"/>
    <w:rsid w:val="00731E11"/>
    <w:rsid w:val="00732412"/>
    <w:rsid w:val="007325B6"/>
    <w:rsid w:val="00732677"/>
    <w:rsid w:val="007326E8"/>
    <w:rsid w:val="007326F6"/>
    <w:rsid w:val="007327D1"/>
    <w:rsid w:val="007329E6"/>
    <w:rsid w:val="00732A60"/>
    <w:rsid w:val="00732B7A"/>
    <w:rsid w:val="00732E3B"/>
    <w:rsid w:val="00733156"/>
    <w:rsid w:val="0073317D"/>
    <w:rsid w:val="007332EE"/>
    <w:rsid w:val="00733656"/>
    <w:rsid w:val="00733817"/>
    <w:rsid w:val="007338CB"/>
    <w:rsid w:val="00733F02"/>
    <w:rsid w:val="00734566"/>
    <w:rsid w:val="00734583"/>
    <w:rsid w:val="007345EC"/>
    <w:rsid w:val="0073461E"/>
    <w:rsid w:val="007348C7"/>
    <w:rsid w:val="007349BB"/>
    <w:rsid w:val="00734C83"/>
    <w:rsid w:val="00734D2B"/>
    <w:rsid w:val="00734D5C"/>
    <w:rsid w:val="00734F1E"/>
    <w:rsid w:val="00735084"/>
    <w:rsid w:val="007351AE"/>
    <w:rsid w:val="0073528A"/>
    <w:rsid w:val="007353BF"/>
    <w:rsid w:val="0073554B"/>
    <w:rsid w:val="00735610"/>
    <w:rsid w:val="00735770"/>
    <w:rsid w:val="00736196"/>
    <w:rsid w:val="00736273"/>
    <w:rsid w:val="0073627C"/>
    <w:rsid w:val="007362F8"/>
    <w:rsid w:val="007363BD"/>
    <w:rsid w:val="00736519"/>
    <w:rsid w:val="0073651C"/>
    <w:rsid w:val="00736785"/>
    <w:rsid w:val="00736D36"/>
    <w:rsid w:val="00736F02"/>
    <w:rsid w:val="00736F1C"/>
    <w:rsid w:val="00736F80"/>
    <w:rsid w:val="00737459"/>
    <w:rsid w:val="0073757D"/>
    <w:rsid w:val="007377D1"/>
    <w:rsid w:val="00737BE4"/>
    <w:rsid w:val="00737E0E"/>
    <w:rsid w:val="00740177"/>
    <w:rsid w:val="0074027E"/>
    <w:rsid w:val="007402C3"/>
    <w:rsid w:val="007405EB"/>
    <w:rsid w:val="0074064A"/>
    <w:rsid w:val="00740BC6"/>
    <w:rsid w:val="00740E61"/>
    <w:rsid w:val="007412B5"/>
    <w:rsid w:val="0074145A"/>
    <w:rsid w:val="007414D9"/>
    <w:rsid w:val="00741E86"/>
    <w:rsid w:val="00742113"/>
    <w:rsid w:val="007421FA"/>
    <w:rsid w:val="007422D2"/>
    <w:rsid w:val="007422D7"/>
    <w:rsid w:val="007425D3"/>
    <w:rsid w:val="0074268D"/>
    <w:rsid w:val="00742699"/>
    <w:rsid w:val="0074298E"/>
    <w:rsid w:val="00742C82"/>
    <w:rsid w:val="00742C8E"/>
    <w:rsid w:val="00742CF9"/>
    <w:rsid w:val="00742D6D"/>
    <w:rsid w:val="00742F8F"/>
    <w:rsid w:val="007431E2"/>
    <w:rsid w:val="00743384"/>
    <w:rsid w:val="007435FA"/>
    <w:rsid w:val="0074389C"/>
    <w:rsid w:val="007439D3"/>
    <w:rsid w:val="00743B3F"/>
    <w:rsid w:val="00743B6C"/>
    <w:rsid w:val="00743C1C"/>
    <w:rsid w:val="00743E4D"/>
    <w:rsid w:val="00743EEB"/>
    <w:rsid w:val="007440EA"/>
    <w:rsid w:val="007443DE"/>
    <w:rsid w:val="007444C7"/>
    <w:rsid w:val="0074476A"/>
    <w:rsid w:val="00744963"/>
    <w:rsid w:val="00744B59"/>
    <w:rsid w:val="00744E4A"/>
    <w:rsid w:val="00745016"/>
    <w:rsid w:val="00745171"/>
    <w:rsid w:val="0074524D"/>
    <w:rsid w:val="00745377"/>
    <w:rsid w:val="007453DD"/>
    <w:rsid w:val="007454C9"/>
    <w:rsid w:val="00745673"/>
    <w:rsid w:val="00745676"/>
    <w:rsid w:val="00745776"/>
    <w:rsid w:val="00745905"/>
    <w:rsid w:val="007459E5"/>
    <w:rsid w:val="00745C44"/>
    <w:rsid w:val="00745C77"/>
    <w:rsid w:val="00745CF0"/>
    <w:rsid w:val="00745E65"/>
    <w:rsid w:val="00745FF4"/>
    <w:rsid w:val="0074671C"/>
    <w:rsid w:val="0074698A"/>
    <w:rsid w:val="00746B6E"/>
    <w:rsid w:val="00746C92"/>
    <w:rsid w:val="007470F0"/>
    <w:rsid w:val="007472AB"/>
    <w:rsid w:val="0074735F"/>
    <w:rsid w:val="007475B7"/>
    <w:rsid w:val="00747705"/>
    <w:rsid w:val="00747846"/>
    <w:rsid w:val="0074793C"/>
    <w:rsid w:val="00747BBD"/>
    <w:rsid w:val="00747D9F"/>
    <w:rsid w:val="00747F38"/>
    <w:rsid w:val="00747F6D"/>
    <w:rsid w:val="00750135"/>
    <w:rsid w:val="007502B7"/>
    <w:rsid w:val="007504BA"/>
    <w:rsid w:val="0075060C"/>
    <w:rsid w:val="00750705"/>
    <w:rsid w:val="007508C8"/>
    <w:rsid w:val="00750D16"/>
    <w:rsid w:val="007510A1"/>
    <w:rsid w:val="007510B7"/>
    <w:rsid w:val="0075177D"/>
    <w:rsid w:val="0075178F"/>
    <w:rsid w:val="00751822"/>
    <w:rsid w:val="007518CB"/>
    <w:rsid w:val="00751E22"/>
    <w:rsid w:val="0075212F"/>
    <w:rsid w:val="007523B2"/>
    <w:rsid w:val="00752507"/>
    <w:rsid w:val="00752778"/>
    <w:rsid w:val="00752823"/>
    <w:rsid w:val="00752A82"/>
    <w:rsid w:val="00752B59"/>
    <w:rsid w:val="00752FCB"/>
    <w:rsid w:val="007532FB"/>
    <w:rsid w:val="00753413"/>
    <w:rsid w:val="00753718"/>
    <w:rsid w:val="007537B1"/>
    <w:rsid w:val="00753A1C"/>
    <w:rsid w:val="00753F10"/>
    <w:rsid w:val="00754093"/>
    <w:rsid w:val="0075461A"/>
    <w:rsid w:val="0075466A"/>
    <w:rsid w:val="00754D94"/>
    <w:rsid w:val="00754E9D"/>
    <w:rsid w:val="00754F95"/>
    <w:rsid w:val="00754FEA"/>
    <w:rsid w:val="007553C6"/>
    <w:rsid w:val="007554F1"/>
    <w:rsid w:val="0075557B"/>
    <w:rsid w:val="00755757"/>
    <w:rsid w:val="007559A2"/>
    <w:rsid w:val="0075612A"/>
    <w:rsid w:val="00756154"/>
    <w:rsid w:val="0075622E"/>
    <w:rsid w:val="0075626D"/>
    <w:rsid w:val="00756452"/>
    <w:rsid w:val="0075646A"/>
    <w:rsid w:val="00756DC2"/>
    <w:rsid w:val="00757034"/>
    <w:rsid w:val="007571C6"/>
    <w:rsid w:val="00757494"/>
    <w:rsid w:val="00757667"/>
    <w:rsid w:val="00757797"/>
    <w:rsid w:val="0075780F"/>
    <w:rsid w:val="007579C4"/>
    <w:rsid w:val="00757AD8"/>
    <w:rsid w:val="0076005E"/>
    <w:rsid w:val="00760375"/>
    <w:rsid w:val="0076067C"/>
    <w:rsid w:val="007606C4"/>
    <w:rsid w:val="007606FC"/>
    <w:rsid w:val="007608C7"/>
    <w:rsid w:val="00760955"/>
    <w:rsid w:val="00760A50"/>
    <w:rsid w:val="0076120F"/>
    <w:rsid w:val="0076142A"/>
    <w:rsid w:val="0076144F"/>
    <w:rsid w:val="00761612"/>
    <w:rsid w:val="00761E41"/>
    <w:rsid w:val="007623A2"/>
    <w:rsid w:val="00762515"/>
    <w:rsid w:val="00762549"/>
    <w:rsid w:val="007625F1"/>
    <w:rsid w:val="007626BE"/>
    <w:rsid w:val="007626D5"/>
    <w:rsid w:val="007629CE"/>
    <w:rsid w:val="00762BCC"/>
    <w:rsid w:val="00762D27"/>
    <w:rsid w:val="00762E9F"/>
    <w:rsid w:val="0076324B"/>
    <w:rsid w:val="007633F0"/>
    <w:rsid w:val="00763BFC"/>
    <w:rsid w:val="00763DCF"/>
    <w:rsid w:val="007640C2"/>
    <w:rsid w:val="00764309"/>
    <w:rsid w:val="0076436A"/>
    <w:rsid w:val="00764523"/>
    <w:rsid w:val="00764A3F"/>
    <w:rsid w:val="00764CC6"/>
    <w:rsid w:val="00764DDC"/>
    <w:rsid w:val="00765ACE"/>
    <w:rsid w:val="00765D24"/>
    <w:rsid w:val="00765ED5"/>
    <w:rsid w:val="0076666B"/>
    <w:rsid w:val="007668D5"/>
    <w:rsid w:val="00766F5A"/>
    <w:rsid w:val="00767025"/>
    <w:rsid w:val="00767070"/>
    <w:rsid w:val="00767169"/>
    <w:rsid w:val="007671AA"/>
    <w:rsid w:val="00767523"/>
    <w:rsid w:val="00767741"/>
    <w:rsid w:val="007679F6"/>
    <w:rsid w:val="00767AA8"/>
    <w:rsid w:val="00767AF4"/>
    <w:rsid w:val="00767D60"/>
    <w:rsid w:val="00767D8F"/>
    <w:rsid w:val="007703D1"/>
    <w:rsid w:val="00770686"/>
    <w:rsid w:val="007707A5"/>
    <w:rsid w:val="007708D6"/>
    <w:rsid w:val="007709C4"/>
    <w:rsid w:val="007709EE"/>
    <w:rsid w:val="00770B4E"/>
    <w:rsid w:val="00770D01"/>
    <w:rsid w:val="00770F46"/>
    <w:rsid w:val="00770FEE"/>
    <w:rsid w:val="00771332"/>
    <w:rsid w:val="00771725"/>
    <w:rsid w:val="00771731"/>
    <w:rsid w:val="0077191C"/>
    <w:rsid w:val="00771ABF"/>
    <w:rsid w:val="00771B54"/>
    <w:rsid w:val="00771F6B"/>
    <w:rsid w:val="007723F8"/>
    <w:rsid w:val="00772D50"/>
    <w:rsid w:val="00772FC6"/>
    <w:rsid w:val="007730A4"/>
    <w:rsid w:val="00773204"/>
    <w:rsid w:val="00773259"/>
    <w:rsid w:val="007734AA"/>
    <w:rsid w:val="007735C4"/>
    <w:rsid w:val="00773650"/>
    <w:rsid w:val="00773698"/>
    <w:rsid w:val="007739C6"/>
    <w:rsid w:val="00773ABB"/>
    <w:rsid w:val="00773ABC"/>
    <w:rsid w:val="00774004"/>
    <w:rsid w:val="007742BC"/>
    <w:rsid w:val="00774531"/>
    <w:rsid w:val="00774A35"/>
    <w:rsid w:val="00774A5C"/>
    <w:rsid w:val="00774AE5"/>
    <w:rsid w:val="00774AF2"/>
    <w:rsid w:val="00774B32"/>
    <w:rsid w:val="00774FD7"/>
    <w:rsid w:val="00775047"/>
    <w:rsid w:val="00775576"/>
    <w:rsid w:val="0077564C"/>
    <w:rsid w:val="0077571C"/>
    <w:rsid w:val="00775797"/>
    <w:rsid w:val="00775935"/>
    <w:rsid w:val="00775984"/>
    <w:rsid w:val="00775AD9"/>
    <w:rsid w:val="00776321"/>
    <w:rsid w:val="0077685F"/>
    <w:rsid w:val="0077686E"/>
    <w:rsid w:val="007768FB"/>
    <w:rsid w:val="00776AB7"/>
    <w:rsid w:val="00776CB9"/>
    <w:rsid w:val="00776DCD"/>
    <w:rsid w:val="007771FD"/>
    <w:rsid w:val="00777482"/>
    <w:rsid w:val="007774FC"/>
    <w:rsid w:val="00777841"/>
    <w:rsid w:val="00777B1B"/>
    <w:rsid w:val="00777B90"/>
    <w:rsid w:val="00777D6E"/>
    <w:rsid w:val="00780145"/>
    <w:rsid w:val="007806A3"/>
    <w:rsid w:val="007807B0"/>
    <w:rsid w:val="00780912"/>
    <w:rsid w:val="00780C86"/>
    <w:rsid w:val="00780CBA"/>
    <w:rsid w:val="00780D9C"/>
    <w:rsid w:val="00780FD1"/>
    <w:rsid w:val="00781322"/>
    <w:rsid w:val="0078162E"/>
    <w:rsid w:val="007819F1"/>
    <w:rsid w:val="00781B55"/>
    <w:rsid w:val="00781BA9"/>
    <w:rsid w:val="00781D6F"/>
    <w:rsid w:val="00781D95"/>
    <w:rsid w:val="00782024"/>
    <w:rsid w:val="007820D3"/>
    <w:rsid w:val="00782192"/>
    <w:rsid w:val="007821CF"/>
    <w:rsid w:val="0078220B"/>
    <w:rsid w:val="0078255E"/>
    <w:rsid w:val="007826DC"/>
    <w:rsid w:val="007828D0"/>
    <w:rsid w:val="00782ADE"/>
    <w:rsid w:val="00782BAC"/>
    <w:rsid w:val="00782CE9"/>
    <w:rsid w:val="00782F74"/>
    <w:rsid w:val="007831EA"/>
    <w:rsid w:val="00783229"/>
    <w:rsid w:val="007836F0"/>
    <w:rsid w:val="00783A4F"/>
    <w:rsid w:val="00783BB1"/>
    <w:rsid w:val="00784441"/>
    <w:rsid w:val="007846D3"/>
    <w:rsid w:val="00784929"/>
    <w:rsid w:val="00784A5B"/>
    <w:rsid w:val="00784BC3"/>
    <w:rsid w:val="00784DE3"/>
    <w:rsid w:val="00784F74"/>
    <w:rsid w:val="00784FFA"/>
    <w:rsid w:val="0078536A"/>
    <w:rsid w:val="00785474"/>
    <w:rsid w:val="007854C7"/>
    <w:rsid w:val="0078551D"/>
    <w:rsid w:val="007856BE"/>
    <w:rsid w:val="0078570D"/>
    <w:rsid w:val="007858B6"/>
    <w:rsid w:val="00785C52"/>
    <w:rsid w:val="00785D28"/>
    <w:rsid w:val="00785D85"/>
    <w:rsid w:val="00785E1D"/>
    <w:rsid w:val="00785FD2"/>
    <w:rsid w:val="00786267"/>
    <w:rsid w:val="00786457"/>
    <w:rsid w:val="007864E3"/>
    <w:rsid w:val="007865E6"/>
    <w:rsid w:val="0078677B"/>
    <w:rsid w:val="00786B5D"/>
    <w:rsid w:val="00786C08"/>
    <w:rsid w:val="00786C82"/>
    <w:rsid w:val="00786E7A"/>
    <w:rsid w:val="007870E9"/>
    <w:rsid w:val="007871F3"/>
    <w:rsid w:val="0078722F"/>
    <w:rsid w:val="0078727E"/>
    <w:rsid w:val="0078733F"/>
    <w:rsid w:val="007875DC"/>
    <w:rsid w:val="0078787F"/>
    <w:rsid w:val="0078795D"/>
    <w:rsid w:val="00787B4A"/>
    <w:rsid w:val="00787B6B"/>
    <w:rsid w:val="00787D5D"/>
    <w:rsid w:val="00787DF8"/>
    <w:rsid w:val="00787FB9"/>
    <w:rsid w:val="007901B0"/>
    <w:rsid w:val="007902B0"/>
    <w:rsid w:val="007903CA"/>
    <w:rsid w:val="007905D3"/>
    <w:rsid w:val="0079074B"/>
    <w:rsid w:val="007908BE"/>
    <w:rsid w:val="00790AF0"/>
    <w:rsid w:val="00790D12"/>
    <w:rsid w:val="00790DFE"/>
    <w:rsid w:val="00790F62"/>
    <w:rsid w:val="00791785"/>
    <w:rsid w:val="00791A14"/>
    <w:rsid w:val="00791BA2"/>
    <w:rsid w:val="00791C2E"/>
    <w:rsid w:val="00791DC1"/>
    <w:rsid w:val="00791FE8"/>
    <w:rsid w:val="0079211A"/>
    <w:rsid w:val="00792139"/>
    <w:rsid w:val="007924B5"/>
    <w:rsid w:val="007926BA"/>
    <w:rsid w:val="00792C24"/>
    <w:rsid w:val="00792E50"/>
    <w:rsid w:val="00793296"/>
    <w:rsid w:val="0079340E"/>
    <w:rsid w:val="00793625"/>
    <w:rsid w:val="007937AD"/>
    <w:rsid w:val="007938A5"/>
    <w:rsid w:val="007938B2"/>
    <w:rsid w:val="00793942"/>
    <w:rsid w:val="00793A14"/>
    <w:rsid w:val="00793B32"/>
    <w:rsid w:val="00793DD4"/>
    <w:rsid w:val="00793FCC"/>
    <w:rsid w:val="00793FD6"/>
    <w:rsid w:val="00794366"/>
    <w:rsid w:val="00794379"/>
    <w:rsid w:val="0079446F"/>
    <w:rsid w:val="007945A1"/>
    <w:rsid w:val="007947A9"/>
    <w:rsid w:val="00794ED9"/>
    <w:rsid w:val="00795503"/>
    <w:rsid w:val="0079553A"/>
    <w:rsid w:val="00795C35"/>
    <w:rsid w:val="00795FA5"/>
    <w:rsid w:val="00796285"/>
    <w:rsid w:val="007963AF"/>
    <w:rsid w:val="0079672B"/>
    <w:rsid w:val="007967A2"/>
    <w:rsid w:val="00796887"/>
    <w:rsid w:val="00796B22"/>
    <w:rsid w:val="00796B83"/>
    <w:rsid w:val="00796E6E"/>
    <w:rsid w:val="00796EB1"/>
    <w:rsid w:val="00797075"/>
    <w:rsid w:val="007970A1"/>
    <w:rsid w:val="007970A2"/>
    <w:rsid w:val="007971EA"/>
    <w:rsid w:val="0079723A"/>
    <w:rsid w:val="00797333"/>
    <w:rsid w:val="0079744D"/>
    <w:rsid w:val="007976E2"/>
    <w:rsid w:val="0079794C"/>
    <w:rsid w:val="00797C2E"/>
    <w:rsid w:val="007A0012"/>
    <w:rsid w:val="007A008F"/>
    <w:rsid w:val="007A0237"/>
    <w:rsid w:val="007A0EBA"/>
    <w:rsid w:val="007A163A"/>
    <w:rsid w:val="007A17B2"/>
    <w:rsid w:val="007A19E8"/>
    <w:rsid w:val="007A1E02"/>
    <w:rsid w:val="007A1EA6"/>
    <w:rsid w:val="007A1F71"/>
    <w:rsid w:val="007A1FA7"/>
    <w:rsid w:val="007A259D"/>
    <w:rsid w:val="007A267E"/>
    <w:rsid w:val="007A279D"/>
    <w:rsid w:val="007A2B2A"/>
    <w:rsid w:val="007A2C5F"/>
    <w:rsid w:val="007A2C67"/>
    <w:rsid w:val="007A304C"/>
    <w:rsid w:val="007A30B1"/>
    <w:rsid w:val="007A3248"/>
    <w:rsid w:val="007A3344"/>
    <w:rsid w:val="007A349B"/>
    <w:rsid w:val="007A4377"/>
    <w:rsid w:val="007A4B32"/>
    <w:rsid w:val="007A4C3C"/>
    <w:rsid w:val="007A501B"/>
    <w:rsid w:val="007A5219"/>
    <w:rsid w:val="007A5370"/>
    <w:rsid w:val="007A57B1"/>
    <w:rsid w:val="007A57DD"/>
    <w:rsid w:val="007A58C2"/>
    <w:rsid w:val="007A5907"/>
    <w:rsid w:val="007A5A04"/>
    <w:rsid w:val="007A5CF2"/>
    <w:rsid w:val="007A5D32"/>
    <w:rsid w:val="007A5E24"/>
    <w:rsid w:val="007A5EB8"/>
    <w:rsid w:val="007A5F46"/>
    <w:rsid w:val="007A610D"/>
    <w:rsid w:val="007A6137"/>
    <w:rsid w:val="007A6209"/>
    <w:rsid w:val="007A627F"/>
    <w:rsid w:val="007A62A4"/>
    <w:rsid w:val="007A6318"/>
    <w:rsid w:val="007A63FD"/>
    <w:rsid w:val="007A6526"/>
    <w:rsid w:val="007A667B"/>
    <w:rsid w:val="007A671F"/>
    <w:rsid w:val="007A672C"/>
    <w:rsid w:val="007A6D18"/>
    <w:rsid w:val="007A7083"/>
    <w:rsid w:val="007A70E6"/>
    <w:rsid w:val="007A70FB"/>
    <w:rsid w:val="007A724D"/>
    <w:rsid w:val="007A7555"/>
    <w:rsid w:val="007A7D64"/>
    <w:rsid w:val="007A7DF1"/>
    <w:rsid w:val="007A7ECC"/>
    <w:rsid w:val="007B0083"/>
    <w:rsid w:val="007B00DF"/>
    <w:rsid w:val="007B045A"/>
    <w:rsid w:val="007B049E"/>
    <w:rsid w:val="007B05FC"/>
    <w:rsid w:val="007B0739"/>
    <w:rsid w:val="007B0821"/>
    <w:rsid w:val="007B0B0D"/>
    <w:rsid w:val="007B0D49"/>
    <w:rsid w:val="007B0F27"/>
    <w:rsid w:val="007B0FE7"/>
    <w:rsid w:val="007B11BF"/>
    <w:rsid w:val="007B1325"/>
    <w:rsid w:val="007B1397"/>
    <w:rsid w:val="007B13AA"/>
    <w:rsid w:val="007B1435"/>
    <w:rsid w:val="007B1A20"/>
    <w:rsid w:val="007B1A55"/>
    <w:rsid w:val="007B20F1"/>
    <w:rsid w:val="007B22D4"/>
    <w:rsid w:val="007B23FC"/>
    <w:rsid w:val="007B247D"/>
    <w:rsid w:val="007B2530"/>
    <w:rsid w:val="007B2588"/>
    <w:rsid w:val="007B2606"/>
    <w:rsid w:val="007B2879"/>
    <w:rsid w:val="007B29F7"/>
    <w:rsid w:val="007B2C2F"/>
    <w:rsid w:val="007B2E72"/>
    <w:rsid w:val="007B35E5"/>
    <w:rsid w:val="007B3C1D"/>
    <w:rsid w:val="007B3C3E"/>
    <w:rsid w:val="007B3CD2"/>
    <w:rsid w:val="007B3D62"/>
    <w:rsid w:val="007B3FE8"/>
    <w:rsid w:val="007B4603"/>
    <w:rsid w:val="007B4842"/>
    <w:rsid w:val="007B488E"/>
    <w:rsid w:val="007B4A15"/>
    <w:rsid w:val="007B4A85"/>
    <w:rsid w:val="007B4D9E"/>
    <w:rsid w:val="007B4DD7"/>
    <w:rsid w:val="007B4EB6"/>
    <w:rsid w:val="007B4EDA"/>
    <w:rsid w:val="007B4F47"/>
    <w:rsid w:val="007B50CB"/>
    <w:rsid w:val="007B5465"/>
    <w:rsid w:val="007B5489"/>
    <w:rsid w:val="007B57AC"/>
    <w:rsid w:val="007B591C"/>
    <w:rsid w:val="007B5C58"/>
    <w:rsid w:val="007B5EDC"/>
    <w:rsid w:val="007B640A"/>
    <w:rsid w:val="007B667A"/>
    <w:rsid w:val="007B6A91"/>
    <w:rsid w:val="007B6AE0"/>
    <w:rsid w:val="007B6B22"/>
    <w:rsid w:val="007B6C21"/>
    <w:rsid w:val="007B6C7A"/>
    <w:rsid w:val="007B6CD1"/>
    <w:rsid w:val="007B6EBF"/>
    <w:rsid w:val="007B735A"/>
    <w:rsid w:val="007B7386"/>
    <w:rsid w:val="007B73AB"/>
    <w:rsid w:val="007B7561"/>
    <w:rsid w:val="007B7608"/>
    <w:rsid w:val="007B790F"/>
    <w:rsid w:val="007B7960"/>
    <w:rsid w:val="007B7A8A"/>
    <w:rsid w:val="007B7AE5"/>
    <w:rsid w:val="007C0103"/>
    <w:rsid w:val="007C0371"/>
    <w:rsid w:val="007C0400"/>
    <w:rsid w:val="007C0466"/>
    <w:rsid w:val="007C0552"/>
    <w:rsid w:val="007C0BE7"/>
    <w:rsid w:val="007C0C67"/>
    <w:rsid w:val="007C0ED3"/>
    <w:rsid w:val="007C1119"/>
    <w:rsid w:val="007C122E"/>
    <w:rsid w:val="007C1552"/>
    <w:rsid w:val="007C19B2"/>
    <w:rsid w:val="007C1A24"/>
    <w:rsid w:val="007C1A51"/>
    <w:rsid w:val="007C1A90"/>
    <w:rsid w:val="007C1AC1"/>
    <w:rsid w:val="007C1BE8"/>
    <w:rsid w:val="007C1CCB"/>
    <w:rsid w:val="007C1D61"/>
    <w:rsid w:val="007C215C"/>
    <w:rsid w:val="007C25D1"/>
    <w:rsid w:val="007C2791"/>
    <w:rsid w:val="007C279B"/>
    <w:rsid w:val="007C2943"/>
    <w:rsid w:val="007C2D3F"/>
    <w:rsid w:val="007C2DC9"/>
    <w:rsid w:val="007C2E63"/>
    <w:rsid w:val="007C32E6"/>
    <w:rsid w:val="007C33A4"/>
    <w:rsid w:val="007C3511"/>
    <w:rsid w:val="007C370B"/>
    <w:rsid w:val="007C3AE8"/>
    <w:rsid w:val="007C3F88"/>
    <w:rsid w:val="007C4102"/>
    <w:rsid w:val="007C41BB"/>
    <w:rsid w:val="007C4253"/>
    <w:rsid w:val="007C428B"/>
    <w:rsid w:val="007C43CD"/>
    <w:rsid w:val="007C449B"/>
    <w:rsid w:val="007C4649"/>
    <w:rsid w:val="007C47CF"/>
    <w:rsid w:val="007C47D6"/>
    <w:rsid w:val="007C48AA"/>
    <w:rsid w:val="007C4BA3"/>
    <w:rsid w:val="007C4E60"/>
    <w:rsid w:val="007C4EBE"/>
    <w:rsid w:val="007C53B0"/>
    <w:rsid w:val="007C5484"/>
    <w:rsid w:val="007C5512"/>
    <w:rsid w:val="007C55DA"/>
    <w:rsid w:val="007C5729"/>
    <w:rsid w:val="007C574D"/>
    <w:rsid w:val="007C581E"/>
    <w:rsid w:val="007C5892"/>
    <w:rsid w:val="007C58BD"/>
    <w:rsid w:val="007C5AC0"/>
    <w:rsid w:val="007C6195"/>
    <w:rsid w:val="007C636A"/>
    <w:rsid w:val="007C639E"/>
    <w:rsid w:val="007C6462"/>
    <w:rsid w:val="007C6496"/>
    <w:rsid w:val="007C64D5"/>
    <w:rsid w:val="007C662B"/>
    <w:rsid w:val="007C6B6C"/>
    <w:rsid w:val="007C6D44"/>
    <w:rsid w:val="007C6E68"/>
    <w:rsid w:val="007C6ED3"/>
    <w:rsid w:val="007C6FFE"/>
    <w:rsid w:val="007C7193"/>
    <w:rsid w:val="007C72E4"/>
    <w:rsid w:val="007C7327"/>
    <w:rsid w:val="007C74E1"/>
    <w:rsid w:val="007C77EB"/>
    <w:rsid w:val="007C786C"/>
    <w:rsid w:val="007C79A8"/>
    <w:rsid w:val="007C7D87"/>
    <w:rsid w:val="007C7EE4"/>
    <w:rsid w:val="007D00D6"/>
    <w:rsid w:val="007D0848"/>
    <w:rsid w:val="007D085A"/>
    <w:rsid w:val="007D08DA"/>
    <w:rsid w:val="007D0D6E"/>
    <w:rsid w:val="007D0E0C"/>
    <w:rsid w:val="007D0F93"/>
    <w:rsid w:val="007D1353"/>
    <w:rsid w:val="007D136F"/>
    <w:rsid w:val="007D13F4"/>
    <w:rsid w:val="007D189C"/>
    <w:rsid w:val="007D1A62"/>
    <w:rsid w:val="007D1AFE"/>
    <w:rsid w:val="007D1C49"/>
    <w:rsid w:val="007D1E84"/>
    <w:rsid w:val="007D1EA6"/>
    <w:rsid w:val="007D1FC8"/>
    <w:rsid w:val="007D2028"/>
    <w:rsid w:val="007D2401"/>
    <w:rsid w:val="007D2576"/>
    <w:rsid w:val="007D2607"/>
    <w:rsid w:val="007D297C"/>
    <w:rsid w:val="007D29AA"/>
    <w:rsid w:val="007D2A78"/>
    <w:rsid w:val="007D3089"/>
    <w:rsid w:val="007D343F"/>
    <w:rsid w:val="007D3521"/>
    <w:rsid w:val="007D35FF"/>
    <w:rsid w:val="007D361F"/>
    <w:rsid w:val="007D3760"/>
    <w:rsid w:val="007D3833"/>
    <w:rsid w:val="007D39AE"/>
    <w:rsid w:val="007D3DF2"/>
    <w:rsid w:val="007D3E14"/>
    <w:rsid w:val="007D43D2"/>
    <w:rsid w:val="007D46AC"/>
    <w:rsid w:val="007D4B09"/>
    <w:rsid w:val="007D4D47"/>
    <w:rsid w:val="007D4DE6"/>
    <w:rsid w:val="007D4F29"/>
    <w:rsid w:val="007D5060"/>
    <w:rsid w:val="007D507B"/>
    <w:rsid w:val="007D5326"/>
    <w:rsid w:val="007D53F8"/>
    <w:rsid w:val="007D551C"/>
    <w:rsid w:val="007D571E"/>
    <w:rsid w:val="007D58A4"/>
    <w:rsid w:val="007D59A0"/>
    <w:rsid w:val="007D5A20"/>
    <w:rsid w:val="007D5A23"/>
    <w:rsid w:val="007D5CB1"/>
    <w:rsid w:val="007D5F27"/>
    <w:rsid w:val="007D6140"/>
    <w:rsid w:val="007D635E"/>
    <w:rsid w:val="007D64FF"/>
    <w:rsid w:val="007D67A9"/>
    <w:rsid w:val="007D67EA"/>
    <w:rsid w:val="007D690F"/>
    <w:rsid w:val="007D6927"/>
    <w:rsid w:val="007D6992"/>
    <w:rsid w:val="007D6A03"/>
    <w:rsid w:val="007D6D32"/>
    <w:rsid w:val="007D6DB7"/>
    <w:rsid w:val="007D71D5"/>
    <w:rsid w:val="007D7A1B"/>
    <w:rsid w:val="007D7A28"/>
    <w:rsid w:val="007D7D18"/>
    <w:rsid w:val="007D7D45"/>
    <w:rsid w:val="007D7EB8"/>
    <w:rsid w:val="007E017D"/>
    <w:rsid w:val="007E0391"/>
    <w:rsid w:val="007E04A5"/>
    <w:rsid w:val="007E04CC"/>
    <w:rsid w:val="007E06AF"/>
    <w:rsid w:val="007E0ADD"/>
    <w:rsid w:val="007E0EED"/>
    <w:rsid w:val="007E118C"/>
    <w:rsid w:val="007E1521"/>
    <w:rsid w:val="007E19A3"/>
    <w:rsid w:val="007E19B6"/>
    <w:rsid w:val="007E1A99"/>
    <w:rsid w:val="007E1B41"/>
    <w:rsid w:val="007E2107"/>
    <w:rsid w:val="007E218A"/>
    <w:rsid w:val="007E2316"/>
    <w:rsid w:val="007E234C"/>
    <w:rsid w:val="007E2454"/>
    <w:rsid w:val="007E2463"/>
    <w:rsid w:val="007E278B"/>
    <w:rsid w:val="007E2A77"/>
    <w:rsid w:val="007E2F7F"/>
    <w:rsid w:val="007E3059"/>
    <w:rsid w:val="007E3571"/>
    <w:rsid w:val="007E3608"/>
    <w:rsid w:val="007E39EA"/>
    <w:rsid w:val="007E3AC4"/>
    <w:rsid w:val="007E3B85"/>
    <w:rsid w:val="007E3C3F"/>
    <w:rsid w:val="007E3D09"/>
    <w:rsid w:val="007E3D58"/>
    <w:rsid w:val="007E3F3D"/>
    <w:rsid w:val="007E3FF4"/>
    <w:rsid w:val="007E4119"/>
    <w:rsid w:val="007E4243"/>
    <w:rsid w:val="007E4648"/>
    <w:rsid w:val="007E49F1"/>
    <w:rsid w:val="007E4A0C"/>
    <w:rsid w:val="007E4A75"/>
    <w:rsid w:val="007E4C79"/>
    <w:rsid w:val="007E4F65"/>
    <w:rsid w:val="007E507E"/>
    <w:rsid w:val="007E51E1"/>
    <w:rsid w:val="007E5405"/>
    <w:rsid w:val="007E5567"/>
    <w:rsid w:val="007E5987"/>
    <w:rsid w:val="007E5B96"/>
    <w:rsid w:val="007E5C5B"/>
    <w:rsid w:val="007E5D7F"/>
    <w:rsid w:val="007E600A"/>
    <w:rsid w:val="007E64EA"/>
    <w:rsid w:val="007E69AF"/>
    <w:rsid w:val="007E6A09"/>
    <w:rsid w:val="007E73F0"/>
    <w:rsid w:val="007E73FA"/>
    <w:rsid w:val="007E742E"/>
    <w:rsid w:val="007E75AC"/>
    <w:rsid w:val="007E75FF"/>
    <w:rsid w:val="007E7841"/>
    <w:rsid w:val="007E7930"/>
    <w:rsid w:val="007E7966"/>
    <w:rsid w:val="007E7AFA"/>
    <w:rsid w:val="007E7DCB"/>
    <w:rsid w:val="007F016E"/>
    <w:rsid w:val="007F0557"/>
    <w:rsid w:val="007F05A1"/>
    <w:rsid w:val="007F05DB"/>
    <w:rsid w:val="007F096A"/>
    <w:rsid w:val="007F09B0"/>
    <w:rsid w:val="007F0A60"/>
    <w:rsid w:val="007F0A87"/>
    <w:rsid w:val="007F0C16"/>
    <w:rsid w:val="007F0C59"/>
    <w:rsid w:val="007F0CD2"/>
    <w:rsid w:val="007F0F58"/>
    <w:rsid w:val="007F1051"/>
    <w:rsid w:val="007F11D2"/>
    <w:rsid w:val="007F123C"/>
    <w:rsid w:val="007F140E"/>
    <w:rsid w:val="007F14BB"/>
    <w:rsid w:val="007F1712"/>
    <w:rsid w:val="007F1748"/>
    <w:rsid w:val="007F17EC"/>
    <w:rsid w:val="007F180E"/>
    <w:rsid w:val="007F1865"/>
    <w:rsid w:val="007F19FD"/>
    <w:rsid w:val="007F1B0F"/>
    <w:rsid w:val="007F1BE4"/>
    <w:rsid w:val="007F22AB"/>
    <w:rsid w:val="007F25B2"/>
    <w:rsid w:val="007F2660"/>
    <w:rsid w:val="007F2C4A"/>
    <w:rsid w:val="007F2D8D"/>
    <w:rsid w:val="007F2E98"/>
    <w:rsid w:val="007F30D2"/>
    <w:rsid w:val="007F30EC"/>
    <w:rsid w:val="007F32E0"/>
    <w:rsid w:val="007F33E3"/>
    <w:rsid w:val="007F34E6"/>
    <w:rsid w:val="007F36C7"/>
    <w:rsid w:val="007F3868"/>
    <w:rsid w:val="007F390F"/>
    <w:rsid w:val="007F3A66"/>
    <w:rsid w:val="007F3C83"/>
    <w:rsid w:val="007F3D53"/>
    <w:rsid w:val="007F3D69"/>
    <w:rsid w:val="007F413B"/>
    <w:rsid w:val="007F4205"/>
    <w:rsid w:val="007F4312"/>
    <w:rsid w:val="007F45C8"/>
    <w:rsid w:val="007F4955"/>
    <w:rsid w:val="007F4A6C"/>
    <w:rsid w:val="007F4B0F"/>
    <w:rsid w:val="007F5166"/>
    <w:rsid w:val="007F5354"/>
    <w:rsid w:val="007F5566"/>
    <w:rsid w:val="007F55F7"/>
    <w:rsid w:val="007F5803"/>
    <w:rsid w:val="007F5B4A"/>
    <w:rsid w:val="007F5C79"/>
    <w:rsid w:val="007F5D14"/>
    <w:rsid w:val="007F5D5C"/>
    <w:rsid w:val="007F5D7A"/>
    <w:rsid w:val="007F5E26"/>
    <w:rsid w:val="007F6030"/>
    <w:rsid w:val="007F667E"/>
    <w:rsid w:val="007F6833"/>
    <w:rsid w:val="007F6896"/>
    <w:rsid w:val="007F69AA"/>
    <w:rsid w:val="007F6AA9"/>
    <w:rsid w:val="007F6C67"/>
    <w:rsid w:val="007F6D62"/>
    <w:rsid w:val="007F6ED9"/>
    <w:rsid w:val="007F71E5"/>
    <w:rsid w:val="007F737E"/>
    <w:rsid w:val="007F7442"/>
    <w:rsid w:val="007F74DB"/>
    <w:rsid w:val="007F75A9"/>
    <w:rsid w:val="007F763F"/>
    <w:rsid w:val="007F77CD"/>
    <w:rsid w:val="007F7989"/>
    <w:rsid w:val="007F7C26"/>
    <w:rsid w:val="007F7D1E"/>
    <w:rsid w:val="0080020C"/>
    <w:rsid w:val="00800579"/>
    <w:rsid w:val="00800994"/>
    <w:rsid w:val="00800AFD"/>
    <w:rsid w:val="00800AFF"/>
    <w:rsid w:val="00800C7D"/>
    <w:rsid w:val="0080108C"/>
    <w:rsid w:val="0080110B"/>
    <w:rsid w:val="00801547"/>
    <w:rsid w:val="00801731"/>
    <w:rsid w:val="00801BE4"/>
    <w:rsid w:val="00801C26"/>
    <w:rsid w:val="00801EAD"/>
    <w:rsid w:val="00802088"/>
    <w:rsid w:val="008022B0"/>
    <w:rsid w:val="0080240F"/>
    <w:rsid w:val="008025AC"/>
    <w:rsid w:val="0080278F"/>
    <w:rsid w:val="00802896"/>
    <w:rsid w:val="00802C47"/>
    <w:rsid w:val="0080312C"/>
    <w:rsid w:val="00803488"/>
    <w:rsid w:val="0080375A"/>
    <w:rsid w:val="00803B58"/>
    <w:rsid w:val="00803B9C"/>
    <w:rsid w:val="008040DC"/>
    <w:rsid w:val="0080437B"/>
    <w:rsid w:val="008044D4"/>
    <w:rsid w:val="008045DD"/>
    <w:rsid w:val="008048EC"/>
    <w:rsid w:val="00804B96"/>
    <w:rsid w:val="00804E92"/>
    <w:rsid w:val="00805085"/>
    <w:rsid w:val="008050EE"/>
    <w:rsid w:val="0080519B"/>
    <w:rsid w:val="0080535C"/>
    <w:rsid w:val="00805472"/>
    <w:rsid w:val="0080553E"/>
    <w:rsid w:val="00805B06"/>
    <w:rsid w:val="00805F04"/>
    <w:rsid w:val="0080608D"/>
    <w:rsid w:val="008060C7"/>
    <w:rsid w:val="008064A9"/>
    <w:rsid w:val="008064B2"/>
    <w:rsid w:val="00806690"/>
    <w:rsid w:val="00806F20"/>
    <w:rsid w:val="0080729C"/>
    <w:rsid w:val="0080751E"/>
    <w:rsid w:val="0080753B"/>
    <w:rsid w:val="008078BC"/>
    <w:rsid w:val="00807A27"/>
    <w:rsid w:val="00807C36"/>
    <w:rsid w:val="00807C8D"/>
    <w:rsid w:val="00807EBB"/>
    <w:rsid w:val="008100BA"/>
    <w:rsid w:val="00810381"/>
    <w:rsid w:val="0081047C"/>
    <w:rsid w:val="008108BB"/>
    <w:rsid w:val="00810A0C"/>
    <w:rsid w:val="00810BB7"/>
    <w:rsid w:val="00810C03"/>
    <w:rsid w:val="00811570"/>
    <w:rsid w:val="00811707"/>
    <w:rsid w:val="00811778"/>
    <w:rsid w:val="00811C7C"/>
    <w:rsid w:val="00811D00"/>
    <w:rsid w:val="00811E1B"/>
    <w:rsid w:val="0081209B"/>
    <w:rsid w:val="00812478"/>
    <w:rsid w:val="0081247D"/>
    <w:rsid w:val="00812496"/>
    <w:rsid w:val="00812576"/>
    <w:rsid w:val="00812691"/>
    <w:rsid w:val="00812AEB"/>
    <w:rsid w:val="00812B39"/>
    <w:rsid w:val="00812BB4"/>
    <w:rsid w:val="00812BD0"/>
    <w:rsid w:val="00812C25"/>
    <w:rsid w:val="00812D81"/>
    <w:rsid w:val="00812E33"/>
    <w:rsid w:val="008132F8"/>
    <w:rsid w:val="00813458"/>
    <w:rsid w:val="00813551"/>
    <w:rsid w:val="008135E4"/>
    <w:rsid w:val="00813968"/>
    <w:rsid w:val="00813C1D"/>
    <w:rsid w:val="00813CDA"/>
    <w:rsid w:val="00813DD5"/>
    <w:rsid w:val="00814296"/>
    <w:rsid w:val="008142F5"/>
    <w:rsid w:val="00814336"/>
    <w:rsid w:val="008144F0"/>
    <w:rsid w:val="008145FA"/>
    <w:rsid w:val="008148E6"/>
    <w:rsid w:val="00814952"/>
    <w:rsid w:val="008149AB"/>
    <w:rsid w:val="008149BB"/>
    <w:rsid w:val="00814ABE"/>
    <w:rsid w:val="00815083"/>
    <w:rsid w:val="0081533F"/>
    <w:rsid w:val="008153F5"/>
    <w:rsid w:val="0081554B"/>
    <w:rsid w:val="0081578B"/>
    <w:rsid w:val="00815A5D"/>
    <w:rsid w:val="00815C2E"/>
    <w:rsid w:val="00815D73"/>
    <w:rsid w:val="00815E32"/>
    <w:rsid w:val="00815ED1"/>
    <w:rsid w:val="008160B9"/>
    <w:rsid w:val="00816343"/>
    <w:rsid w:val="0081641A"/>
    <w:rsid w:val="0081681A"/>
    <w:rsid w:val="00816968"/>
    <w:rsid w:val="00816A06"/>
    <w:rsid w:val="00816BC4"/>
    <w:rsid w:val="00816C34"/>
    <w:rsid w:val="00816C85"/>
    <w:rsid w:val="0081704F"/>
    <w:rsid w:val="00817300"/>
    <w:rsid w:val="0081755E"/>
    <w:rsid w:val="00817713"/>
    <w:rsid w:val="00817943"/>
    <w:rsid w:val="00817D61"/>
    <w:rsid w:val="00817F7E"/>
    <w:rsid w:val="00820185"/>
    <w:rsid w:val="00820608"/>
    <w:rsid w:val="00820794"/>
    <w:rsid w:val="008207AA"/>
    <w:rsid w:val="00820842"/>
    <w:rsid w:val="00820A49"/>
    <w:rsid w:val="00820B2D"/>
    <w:rsid w:val="00820D75"/>
    <w:rsid w:val="00820F51"/>
    <w:rsid w:val="00820FAE"/>
    <w:rsid w:val="0082104F"/>
    <w:rsid w:val="008210EA"/>
    <w:rsid w:val="0082117C"/>
    <w:rsid w:val="00821350"/>
    <w:rsid w:val="00821841"/>
    <w:rsid w:val="008219EF"/>
    <w:rsid w:val="00821F37"/>
    <w:rsid w:val="00822051"/>
    <w:rsid w:val="00822073"/>
    <w:rsid w:val="00822105"/>
    <w:rsid w:val="008221E2"/>
    <w:rsid w:val="00822228"/>
    <w:rsid w:val="00822295"/>
    <w:rsid w:val="008222BD"/>
    <w:rsid w:val="00822C69"/>
    <w:rsid w:val="00822D57"/>
    <w:rsid w:val="00822DCE"/>
    <w:rsid w:val="008230A7"/>
    <w:rsid w:val="008236E8"/>
    <w:rsid w:val="008238DA"/>
    <w:rsid w:val="00823B36"/>
    <w:rsid w:val="00823C08"/>
    <w:rsid w:val="00823DE4"/>
    <w:rsid w:val="00823E73"/>
    <w:rsid w:val="0082415B"/>
    <w:rsid w:val="008243D4"/>
    <w:rsid w:val="0082456F"/>
    <w:rsid w:val="00824678"/>
    <w:rsid w:val="0082476A"/>
    <w:rsid w:val="00824BA3"/>
    <w:rsid w:val="00824BE3"/>
    <w:rsid w:val="00824FAA"/>
    <w:rsid w:val="0082527D"/>
    <w:rsid w:val="008252E5"/>
    <w:rsid w:val="008253A1"/>
    <w:rsid w:val="008254DF"/>
    <w:rsid w:val="0082566E"/>
    <w:rsid w:val="00825812"/>
    <w:rsid w:val="00825815"/>
    <w:rsid w:val="0082583C"/>
    <w:rsid w:val="00825B85"/>
    <w:rsid w:val="00826018"/>
    <w:rsid w:val="008260DC"/>
    <w:rsid w:val="008264F9"/>
    <w:rsid w:val="0082676D"/>
    <w:rsid w:val="00826D03"/>
    <w:rsid w:val="00826DFF"/>
    <w:rsid w:val="00826FC8"/>
    <w:rsid w:val="008276AF"/>
    <w:rsid w:val="008278D8"/>
    <w:rsid w:val="00827994"/>
    <w:rsid w:val="008279B5"/>
    <w:rsid w:val="008279ED"/>
    <w:rsid w:val="00827D35"/>
    <w:rsid w:val="00830329"/>
    <w:rsid w:val="008303FE"/>
    <w:rsid w:val="00830402"/>
    <w:rsid w:val="00830561"/>
    <w:rsid w:val="008305AE"/>
    <w:rsid w:val="00830690"/>
    <w:rsid w:val="00830A9F"/>
    <w:rsid w:val="00830C10"/>
    <w:rsid w:val="00830D1E"/>
    <w:rsid w:val="0083138D"/>
    <w:rsid w:val="008313A7"/>
    <w:rsid w:val="00831A7B"/>
    <w:rsid w:val="00831AC0"/>
    <w:rsid w:val="00831D8D"/>
    <w:rsid w:val="0083205F"/>
    <w:rsid w:val="00832194"/>
    <w:rsid w:val="00832295"/>
    <w:rsid w:val="008322E9"/>
    <w:rsid w:val="0083235B"/>
    <w:rsid w:val="0083236E"/>
    <w:rsid w:val="00832453"/>
    <w:rsid w:val="00832558"/>
    <w:rsid w:val="0083266E"/>
    <w:rsid w:val="00832842"/>
    <w:rsid w:val="0083290A"/>
    <w:rsid w:val="00832F01"/>
    <w:rsid w:val="0083308D"/>
    <w:rsid w:val="00833280"/>
    <w:rsid w:val="0083342C"/>
    <w:rsid w:val="00833587"/>
    <w:rsid w:val="00833807"/>
    <w:rsid w:val="00833847"/>
    <w:rsid w:val="0083397D"/>
    <w:rsid w:val="00833B66"/>
    <w:rsid w:val="0083402B"/>
    <w:rsid w:val="00834060"/>
    <w:rsid w:val="00834321"/>
    <w:rsid w:val="0083444F"/>
    <w:rsid w:val="00834713"/>
    <w:rsid w:val="00834925"/>
    <w:rsid w:val="00834C4D"/>
    <w:rsid w:val="00834D15"/>
    <w:rsid w:val="00834DEC"/>
    <w:rsid w:val="00834E97"/>
    <w:rsid w:val="00834F4A"/>
    <w:rsid w:val="0083547A"/>
    <w:rsid w:val="0083556E"/>
    <w:rsid w:val="00835586"/>
    <w:rsid w:val="008356CC"/>
    <w:rsid w:val="00835811"/>
    <w:rsid w:val="00835854"/>
    <w:rsid w:val="00835B31"/>
    <w:rsid w:val="00835E5C"/>
    <w:rsid w:val="00836281"/>
    <w:rsid w:val="00836344"/>
    <w:rsid w:val="008364F8"/>
    <w:rsid w:val="00836510"/>
    <w:rsid w:val="0083652A"/>
    <w:rsid w:val="00836DC3"/>
    <w:rsid w:val="00837066"/>
    <w:rsid w:val="008370DE"/>
    <w:rsid w:val="0083723C"/>
    <w:rsid w:val="008372CB"/>
    <w:rsid w:val="008373E7"/>
    <w:rsid w:val="0083756B"/>
    <w:rsid w:val="0083769C"/>
    <w:rsid w:val="00837805"/>
    <w:rsid w:val="0083786C"/>
    <w:rsid w:val="00837BE9"/>
    <w:rsid w:val="00837EBC"/>
    <w:rsid w:val="0084008C"/>
    <w:rsid w:val="00840486"/>
    <w:rsid w:val="008406F2"/>
    <w:rsid w:val="008407C2"/>
    <w:rsid w:val="008409B6"/>
    <w:rsid w:val="00840BE1"/>
    <w:rsid w:val="00840F2E"/>
    <w:rsid w:val="00841032"/>
    <w:rsid w:val="0084120B"/>
    <w:rsid w:val="0084139F"/>
    <w:rsid w:val="00841542"/>
    <w:rsid w:val="008415C0"/>
    <w:rsid w:val="0084197D"/>
    <w:rsid w:val="008419AA"/>
    <w:rsid w:val="00841CC8"/>
    <w:rsid w:val="008421EE"/>
    <w:rsid w:val="0084228D"/>
    <w:rsid w:val="00842298"/>
    <w:rsid w:val="00842334"/>
    <w:rsid w:val="008425FF"/>
    <w:rsid w:val="00842921"/>
    <w:rsid w:val="00842BA6"/>
    <w:rsid w:val="00842C7C"/>
    <w:rsid w:val="00842EEC"/>
    <w:rsid w:val="008431DD"/>
    <w:rsid w:val="00843294"/>
    <w:rsid w:val="0084359D"/>
    <w:rsid w:val="0084365B"/>
    <w:rsid w:val="0084377F"/>
    <w:rsid w:val="00843CB6"/>
    <w:rsid w:val="00843DDD"/>
    <w:rsid w:val="00843F8F"/>
    <w:rsid w:val="00844354"/>
    <w:rsid w:val="008446F2"/>
    <w:rsid w:val="00844BC8"/>
    <w:rsid w:val="00845067"/>
    <w:rsid w:val="008450C6"/>
    <w:rsid w:val="00845220"/>
    <w:rsid w:val="008452E5"/>
    <w:rsid w:val="0084555E"/>
    <w:rsid w:val="0084574C"/>
    <w:rsid w:val="00845770"/>
    <w:rsid w:val="008459A3"/>
    <w:rsid w:val="00845B12"/>
    <w:rsid w:val="00845BF7"/>
    <w:rsid w:val="00845D5C"/>
    <w:rsid w:val="00845D88"/>
    <w:rsid w:val="00845DBF"/>
    <w:rsid w:val="00845FE6"/>
    <w:rsid w:val="008461FA"/>
    <w:rsid w:val="0084645B"/>
    <w:rsid w:val="0084650D"/>
    <w:rsid w:val="008467E6"/>
    <w:rsid w:val="0084681F"/>
    <w:rsid w:val="00846844"/>
    <w:rsid w:val="00846950"/>
    <w:rsid w:val="00846A15"/>
    <w:rsid w:val="00846A25"/>
    <w:rsid w:val="00846C5F"/>
    <w:rsid w:val="00846E02"/>
    <w:rsid w:val="0084729D"/>
    <w:rsid w:val="00847798"/>
    <w:rsid w:val="00847C12"/>
    <w:rsid w:val="00847CFB"/>
    <w:rsid w:val="00847D47"/>
    <w:rsid w:val="0085006B"/>
    <w:rsid w:val="00850140"/>
    <w:rsid w:val="0085040B"/>
    <w:rsid w:val="00850412"/>
    <w:rsid w:val="0085088C"/>
    <w:rsid w:val="00850C7B"/>
    <w:rsid w:val="00850CFE"/>
    <w:rsid w:val="00850D66"/>
    <w:rsid w:val="00851112"/>
    <w:rsid w:val="00851230"/>
    <w:rsid w:val="008516BE"/>
    <w:rsid w:val="00851790"/>
    <w:rsid w:val="00851875"/>
    <w:rsid w:val="00851A3A"/>
    <w:rsid w:val="00851B8D"/>
    <w:rsid w:val="00851BA9"/>
    <w:rsid w:val="00851D83"/>
    <w:rsid w:val="00851E41"/>
    <w:rsid w:val="0085247E"/>
    <w:rsid w:val="00852525"/>
    <w:rsid w:val="00852539"/>
    <w:rsid w:val="0085280B"/>
    <w:rsid w:val="00852908"/>
    <w:rsid w:val="008529A7"/>
    <w:rsid w:val="00852AE1"/>
    <w:rsid w:val="00852D68"/>
    <w:rsid w:val="00852FC7"/>
    <w:rsid w:val="0085326B"/>
    <w:rsid w:val="008532D3"/>
    <w:rsid w:val="00853686"/>
    <w:rsid w:val="00853728"/>
    <w:rsid w:val="00853E1E"/>
    <w:rsid w:val="00853F2D"/>
    <w:rsid w:val="008540C3"/>
    <w:rsid w:val="00854155"/>
    <w:rsid w:val="0085437C"/>
    <w:rsid w:val="00854728"/>
    <w:rsid w:val="00854C98"/>
    <w:rsid w:val="00854D35"/>
    <w:rsid w:val="00854DA8"/>
    <w:rsid w:val="00854DC6"/>
    <w:rsid w:val="00854DDC"/>
    <w:rsid w:val="008551A7"/>
    <w:rsid w:val="008554AD"/>
    <w:rsid w:val="008554FB"/>
    <w:rsid w:val="008558B4"/>
    <w:rsid w:val="008559A0"/>
    <w:rsid w:val="00855B27"/>
    <w:rsid w:val="00855EE2"/>
    <w:rsid w:val="00855FBF"/>
    <w:rsid w:val="00856056"/>
    <w:rsid w:val="00856070"/>
    <w:rsid w:val="008560A9"/>
    <w:rsid w:val="00856787"/>
    <w:rsid w:val="00856881"/>
    <w:rsid w:val="00856A19"/>
    <w:rsid w:val="00856BF6"/>
    <w:rsid w:val="00856C07"/>
    <w:rsid w:val="00856D32"/>
    <w:rsid w:val="00857087"/>
    <w:rsid w:val="008571B1"/>
    <w:rsid w:val="008575FE"/>
    <w:rsid w:val="008577DE"/>
    <w:rsid w:val="00857C3E"/>
    <w:rsid w:val="00857CD5"/>
    <w:rsid w:val="00857DDE"/>
    <w:rsid w:val="00860070"/>
    <w:rsid w:val="0086017C"/>
    <w:rsid w:val="008605F9"/>
    <w:rsid w:val="008607E6"/>
    <w:rsid w:val="008608CF"/>
    <w:rsid w:val="0086091B"/>
    <w:rsid w:val="00860AE9"/>
    <w:rsid w:val="00860C49"/>
    <w:rsid w:val="00860FB8"/>
    <w:rsid w:val="008610D2"/>
    <w:rsid w:val="008611DC"/>
    <w:rsid w:val="008612A2"/>
    <w:rsid w:val="008613A1"/>
    <w:rsid w:val="00861564"/>
    <w:rsid w:val="008615BE"/>
    <w:rsid w:val="00861990"/>
    <w:rsid w:val="008619BB"/>
    <w:rsid w:val="00861A84"/>
    <w:rsid w:val="00861BD4"/>
    <w:rsid w:val="0086213C"/>
    <w:rsid w:val="00862313"/>
    <w:rsid w:val="00862910"/>
    <w:rsid w:val="00862923"/>
    <w:rsid w:val="00862A0F"/>
    <w:rsid w:val="00862B80"/>
    <w:rsid w:val="00862C13"/>
    <w:rsid w:val="00862D1C"/>
    <w:rsid w:val="00862F3E"/>
    <w:rsid w:val="00862F98"/>
    <w:rsid w:val="00863123"/>
    <w:rsid w:val="00863364"/>
    <w:rsid w:val="008634CA"/>
    <w:rsid w:val="00863BB7"/>
    <w:rsid w:val="00863F1D"/>
    <w:rsid w:val="008640C2"/>
    <w:rsid w:val="008644D9"/>
    <w:rsid w:val="00864503"/>
    <w:rsid w:val="008645C0"/>
    <w:rsid w:val="0086460A"/>
    <w:rsid w:val="00864653"/>
    <w:rsid w:val="00864A37"/>
    <w:rsid w:val="00864AC6"/>
    <w:rsid w:val="00864AE5"/>
    <w:rsid w:val="00864B3E"/>
    <w:rsid w:val="00864BFC"/>
    <w:rsid w:val="00864C5F"/>
    <w:rsid w:val="00864F4E"/>
    <w:rsid w:val="00865235"/>
    <w:rsid w:val="00865533"/>
    <w:rsid w:val="008655CB"/>
    <w:rsid w:val="008656F7"/>
    <w:rsid w:val="00865A70"/>
    <w:rsid w:val="00865ECF"/>
    <w:rsid w:val="00866000"/>
    <w:rsid w:val="008665AB"/>
    <w:rsid w:val="00866882"/>
    <w:rsid w:val="00866979"/>
    <w:rsid w:val="00866A9A"/>
    <w:rsid w:val="00866E58"/>
    <w:rsid w:val="00867081"/>
    <w:rsid w:val="008673C1"/>
    <w:rsid w:val="00867456"/>
    <w:rsid w:val="008675E5"/>
    <w:rsid w:val="008676E3"/>
    <w:rsid w:val="00867757"/>
    <w:rsid w:val="00867A63"/>
    <w:rsid w:val="00867BB9"/>
    <w:rsid w:val="00867FEE"/>
    <w:rsid w:val="008700B1"/>
    <w:rsid w:val="00870251"/>
    <w:rsid w:val="00870747"/>
    <w:rsid w:val="0087077B"/>
    <w:rsid w:val="0087081C"/>
    <w:rsid w:val="0087084A"/>
    <w:rsid w:val="00870941"/>
    <w:rsid w:val="00870ABD"/>
    <w:rsid w:val="00870AC4"/>
    <w:rsid w:val="00870BB9"/>
    <w:rsid w:val="00870C71"/>
    <w:rsid w:val="00870CF7"/>
    <w:rsid w:val="00870E55"/>
    <w:rsid w:val="0087105B"/>
    <w:rsid w:val="008711A0"/>
    <w:rsid w:val="008711D5"/>
    <w:rsid w:val="00871405"/>
    <w:rsid w:val="0087177E"/>
    <w:rsid w:val="008718FD"/>
    <w:rsid w:val="00871915"/>
    <w:rsid w:val="00871D05"/>
    <w:rsid w:val="00871D48"/>
    <w:rsid w:val="00871D89"/>
    <w:rsid w:val="00871EEF"/>
    <w:rsid w:val="00871EF8"/>
    <w:rsid w:val="00871FD0"/>
    <w:rsid w:val="0087248D"/>
    <w:rsid w:val="00872651"/>
    <w:rsid w:val="00872758"/>
    <w:rsid w:val="00872D7F"/>
    <w:rsid w:val="00872DC6"/>
    <w:rsid w:val="00873167"/>
    <w:rsid w:val="0087316B"/>
    <w:rsid w:val="00873295"/>
    <w:rsid w:val="008733CA"/>
    <w:rsid w:val="00873805"/>
    <w:rsid w:val="00873AF3"/>
    <w:rsid w:val="00873F86"/>
    <w:rsid w:val="00873FB2"/>
    <w:rsid w:val="00874740"/>
    <w:rsid w:val="0087497E"/>
    <w:rsid w:val="00874BF7"/>
    <w:rsid w:val="008750AB"/>
    <w:rsid w:val="00875112"/>
    <w:rsid w:val="008756FA"/>
    <w:rsid w:val="00876598"/>
    <w:rsid w:val="00876799"/>
    <w:rsid w:val="00876A79"/>
    <w:rsid w:val="00876B89"/>
    <w:rsid w:val="00876C85"/>
    <w:rsid w:val="00876D87"/>
    <w:rsid w:val="0087707F"/>
    <w:rsid w:val="008773C8"/>
    <w:rsid w:val="00877A38"/>
    <w:rsid w:val="00877A62"/>
    <w:rsid w:val="00877CD9"/>
    <w:rsid w:val="00877D92"/>
    <w:rsid w:val="00877EE9"/>
    <w:rsid w:val="0088035F"/>
    <w:rsid w:val="0088043B"/>
    <w:rsid w:val="00880896"/>
    <w:rsid w:val="00880936"/>
    <w:rsid w:val="008809D5"/>
    <w:rsid w:val="00880C2E"/>
    <w:rsid w:val="00880CC1"/>
    <w:rsid w:val="008811A3"/>
    <w:rsid w:val="00881248"/>
    <w:rsid w:val="0088137A"/>
    <w:rsid w:val="008815D0"/>
    <w:rsid w:val="008816CA"/>
    <w:rsid w:val="008816F0"/>
    <w:rsid w:val="008817D0"/>
    <w:rsid w:val="00881942"/>
    <w:rsid w:val="0088199B"/>
    <w:rsid w:val="008819BE"/>
    <w:rsid w:val="00881BA1"/>
    <w:rsid w:val="00881D07"/>
    <w:rsid w:val="00881DE1"/>
    <w:rsid w:val="00881E34"/>
    <w:rsid w:val="00881E67"/>
    <w:rsid w:val="0088225C"/>
    <w:rsid w:val="008822B7"/>
    <w:rsid w:val="00882545"/>
    <w:rsid w:val="00882C17"/>
    <w:rsid w:val="00882DF4"/>
    <w:rsid w:val="00882F68"/>
    <w:rsid w:val="008830EA"/>
    <w:rsid w:val="0088321E"/>
    <w:rsid w:val="0088335D"/>
    <w:rsid w:val="0088341F"/>
    <w:rsid w:val="008834B6"/>
    <w:rsid w:val="008835E8"/>
    <w:rsid w:val="0088363D"/>
    <w:rsid w:val="00883723"/>
    <w:rsid w:val="00883A02"/>
    <w:rsid w:val="00883BA9"/>
    <w:rsid w:val="00884215"/>
    <w:rsid w:val="0088424B"/>
    <w:rsid w:val="0088455F"/>
    <w:rsid w:val="00884733"/>
    <w:rsid w:val="00884739"/>
    <w:rsid w:val="00884858"/>
    <w:rsid w:val="00884A2E"/>
    <w:rsid w:val="00884A32"/>
    <w:rsid w:val="00884A35"/>
    <w:rsid w:val="00884EDE"/>
    <w:rsid w:val="00885013"/>
    <w:rsid w:val="008863C8"/>
    <w:rsid w:val="008864EE"/>
    <w:rsid w:val="0088685F"/>
    <w:rsid w:val="00886938"/>
    <w:rsid w:val="00886CBE"/>
    <w:rsid w:val="00886D19"/>
    <w:rsid w:val="00886E19"/>
    <w:rsid w:val="008870A6"/>
    <w:rsid w:val="008872B4"/>
    <w:rsid w:val="008873BE"/>
    <w:rsid w:val="00887598"/>
    <w:rsid w:val="008875B7"/>
    <w:rsid w:val="008877F0"/>
    <w:rsid w:val="0088786A"/>
    <w:rsid w:val="00887AAD"/>
    <w:rsid w:val="00887BDA"/>
    <w:rsid w:val="00887DFD"/>
    <w:rsid w:val="0089054D"/>
    <w:rsid w:val="00890623"/>
    <w:rsid w:val="00890700"/>
    <w:rsid w:val="008908F4"/>
    <w:rsid w:val="0089090D"/>
    <w:rsid w:val="00890A16"/>
    <w:rsid w:val="00890CAD"/>
    <w:rsid w:val="00890D76"/>
    <w:rsid w:val="00890EDF"/>
    <w:rsid w:val="00890F26"/>
    <w:rsid w:val="00891572"/>
    <w:rsid w:val="008915F3"/>
    <w:rsid w:val="00891744"/>
    <w:rsid w:val="00892054"/>
    <w:rsid w:val="00892267"/>
    <w:rsid w:val="008922E6"/>
    <w:rsid w:val="008923BD"/>
    <w:rsid w:val="00892430"/>
    <w:rsid w:val="0089265B"/>
    <w:rsid w:val="0089282A"/>
    <w:rsid w:val="00892A7E"/>
    <w:rsid w:val="00892C02"/>
    <w:rsid w:val="00892CC6"/>
    <w:rsid w:val="00892FF8"/>
    <w:rsid w:val="008932A3"/>
    <w:rsid w:val="008932DD"/>
    <w:rsid w:val="008934CB"/>
    <w:rsid w:val="008936AB"/>
    <w:rsid w:val="008937FC"/>
    <w:rsid w:val="0089387B"/>
    <w:rsid w:val="008939AE"/>
    <w:rsid w:val="00893D00"/>
    <w:rsid w:val="00894027"/>
    <w:rsid w:val="0089431E"/>
    <w:rsid w:val="008947CA"/>
    <w:rsid w:val="0089497D"/>
    <w:rsid w:val="00894A96"/>
    <w:rsid w:val="00894D0D"/>
    <w:rsid w:val="00894D80"/>
    <w:rsid w:val="00894F7C"/>
    <w:rsid w:val="008952E3"/>
    <w:rsid w:val="0089538A"/>
    <w:rsid w:val="008955EA"/>
    <w:rsid w:val="0089560E"/>
    <w:rsid w:val="0089579A"/>
    <w:rsid w:val="00895AF0"/>
    <w:rsid w:val="00895B88"/>
    <w:rsid w:val="00895B8D"/>
    <w:rsid w:val="00895C7E"/>
    <w:rsid w:val="00895D03"/>
    <w:rsid w:val="00895DD8"/>
    <w:rsid w:val="00895F92"/>
    <w:rsid w:val="0089673E"/>
    <w:rsid w:val="0089678E"/>
    <w:rsid w:val="008969D0"/>
    <w:rsid w:val="00896C89"/>
    <w:rsid w:val="00896F56"/>
    <w:rsid w:val="0089708E"/>
    <w:rsid w:val="008971CA"/>
    <w:rsid w:val="0089789F"/>
    <w:rsid w:val="00897946"/>
    <w:rsid w:val="00897AA2"/>
    <w:rsid w:val="00897DF8"/>
    <w:rsid w:val="008A0057"/>
    <w:rsid w:val="008A01B6"/>
    <w:rsid w:val="008A023D"/>
    <w:rsid w:val="008A04BC"/>
    <w:rsid w:val="008A0691"/>
    <w:rsid w:val="008A07C1"/>
    <w:rsid w:val="008A08F0"/>
    <w:rsid w:val="008A0901"/>
    <w:rsid w:val="008A09F2"/>
    <w:rsid w:val="008A0DEC"/>
    <w:rsid w:val="008A0E1E"/>
    <w:rsid w:val="008A0EA4"/>
    <w:rsid w:val="008A1719"/>
    <w:rsid w:val="008A18A5"/>
    <w:rsid w:val="008A1BA8"/>
    <w:rsid w:val="008A1CDB"/>
    <w:rsid w:val="008A1CF5"/>
    <w:rsid w:val="008A1EFA"/>
    <w:rsid w:val="008A1FB6"/>
    <w:rsid w:val="008A21EF"/>
    <w:rsid w:val="008A2649"/>
    <w:rsid w:val="008A2735"/>
    <w:rsid w:val="008A2893"/>
    <w:rsid w:val="008A28B8"/>
    <w:rsid w:val="008A2BEE"/>
    <w:rsid w:val="008A2D5F"/>
    <w:rsid w:val="008A329E"/>
    <w:rsid w:val="008A3435"/>
    <w:rsid w:val="008A3755"/>
    <w:rsid w:val="008A389E"/>
    <w:rsid w:val="008A3948"/>
    <w:rsid w:val="008A39B7"/>
    <w:rsid w:val="008A3A57"/>
    <w:rsid w:val="008A3D29"/>
    <w:rsid w:val="008A3DCE"/>
    <w:rsid w:val="008A4040"/>
    <w:rsid w:val="008A40E7"/>
    <w:rsid w:val="008A42B9"/>
    <w:rsid w:val="008A4412"/>
    <w:rsid w:val="008A44C8"/>
    <w:rsid w:val="008A49AA"/>
    <w:rsid w:val="008A4AD5"/>
    <w:rsid w:val="008A4BA6"/>
    <w:rsid w:val="008A4CB7"/>
    <w:rsid w:val="008A4E73"/>
    <w:rsid w:val="008A55A8"/>
    <w:rsid w:val="008A566C"/>
    <w:rsid w:val="008A5A63"/>
    <w:rsid w:val="008A5C95"/>
    <w:rsid w:val="008A5D84"/>
    <w:rsid w:val="008A60B4"/>
    <w:rsid w:val="008A61BC"/>
    <w:rsid w:val="008A61C3"/>
    <w:rsid w:val="008A6245"/>
    <w:rsid w:val="008A62FF"/>
    <w:rsid w:val="008A631B"/>
    <w:rsid w:val="008A63EE"/>
    <w:rsid w:val="008A6477"/>
    <w:rsid w:val="008A6490"/>
    <w:rsid w:val="008A671A"/>
    <w:rsid w:val="008A6777"/>
    <w:rsid w:val="008A6974"/>
    <w:rsid w:val="008A6CA2"/>
    <w:rsid w:val="008A708C"/>
    <w:rsid w:val="008A71E7"/>
    <w:rsid w:val="008A72B9"/>
    <w:rsid w:val="008A738E"/>
    <w:rsid w:val="008A7396"/>
    <w:rsid w:val="008A7626"/>
    <w:rsid w:val="008A764B"/>
    <w:rsid w:val="008A7697"/>
    <w:rsid w:val="008A7870"/>
    <w:rsid w:val="008A78F5"/>
    <w:rsid w:val="008A7E05"/>
    <w:rsid w:val="008A7F26"/>
    <w:rsid w:val="008A7F27"/>
    <w:rsid w:val="008A7FC3"/>
    <w:rsid w:val="008B044D"/>
    <w:rsid w:val="008B0451"/>
    <w:rsid w:val="008B06C6"/>
    <w:rsid w:val="008B08DD"/>
    <w:rsid w:val="008B097F"/>
    <w:rsid w:val="008B0B5E"/>
    <w:rsid w:val="008B0DB6"/>
    <w:rsid w:val="008B1004"/>
    <w:rsid w:val="008B1164"/>
    <w:rsid w:val="008B134B"/>
    <w:rsid w:val="008B153E"/>
    <w:rsid w:val="008B1783"/>
    <w:rsid w:val="008B17A9"/>
    <w:rsid w:val="008B18DA"/>
    <w:rsid w:val="008B1F92"/>
    <w:rsid w:val="008B275E"/>
    <w:rsid w:val="008B2A2F"/>
    <w:rsid w:val="008B2A49"/>
    <w:rsid w:val="008B2A4E"/>
    <w:rsid w:val="008B2AAC"/>
    <w:rsid w:val="008B2BB7"/>
    <w:rsid w:val="008B2C69"/>
    <w:rsid w:val="008B2C90"/>
    <w:rsid w:val="008B31F2"/>
    <w:rsid w:val="008B3278"/>
    <w:rsid w:val="008B3304"/>
    <w:rsid w:val="008B36C3"/>
    <w:rsid w:val="008B3929"/>
    <w:rsid w:val="008B3F26"/>
    <w:rsid w:val="008B4008"/>
    <w:rsid w:val="008B4153"/>
    <w:rsid w:val="008B42D1"/>
    <w:rsid w:val="008B43E1"/>
    <w:rsid w:val="008B455D"/>
    <w:rsid w:val="008B49DC"/>
    <w:rsid w:val="008B49F0"/>
    <w:rsid w:val="008B4A73"/>
    <w:rsid w:val="008B4B14"/>
    <w:rsid w:val="008B4BFF"/>
    <w:rsid w:val="008B4DDD"/>
    <w:rsid w:val="008B4F50"/>
    <w:rsid w:val="008B4F53"/>
    <w:rsid w:val="008B4F84"/>
    <w:rsid w:val="008B525D"/>
    <w:rsid w:val="008B5437"/>
    <w:rsid w:val="008B5F8E"/>
    <w:rsid w:val="008B62ED"/>
    <w:rsid w:val="008B66EE"/>
    <w:rsid w:val="008B67D1"/>
    <w:rsid w:val="008B687E"/>
    <w:rsid w:val="008B6C2F"/>
    <w:rsid w:val="008B6D27"/>
    <w:rsid w:val="008B71E7"/>
    <w:rsid w:val="008B7230"/>
    <w:rsid w:val="008B7273"/>
    <w:rsid w:val="008B7311"/>
    <w:rsid w:val="008B7508"/>
    <w:rsid w:val="008B75FE"/>
    <w:rsid w:val="008B7A03"/>
    <w:rsid w:val="008B7A3E"/>
    <w:rsid w:val="008B7AC3"/>
    <w:rsid w:val="008B7B97"/>
    <w:rsid w:val="008C0062"/>
    <w:rsid w:val="008C0280"/>
    <w:rsid w:val="008C02B9"/>
    <w:rsid w:val="008C0430"/>
    <w:rsid w:val="008C0808"/>
    <w:rsid w:val="008C089A"/>
    <w:rsid w:val="008C09B6"/>
    <w:rsid w:val="008C0DC5"/>
    <w:rsid w:val="008C0EF5"/>
    <w:rsid w:val="008C11D7"/>
    <w:rsid w:val="008C12A2"/>
    <w:rsid w:val="008C1C3D"/>
    <w:rsid w:val="008C22B3"/>
    <w:rsid w:val="008C22FB"/>
    <w:rsid w:val="008C2314"/>
    <w:rsid w:val="008C26D7"/>
    <w:rsid w:val="008C273B"/>
    <w:rsid w:val="008C278F"/>
    <w:rsid w:val="008C2D15"/>
    <w:rsid w:val="008C2E01"/>
    <w:rsid w:val="008C2E12"/>
    <w:rsid w:val="008C308D"/>
    <w:rsid w:val="008C32F4"/>
    <w:rsid w:val="008C361D"/>
    <w:rsid w:val="008C391E"/>
    <w:rsid w:val="008C3BDD"/>
    <w:rsid w:val="008C413B"/>
    <w:rsid w:val="008C41AF"/>
    <w:rsid w:val="008C431B"/>
    <w:rsid w:val="008C453E"/>
    <w:rsid w:val="008C467C"/>
    <w:rsid w:val="008C46B9"/>
    <w:rsid w:val="008C46C5"/>
    <w:rsid w:val="008C4812"/>
    <w:rsid w:val="008C49F6"/>
    <w:rsid w:val="008C4B94"/>
    <w:rsid w:val="008C4BDA"/>
    <w:rsid w:val="008C4C4F"/>
    <w:rsid w:val="008C4D2D"/>
    <w:rsid w:val="008C4DB8"/>
    <w:rsid w:val="008C5146"/>
    <w:rsid w:val="008C54C1"/>
    <w:rsid w:val="008C58CF"/>
    <w:rsid w:val="008C602C"/>
    <w:rsid w:val="008C61CA"/>
    <w:rsid w:val="008C63F9"/>
    <w:rsid w:val="008C6550"/>
    <w:rsid w:val="008C68F5"/>
    <w:rsid w:val="008C6E62"/>
    <w:rsid w:val="008C6F17"/>
    <w:rsid w:val="008C7030"/>
    <w:rsid w:val="008C7215"/>
    <w:rsid w:val="008C73D0"/>
    <w:rsid w:val="008C758E"/>
    <w:rsid w:val="008C7902"/>
    <w:rsid w:val="008C7A0E"/>
    <w:rsid w:val="008C7AFE"/>
    <w:rsid w:val="008C7BDA"/>
    <w:rsid w:val="008C7BE2"/>
    <w:rsid w:val="008C7E4C"/>
    <w:rsid w:val="008D007B"/>
    <w:rsid w:val="008D022F"/>
    <w:rsid w:val="008D076E"/>
    <w:rsid w:val="008D0783"/>
    <w:rsid w:val="008D07B7"/>
    <w:rsid w:val="008D08A5"/>
    <w:rsid w:val="008D09F9"/>
    <w:rsid w:val="008D0B4A"/>
    <w:rsid w:val="008D0B5E"/>
    <w:rsid w:val="008D1016"/>
    <w:rsid w:val="008D123E"/>
    <w:rsid w:val="008D1254"/>
    <w:rsid w:val="008D1534"/>
    <w:rsid w:val="008D15AA"/>
    <w:rsid w:val="008D1798"/>
    <w:rsid w:val="008D17DC"/>
    <w:rsid w:val="008D1963"/>
    <w:rsid w:val="008D199D"/>
    <w:rsid w:val="008D1CD5"/>
    <w:rsid w:val="008D22E3"/>
    <w:rsid w:val="008D24EB"/>
    <w:rsid w:val="008D26B1"/>
    <w:rsid w:val="008D2915"/>
    <w:rsid w:val="008D2BC6"/>
    <w:rsid w:val="008D2C15"/>
    <w:rsid w:val="008D2EA1"/>
    <w:rsid w:val="008D2F5F"/>
    <w:rsid w:val="008D311E"/>
    <w:rsid w:val="008D31D5"/>
    <w:rsid w:val="008D3896"/>
    <w:rsid w:val="008D3CFF"/>
    <w:rsid w:val="008D3E2A"/>
    <w:rsid w:val="008D40B4"/>
    <w:rsid w:val="008D41FA"/>
    <w:rsid w:val="008D45B7"/>
    <w:rsid w:val="008D4A6E"/>
    <w:rsid w:val="008D4AB6"/>
    <w:rsid w:val="008D4F26"/>
    <w:rsid w:val="008D503F"/>
    <w:rsid w:val="008D5385"/>
    <w:rsid w:val="008D578A"/>
    <w:rsid w:val="008D599D"/>
    <w:rsid w:val="008D5BF4"/>
    <w:rsid w:val="008D5EC6"/>
    <w:rsid w:val="008D5F74"/>
    <w:rsid w:val="008D61FE"/>
    <w:rsid w:val="008D624A"/>
    <w:rsid w:val="008D62FB"/>
    <w:rsid w:val="008D678C"/>
    <w:rsid w:val="008D67D3"/>
    <w:rsid w:val="008D67F1"/>
    <w:rsid w:val="008D680E"/>
    <w:rsid w:val="008D68A9"/>
    <w:rsid w:val="008D6965"/>
    <w:rsid w:val="008D6B42"/>
    <w:rsid w:val="008D6C92"/>
    <w:rsid w:val="008D6D5E"/>
    <w:rsid w:val="008D7199"/>
    <w:rsid w:val="008D71EE"/>
    <w:rsid w:val="008D74E4"/>
    <w:rsid w:val="008D7909"/>
    <w:rsid w:val="008D79E2"/>
    <w:rsid w:val="008D7FA3"/>
    <w:rsid w:val="008E01C2"/>
    <w:rsid w:val="008E05BC"/>
    <w:rsid w:val="008E05FF"/>
    <w:rsid w:val="008E08AE"/>
    <w:rsid w:val="008E0CBA"/>
    <w:rsid w:val="008E0D36"/>
    <w:rsid w:val="008E0D70"/>
    <w:rsid w:val="008E0E7D"/>
    <w:rsid w:val="008E116E"/>
    <w:rsid w:val="008E14B0"/>
    <w:rsid w:val="008E18E4"/>
    <w:rsid w:val="008E1C17"/>
    <w:rsid w:val="008E1C58"/>
    <w:rsid w:val="008E1CA0"/>
    <w:rsid w:val="008E1F3E"/>
    <w:rsid w:val="008E2266"/>
    <w:rsid w:val="008E233D"/>
    <w:rsid w:val="008E26C0"/>
    <w:rsid w:val="008E285C"/>
    <w:rsid w:val="008E2944"/>
    <w:rsid w:val="008E29FB"/>
    <w:rsid w:val="008E2BDC"/>
    <w:rsid w:val="008E2CAD"/>
    <w:rsid w:val="008E2D53"/>
    <w:rsid w:val="008E2DB8"/>
    <w:rsid w:val="008E30EC"/>
    <w:rsid w:val="008E33E5"/>
    <w:rsid w:val="008E34D7"/>
    <w:rsid w:val="008E36FA"/>
    <w:rsid w:val="008E39D2"/>
    <w:rsid w:val="008E3C18"/>
    <w:rsid w:val="008E3EED"/>
    <w:rsid w:val="008E3F37"/>
    <w:rsid w:val="008E41F4"/>
    <w:rsid w:val="008E422E"/>
    <w:rsid w:val="008E482C"/>
    <w:rsid w:val="008E4B03"/>
    <w:rsid w:val="008E4BA6"/>
    <w:rsid w:val="008E4CC3"/>
    <w:rsid w:val="008E4EE2"/>
    <w:rsid w:val="008E4F49"/>
    <w:rsid w:val="008E513B"/>
    <w:rsid w:val="008E531B"/>
    <w:rsid w:val="008E53E5"/>
    <w:rsid w:val="008E5706"/>
    <w:rsid w:val="008E5778"/>
    <w:rsid w:val="008E588C"/>
    <w:rsid w:val="008E588E"/>
    <w:rsid w:val="008E5B09"/>
    <w:rsid w:val="008E5BA7"/>
    <w:rsid w:val="008E5DB5"/>
    <w:rsid w:val="008E5F67"/>
    <w:rsid w:val="008E60AC"/>
    <w:rsid w:val="008E60EA"/>
    <w:rsid w:val="008E6164"/>
    <w:rsid w:val="008E6262"/>
    <w:rsid w:val="008E63A5"/>
    <w:rsid w:val="008E63E0"/>
    <w:rsid w:val="008E67AB"/>
    <w:rsid w:val="008E68BA"/>
    <w:rsid w:val="008E6D51"/>
    <w:rsid w:val="008E6F0A"/>
    <w:rsid w:val="008E709E"/>
    <w:rsid w:val="008E71FA"/>
    <w:rsid w:val="008E77EC"/>
    <w:rsid w:val="008E7A13"/>
    <w:rsid w:val="008E7D2C"/>
    <w:rsid w:val="008E7D71"/>
    <w:rsid w:val="008E7DBA"/>
    <w:rsid w:val="008E7FF3"/>
    <w:rsid w:val="008F0177"/>
    <w:rsid w:val="008F0529"/>
    <w:rsid w:val="008F0724"/>
    <w:rsid w:val="008F07AD"/>
    <w:rsid w:val="008F0DB9"/>
    <w:rsid w:val="008F13CD"/>
    <w:rsid w:val="008F145D"/>
    <w:rsid w:val="008F17AD"/>
    <w:rsid w:val="008F1865"/>
    <w:rsid w:val="008F1B94"/>
    <w:rsid w:val="008F2218"/>
    <w:rsid w:val="008F233C"/>
    <w:rsid w:val="008F2584"/>
    <w:rsid w:val="008F2B7A"/>
    <w:rsid w:val="008F2BC9"/>
    <w:rsid w:val="008F2D5C"/>
    <w:rsid w:val="008F304B"/>
    <w:rsid w:val="008F30E3"/>
    <w:rsid w:val="008F317B"/>
    <w:rsid w:val="008F331C"/>
    <w:rsid w:val="008F39A3"/>
    <w:rsid w:val="008F3B1E"/>
    <w:rsid w:val="008F3C73"/>
    <w:rsid w:val="008F3C8A"/>
    <w:rsid w:val="008F4176"/>
    <w:rsid w:val="008F4267"/>
    <w:rsid w:val="008F435B"/>
    <w:rsid w:val="008F43DC"/>
    <w:rsid w:val="008F4415"/>
    <w:rsid w:val="008F498F"/>
    <w:rsid w:val="008F499C"/>
    <w:rsid w:val="008F4A4D"/>
    <w:rsid w:val="008F4AF7"/>
    <w:rsid w:val="008F4BEF"/>
    <w:rsid w:val="008F4CC5"/>
    <w:rsid w:val="008F4CF5"/>
    <w:rsid w:val="008F4DA1"/>
    <w:rsid w:val="008F4E4E"/>
    <w:rsid w:val="008F4EE4"/>
    <w:rsid w:val="008F4F25"/>
    <w:rsid w:val="008F4FB5"/>
    <w:rsid w:val="008F51D9"/>
    <w:rsid w:val="008F56FB"/>
    <w:rsid w:val="008F5951"/>
    <w:rsid w:val="008F5C44"/>
    <w:rsid w:val="008F5D5A"/>
    <w:rsid w:val="008F5DE8"/>
    <w:rsid w:val="008F5EBC"/>
    <w:rsid w:val="008F5ED3"/>
    <w:rsid w:val="008F60D4"/>
    <w:rsid w:val="008F617B"/>
    <w:rsid w:val="008F632A"/>
    <w:rsid w:val="008F6763"/>
    <w:rsid w:val="008F6A11"/>
    <w:rsid w:val="008F6B3A"/>
    <w:rsid w:val="008F70F1"/>
    <w:rsid w:val="008F70FD"/>
    <w:rsid w:val="008F71EF"/>
    <w:rsid w:val="008F725C"/>
    <w:rsid w:val="008F75B5"/>
    <w:rsid w:val="008F75C9"/>
    <w:rsid w:val="00900193"/>
    <w:rsid w:val="00900275"/>
    <w:rsid w:val="00900422"/>
    <w:rsid w:val="009007A1"/>
    <w:rsid w:val="00900CC3"/>
    <w:rsid w:val="00900D46"/>
    <w:rsid w:val="00900F9B"/>
    <w:rsid w:val="00901025"/>
    <w:rsid w:val="00901041"/>
    <w:rsid w:val="009011ED"/>
    <w:rsid w:val="0090142E"/>
    <w:rsid w:val="00901523"/>
    <w:rsid w:val="0090155D"/>
    <w:rsid w:val="00901D62"/>
    <w:rsid w:val="00901D88"/>
    <w:rsid w:val="00901E8F"/>
    <w:rsid w:val="00902076"/>
    <w:rsid w:val="00902157"/>
    <w:rsid w:val="00902182"/>
    <w:rsid w:val="00902547"/>
    <w:rsid w:val="00902CB0"/>
    <w:rsid w:val="0090308E"/>
    <w:rsid w:val="00903103"/>
    <w:rsid w:val="009033CD"/>
    <w:rsid w:val="00903413"/>
    <w:rsid w:val="00903763"/>
    <w:rsid w:val="009039D3"/>
    <w:rsid w:val="0090414E"/>
    <w:rsid w:val="00904399"/>
    <w:rsid w:val="009043EF"/>
    <w:rsid w:val="0090446D"/>
    <w:rsid w:val="00904552"/>
    <w:rsid w:val="00904B23"/>
    <w:rsid w:val="00904D11"/>
    <w:rsid w:val="00904DD4"/>
    <w:rsid w:val="00904E1A"/>
    <w:rsid w:val="0090508B"/>
    <w:rsid w:val="00905097"/>
    <w:rsid w:val="009051F9"/>
    <w:rsid w:val="0090531B"/>
    <w:rsid w:val="00905398"/>
    <w:rsid w:val="0090543D"/>
    <w:rsid w:val="00905672"/>
    <w:rsid w:val="00905C42"/>
    <w:rsid w:val="009060BD"/>
    <w:rsid w:val="00906172"/>
    <w:rsid w:val="00906189"/>
    <w:rsid w:val="00906194"/>
    <w:rsid w:val="009067F6"/>
    <w:rsid w:val="00906835"/>
    <w:rsid w:val="00906A37"/>
    <w:rsid w:val="00906CB2"/>
    <w:rsid w:val="00906E37"/>
    <w:rsid w:val="00906E5C"/>
    <w:rsid w:val="00907143"/>
    <w:rsid w:val="00907318"/>
    <w:rsid w:val="00907372"/>
    <w:rsid w:val="0090748A"/>
    <w:rsid w:val="00907832"/>
    <w:rsid w:val="00907B80"/>
    <w:rsid w:val="00907D6C"/>
    <w:rsid w:val="00907E21"/>
    <w:rsid w:val="00907E3C"/>
    <w:rsid w:val="00907E48"/>
    <w:rsid w:val="009105E8"/>
    <w:rsid w:val="009106AC"/>
    <w:rsid w:val="009106FF"/>
    <w:rsid w:val="009108AD"/>
    <w:rsid w:val="00910933"/>
    <w:rsid w:val="00910A83"/>
    <w:rsid w:val="00910C98"/>
    <w:rsid w:val="00910CE2"/>
    <w:rsid w:val="00910EC2"/>
    <w:rsid w:val="00911139"/>
    <w:rsid w:val="009112BE"/>
    <w:rsid w:val="00911355"/>
    <w:rsid w:val="009114D8"/>
    <w:rsid w:val="00911685"/>
    <w:rsid w:val="00911948"/>
    <w:rsid w:val="00911B36"/>
    <w:rsid w:val="00911B84"/>
    <w:rsid w:val="00911CEF"/>
    <w:rsid w:val="009121DA"/>
    <w:rsid w:val="0091231D"/>
    <w:rsid w:val="009125B6"/>
    <w:rsid w:val="00912664"/>
    <w:rsid w:val="00912670"/>
    <w:rsid w:val="00912695"/>
    <w:rsid w:val="00912AB9"/>
    <w:rsid w:val="00912F96"/>
    <w:rsid w:val="00913006"/>
    <w:rsid w:val="00913053"/>
    <w:rsid w:val="00913241"/>
    <w:rsid w:val="009136B7"/>
    <w:rsid w:val="00914098"/>
    <w:rsid w:val="0091420A"/>
    <w:rsid w:val="00914278"/>
    <w:rsid w:val="009142E0"/>
    <w:rsid w:val="00914820"/>
    <w:rsid w:val="00914867"/>
    <w:rsid w:val="009148BE"/>
    <w:rsid w:val="00914B1A"/>
    <w:rsid w:val="00914E7C"/>
    <w:rsid w:val="00914F2F"/>
    <w:rsid w:val="009154B5"/>
    <w:rsid w:val="009158EE"/>
    <w:rsid w:val="00915BD6"/>
    <w:rsid w:val="00915BEF"/>
    <w:rsid w:val="00915C25"/>
    <w:rsid w:val="00915C78"/>
    <w:rsid w:val="00915E41"/>
    <w:rsid w:val="00916049"/>
    <w:rsid w:val="00916242"/>
    <w:rsid w:val="009165D9"/>
    <w:rsid w:val="00916716"/>
    <w:rsid w:val="0091674F"/>
    <w:rsid w:val="00916998"/>
    <w:rsid w:val="00916C26"/>
    <w:rsid w:val="00916C3C"/>
    <w:rsid w:val="00916D18"/>
    <w:rsid w:val="00916ED9"/>
    <w:rsid w:val="00916EF8"/>
    <w:rsid w:val="00917367"/>
    <w:rsid w:val="009175E9"/>
    <w:rsid w:val="00917EAA"/>
    <w:rsid w:val="00920487"/>
    <w:rsid w:val="0092059E"/>
    <w:rsid w:val="00920701"/>
    <w:rsid w:val="009207E6"/>
    <w:rsid w:val="00920AEE"/>
    <w:rsid w:val="00920BA9"/>
    <w:rsid w:val="00920BAD"/>
    <w:rsid w:val="00920D5F"/>
    <w:rsid w:val="00920F05"/>
    <w:rsid w:val="00920F3E"/>
    <w:rsid w:val="009211FE"/>
    <w:rsid w:val="0092145F"/>
    <w:rsid w:val="009214E8"/>
    <w:rsid w:val="00921532"/>
    <w:rsid w:val="00921C22"/>
    <w:rsid w:val="00921C6D"/>
    <w:rsid w:val="009221AF"/>
    <w:rsid w:val="009223B5"/>
    <w:rsid w:val="009225A2"/>
    <w:rsid w:val="009225B1"/>
    <w:rsid w:val="0092288F"/>
    <w:rsid w:val="00922892"/>
    <w:rsid w:val="009228A4"/>
    <w:rsid w:val="009229BA"/>
    <w:rsid w:val="009229FA"/>
    <w:rsid w:val="00922AD5"/>
    <w:rsid w:val="00922D8A"/>
    <w:rsid w:val="00922FF7"/>
    <w:rsid w:val="0092306A"/>
    <w:rsid w:val="009232B4"/>
    <w:rsid w:val="00923320"/>
    <w:rsid w:val="009233BD"/>
    <w:rsid w:val="009235AC"/>
    <w:rsid w:val="009238E3"/>
    <w:rsid w:val="00923FC9"/>
    <w:rsid w:val="00924013"/>
    <w:rsid w:val="009240C4"/>
    <w:rsid w:val="009240CC"/>
    <w:rsid w:val="00924132"/>
    <w:rsid w:val="0092459B"/>
    <w:rsid w:val="00924655"/>
    <w:rsid w:val="00924784"/>
    <w:rsid w:val="00924AB6"/>
    <w:rsid w:val="00924F0A"/>
    <w:rsid w:val="00924F40"/>
    <w:rsid w:val="00924FD0"/>
    <w:rsid w:val="009252D9"/>
    <w:rsid w:val="0092531A"/>
    <w:rsid w:val="0092547B"/>
    <w:rsid w:val="009256B4"/>
    <w:rsid w:val="009259C8"/>
    <w:rsid w:val="00925A3A"/>
    <w:rsid w:val="00925A72"/>
    <w:rsid w:val="00925B18"/>
    <w:rsid w:val="00925DFA"/>
    <w:rsid w:val="00925E23"/>
    <w:rsid w:val="00925EA4"/>
    <w:rsid w:val="0092605F"/>
    <w:rsid w:val="009262A4"/>
    <w:rsid w:val="00926433"/>
    <w:rsid w:val="009264A9"/>
    <w:rsid w:val="009264F2"/>
    <w:rsid w:val="00926517"/>
    <w:rsid w:val="009265F8"/>
    <w:rsid w:val="00926AB2"/>
    <w:rsid w:val="00926E1A"/>
    <w:rsid w:val="009270CE"/>
    <w:rsid w:val="00927219"/>
    <w:rsid w:val="00927227"/>
    <w:rsid w:val="009275B6"/>
    <w:rsid w:val="00927AF8"/>
    <w:rsid w:val="00927BFF"/>
    <w:rsid w:val="00927D08"/>
    <w:rsid w:val="00927D17"/>
    <w:rsid w:val="00927E8D"/>
    <w:rsid w:val="0093006E"/>
    <w:rsid w:val="0093017E"/>
    <w:rsid w:val="00930322"/>
    <w:rsid w:val="00930432"/>
    <w:rsid w:val="00930572"/>
    <w:rsid w:val="009306F2"/>
    <w:rsid w:val="009309AE"/>
    <w:rsid w:val="00930B63"/>
    <w:rsid w:val="00930F0C"/>
    <w:rsid w:val="00930F6A"/>
    <w:rsid w:val="009310D5"/>
    <w:rsid w:val="00931174"/>
    <w:rsid w:val="0093134C"/>
    <w:rsid w:val="0093138F"/>
    <w:rsid w:val="00931423"/>
    <w:rsid w:val="0093153F"/>
    <w:rsid w:val="00931549"/>
    <w:rsid w:val="00931617"/>
    <w:rsid w:val="009317C9"/>
    <w:rsid w:val="00931823"/>
    <w:rsid w:val="009319CA"/>
    <w:rsid w:val="00931C46"/>
    <w:rsid w:val="00931F10"/>
    <w:rsid w:val="009323E0"/>
    <w:rsid w:val="0093248A"/>
    <w:rsid w:val="0093254F"/>
    <w:rsid w:val="009325AC"/>
    <w:rsid w:val="00932CB5"/>
    <w:rsid w:val="0093321D"/>
    <w:rsid w:val="0093344C"/>
    <w:rsid w:val="009334A8"/>
    <w:rsid w:val="009334E1"/>
    <w:rsid w:val="009335F1"/>
    <w:rsid w:val="00933726"/>
    <w:rsid w:val="00933976"/>
    <w:rsid w:val="00933D3C"/>
    <w:rsid w:val="00933F5F"/>
    <w:rsid w:val="0093401B"/>
    <w:rsid w:val="00934708"/>
    <w:rsid w:val="009347C6"/>
    <w:rsid w:val="009347FD"/>
    <w:rsid w:val="00934A29"/>
    <w:rsid w:val="00934C00"/>
    <w:rsid w:val="00934C48"/>
    <w:rsid w:val="00934FA8"/>
    <w:rsid w:val="00935000"/>
    <w:rsid w:val="00935055"/>
    <w:rsid w:val="009351E4"/>
    <w:rsid w:val="00935272"/>
    <w:rsid w:val="0093567C"/>
    <w:rsid w:val="009356A9"/>
    <w:rsid w:val="0093571E"/>
    <w:rsid w:val="009358D6"/>
    <w:rsid w:val="0093592E"/>
    <w:rsid w:val="00935DE9"/>
    <w:rsid w:val="00935E24"/>
    <w:rsid w:val="00936247"/>
    <w:rsid w:val="00936532"/>
    <w:rsid w:val="009368C3"/>
    <w:rsid w:val="00936AF0"/>
    <w:rsid w:val="00936F1E"/>
    <w:rsid w:val="00936F5F"/>
    <w:rsid w:val="0093710F"/>
    <w:rsid w:val="00937239"/>
    <w:rsid w:val="009373E5"/>
    <w:rsid w:val="009373F1"/>
    <w:rsid w:val="009375E8"/>
    <w:rsid w:val="009376D2"/>
    <w:rsid w:val="0093793C"/>
    <w:rsid w:val="00937D41"/>
    <w:rsid w:val="00937E26"/>
    <w:rsid w:val="0094001A"/>
    <w:rsid w:val="0094005B"/>
    <w:rsid w:val="0094022E"/>
    <w:rsid w:val="00940CD2"/>
    <w:rsid w:val="00940D90"/>
    <w:rsid w:val="00940DDC"/>
    <w:rsid w:val="00940E06"/>
    <w:rsid w:val="00940E1E"/>
    <w:rsid w:val="00940E47"/>
    <w:rsid w:val="00940FD8"/>
    <w:rsid w:val="0094102D"/>
    <w:rsid w:val="00941045"/>
    <w:rsid w:val="00941206"/>
    <w:rsid w:val="00941328"/>
    <w:rsid w:val="00941368"/>
    <w:rsid w:val="0094144E"/>
    <w:rsid w:val="0094165A"/>
    <w:rsid w:val="009418CD"/>
    <w:rsid w:val="00941A12"/>
    <w:rsid w:val="00941CC7"/>
    <w:rsid w:val="00941D0D"/>
    <w:rsid w:val="00941DE3"/>
    <w:rsid w:val="0094203C"/>
    <w:rsid w:val="009420C8"/>
    <w:rsid w:val="009423A6"/>
    <w:rsid w:val="0094260F"/>
    <w:rsid w:val="0094263B"/>
    <w:rsid w:val="0094266A"/>
    <w:rsid w:val="009426CA"/>
    <w:rsid w:val="00942CFE"/>
    <w:rsid w:val="00942D6B"/>
    <w:rsid w:val="00942F33"/>
    <w:rsid w:val="0094310E"/>
    <w:rsid w:val="00943569"/>
    <w:rsid w:val="00943616"/>
    <w:rsid w:val="009436FC"/>
    <w:rsid w:val="0094393F"/>
    <w:rsid w:val="00943B4A"/>
    <w:rsid w:val="00943C75"/>
    <w:rsid w:val="00943CBF"/>
    <w:rsid w:val="00943D78"/>
    <w:rsid w:val="00943DD1"/>
    <w:rsid w:val="009444C7"/>
    <w:rsid w:val="0094450D"/>
    <w:rsid w:val="009446CE"/>
    <w:rsid w:val="009447A7"/>
    <w:rsid w:val="00944A8E"/>
    <w:rsid w:val="00944CF7"/>
    <w:rsid w:val="00945411"/>
    <w:rsid w:val="00945418"/>
    <w:rsid w:val="009455C1"/>
    <w:rsid w:val="00945680"/>
    <w:rsid w:val="009458D9"/>
    <w:rsid w:val="009459DD"/>
    <w:rsid w:val="009459E1"/>
    <w:rsid w:val="00945D92"/>
    <w:rsid w:val="00945E99"/>
    <w:rsid w:val="00945FA2"/>
    <w:rsid w:val="00945FD2"/>
    <w:rsid w:val="00946031"/>
    <w:rsid w:val="00946124"/>
    <w:rsid w:val="009461BF"/>
    <w:rsid w:val="0094662D"/>
    <w:rsid w:val="00946B48"/>
    <w:rsid w:val="00946BAC"/>
    <w:rsid w:val="00946C86"/>
    <w:rsid w:val="00946DCF"/>
    <w:rsid w:val="00947060"/>
    <w:rsid w:val="009470BE"/>
    <w:rsid w:val="0094718A"/>
    <w:rsid w:val="009472B7"/>
    <w:rsid w:val="00950163"/>
    <w:rsid w:val="00950282"/>
    <w:rsid w:val="009502E2"/>
    <w:rsid w:val="0095040F"/>
    <w:rsid w:val="00950690"/>
    <w:rsid w:val="00950ACB"/>
    <w:rsid w:val="00950B60"/>
    <w:rsid w:val="00950CE8"/>
    <w:rsid w:val="00950F0A"/>
    <w:rsid w:val="00951070"/>
    <w:rsid w:val="0095128E"/>
    <w:rsid w:val="009512D9"/>
    <w:rsid w:val="00951AFE"/>
    <w:rsid w:val="00951BB4"/>
    <w:rsid w:val="00951D41"/>
    <w:rsid w:val="00952004"/>
    <w:rsid w:val="0095205E"/>
    <w:rsid w:val="009520AF"/>
    <w:rsid w:val="0095226D"/>
    <w:rsid w:val="00952600"/>
    <w:rsid w:val="009529C8"/>
    <w:rsid w:val="00952B51"/>
    <w:rsid w:val="00952EC5"/>
    <w:rsid w:val="009533E1"/>
    <w:rsid w:val="009535E4"/>
    <w:rsid w:val="00953750"/>
    <w:rsid w:val="00953982"/>
    <w:rsid w:val="00953B9B"/>
    <w:rsid w:val="00953D3D"/>
    <w:rsid w:val="00953D72"/>
    <w:rsid w:val="00953E1E"/>
    <w:rsid w:val="00953F45"/>
    <w:rsid w:val="00954113"/>
    <w:rsid w:val="009546EC"/>
    <w:rsid w:val="0095474D"/>
    <w:rsid w:val="00954776"/>
    <w:rsid w:val="00954846"/>
    <w:rsid w:val="00954ACB"/>
    <w:rsid w:val="00954E6C"/>
    <w:rsid w:val="00954F19"/>
    <w:rsid w:val="009551BC"/>
    <w:rsid w:val="009552D9"/>
    <w:rsid w:val="0095538F"/>
    <w:rsid w:val="00955718"/>
    <w:rsid w:val="0095574E"/>
    <w:rsid w:val="009557D2"/>
    <w:rsid w:val="00955BBA"/>
    <w:rsid w:val="00955D57"/>
    <w:rsid w:val="00955E56"/>
    <w:rsid w:val="00955EC7"/>
    <w:rsid w:val="00956075"/>
    <w:rsid w:val="00956379"/>
    <w:rsid w:val="009565D5"/>
    <w:rsid w:val="009567BC"/>
    <w:rsid w:val="009568F5"/>
    <w:rsid w:val="009568FD"/>
    <w:rsid w:val="00956996"/>
    <w:rsid w:val="00956A2C"/>
    <w:rsid w:val="00956E9E"/>
    <w:rsid w:val="00956EAA"/>
    <w:rsid w:val="00956FF4"/>
    <w:rsid w:val="00957048"/>
    <w:rsid w:val="009572D0"/>
    <w:rsid w:val="009573E7"/>
    <w:rsid w:val="009574E7"/>
    <w:rsid w:val="009576E1"/>
    <w:rsid w:val="009577DA"/>
    <w:rsid w:val="009577EA"/>
    <w:rsid w:val="00957812"/>
    <w:rsid w:val="009578CF"/>
    <w:rsid w:val="00957BAC"/>
    <w:rsid w:val="00957DDD"/>
    <w:rsid w:val="0096023A"/>
    <w:rsid w:val="0096025F"/>
    <w:rsid w:val="00960683"/>
    <w:rsid w:val="0096070B"/>
    <w:rsid w:val="009607F7"/>
    <w:rsid w:val="00960850"/>
    <w:rsid w:val="00960F76"/>
    <w:rsid w:val="00961007"/>
    <w:rsid w:val="00961114"/>
    <w:rsid w:val="009611FB"/>
    <w:rsid w:val="00961204"/>
    <w:rsid w:val="0096123F"/>
    <w:rsid w:val="0096168D"/>
    <w:rsid w:val="0096180B"/>
    <w:rsid w:val="009618C3"/>
    <w:rsid w:val="00961919"/>
    <w:rsid w:val="00961AED"/>
    <w:rsid w:val="00961B9B"/>
    <w:rsid w:val="00961BC9"/>
    <w:rsid w:val="00962305"/>
    <w:rsid w:val="00962321"/>
    <w:rsid w:val="0096235D"/>
    <w:rsid w:val="009623CE"/>
    <w:rsid w:val="0096245D"/>
    <w:rsid w:val="0096269A"/>
    <w:rsid w:val="00962E4D"/>
    <w:rsid w:val="00963117"/>
    <w:rsid w:val="0096318F"/>
    <w:rsid w:val="009634C9"/>
    <w:rsid w:val="009636E6"/>
    <w:rsid w:val="00963836"/>
    <w:rsid w:val="00963B2E"/>
    <w:rsid w:val="00963BEB"/>
    <w:rsid w:val="00963E09"/>
    <w:rsid w:val="00963F1E"/>
    <w:rsid w:val="00964012"/>
    <w:rsid w:val="00964324"/>
    <w:rsid w:val="0096479F"/>
    <w:rsid w:val="009647BC"/>
    <w:rsid w:val="00964AE8"/>
    <w:rsid w:val="00964C2A"/>
    <w:rsid w:val="00964C45"/>
    <w:rsid w:val="00964D23"/>
    <w:rsid w:val="00964F2C"/>
    <w:rsid w:val="00964FCF"/>
    <w:rsid w:val="0096530D"/>
    <w:rsid w:val="00965500"/>
    <w:rsid w:val="0096583D"/>
    <w:rsid w:val="00965C69"/>
    <w:rsid w:val="009660E7"/>
    <w:rsid w:val="00966263"/>
    <w:rsid w:val="0096646F"/>
    <w:rsid w:val="00966520"/>
    <w:rsid w:val="0096655D"/>
    <w:rsid w:val="0096694F"/>
    <w:rsid w:val="009669AE"/>
    <w:rsid w:val="00966A1B"/>
    <w:rsid w:val="00966CF6"/>
    <w:rsid w:val="00966E75"/>
    <w:rsid w:val="00966EE4"/>
    <w:rsid w:val="00967604"/>
    <w:rsid w:val="009678AB"/>
    <w:rsid w:val="00967962"/>
    <w:rsid w:val="00967A0F"/>
    <w:rsid w:val="00967C0B"/>
    <w:rsid w:val="00967C38"/>
    <w:rsid w:val="00967CE6"/>
    <w:rsid w:val="0097018F"/>
    <w:rsid w:val="00970667"/>
    <w:rsid w:val="0097081C"/>
    <w:rsid w:val="009709B3"/>
    <w:rsid w:val="009709EF"/>
    <w:rsid w:val="00970B24"/>
    <w:rsid w:val="00970C60"/>
    <w:rsid w:val="00970C9B"/>
    <w:rsid w:val="009710F6"/>
    <w:rsid w:val="0097123F"/>
    <w:rsid w:val="00971403"/>
    <w:rsid w:val="00971855"/>
    <w:rsid w:val="009718DF"/>
    <w:rsid w:val="00971BB3"/>
    <w:rsid w:val="00971E55"/>
    <w:rsid w:val="00971FC7"/>
    <w:rsid w:val="00972141"/>
    <w:rsid w:val="00972388"/>
    <w:rsid w:val="009723D8"/>
    <w:rsid w:val="00972520"/>
    <w:rsid w:val="00972980"/>
    <w:rsid w:val="00972994"/>
    <w:rsid w:val="00972ABC"/>
    <w:rsid w:val="00972C40"/>
    <w:rsid w:val="00972C8A"/>
    <w:rsid w:val="00972D70"/>
    <w:rsid w:val="009736EF"/>
    <w:rsid w:val="00973702"/>
    <w:rsid w:val="00973859"/>
    <w:rsid w:val="00973B3B"/>
    <w:rsid w:val="00973B61"/>
    <w:rsid w:val="00973B97"/>
    <w:rsid w:val="009741BE"/>
    <w:rsid w:val="009741ED"/>
    <w:rsid w:val="0097429B"/>
    <w:rsid w:val="0097440C"/>
    <w:rsid w:val="009744CC"/>
    <w:rsid w:val="009746B8"/>
    <w:rsid w:val="0097490E"/>
    <w:rsid w:val="0097494C"/>
    <w:rsid w:val="00974BE8"/>
    <w:rsid w:val="00974C9C"/>
    <w:rsid w:val="00974CE6"/>
    <w:rsid w:val="00974E1D"/>
    <w:rsid w:val="009753C6"/>
    <w:rsid w:val="009753FC"/>
    <w:rsid w:val="009756D4"/>
    <w:rsid w:val="00975702"/>
    <w:rsid w:val="00975985"/>
    <w:rsid w:val="00975B45"/>
    <w:rsid w:val="00975CFD"/>
    <w:rsid w:val="00975F7B"/>
    <w:rsid w:val="009760AD"/>
    <w:rsid w:val="00976318"/>
    <w:rsid w:val="00976374"/>
    <w:rsid w:val="009763CD"/>
    <w:rsid w:val="009763FA"/>
    <w:rsid w:val="0097646C"/>
    <w:rsid w:val="00976543"/>
    <w:rsid w:val="0097658E"/>
    <w:rsid w:val="00976818"/>
    <w:rsid w:val="0097684B"/>
    <w:rsid w:val="00976A0B"/>
    <w:rsid w:val="00976C88"/>
    <w:rsid w:val="00976EEC"/>
    <w:rsid w:val="00976F16"/>
    <w:rsid w:val="0097707C"/>
    <w:rsid w:val="00977344"/>
    <w:rsid w:val="009773AD"/>
    <w:rsid w:val="00977464"/>
    <w:rsid w:val="0097780E"/>
    <w:rsid w:val="009779D1"/>
    <w:rsid w:val="00977D82"/>
    <w:rsid w:val="00977EB2"/>
    <w:rsid w:val="00977F0C"/>
    <w:rsid w:val="00977FFA"/>
    <w:rsid w:val="00980057"/>
    <w:rsid w:val="009801B2"/>
    <w:rsid w:val="009802B5"/>
    <w:rsid w:val="009803BD"/>
    <w:rsid w:val="009805B2"/>
    <w:rsid w:val="0098087E"/>
    <w:rsid w:val="00980FE2"/>
    <w:rsid w:val="009810DA"/>
    <w:rsid w:val="009815BE"/>
    <w:rsid w:val="0098168A"/>
    <w:rsid w:val="009816D6"/>
    <w:rsid w:val="009817F9"/>
    <w:rsid w:val="0098182E"/>
    <w:rsid w:val="00981A03"/>
    <w:rsid w:val="00981AEC"/>
    <w:rsid w:val="00981C40"/>
    <w:rsid w:val="009820E6"/>
    <w:rsid w:val="009822E4"/>
    <w:rsid w:val="0098232E"/>
    <w:rsid w:val="00982579"/>
    <w:rsid w:val="00982694"/>
    <w:rsid w:val="009829DC"/>
    <w:rsid w:val="00982BB2"/>
    <w:rsid w:val="00983142"/>
    <w:rsid w:val="0098315F"/>
    <w:rsid w:val="009832CD"/>
    <w:rsid w:val="0098342C"/>
    <w:rsid w:val="009834A7"/>
    <w:rsid w:val="009836E2"/>
    <w:rsid w:val="00983BC8"/>
    <w:rsid w:val="00983C7F"/>
    <w:rsid w:val="00983D79"/>
    <w:rsid w:val="00983DDC"/>
    <w:rsid w:val="009841EB"/>
    <w:rsid w:val="0098425A"/>
    <w:rsid w:val="00984327"/>
    <w:rsid w:val="009843B8"/>
    <w:rsid w:val="0098445F"/>
    <w:rsid w:val="00984737"/>
    <w:rsid w:val="009848BA"/>
    <w:rsid w:val="00984AFD"/>
    <w:rsid w:val="009852DB"/>
    <w:rsid w:val="00985D06"/>
    <w:rsid w:val="00986188"/>
    <w:rsid w:val="00986336"/>
    <w:rsid w:val="009864C7"/>
    <w:rsid w:val="00986558"/>
    <w:rsid w:val="009865D6"/>
    <w:rsid w:val="00986A60"/>
    <w:rsid w:val="00986C58"/>
    <w:rsid w:val="00987018"/>
    <w:rsid w:val="0098714D"/>
    <w:rsid w:val="0098738E"/>
    <w:rsid w:val="0098776B"/>
    <w:rsid w:val="009878A7"/>
    <w:rsid w:val="00987B74"/>
    <w:rsid w:val="009901EA"/>
    <w:rsid w:val="00990372"/>
    <w:rsid w:val="0099058E"/>
    <w:rsid w:val="00990680"/>
    <w:rsid w:val="00990C37"/>
    <w:rsid w:val="00990EF8"/>
    <w:rsid w:val="0099132A"/>
    <w:rsid w:val="009915E0"/>
    <w:rsid w:val="00991889"/>
    <w:rsid w:val="0099192D"/>
    <w:rsid w:val="009919E8"/>
    <w:rsid w:val="009920DD"/>
    <w:rsid w:val="0099250D"/>
    <w:rsid w:val="009926D9"/>
    <w:rsid w:val="00992FA7"/>
    <w:rsid w:val="009933FD"/>
    <w:rsid w:val="0099350F"/>
    <w:rsid w:val="009935D2"/>
    <w:rsid w:val="00993669"/>
    <w:rsid w:val="009936A9"/>
    <w:rsid w:val="0099383A"/>
    <w:rsid w:val="009941C5"/>
    <w:rsid w:val="009942BD"/>
    <w:rsid w:val="009942FC"/>
    <w:rsid w:val="00994364"/>
    <w:rsid w:val="00994490"/>
    <w:rsid w:val="009945A7"/>
    <w:rsid w:val="009946E2"/>
    <w:rsid w:val="0099470D"/>
    <w:rsid w:val="0099472F"/>
    <w:rsid w:val="009949B8"/>
    <w:rsid w:val="009949D8"/>
    <w:rsid w:val="00994C37"/>
    <w:rsid w:val="00994D6E"/>
    <w:rsid w:val="0099536E"/>
    <w:rsid w:val="00995397"/>
    <w:rsid w:val="00995599"/>
    <w:rsid w:val="00995A20"/>
    <w:rsid w:val="00995ABC"/>
    <w:rsid w:val="00995DA5"/>
    <w:rsid w:val="00995E58"/>
    <w:rsid w:val="00995E84"/>
    <w:rsid w:val="00996023"/>
    <w:rsid w:val="009961BE"/>
    <w:rsid w:val="009965E2"/>
    <w:rsid w:val="0099681D"/>
    <w:rsid w:val="009969B0"/>
    <w:rsid w:val="00996AB7"/>
    <w:rsid w:val="00996B30"/>
    <w:rsid w:val="00996D45"/>
    <w:rsid w:val="00996EEF"/>
    <w:rsid w:val="009971A2"/>
    <w:rsid w:val="00997273"/>
    <w:rsid w:val="009A023E"/>
    <w:rsid w:val="009A0253"/>
    <w:rsid w:val="009A04B8"/>
    <w:rsid w:val="009A05E2"/>
    <w:rsid w:val="009A089F"/>
    <w:rsid w:val="009A0AF8"/>
    <w:rsid w:val="009A0EAC"/>
    <w:rsid w:val="009A10C0"/>
    <w:rsid w:val="009A13AC"/>
    <w:rsid w:val="009A1435"/>
    <w:rsid w:val="009A1546"/>
    <w:rsid w:val="009A1719"/>
    <w:rsid w:val="009A17C7"/>
    <w:rsid w:val="009A1863"/>
    <w:rsid w:val="009A1AB8"/>
    <w:rsid w:val="009A1BD3"/>
    <w:rsid w:val="009A21DF"/>
    <w:rsid w:val="009A22A3"/>
    <w:rsid w:val="009A2323"/>
    <w:rsid w:val="009A254A"/>
    <w:rsid w:val="009A25FA"/>
    <w:rsid w:val="009A2790"/>
    <w:rsid w:val="009A27BC"/>
    <w:rsid w:val="009A2B28"/>
    <w:rsid w:val="009A2C19"/>
    <w:rsid w:val="009A2C1E"/>
    <w:rsid w:val="009A2C53"/>
    <w:rsid w:val="009A2E25"/>
    <w:rsid w:val="009A3119"/>
    <w:rsid w:val="009A3238"/>
    <w:rsid w:val="009A33CB"/>
    <w:rsid w:val="009A3645"/>
    <w:rsid w:val="009A3680"/>
    <w:rsid w:val="009A37C1"/>
    <w:rsid w:val="009A37EF"/>
    <w:rsid w:val="009A39E5"/>
    <w:rsid w:val="009A3B08"/>
    <w:rsid w:val="009A3D7C"/>
    <w:rsid w:val="009A3F76"/>
    <w:rsid w:val="009A3F8D"/>
    <w:rsid w:val="009A4090"/>
    <w:rsid w:val="009A426A"/>
    <w:rsid w:val="009A4313"/>
    <w:rsid w:val="009A448F"/>
    <w:rsid w:val="009A4704"/>
    <w:rsid w:val="009A47BE"/>
    <w:rsid w:val="009A491C"/>
    <w:rsid w:val="009A4C4A"/>
    <w:rsid w:val="009A4C56"/>
    <w:rsid w:val="009A4D43"/>
    <w:rsid w:val="009A5114"/>
    <w:rsid w:val="009A5206"/>
    <w:rsid w:val="009A5291"/>
    <w:rsid w:val="009A5389"/>
    <w:rsid w:val="009A53BD"/>
    <w:rsid w:val="009A53F8"/>
    <w:rsid w:val="009A5604"/>
    <w:rsid w:val="009A58F3"/>
    <w:rsid w:val="009A5963"/>
    <w:rsid w:val="009A5A8B"/>
    <w:rsid w:val="009A5CA7"/>
    <w:rsid w:val="009A5EDC"/>
    <w:rsid w:val="009A61EB"/>
    <w:rsid w:val="009A622E"/>
    <w:rsid w:val="009A639A"/>
    <w:rsid w:val="009A656B"/>
    <w:rsid w:val="009A6A45"/>
    <w:rsid w:val="009A6A8C"/>
    <w:rsid w:val="009A6B7B"/>
    <w:rsid w:val="009A6E39"/>
    <w:rsid w:val="009A7020"/>
    <w:rsid w:val="009A7068"/>
    <w:rsid w:val="009A7331"/>
    <w:rsid w:val="009A73D6"/>
    <w:rsid w:val="009A75E6"/>
    <w:rsid w:val="009A7791"/>
    <w:rsid w:val="009A77C4"/>
    <w:rsid w:val="009A793F"/>
    <w:rsid w:val="009A7AA0"/>
    <w:rsid w:val="009A7C46"/>
    <w:rsid w:val="009A7D14"/>
    <w:rsid w:val="009A7D35"/>
    <w:rsid w:val="009A7D5B"/>
    <w:rsid w:val="009A7DB8"/>
    <w:rsid w:val="009A7ED3"/>
    <w:rsid w:val="009A7EE9"/>
    <w:rsid w:val="009A7F26"/>
    <w:rsid w:val="009B018F"/>
    <w:rsid w:val="009B06E2"/>
    <w:rsid w:val="009B0745"/>
    <w:rsid w:val="009B0843"/>
    <w:rsid w:val="009B0A48"/>
    <w:rsid w:val="009B0C81"/>
    <w:rsid w:val="009B0D28"/>
    <w:rsid w:val="009B0E90"/>
    <w:rsid w:val="009B0EC0"/>
    <w:rsid w:val="009B0F5F"/>
    <w:rsid w:val="009B0F71"/>
    <w:rsid w:val="009B1089"/>
    <w:rsid w:val="009B1212"/>
    <w:rsid w:val="009B12AC"/>
    <w:rsid w:val="009B1326"/>
    <w:rsid w:val="009B1445"/>
    <w:rsid w:val="009B15B8"/>
    <w:rsid w:val="009B1A8B"/>
    <w:rsid w:val="009B1B06"/>
    <w:rsid w:val="009B1E28"/>
    <w:rsid w:val="009B2375"/>
    <w:rsid w:val="009B28D9"/>
    <w:rsid w:val="009B2A27"/>
    <w:rsid w:val="009B2AB3"/>
    <w:rsid w:val="009B2AE2"/>
    <w:rsid w:val="009B2B9C"/>
    <w:rsid w:val="009B2BB7"/>
    <w:rsid w:val="009B2CE3"/>
    <w:rsid w:val="009B2FDB"/>
    <w:rsid w:val="009B3113"/>
    <w:rsid w:val="009B3296"/>
    <w:rsid w:val="009B3575"/>
    <w:rsid w:val="009B35D5"/>
    <w:rsid w:val="009B36B4"/>
    <w:rsid w:val="009B37F4"/>
    <w:rsid w:val="009B3853"/>
    <w:rsid w:val="009B3A0D"/>
    <w:rsid w:val="009B3F0D"/>
    <w:rsid w:val="009B41F3"/>
    <w:rsid w:val="009B4273"/>
    <w:rsid w:val="009B43FF"/>
    <w:rsid w:val="009B4761"/>
    <w:rsid w:val="009B497F"/>
    <w:rsid w:val="009B49B4"/>
    <w:rsid w:val="009B4AFC"/>
    <w:rsid w:val="009B4C09"/>
    <w:rsid w:val="009B4CED"/>
    <w:rsid w:val="009B4E79"/>
    <w:rsid w:val="009B52AB"/>
    <w:rsid w:val="009B5440"/>
    <w:rsid w:val="009B5443"/>
    <w:rsid w:val="009B5605"/>
    <w:rsid w:val="009B5649"/>
    <w:rsid w:val="009B5806"/>
    <w:rsid w:val="009B586D"/>
    <w:rsid w:val="009B5D0F"/>
    <w:rsid w:val="009B5D99"/>
    <w:rsid w:val="009B614A"/>
    <w:rsid w:val="009B68E8"/>
    <w:rsid w:val="009B73C3"/>
    <w:rsid w:val="009B75D2"/>
    <w:rsid w:val="009B760F"/>
    <w:rsid w:val="009B7797"/>
    <w:rsid w:val="009B7AD9"/>
    <w:rsid w:val="009B7C5C"/>
    <w:rsid w:val="009B7D3C"/>
    <w:rsid w:val="009B7FD2"/>
    <w:rsid w:val="009B7FF7"/>
    <w:rsid w:val="009C033D"/>
    <w:rsid w:val="009C03AB"/>
    <w:rsid w:val="009C0743"/>
    <w:rsid w:val="009C085A"/>
    <w:rsid w:val="009C0B32"/>
    <w:rsid w:val="009C0C2C"/>
    <w:rsid w:val="009C0F1A"/>
    <w:rsid w:val="009C1060"/>
    <w:rsid w:val="009C1190"/>
    <w:rsid w:val="009C1860"/>
    <w:rsid w:val="009C1AEE"/>
    <w:rsid w:val="009C1CEE"/>
    <w:rsid w:val="009C1D79"/>
    <w:rsid w:val="009C1D7F"/>
    <w:rsid w:val="009C2491"/>
    <w:rsid w:val="009C25CF"/>
    <w:rsid w:val="009C27FC"/>
    <w:rsid w:val="009C2800"/>
    <w:rsid w:val="009C2AD5"/>
    <w:rsid w:val="009C2B3A"/>
    <w:rsid w:val="009C2F30"/>
    <w:rsid w:val="009C2F97"/>
    <w:rsid w:val="009C3584"/>
    <w:rsid w:val="009C35EA"/>
    <w:rsid w:val="009C361F"/>
    <w:rsid w:val="009C38C6"/>
    <w:rsid w:val="009C3933"/>
    <w:rsid w:val="009C3A42"/>
    <w:rsid w:val="009C3C03"/>
    <w:rsid w:val="009C3CD1"/>
    <w:rsid w:val="009C3DC8"/>
    <w:rsid w:val="009C3FE8"/>
    <w:rsid w:val="009C40DA"/>
    <w:rsid w:val="009C4100"/>
    <w:rsid w:val="009C4233"/>
    <w:rsid w:val="009C43E2"/>
    <w:rsid w:val="009C443F"/>
    <w:rsid w:val="009C45A9"/>
    <w:rsid w:val="009C4810"/>
    <w:rsid w:val="009C49C9"/>
    <w:rsid w:val="009C4C14"/>
    <w:rsid w:val="009C4C38"/>
    <w:rsid w:val="009C4CD4"/>
    <w:rsid w:val="009C4DB3"/>
    <w:rsid w:val="009C516B"/>
    <w:rsid w:val="009C5281"/>
    <w:rsid w:val="009C5426"/>
    <w:rsid w:val="009C5495"/>
    <w:rsid w:val="009C55A0"/>
    <w:rsid w:val="009C5E98"/>
    <w:rsid w:val="009C602E"/>
    <w:rsid w:val="009C64A9"/>
    <w:rsid w:val="009C656A"/>
    <w:rsid w:val="009C678D"/>
    <w:rsid w:val="009C687C"/>
    <w:rsid w:val="009C698B"/>
    <w:rsid w:val="009C6B9E"/>
    <w:rsid w:val="009C6D9D"/>
    <w:rsid w:val="009C6E13"/>
    <w:rsid w:val="009C6FFC"/>
    <w:rsid w:val="009C758A"/>
    <w:rsid w:val="009C75B8"/>
    <w:rsid w:val="009C7703"/>
    <w:rsid w:val="009C7980"/>
    <w:rsid w:val="009C7A0B"/>
    <w:rsid w:val="009C7AF6"/>
    <w:rsid w:val="009C7CF2"/>
    <w:rsid w:val="009C7DF5"/>
    <w:rsid w:val="009C7F5A"/>
    <w:rsid w:val="009D0487"/>
    <w:rsid w:val="009D07A2"/>
    <w:rsid w:val="009D0AD8"/>
    <w:rsid w:val="009D0CF1"/>
    <w:rsid w:val="009D0D34"/>
    <w:rsid w:val="009D1370"/>
    <w:rsid w:val="009D14F2"/>
    <w:rsid w:val="009D1923"/>
    <w:rsid w:val="009D1968"/>
    <w:rsid w:val="009D196D"/>
    <w:rsid w:val="009D19AD"/>
    <w:rsid w:val="009D1A5A"/>
    <w:rsid w:val="009D1B50"/>
    <w:rsid w:val="009D1E5C"/>
    <w:rsid w:val="009D1F2B"/>
    <w:rsid w:val="009D2379"/>
    <w:rsid w:val="009D26DD"/>
    <w:rsid w:val="009D281A"/>
    <w:rsid w:val="009D29A4"/>
    <w:rsid w:val="009D2B96"/>
    <w:rsid w:val="009D2C05"/>
    <w:rsid w:val="009D2DE0"/>
    <w:rsid w:val="009D3002"/>
    <w:rsid w:val="009D3421"/>
    <w:rsid w:val="009D3559"/>
    <w:rsid w:val="009D35A9"/>
    <w:rsid w:val="009D39C1"/>
    <w:rsid w:val="009D3D17"/>
    <w:rsid w:val="009D4061"/>
    <w:rsid w:val="009D40D1"/>
    <w:rsid w:val="009D40F4"/>
    <w:rsid w:val="009D4171"/>
    <w:rsid w:val="009D4412"/>
    <w:rsid w:val="009D4840"/>
    <w:rsid w:val="009D4BBF"/>
    <w:rsid w:val="009D5126"/>
    <w:rsid w:val="009D5133"/>
    <w:rsid w:val="009D5269"/>
    <w:rsid w:val="009D579F"/>
    <w:rsid w:val="009D581F"/>
    <w:rsid w:val="009D5E2E"/>
    <w:rsid w:val="009D629A"/>
    <w:rsid w:val="009D6619"/>
    <w:rsid w:val="009D6649"/>
    <w:rsid w:val="009D66B0"/>
    <w:rsid w:val="009D66FB"/>
    <w:rsid w:val="009D67D9"/>
    <w:rsid w:val="009D680C"/>
    <w:rsid w:val="009D6814"/>
    <w:rsid w:val="009D68B7"/>
    <w:rsid w:val="009D6D19"/>
    <w:rsid w:val="009D6FB6"/>
    <w:rsid w:val="009D707A"/>
    <w:rsid w:val="009D77A5"/>
    <w:rsid w:val="009D796B"/>
    <w:rsid w:val="009D7D6C"/>
    <w:rsid w:val="009E0116"/>
    <w:rsid w:val="009E0204"/>
    <w:rsid w:val="009E0542"/>
    <w:rsid w:val="009E054B"/>
    <w:rsid w:val="009E0638"/>
    <w:rsid w:val="009E0794"/>
    <w:rsid w:val="009E084E"/>
    <w:rsid w:val="009E0EA3"/>
    <w:rsid w:val="009E0ED6"/>
    <w:rsid w:val="009E11DB"/>
    <w:rsid w:val="009E12C2"/>
    <w:rsid w:val="009E137F"/>
    <w:rsid w:val="009E139B"/>
    <w:rsid w:val="009E1702"/>
    <w:rsid w:val="009E1F23"/>
    <w:rsid w:val="009E210E"/>
    <w:rsid w:val="009E2167"/>
    <w:rsid w:val="009E259E"/>
    <w:rsid w:val="009E275B"/>
    <w:rsid w:val="009E275E"/>
    <w:rsid w:val="009E2A80"/>
    <w:rsid w:val="009E2B60"/>
    <w:rsid w:val="009E346E"/>
    <w:rsid w:val="009E376A"/>
    <w:rsid w:val="009E397F"/>
    <w:rsid w:val="009E3DF7"/>
    <w:rsid w:val="009E3EF9"/>
    <w:rsid w:val="009E4406"/>
    <w:rsid w:val="009E4447"/>
    <w:rsid w:val="009E4709"/>
    <w:rsid w:val="009E473F"/>
    <w:rsid w:val="009E483A"/>
    <w:rsid w:val="009E48B8"/>
    <w:rsid w:val="009E48D6"/>
    <w:rsid w:val="009E49AF"/>
    <w:rsid w:val="009E4B10"/>
    <w:rsid w:val="009E4D10"/>
    <w:rsid w:val="009E4E90"/>
    <w:rsid w:val="009E50A1"/>
    <w:rsid w:val="009E5237"/>
    <w:rsid w:val="009E5490"/>
    <w:rsid w:val="009E56A8"/>
    <w:rsid w:val="009E58BB"/>
    <w:rsid w:val="009E5B00"/>
    <w:rsid w:val="009E5DB9"/>
    <w:rsid w:val="009E5E5B"/>
    <w:rsid w:val="009E60A6"/>
    <w:rsid w:val="009E60CF"/>
    <w:rsid w:val="009E6226"/>
    <w:rsid w:val="009E6898"/>
    <w:rsid w:val="009E6A15"/>
    <w:rsid w:val="009E6AE0"/>
    <w:rsid w:val="009E6E1F"/>
    <w:rsid w:val="009E7015"/>
    <w:rsid w:val="009E740C"/>
    <w:rsid w:val="009E7943"/>
    <w:rsid w:val="009F0163"/>
    <w:rsid w:val="009F058F"/>
    <w:rsid w:val="009F081C"/>
    <w:rsid w:val="009F0CA0"/>
    <w:rsid w:val="009F0E72"/>
    <w:rsid w:val="009F119A"/>
    <w:rsid w:val="009F1520"/>
    <w:rsid w:val="009F1636"/>
    <w:rsid w:val="009F1BA5"/>
    <w:rsid w:val="009F1C51"/>
    <w:rsid w:val="009F1C98"/>
    <w:rsid w:val="009F1CB7"/>
    <w:rsid w:val="009F1CBF"/>
    <w:rsid w:val="009F1DBE"/>
    <w:rsid w:val="009F1E8E"/>
    <w:rsid w:val="009F1F62"/>
    <w:rsid w:val="009F2426"/>
    <w:rsid w:val="009F2676"/>
    <w:rsid w:val="009F28D9"/>
    <w:rsid w:val="009F2A88"/>
    <w:rsid w:val="009F2B6B"/>
    <w:rsid w:val="009F2BC0"/>
    <w:rsid w:val="009F2C4B"/>
    <w:rsid w:val="009F2D53"/>
    <w:rsid w:val="009F2DEC"/>
    <w:rsid w:val="009F3640"/>
    <w:rsid w:val="009F3658"/>
    <w:rsid w:val="009F374A"/>
    <w:rsid w:val="009F3814"/>
    <w:rsid w:val="009F3C4F"/>
    <w:rsid w:val="009F3F68"/>
    <w:rsid w:val="009F4130"/>
    <w:rsid w:val="009F421A"/>
    <w:rsid w:val="009F4323"/>
    <w:rsid w:val="009F44A5"/>
    <w:rsid w:val="009F466F"/>
    <w:rsid w:val="009F468A"/>
    <w:rsid w:val="009F4769"/>
    <w:rsid w:val="009F491E"/>
    <w:rsid w:val="009F4E69"/>
    <w:rsid w:val="009F52AE"/>
    <w:rsid w:val="009F548F"/>
    <w:rsid w:val="009F58E8"/>
    <w:rsid w:val="009F5985"/>
    <w:rsid w:val="009F5AB1"/>
    <w:rsid w:val="009F5B05"/>
    <w:rsid w:val="009F5B2E"/>
    <w:rsid w:val="009F5CA3"/>
    <w:rsid w:val="009F5D33"/>
    <w:rsid w:val="009F5D5D"/>
    <w:rsid w:val="009F60E5"/>
    <w:rsid w:val="009F67DC"/>
    <w:rsid w:val="009F6C4F"/>
    <w:rsid w:val="009F6F12"/>
    <w:rsid w:val="009F7043"/>
    <w:rsid w:val="009F705F"/>
    <w:rsid w:val="009F7159"/>
    <w:rsid w:val="009F7341"/>
    <w:rsid w:val="009F7387"/>
    <w:rsid w:val="009F7500"/>
    <w:rsid w:val="009F7536"/>
    <w:rsid w:val="009F764A"/>
    <w:rsid w:val="009F7B9E"/>
    <w:rsid w:val="009F7C27"/>
    <w:rsid w:val="009F7D6F"/>
    <w:rsid w:val="009F7DFC"/>
    <w:rsid w:val="009F7DFD"/>
    <w:rsid w:val="00A006AE"/>
    <w:rsid w:val="00A0086F"/>
    <w:rsid w:val="00A00927"/>
    <w:rsid w:val="00A0093F"/>
    <w:rsid w:val="00A00B0D"/>
    <w:rsid w:val="00A00BA4"/>
    <w:rsid w:val="00A01887"/>
    <w:rsid w:val="00A01C2C"/>
    <w:rsid w:val="00A01CAD"/>
    <w:rsid w:val="00A01E86"/>
    <w:rsid w:val="00A023E9"/>
    <w:rsid w:val="00A02C01"/>
    <w:rsid w:val="00A02FB6"/>
    <w:rsid w:val="00A032B5"/>
    <w:rsid w:val="00A036C1"/>
    <w:rsid w:val="00A03BA8"/>
    <w:rsid w:val="00A03C30"/>
    <w:rsid w:val="00A03C38"/>
    <w:rsid w:val="00A03E4A"/>
    <w:rsid w:val="00A03F98"/>
    <w:rsid w:val="00A0400D"/>
    <w:rsid w:val="00A0425C"/>
    <w:rsid w:val="00A04F05"/>
    <w:rsid w:val="00A051C2"/>
    <w:rsid w:val="00A05218"/>
    <w:rsid w:val="00A0524C"/>
    <w:rsid w:val="00A053B1"/>
    <w:rsid w:val="00A054D6"/>
    <w:rsid w:val="00A055B4"/>
    <w:rsid w:val="00A0621B"/>
    <w:rsid w:val="00A06323"/>
    <w:rsid w:val="00A06367"/>
    <w:rsid w:val="00A066AE"/>
    <w:rsid w:val="00A06A48"/>
    <w:rsid w:val="00A06B4C"/>
    <w:rsid w:val="00A06B8F"/>
    <w:rsid w:val="00A07193"/>
    <w:rsid w:val="00A07258"/>
    <w:rsid w:val="00A07398"/>
    <w:rsid w:val="00A0742C"/>
    <w:rsid w:val="00A07526"/>
    <w:rsid w:val="00A07809"/>
    <w:rsid w:val="00A07941"/>
    <w:rsid w:val="00A07B51"/>
    <w:rsid w:val="00A07D8C"/>
    <w:rsid w:val="00A07DCC"/>
    <w:rsid w:val="00A07FE4"/>
    <w:rsid w:val="00A1023C"/>
    <w:rsid w:val="00A1032D"/>
    <w:rsid w:val="00A10497"/>
    <w:rsid w:val="00A10BEF"/>
    <w:rsid w:val="00A10DA1"/>
    <w:rsid w:val="00A10F5F"/>
    <w:rsid w:val="00A11047"/>
    <w:rsid w:val="00A1116F"/>
    <w:rsid w:val="00A111ED"/>
    <w:rsid w:val="00A112CD"/>
    <w:rsid w:val="00A112D4"/>
    <w:rsid w:val="00A117A4"/>
    <w:rsid w:val="00A11CDF"/>
    <w:rsid w:val="00A11E00"/>
    <w:rsid w:val="00A120B4"/>
    <w:rsid w:val="00A121C4"/>
    <w:rsid w:val="00A12271"/>
    <w:rsid w:val="00A12432"/>
    <w:rsid w:val="00A12670"/>
    <w:rsid w:val="00A1289F"/>
    <w:rsid w:val="00A1305D"/>
    <w:rsid w:val="00A13541"/>
    <w:rsid w:val="00A13575"/>
    <w:rsid w:val="00A137BF"/>
    <w:rsid w:val="00A138A0"/>
    <w:rsid w:val="00A14010"/>
    <w:rsid w:val="00A1425F"/>
    <w:rsid w:val="00A1430C"/>
    <w:rsid w:val="00A1463E"/>
    <w:rsid w:val="00A14922"/>
    <w:rsid w:val="00A14E7F"/>
    <w:rsid w:val="00A1500C"/>
    <w:rsid w:val="00A150CF"/>
    <w:rsid w:val="00A152A8"/>
    <w:rsid w:val="00A153AD"/>
    <w:rsid w:val="00A1543A"/>
    <w:rsid w:val="00A156EB"/>
    <w:rsid w:val="00A15728"/>
    <w:rsid w:val="00A158F5"/>
    <w:rsid w:val="00A15B6B"/>
    <w:rsid w:val="00A15BD2"/>
    <w:rsid w:val="00A15D69"/>
    <w:rsid w:val="00A161A4"/>
    <w:rsid w:val="00A161A7"/>
    <w:rsid w:val="00A162C4"/>
    <w:rsid w:val="00A1631E"/>
    <w:rsid w:val="00A16565"/>
    <w:rsid w:val="00A16729"/>
    <w:rsid w:val="00A16774"/>
    <w:rsid w:val="00A16817"/>
    <w:rsid w:val="00A16BBD"/>
    <w:rsid w:val="00A16D54"/>
    <w:rsid w:val="00A16E1D"/>
    <w:rsid w:val="00A172F7"/>
    <w:rsid w:val="00A1734E"/>
    <w:rsid w:val="00A17378"/>
    <w:rsid w:val="00A1775F"/>
    <w:rsid w:val="00A179B7"/>
    <w:rsid w:val="00A17A8C"/>
    <w:rsid w:val="00A17EC2"/>
    <w:rsid w:val="00A20186"/>
    <w:rsid w:val="00A20270"/>
    <w:rsid w:val="00A2029E"/>
    <w:rsid w:val="00A202A0"/>
    <w:rsid w:val="00A2045F"/>
    <w:rsid w:val="00A20A1E"/>
    <w:rsid w:val="00A20ACA"/>
    <w:rsid w:val="00A20BBA"/>
    <w:rsid w:val="00A20C05"/>
    <w:rsid w:val="00A20CAE"/>
    <w:rsid w:val="00A21174"/>
    <w:rsid w:val="00A212D5"/>
    <w:rsid w:val="00A2169A"/>
    <w:rsid w:val="00A218BF"/>
    <w:rsid w:val="00A21980"/>
    <w:rsid w:val="00A219E3"/>
    <w:rsid w:val="00A21A1A"/>
    <w:rsid w:val="00A21A85"/>
    <w:rsid w:val="00A21B12"/>
    <w:rsid w:val="00A21B83"/>
    <w:rsid w:val="00A21CEE"/>
    <w:rsid w:val="00A21DDD"/>
    <w:rsid w:val="00A220F4"/>
    <w:rsid w:val="00A2228F"/>
    <w:rsid w:val="00A224EB"/>
    <w:rsid w:val="00A2254F"/>
    <w:rsid w:val="00A2296E"/>
    <w:rsid w:val="00A22CE3"/>
    <w:rsid w:val="00A22E67"/>
    <w:rsid w:val="00A22F68"/>
    <w:rsid w:val="00A2310D"/>
    <w:rsid w:val="00A235EA"/>
    <w:rsid w:val="00A2401C"/>
    <w:rsid w:val="00A24095"/>
    <w:rsid w:val="00A2411E"/>
    <w:rsid w:val="00A241C1"/>
    <w:rsid w:val="00A24243"/>
    <w:rsid w:val="00A245EB"/>
    <w:rsid w:val="00A2462E"/>
    <w:rsid w:val="00A24AA4"/>
    <w:rsid w:val="00A24B99"/>
    <w:rsid w:val="00A24BDC"/>
    <w:rsid w:val="00A24C46"/>
    <w:rsid w:val="00A24CE4"/>
    <w:rsid w:val="00A24DB6"/>
    <w:rsid w:val="00A24E4E"/>
    <w:rsid w:val="00A25328"/>
    <w:rsid w:val="00A25799"/>
    <w:rsid w:val="00A25931"/>
    <w:rsid w:val="00A259D7"/>
    <w:rsid w:val="00A25D2A"/>
    <w:rsid w:val="00A262CC"/>
    <w:rsid w:val="00A264F9"/>
    <w:rsid w:val="00A26551"/>
    <w:rsid w:val="00A265AF"/>
    <w:rsid w:val="00A2665B"/>
    <w:rsid w:val="00A267DE"/>
    <w:rsid w:val="00A26905"/>
    <w:rsid w:val="00A26BCD"/>
    <w:rsid w:val="00A26D2C"/>
    <w:rsid w:val="00A26DC5"/>
    <w:rsid w:val="00A26F76"/>
    <w:rsid w:val="00A27351"/>
    <w:rsid w:val="00A2736C"/>
    <w:rsid w:val="00A27532"/>
    <w:rsid w:val="00A27863"/>
    <w:rsid w:val="00A27867"/>
    <w:rsid w:val="00A3016D"/>
    <w:rsid w:val="00A30233"/>
    <w:rsid w:val="00A30254"/>
    <w:rsid w:val="00A30CE1"/>
    <w:rsid w:val="00A30D4C"/>
    <w:rsid w:val="00A3114A"/>
    <w:rsid w:val="00A31191"/>
    <w:rsid w:val="00A313F6"/>
    <w:rsid w:val="00A3158C"/>
    <w:rsid w:val="00A32373"/>
    <w:rsid w:val="00A325FA"/>
    <w:rsid w:val="00A327CA"/>
    <w:rsid w:val="00A32BCC"/>
    <w:rsid w:val="00A32D92"/>
    <w:rsid w:val="00A32F03"/>
    <w:rsid w:val="00A32F67"/>
    <w:rsid w:val="00A32FB8"/>
    <w:rsid w:val="00A33206"/>
    <w:rsid w:val="00A3325E"/>
    <w:rsid w:val="00A33367"/>
    <w:rsid w:val="00A33517"/>
    <w:rsid w:val="00A3377E"/>
    <w:rsid w:val="00A338A2"/>
    <w:rsid w:val="00A339A1"/>
    <w:rsid w:val="00A33C77"/>
    <w:rsid w:val="00A3450B"/>
    <w:rsid w:val="00A3481D"/>
    <w:rsid w:val="00A34822"/>
    <w:rsid w:val="00A3488B"/>
    <w:rsid w:val="00A35216"/>
    <w:rsid w:val="00A35383"/>
    <w:rsid w:val="00A35556"/>
    <w:rsid w:val="00A35A3D"/>
    <w:rsid w:val="00A35CA2"/>
    <w:rsid w:val="00A35D9F"/>
    <w:rsid w:val="00A3608F"/>
    <w:rsid w:val="00A360DC"/>
    <w:rsid w:val="00A363B8"/>
    <w:rsid w:val="00A364CC"/>
    <w:rsid w:val="00A36C97"/>
    <w:rsid w:val="00A36D4E"/>
    <w:rsid w:val="00A36E57"/>
    <w:rsid w:val="00A36FD6"/>
    <w:rsid w:val="00A370C5"/>
    <w:rsid w:val="00A37541"/>
    <w:rsid w:val="00A37837"/>
    <w:rsid w:val="00A37B1D"/>
    <w:rsid w:val="00A37B42"/>
    <w:rsid w:val="00A37FB3"/>
    <w:rsid w:val="00A40107"/>
    <w:rsid w:val="00A401A7"/>
    <w:rsid w:val="00A40338"/>
    <w:rsid w:val="00A404A5"/>
    <w:rsid w:val="00A404F5"/>
    <w:rsid w:val="00A406A7"/>
    <w:rsid w:val="00A40822"/>
    <w:rsid w:val="00A408AA"/>
    <w:rsid w:val="00A40A5E"/>
    <w:rsid w:val="00A40C72"/>
    <w:rsid w:val="00A40C97"/>
    <w:rsid w:val="00A40D9C"/>
    <w:rsid w:val="00A411CC"/>
    <w:rsid w:val="00A41405"/>
    <w:rsid w:val="00A414FC"/>
    <w:rsid w:val="00A415EA"/>
    <w:rsid w:val="00A41681"/>
    <w:rsid w:val="00A417F1"/>
    <w:rsid w:val="00A41829"/>
    <w:rsid w:val="00A41B67"/>
    <w:rsid w:val="00A41BAD"/>
    <w:rsid w:val="00A41D07"/>
    <w:rsid w:val="00A42010"/>
    <w:rsid w:val="00A42204"/>
    <w:rsid w:val="00A42303"/>
    <w:rsid w:val="00A42944"/>
    <w:rsid w:val="00A4296F"/>
    <w:rsid w:val="00A43059"/>
    <w:rsid w:val="00A431AB"/>
    <w:rsid w:val="00A431D2"/>
    <w:rsid w:val="00A431D8"/>
    <w:rsid w:val="00A432DD"/>
    <w:rsid w:val="00A43534"/>
    <w:rsid w:val="00A43606"/>
    <w:rsid w:val="00A43988"/>
    <w:rsid w:val="00A43B69"/>
    <w:rsid w:val="00A43B77"/>
    <w:rsid w:val="00A43BEA"/>
    <w:rsid w:val="00A43C41"/>
    <w:rsid w:val="00A43DCE"/>
    <w:rsid w:val="00A43E99"/>
    <w:rsid w:val="00A43FCC"/>
    <w:rsid w:val="00A441EF"/>
    <w:rsid w:val="00A442F3"/>
    <w:rsid w:val="00A444C3"/>
    <w:rsid w:val="00A44769"/>
    <w:rsid w:val="00A44861"/>
    <w:rsid w:val="00A44A7B"/>
    <w:rsid w:val="00A45062"/>
    <w:rsid w:val="00A45932"/>
    <w:rsid w:val="00A45A32"/>
    <w:rsid w:val="00A45DE5"/>
    <w:rsid w:val="00A46463"/>
    <w:rsid w:val="00A464D6"/>
    <w:rsid w:val="00A467A7"/>
    <w:rsid w:val="00A468FC"/>
    <w:rsid w:val="00A46936"/>
    <w:rsid w:val="00A4694B"/>
    <w:rsid w:val="00A469B9"/>
    <w:rsid w:val="00A46B20"/>
    <w:rsid w:val="00A46C3D"/>
    <w:rsid w:val="00A46CB9"/>
    <w:rsid w:val="00A46D8D"/>
    <w:rsid w:val="00A46F6C"/>
    <w:rsid w:val="00A47021"/>
    <w:rsid w:val="00A473AA"/>
    <w:rsid w:val="00A47507"/>
    <w:rsid w:val="00A4764A"/>
    <w:rsid w:val="00A476F2"/>
    <w:rsid w:val="00A47877"/>
    <w:rsid w:val="00A4787A"/>
    <w:rsid w:val="00A47DC0"/>
    <w:rsid w:val="00A50050"/>
    <w:rsid w:val="00A500BE"/>
    <w:rsid w:val="00A5048B"/>
    <w:rsid w:val="00A5050A"/>
    <w:rsid w:val="00A50633"/>
    <w:rsid w:val="00A506FA"/>
    <w:rsid w:val="00A50906"/>
    <w:rsid w:val="00A5098A"/>
    <w:rsid w:val="00A50C14"/>
    <w:rsid w:val="00A50C41"/>
    <w:rsid w:val="00A50C8D"/>
    <w:rsid w:val="00A50D6D"/>
    <w:rsid w:val="00A50EA4"/>
    <w:rsid w:val="00A50F2B"/>
    <w:rsid w:val="00A514B7"/>
    <w:rsid w:val="00A517C2"/>
    <w:rsid w:val="00A51901"/>
    <w:rsid w:val="00A51A15"/>
    <w:rsid w:val="00A51F12"/>
    <w:rsid w:val="00A52460"/>
    <w:rsid w:val="00A527CF"/>
    <w:rsid w:val="00A52CB7"/>
    <w:rsid w:val="00A52DE1"/>
    <w:rsid w:val="00A52ED8"/>
    <w:rsid w:val="00A535C1"/>
    <w:rsid w:val="00A5378F"/>
    <w:rsid w:val="00A53888"/>
    <w:rsid w:val="00A538A2"/>
    <w:rsid w:val="00A53A21"/>
    <w:rsid w:val="00A53C18"/>
    <w:rsid w:val="00A53CA3"/>
    <w:rsid w:val="00A53FE0"/>
    <w:rsid w:val="00A54151"/>
    <w:rsid w:val="00A5418D"/>
    <w:rsid w:val="00A544B6"/>
    <w:rsid w:val="00A544DE"/>
    <w:rsid w:val="00A5458E"/>
    <w:rsid w:val="00A54824"/>
    <w:rsid w:val="00A548D1"/>
    <w:rsid w:val="00A54A97"/>
    <w:rsid w:val="00A54C15"/>
    <w:rsid w:val="00A54C53"/>
    <w:rsid w:val="00A54F57"/>
    <w:rsid w:val="00A5507A"/>
    <w:rsid w:val="00A55696"/>
    <w:rsid w:val="00A5589A"/>
    <w:rsid w:val="00A55A0A"/>
    <w:rsid w:val="00A55C21"/>
    <w:rsid w:val="00A55D3D"/>
    <w:rsid w:val="00A55D89"/>
    <w:rsid w:val="00A56286"/>
    <w:rsid w:val="00A5651B"/>
    <w:rsid w:val="00A566D4"/>
    <w:rsid w:val="00A56824"/>
    <w:rsid w:val="00A56F4F"/>
    <w:rsid w:val="00A5708E"/>
    <w:rsid w:val="00A5750D"/>
    <w:rsid w:val="00A577AE"/>
    <w:rsid w:val="00A578EB"/>
    <w:rsid w:val="00A57AA3"/>
    <w:rsid w:val="00A57B4F"/>
    <w:rsid w:val="00A57C34"/>
    <w:rsid w:val="00A57C8B"/>
    <w:rsid w:val="00A57CA4"/>
    <w:rsid w:val="00A57EAD"/>
    <w:rsid w:val="00A57EFA"/>
    <w:rsid w:val="00A57F26"/>
    <w:rsid w:val="00A6006A"/>
    <w:rsid w:val="00A60191"/>
    <w:rsid w:val="00A604B8"/>
    <w:rsid w:val="00A6098A"/>
    <w:rsid w:val="00A60AC0"/>
    <w:rsid w:val="00A60C2E"/>
    <w:rsid w:val="00A60CD2"/>
    <w:rsid w:val="00A61049"/>
    <w:rsid w:val="00A611C9"/>
    <w:rsid w:val="00A612C5"/>
    <w:rsid w:val="00A612F2"/>
    <w:rsid w:val="00A61758"/>
    <w:rsid w:val="00A61832"/>
    <w:rsid w:val="00A61B05"/>
    <w:rsid w:val="00A61E95"/>
    <w:rsid w:val="00A61FF9"/>
    <w:rsid w:val="00A62092"/>
    <w:rsid w:val="00A620FF"/>
    <w:rsid w:val="00A626FF"/>
    <w:rsid w:val="00A62711"/>
    <w:rsid w:val="00A6272A"/>
    <w:rsid w:val="00A6284A"/>
    <w:rsid w:val="00A6291F"/>
    <w:rsid w:val="00A629FF"/>
    <w:rsid w:val="00A62AC5"/>
    <w:rsid w:val="00A62B96"/>
    <w:rsid w:val="00A62CF6"/>
    <w:rsid w:val="00A62E8F"/>
    <w:rsid w:val="00A62FE4"/>
    <w:rsid w:val="00A6309D"/>
    <w:rsid w:val="00A631AE"/>
    <w:rsid w:val="00A63801"/>
    <w:rsid w:val="00A63B76"/>
    <w:rsid w:val="00A63C44"/>
    <w:rsid w:val="00A63F0F"/>
    <w:rsid w:val="00A64020"/>
    <w:rsid w:val="00A6426B"/>
    <w:rsid w:val="00A642C7"/>
    <w:rsid w:val="00A64373"/>
    <w:rsid w:val="00A643C6"/>
    <w:rsid w:val="00A6458A"/>
    <w:rsid w:val="00A646F0"/>
    <w:rsid w:val="00A6498D"/>
    <w:rsid w:val="00A64A72"/>
    <w:rsid w:val="00A64B99"/>
    <w:rsid w:val="00A64C5B"/>
    <w:rsid w:val="00A64E4C"/>
    <w:rsid w:val="00A64E97"/>
    <w:rsid w:val="00A64EC1"/>
    <w:rsid w:val="00A64FC8"/>
    <w:rsid w:val="00A6500D"/>
    <w:rsid w:val="00A65028"/>
    <w:rsid w:val="00A65109"/>
    <w:rsid w:val="00A654B2"/>
    <w:rsid w:val="00A6587F"/>
    <w:rsid w:val="00A658B5"/>
    <w:rsid w:val="00A65B33"/>
    <w:rsid w:val="00A65D36"/>
    <w:rsid w:val="00A65DD4"/>
    <w:rsid w:val="00A65EF9"/>
    <w:rsid w:val="00A65F52"/>
    <w:rsid w:val="00A65F85"/>
    <w:rsid w:val="00A660ED"/>
    <w:rsid w:val="00A66226"/>
    <w:rsid w:val="00A66583"/>
    <w:rsid w:val="00A6661F"/>
    <w:rsid w:val="00A66AD8"/>
    <w:rsid w:val="00A66D51"/>
    <w:rsid w:val="00A676DC"/>
    <w:rsid w:val="00A677ED"/>
    <w:rsid w:val="00A67823"/>
    <w:rsid w:val="00A67BA6"/>
    <w:rsid w:val="00A67D07"/>
    <w:rsid w:val="00A70114"/>
    <w:rsid w:val="00A70337"/>
    <w:rsid w:val="00A7034E"/>
    <w:rsid w:val="00A703FE"/>
    <w:rsid w:val="00A704CD"/>
    <w:rsid w:val="00A70607"/>
    <w:rsid w:val="00A70807"/>
    <w:rsid w:val="00A70C8D"/>
    <w:rsid w:val="00A70CA2"/>
    <w:rsid w:val="00A70FCF"/>
    <w:rsid w:val="00A710B1"/>
    <w:rsid w:val="00A71679"/>
    <w:rsid w:val="00A71E1B"/>
    <w:rsid w:val="00A71E7F"/>
    <w:rsid w:val="00A72033"/>
    <w:rsid w:val="00A7237F"/>
    <w:rsid w:val="00A72386"/>
    <w:rsid w:val="00A72436"/>
    <w:rsid w:val="00A72480"/>
    <w:rsid w:val="00A7252A"/>
    <w:rsid w:val="00A7268D"/>
    <w:rsid w:val="00A72AD0"/>
    <w:rsid w:val="00A72C17"/>
    <w:rsid w:val="00A72F95"/>
    <w:rsid w:val="00A72FA0"/>
    <w:rsid w:val="00A73066"/>
    <w:rsid w:val="00A732BF"/>
    <w:rsid w:val="00A73734"/>
    <w:rsid w:val="00A73765"/>
    <w:rsid w:val="00A73812"/>
    <w:rsid w:val="00A73AD1"/>
    <w:rsid w:val="00A73AFD"/>
    <w:rsid w:val="00A73C59"/>
    <w:rsid w:val="00A73D0F"/>
    <w:rsid w:val="00A73EF2"/>
    <w:rsid w:val="00A7415D"/>
    <w:rsid w:val="00A74165"/>
    <w:rsid w:val="00A7416E"/>
    <w:rsid w:val="00A741F3"/>
    <w:rsid w:val="00A74385"/>
    <w:rsid w:val="00A743C7"/>
    <w:rsid w:val="00A7453D"/>
    <w:rsid w:val="00A746BE"/>
    <w:rsid w:val="00A74C85"/>
    <w:rsid w:val="00A74D6D"/>
    <w:rsid w:val="00A75367"/>
    <w:rsid w:val="00A756F3"/>
    <w:rsid w:val="00A75914"/>
    <w:rsid w:val="00A7594C"/>
    <w:rsid w:val="00A75C51"/>
    <w:rsid w:val="00A75CCE"/>
    <w:rsid w:val="00A75DD3"/>
    <w:rsid w:val="00A7603F"/>
    <w:rsid w:val="00A7676A"/>
    <w:rsid w:val="00A769E8"/>
    <w:rsid w:val="00A76B92"/>
    <w:rsid w:val="00A76C9D"/>
    <w:rsid w:val="00A76D9A"/>
    <w:rsid w:val="00A77098"/>
    <w:rsid w:val="00A77532"/>
    <w:rsid w:val="00A77597"/>
    <w:rsid w:val="00A7767A"/>
    <w:rsid w:val="00A776DD"/>
    <w:rsid w:val="00A777AB"/>
    <w:rsid w:val="00A77898"/>
    <w:rsid w:val="00A778CD"/>
    <w:rsid w:val="00A77A55"/>
    <w:rsid w:val="00A77FA9"/>
    <w:rsid w:val="00A801C1"/>
    <w:rsid w:val="00A80214"/>
    <w:rsid w:val="00A8029B"/>
    <w:rsid w:val="00A80330"/>
    <w:rsid w:val="00A8034D"/>
    <w:rsid w:val="00A8048A"/>
    <w:rsid w:val="00A804F7"/>
    <w:rsid w:val="00A80673"/>
    <w:rsid w:val="00A80747"/>
    <w:rsid w:val="00A8087E"/>
    <w:rsid w:val="00A80C6D"/>
    <w:rsid w:val="00A80E7F"/>
    <w:rsid w:val="00A81333"/>
    <w:rsid w:val="00A817C1"/>
    <w:rsid w:val="00A8196E"/>
    <w:rsid w:val="00A81A3D"/>
    <w:rsid w:val="00A81DE3"/>
    <w:rsid w:val="00A81EFE"/>
    <w:rsid w:val="00A82001"/>
    <w:rsid w:val="00A82174"/>
    <w:rsid w:val="00A825C9"/>
    <w:rsid w:val="00A82870"/>
    <w:rsid w:val="00A82982"/>
    <w:rsid w:val="00A82C75"/>
    <w:rsid w:val="00A82F5A"/>
    <w:rsid w:val="00A830AF"/>
    <w:rsid w:val="00A83105"/>
    <w:rsid w:val="00A8321C"/>
    <w:rsid w:val="00A834BC"/>
    <w:rsid w:val="00A83588"/>
    <w:rsid w:val="00A83CE6"/>
    <w:rsid w:val="00A84086"/>
    <w:rsid w:val="00A84122"/>
    <w:rsid w:val="00A843D6"/>
    <w:rsid w:val="00A846FC"/>
    <w:rsid w:val="00A84762"/>
    <w:rsid w:val="00A848AF"/>
    <w:rsid w:val="00A84939"/>
    <w:rsid w:val="00A84EA4"/>
    <w:rsid w:val="00A84ED6"/>
    <w:rsid w:val="00A84EE9"/>
    <w:rsid w:val="00A8506E"/>
    <w:rsid w:val="00A8517E"/>
    <w:rsid w:val="00A85369"/>
    <w:rsid w:val="00A854E3"/>
    <w:rsid w:val="00A855B8"/>
    <w:rsid w:val="00A859AF"/>
    <w:rsid w:val="00A859E0"/>
    <w:rsid w:val="00A85A22"/>
    <w:rsid w:val="00A85A30"/>
    <w:rsid w:val="00A85C36"/>
    <w:rsid w:val="00A85C59"/>
    <w:rsid w:val="00A85FE8"/>
    <w:rsid w:val="00A863D6"/>
    <w:rsid w:val="00A8656F"/>
    <w:rsid w:val="00A86698"/>
    <w:rsid w:val="00A86847"/>
    <w:rsid w:val="00A86B91"/>
    <w:rsid w:val="00A86D92"/>
    <w:rsid w:val="00A86E16"/>
    <w:rsid w:val="00A86F26"/>
    <w:rsid w:val="00A86FE5"/>
    <w:rsid w:val="00A872A2"/>
    <w:rsid w:val="00A8735A"/>
    <w:rsid w:val="00A87494"/>
    <w:rsid w:val="00A8751C"/>
    <w:rsid w:val="00A8768E"/>
    <w:rsid w:val="00A87B4F"/>
    <w:rsid w:val="00A87FEA"/>
    <w:rsid w:val="00A90466"/>
    <w:rsid w:val="00A90489"/>
    <w:rsid w:val="00A904B2"/>
    <w:rsid w:val="00A905C5"/>
    <w:rsid w:val="00A90972"/>
    <w:rsid w:val="00A90C97"/>
    <w:rsid w:val="00A91163"/>
    <w:rsid w:val="00A91208"/>
    <w:rsid w:val="00A91251"/>
    <w:rsid w:val="00A9136A"/>
    <w:rsid w:val="00A9158E"/>
    <w:rsid w:val="00A91B0D"/>
    <w:rsid w:val="00A91DE2"/>
    <w:rsid w:val="00A91DEE"/>
    <w:rsid w:val="00A91F9E"/>
    <w:rsid w:val="00A9202D"/>
    <w:rsid w:val="00A924A0"/>
    <w:rsid w:val="00A92539"/>
    <w:rsid w:val="00A9253F"/>
    <w:rsid w:val="00A928FE"/>
    <w:rsid w:val="00A92994"/>
    <w:rsid w:val="00A92D67"/>
    <w:rsid w:val="00A92EE5"/>
    <w:rsid w:val="00A9306D"/>
    <w:rsid w:val="00A93160"/>
    <w:rsid w:val="00A93315"/>
    <w:rsid w:val="00A933D2"/>
    <w:rsid w:val="00A935C2"/>
    <w:rsid w:val="00A93648"/>
    <w:rsid w:val="00A936B8"/>
    <w:rsid w:val="00A93DD6"/>
    <w:rsid w:val="00A93FA0"/>
    <w:rsid w:val="00A94157"/>
    <w:rsid w:val="00A942AA"/>
    <w:rsid w:val="00A9431C"/>
    <w:rsid w:val="00A94366"/>
    <w:rsid w:val="00A944C0"/>
    <w:rsid w:val="00A94B33"/>
    <w:rsid w:val="00A94BF0"/>
    <w:rsid w:val="00A94D3E"/>
    <w:rsid w:val="00A94E28"/>
    <w:rsid w:val="00A95090"/>
    <w:rsid w:val="00A95370"/>
    <w:rsid w:val="00A95467"/>
    <w:rsid w:val="00A95AD0"/>
    <w:rsid w:val="00A95EB0"/>
    <w:rsid w:val="00A95FDA"/>
    <w:rsid w:val="00A96009"/>
    <w:rsid w:val="00A96237"/>
    <w:rsid w:val="00A96425"/>
    <w:rsid w:val="00A96475"/>
    <w:rsid w:val="00A964BE"/>
    <w:rsid w:val="00A96691"/>
    <w:rsid w:val="00A96829"/>
    <w:rsid w:val="00A96A06"/>
    <w:rsid w:val="00A96D77"/>
    <w:rsid w:val="00A96E81"/>
    <w:rsid w:val="00A97396"/>
    <w:rsid w:val="00A97601"/>
    <w:rsid w:val="00A976B5"/>
    <w:rsid w:val="00A97945"/>
    <w:rsid w:val="00A97BAD"/>
    <w:rsid w:val="00A97F85"/>
    <w:rsid w:val="00AA004E"/>
    <w:rsid w:val="00AA08CF"/>
    <w:rsid w:val="00AA0945"/>
    <w:rsid w:val="00AA09DE"/>
    <w:rsid w:val="00AA0C1C"/>
    <w:rsid w:val="00AA0C2C"/>
    <w:rsid w:val="00AA0E49"/>
    <w:rsid w:val="00AA0E8F"/>
    <w:rsid w:val="00AA0E99"/>
    <w:rsid w:val="00AA0FDE"/>
    <w:rsid w:val="00AA1154"/>
    <w:rsid w:val="00AA11AD"/>
    <w:rsid w:val="00AA139D"/>
    <w:rsid w:val="00AA140E"/>
    <w:rsid w:val="00AA142C"/>
    <w:rsid w:val="00AA1527"/>
    <w:rsid w:val="00AA1B04"/>
    <w:rsid w:val="00AA1B76"/>
    <w:rsid w:val="00AA1CFB"/>
    <w:rsid w:val="00AA1D69"/>
    <w:rsid w:val="00AA2612"/>
    <w:rsid w:val="00AA2B5B"/>
    <w:rsid w:val="00AA2B7F"/>
    <w:rsid w:val="00AA2BCC"/>
    <w:rsid w:val="00AA2C9D"/>
    <w:rsid w:val="00AA3084"/>
    <w:rsid w:val="00AA340E"/>
    <w:rsid w:val="00AA356A"/>
    <w:rsid w:val="00AA360C"/>
    <w:rsid w:val="00AA39FF"/>
    <w:rsid w:val="00AA3ACC"/>
    <w:rsid w:val="00AA3B0B"/>
    <w:rsid w:val="00AA3B93"/>
    <w:rsid w:val="00AA3C94"/>
    <w:rsid w:val="00AA3CB4"/>
    <w:rsid w:val="00AA3E9C"/>
    <w:rsid w:val="00AA42DF"/>
    <w:rsid w:val="00AA449C"/>
    <w:rsid w:val="00AA4717"/>
    <w:rsid w:val="00AA4848"/>
    <w:rsid w:val="00AA4AD6"/>
    <w:rsid w:val="00AA4C55"/>
    <w:rsid w:val="00AA4CDF"/>
    <w:rsid w:val="00AA4ECC"/>
    <w:rsid w:val="00AA534D"/>
    <w:rsid w:val="00AA541D"/>
    <w:rsid w:val="00AA562A"/>
    <w:rsid w:val="00AA5C46"/>
    <w:rsid w:val="00AA5C84"/>
    <w:rsid w:val="00AA5DE6"/>
    <w:rsid w:val="00AA63B5"/>
    <w:rsid w:val="00AA6581"/>
    <w:rsid w:val="00AA665E"/>
    <w:rsid w:val="00AA6686"/>
    <w:rsid w:val="00AA6D51"/>
    <w:rsid w:val="00AA724B"/>
    <w:rsid w:val="00AA73D3"/>
    <w:rsid w:val="00AA7526"/>
    <w:rsid w:val="00AA7C39"/>
    <w:rsid w:val="00AA7DA6"/>
    <w:rsid w:val="00AA7DD4"/>
    <w:rsid w:val="00AA7FEB"/>
    <w:rsid w:val="00AB0045"/>
    <w:rsid w:val="00AB00D7"/>
    <w:rsid w:val="00AB048E"/>
    <w:rsid w:val="00AB08A0"/>
    <w:rsid w:val="00AB0BC9"/>
    <w:rsid w:val="00AB0C1C"/>
    <w:rsid w:val="00AB0CCE"/>
    <w:rsid w:val="00AB0D1D"/>
    <w:rsid w:val="00AB0E26"/>
    <w:rsid w:val="00AB1099"/>
    <w:rsid w:val="00AB137D"/>
    <w:rsid w:val="00AB16A6"/>
    <w:rsid w:val="00AB1997"/>
    <w:rsid w:val="00AB1BCF"/>
    <w:rsid w:val="00AB1D84"/>
    <w:rsid w:val="00AB1F22"/>
    <w:rsid w:val="00AB2036"/>
    <w:rsid w:val="00AB2297"/>
    <w:rsid w:val="00AB26F4"/>
    <w:rsid w:val="00AB2706"/>
    <w:rsid w:val="00AB284D"/>
    <w:rsid w:val="00AB2982"/>
    <w:rsid w:val="00AB2998"/>
    <w:rsid w:val="00AB3212"/>
    <w:rsid w:val="00AB3AE5"/>
    <w:rsid w:val="00AB3C59"/>
    <w:rsid w:val="00AB3E4E"/>
    <w:rsid w:val="00AB3FE0"/>
    <w:rsid w:val="00AB412F"/>
    <w:rsid w:val="00AB42C8"/>
    <w:rsid w:val="00AB443C"/>
    <w:rsid w:val="00AB46A5"/>
    <w:rsid w:val="00AB49DD"/>
    <w:rsid w:val="00AB4B1E"/>
    <w:rsid w:val="00AB4B5B"/>
    <w:rsid w:val="00AB4C4F"/>
    <w:rsid w:val="00AB4EDD"/>
    <w:rsid w:val="00AB53A8"/>
    <w:rsid w:val="00AB5417"/>
    <w:rsid w:val="00AB5658"/>
    <w:rsid w:val="00AB5805"/>
    <w:rsid w:val="00AB58E3"/>
    <w:rsid w:val="00AB5A99"/>
    <w:rsid w:val="00AB5DFF"/>
    <w:rsid w:val="00AB5ED2"/>
    <w:rsid w:val="00AB5F7B"/>
    <w:rsid w:val="00AB5FEF"/>
    <w:rsid w:val="00AB6099"/>
    <w:rsid w:val="00AB69A2"/>
    <w:rsid w:val="00AB6AC6"/>
    <w:rsid w:val="00AB6ACB"/>
    <w:rsid w:val="00AB6AD3"/>
    <w:rsid w:val="00AB6BFD"/>
    <w:rsid w:val="00AB6F22"/>
    <w:rsid w:val="00AB726B"/>
    <w:rsid w:val="00AB74A5"/>
    <w:rsid w:val="00AB753A"/>
    <w:rsid w:val="00AB758D"/>
    <w:rsid w:val="00AB79F5"/>
    <w:rsid w:val="00AB7A8D"/>
    <w:rsid w:val="00AC0051"/>
    <w:rsid w:val="00AC0B30"/>
    <w:rsid w:val="00AC0C70"/>
    <w:rsid w:val="00AC0C95"/>
    <w:rsid w:val="00AC0D0D"/>
    <w:rsid w:val="00AC0EBA"/>
    <w:rsid w:val="00AC0FDA"/>
    <w:rsid w:val="00AC0FF3"/>
    <w:rsid w:val="00AC10BC"/>
    <w:rsid w:val="00AC147A"/>
    <w:rsid w:val="00AC1825"/>
    <w:rsid w:val="00AC187D"/>
    <w:rsid w:val="00AC1BAE"/>
    <w:rsid w:val="00AC1E11"/>
    <w:rsid w:val="00AC1EBC"/>
    <w:rsid w:val="00AC2129"/>
    <w:rsid w:val="00AC2963"/>
    <w:rsid w:val="00AC2E90"/>
    <w:rsid w:val="00AC2F42"/>
    <w:rsid w:val="00AC2F4E"/>
    <w:rsid w:val="00AC2F5C"/>
    <w:rsid w:val="00AC3315"/>
    <w:rsid w:val="00AC342E"/>
    <w:rsid w:val="00AC34CC"/>
    <w:rsid w:val="00AC35CF"/>
    <w:rsid w:val="00AC35FC"/>
    <w:rsid w:val="00AC38C8"/>
    <w:rsid w:val="00AC3910"/>
    <w:rsid w:val="00AC3B1F"/>
    <w:rsid w:val="00AC3CD5"/>
    <w:rsid w:val="00AC3FE6"/>
    <w:rsid w:val="00AC41FF"/>
    <w:rsid w:val="00AC4460"/>
    <w:rsid w:val="00AC46A4"/>
    <w:rsid w:val="00AC46F9"/>
    <w:rsid w:val="00AC4827"/>
    <w:rsid w:val="00AC48E6"/>
    <w:rsid w:val="00AC4AFE"/>
    <w:rsid w:val="00AC5387"/>
    <w:rsid w:val="00AC56AA"/>
    <w:rsid w:val="00AC58A9"/>
    <w:rsid w:val="00AC5CD6"/>
    <w:rsid w:val="00AC5DEE"/>
    <w:rsid w:val="00AC5E15"/>
    <w:rsid w:val="00AC62E0"/>
    <w:rsid w:val="00AC6682"/>
    <w:rsid w:val="00AC6B97"/>
    <w:rsid w:val="00AC6C1D"/>
    <w:rsid w:val="00AC6D27"/>
    <w:rsid w:val="00AC6E07"/>
    <w:rsid w:val="00AC6E10"/>
    <w:rsid w:val="00AC725D"/>
    <w:rsid w:val="00AC7740"/>
    <w:rsid w:val="00AC777A"/>
    <w:rsid w:val="00AC7782"/>
    <w:rsid w:val="00AC778E"/>
    <w:rsid w:val="00AC7835"/>
    <w:rsid w:val="00AC7851"/>
    <w:rsid w:val="00AC78E0"/>
    <w:rsid w:val="00AC79B6"/>
    <w:rsid w:val="00AC7B55"/>
    <w:rsid w:val="00AD0194"/>
    <w:rsid w:val="00AD027C"/>
    <w:rsid w:val="00AD044C"/>
    <w:rsid w:val="00AD04EC"/>
    <w:rsid w:val="00AD07F7"/>
    <w:rsid w:val="00AD13CD"/>
    <w:rsid w:val="00AD1DA0"/>
    <w:rsid w:val="00AD21AB"/>
    <w:rsid w:val="00AD22AE"/>
    <w:rsid w:val="00AD23FF"/>
    <w:rsid w:val="00AD2471"/>
    <w:rsid w:val="00AD2593"/>
    <w:rsid w:val="00AD2980"/>
    <w:rsid w:val="00AD29ED"/>
    <w:rsid w:val="00AD2ADB"/>
    <w:rsid w:val="00AD2E2B"/>
    <w:rsid w:val="00AD2F3B"/>
    <w:rsid w:val="00AD30EB"/>
    <w:rsid w:val="00AD38BF"/>
    <w:rsid w:val="00AD3AF6"/>
    <w:rsid w:val="00AD3E87"/>
    <w:rsid w:val="00AD4027"/>
    <w:rsid w:val="00AD424B"/>
    <w:rsid w:val="00AD43D5"/>
    <w:rsid w:val="00AD446C"/>
    <w:rsid w:val="00AD466F"/>
    <w:rsid w:val="00AD472A"/>
    <w:rsid w:val="00AD4CAC"/>
    <w:rsid w:val="00AD4D27"/>
    <w:rsid w:val="00AD50EF"/>
    <w:rsid w:val="00AD53F5"/>
    <w:rsid w:val="00AD5576"/>
    <w:rsid w:val="00AD5865"/>
    <w:rsid w:val="00AD5999"/>
    <w:rsid w:val="00AD5C58"/>
    <w:rsid w:val="00AD5C5F"/>
    <w:rsid w:val="00AD5FF9"/>
    <w:rsid w:val="00AD6303"/>
    <w:rsid w:val="00AD64F5"/>
    <w:rsid w:val="00AD6621"/>
    <w:rsid w:val="00AD66EC"/>
    <w:rsid w:val="00AD675C"/>
    <w:rsid w:val="00AD680F"/>
    <w:rsid w:val="00AD683B"/>
    <w:rsid w:val="00AD6B4E"/>
    <w:rsid w:val="00AD6D00"/>
    <w:rsid w:val="00AD6F7C"/>
    <w:rsid w:val="00AD75BE"/>
    <w:rsid w:val="00AD75D4"/>
    <w:rsid w:val="00AD7635"/>
    <w:rsid w:val="00AD7815"/>
    <w:rsid w:val="00AD7AB2"/>
    <w:rsid w:val="00AD7B80"/>
    <w:rsid w:val="00AD7EC4"/>
    <w:rsid w:val="00AE003E"/>
    <w:rsid w:val="00AE00AB"/>
    <w:rsid w:val="00AE00E2"/>
    <w:rsid w:val="00AE0148"/>
    <w:rsid w:val="00AE0704"/>
    <w:rsid w:val="00AE097E"/>
    <w:rsid w:val="00AE0B74"/>
    <w:rsid w:val="00AE0E27"/>
    <w:rsid w:val="00AE0EF0"/>
    <w:rsid w:val="00AE0FBC"/>
    <w:rsid w:val="00AE10FC"/>
    <w:rsid w:val="00AE1297"/>
    <w:rsid w:val="00AE175E"/>
    <w:rsid w:val="00AE1AB3"/>
    <w:rsid w:val="00AE1BEF"/>
    <w:rsid w:val="00AE1CE2"/>
    <w:rsid w:val="00AE1E52"/>
    <w:rsid w:val="00AE2174"/>
    <w:rsid w:val="00AE217E"/>
    <w:rsid w:val="00AE23A2"/>
    <w:rsid w:val="00AE256E"/>
    <w:rsid w:val="00AE25C0"/>
    <w:rsid w:val="00AE2697"/>
    <w:rsid w:val="00AE2C1B"/>
    <w:rsid w:val="00AE2C9F"/>
    <w:rsid w:val="00AE2CB2"/>
    <w:rsid w:val="00AE31FA"/>
    <w:rsid w:val="00AE346D"/>
    <w:rsid w:val="00AE34BD"/>
    <w:rsid w:val="00AE34C4"/>
    <w:rsid w:val="00AE3619"/>
    <w:rsid w:val="00AE375C"/>
    <w:rsid w:val="00AE384C"/>
    <w:rsid w:val="00AE39D6"/>
    <w:rsid w:val="00AE3C07"/>
    <w:rsid w:val="00AE3D53"/>
    <w:rsid w:val="00AE3EDC"/>
    <w:rsid w:val="00AE3F38"/>
    <w:rsid w:val="00AE3FCB"/>
    <w:rsid w:val="00AE3FF2"/>
    <w:rsid w:val="00AE40CF"/>
    <w:rsid w:val="00AE4464"/>
    <w:rsid w:val="00AE479B"/>
    <w:rsid w:val="00AE48A2"/>
    <w:rsid w:val="00AE49D8"/>
    <w:rsid w:val="00AE4D2B"/>
    <w:rsid w:val="00AE4E4C"/>
    <w:rsid w:val="00AE546F"/>
    <w:rsid w:val="00AE58ED"/>
    <w:rsid w:val="00AE5A4C"/>
    <w:rsid w:val="00AE5B66"/>
    <w:rsid w:val="00AE5D85"/>
    <w:rsid w:val="00AE5E25"/>
    <w:rsid w:val="00AE6009"/>
    <w:rsid w:val="00AE61D9"/>
    <w:rsid w:val="00AE6440"/>
    <w:rsid w:val="00AE6495"/>
    <w:rsid w:val="00AE65BD"/>
    <w:rsid w:val="00AE6646"/>
    <w:rsid w:val="00AE66A6"/>
    <w:rsid w:val="00AE66E5"/>
    <w:rsid w:val="00AE6891"/>
    <w:rsid w:val="00AE68D9"/>
    <w:rsid w:val="00AE6962"/>
    <w:rsid w:val="00AE6A1E"/>
    <w:rsid w:val="00AE6C9C"/>
    <w:rsid w:val="00AE7547"/>
    <w:rsid w:val="00AE76D0"/>
    <w:rsid w:val="00AE7782"/>
    <w:rsid w:val="00AE78A1"/>
    <w:rsid w:val="00AF0144"/>
    <w:rsid w:val="00AF0402"/>
    <w:rsid w:val="00AF0574"/>
    <w:rsid w:val="00AF09D6"/>
    <w:rsid w:val="00AF11D2"/>
    <w:rsid w:val="00AF1291"/>
    <w:rsid w:val="00AF153A"/>
    <w:rsid w:val="00AF1767"/>
    <w:rsid w:val="00AF17B1"/>
    <w:rsid w:val="00AF1A89"/>
    <w:rsid w:val="00AF1D77"/>
    <w:rsid w:val="00AF1FD3"/>
    <w:rsid w:val="00AF2167"/>
    <w:rsid w:val="00AF228E"/>
    <w:rsid w:val="00AF269E"/>
    <w:rsid w:val="00AF2808"/>
    <w:rsid w:val="00AF2881"/>
    <w:rsid w:val="00AF297D"/>
    <w:rsid w:val="00AF2A5E"/>
    <w:rsid w:val="00AF2CD7"/>
    <w:rsid w:val="00AF2EF0"/>
    <w:rsid w:val="00AF2F1B"/>
    <w:rsid w:val="00AF2FB3"/>
    <w:rsid w:val="00AF2FBD"/>
    <w:rsid w:val="00AF301B"/>
    <w:rsid w:val="00AF336A"/>
    <w:rsid w:val="00AF34C7"/>
    <w:rsid w:val="00AF35E3"/>
    <w:rsid w:val="00AF3766"/>
    <w:rsid w:val="00AF3972"/>
    <w:rsid w:val="00AF39AF"/>
    <w:rsid w:val="00AF3AD1"/>
    <w:rsid w:val="00AF3AE3"/>
    <w:rsid w:val="00AF3D61"/>
    <w:rsid w:val="00AF3D9F"/>
    <w:rsid w:val="00AF3DF1"/>
    <w:rsid w:val="00AF4050"/>
    <w:rsid w:val="00AF41ED"/>
    <w:rsid w:val="00AF4203"/>
    <w:rsid w:val="00AF43C2"/>
    <w:rsid w:val="00AF4426"/>
    <w:rsid w:val="00AF4456"/>
    <w:rsid w:val="00AF4562"/>
    <w:rsid w:val="00AF4613"/>
    <w:rsid w:val="00AF473B"/>
    <w:rsid w:val="00AF48B3"/>
    <w:rsid w:val="00AF4D28"/>
    <w:rsid w:val="00AF4D9D"/>
    <w:rsid w:val="00AF4DD9"/>
    <w:rsid w:val="00AF5350"/>
    <w:rsid w:val="00AF5399"/>
    <w:rsid w:val="00AF53AC"/>
    <w:rsid w:val="00AF55B9"/>
    <w:rsid w:val="00AF56BA"/>
    <w:rsid w:val="00AF596C"/>
    <w:rsid w:val="00AF5BAF"/>
    <w:rsid w:val="00AF5C97"/>
    <w:rsid w:val="00AF5F16"/>
    <w:rsid w:val="00AF6543"/>
    <w:rsid w:val="00AF6B61"/>
    <w:rsid w:val="00AF6C5A"/>
    <w:rsid w:val="00AF705B"/>
    <w:rsid w:val="00AF7112"/>
    <w:rsid w:val="00AF740E"/>
    <w:rsid w:val="00AF744A"/>
    <w:rsid w:val="00AF7967"/>
    <w:rsid w:val="00AF7A2C"/>
    <w:rsid w:val="00AF7A6F"/>
    <w:rsid w:val="00AF7B69"/>
    <w:rsid w:val="00AF7D13"/>
    <w:rsid w:val="00AF7E62"/>
    <w:rsid w:val="00B00049"/>
    <w:rsid w:val="00B0015D"/>
    <w:rsid w:val="00B0025E"/>
    <w:rsid w:val="00B002AD"/>
    <w:rsid w:val="00B00665"/>
    <w:rsid w:val="00B00862"/>
    <w:rsid w:val="00B00C57"/>
    <w:rsid w:val="00B00D31"/>
    <w:rsid w:val="00B01021"/>
    <w:rsid w:val="00B0119B"/>
    <w:rsid w:val="00B011B9"/>
    <w:rsid w:val="00B012EA"/>
    <w:rsid w:val="00B0137E"/>
    <w:rsid w:val="00B014D6"/>
    <w:rsid w:val="00B015E6"/>
    <w:rsid w:val="00B01660"/>
    <w:rsid w:val="00B0168B"/>
    <w:rsid w:val="00B0170D"/>
    <w:rsid w:val="00B01812"/>
    <w:rsid w:val="00B01A05"/>
    <w:rsid w:val="00B01A4B"/>
    <w:rsid w:val="00B02346"/>
    <w:rsid w:val="00B02C75"/>
    <w:rsid w:val="00B02D3A"/>
    <w:rsid w:val="00B02D8D"/>
    <w:rsid w:val="00B02EEE"/>
    <w:rsid w:val="00B0305B"/>
    <w:rsid w:val="00B0309F"/>
    <w:rsid w:val="00B03134"/>
    <w:rsid w:val="00B0315F"/>
    <w:rsid w:val="00B03198"/>
    <w:rsid w:val="00B03377"/>
    <w:rsid w:val="00B03383"/>
    <w:rsid w:val="00B033A4"/>
    <w:rsid w:val="00B0371E"/>
    <w:rsid w:val="00B03890"/>
    <w:rsid w:val="00B03A69"/>
    <w:rsid w:val="00B03B89"/>
    <w:rsid w:val="00B03CB5"/>
    <w:rsid w:val="00B03CD6"/>
    <w:rsid w:val="00B03E2F"/>
    <w:rsid w:val="00B03E9D"/>
    <w:rsid w:val="00B03EBE"/>
    <w:rsid w:val="00B042ED"/>
    <w:rsid w:val="00B043F5"/>
    <w:rsid w:val="00B04A8A"/>
    <w:rsid w:val="00B04C06"/>
    <w:rsid w:val="00B04EC5"/>
    <w:rsid w:val="00B04EFD"/>
    <w:rsid w:val="00B05059"/>
    <w:rsid w:val="00B052AE"/>
    <w:rsid w:val="00B05628"/>
    <w:rsid w:val="00B058DA"/>
    <w:rsid w:val="00B05947"/>
    <w:rsid w:val="00B05982"/>
    <w:rsid w:val="00B059FE"/>
    <w:rsid w:val="00B05B12"/>
    <w:rsid w:val="00B05B53"/>
    <w:rsid w:val="00B05BF0"/>
    <w:rsid w:val="00B05D82"/>
    <w:rsid w:val="00B05D9A"/>
    <w:rsid w:val="00B05DA6"/>
    <w:rsid w:val="00B05EEE"/>
    <w:rsid w:val="00B05FD1"/>
    <w:rsid w:val="00B0617B"/>
    <w:rsid w:val="00B067F3"/>
    <w:rsid w:val="00B068F9"/>
    <w:rsid w:val="00B06A16"/>
    <w:rsid w:val="00B06E8D"/>
    <w:rsid w:val="00B06F24"/>
    <w:rsid w:val="00B070AE"/>
    <w:rsid w:val="00B07136"/>
    <w:rsid w:val="00B0726A"/>
    <w:rsid w:val="00B075EB"/>
    <w:rsid w:val="00B076B4"/>
    <w:rsid w:val="00B07A31"/>
    <w:rsid w:val="00B07C63"/>
    <w:rsid w:val="00B07C98"/>
    <w:rsid w:val="00B07C9C"/>
    <w:rsid w:val="00B07C9D"/>
    <w:rsid w:val="00B07F2B"/>
    <w:rsid w:val="00B10078"/>
    <w:rsid w:val="00B10EDD"/>
    <w:rsid w:val="00B11018"/>
    <w:rsid w:val="00B11143"/>
    <w:rsid w:val="00B11186"/>
    <w:rsid w:val="00B1118D"/>
    <w:rsid w:val="00B1156B"/>
    <w:rsid w:val="00B11636"/>
    <w:rsid w:val="00B1186C"/>
    <w:rsid w:val="00B11B0E"/>
    <w:rsid w:val="00B11DB9"/>
    <w:rsid w:val="00B123AB"/>
    <w:rsid w:val="00B123FF"/>
    <w:rsid w:val="00B127D4"/>
    <w:rsid w:val="00B128A8"/>
    <w:rsid w:val="00B128FA"/>
    <w:rsid w:val="00B12913"/>
    <w:rsid w:val="00B1299D"/>
    <w:rsid w:val="00B12BF5"/>
    <w:rsid w:val="00B12DD9"/>
    <w:rsid w:val="00B12E22"/>
    <w:rsid w:val="00B12F00"/>
    <w:rsid w:val="00B12F34"/>
    <w:rsid w:val="00B13000"/>
    <w:rsid w:val="00B130CC"/>
    <w:rsid w:val="00B13234"/>
    <w:rsid w:val="00B1351F"/>
    <w:rsid w:val="00B1356D"/>
    <w:rsid w:val="00B13B93"/>
    <w:rsid w:val="00B13C8B"/>
    <w:rsid w:val="00B13CFD"/>
    <w:rsid w:val="00B13D12"/>
    <w:rsid w:val="00B141FD"/>
    <w:rsid w:val="00B1428F"/>
    <w:rsid w:val="00B1474A"/>
    <w:rsid w:val="00B14C06"/>
    <w:rsid w:val="00B14D8B"/>
    <w:rsid w:val="00B1521F"/>
    <w:rsid w:val="00B1576D"/>
    <w:rsid w:val="00B15A9D"/>
    <w:rsid w:val="00B15B27"/>
    <w:rsid w:val="00B15BAA"/>
    <w:rsid w:val="00B15C0F"/>
    <w:rsid w:val="00B15F15"/>
    <w:rsid w:val="00B16477"/>
    <w:rsid w:val="00B16639"/>
    <w:rsid w:val="00B1692C"/>
    <w:rsid w:val="00B16D7E"/>
    <w:rsid w:val="00B170D8"/>
    <w:rsid w:val="00B173A1"/>
    <w:rsid w:val="00B173A3"/>
    <w:rsid w:val="00B177E3"/>
    <w:rsid w:val="00B17857"/>
    <w:rsid w:val="00B179F9"/>
    <w:rsid w:val="00B17E69"/>
    <w:rsid w:val="00B201ED"/>
    <w:rsid w:val="00B20427"/>
    <w:rsid w:val="00B20525"/>
    <w:rsid w:val="00B20951"/>
    <w:rsid w:val="00B20CEE"/>
    <w:rsid w:val="00B20FB4"/>
    <w:rsid w:val="00B211EF"/>
    <w:rsid w:val="00B212A9"/>
    <w:rsid w:val="00B2132B"/>
    <w:rsid w:val="00B213E8"/>
    <w:rsid w:val="00B214CD"/>
    <w:rsid w:val="00B216CF"/>
    <w:rsid w:val="00B21818"/>
    <w:rsid w:val="00B21873"/>
    <w:rsid w:val="00B21AA1"/>
    <w:rsid w:val="00B21BE5"/>
    <w:rsid w:val="00B21E11"/>
    <w:rsid w:val="00B21F95"/>
    <w:rsid w:val="00B21FF6"/>
    <w:rsid w:val="00B22101"/>
    <w:rsid w:val="00B2221D"/>
    <w:rsid w:val="00B2230F"/>
    <w:rsid w:val="00B2233E"/>
    <w:rsid w:val="00B2259A"/>
    <w:rsid w:val="00B2260D"/>
    <w:rsid w:val="00B22A9D"/>
    <w:rsid w:val="00B22AD0"/>
    <w:rsid w:val="00B22C0E"/>
    <w:rsid w:val="00B22DD6"/>
    <w:rsid w:val="00B22E02"/>
    <w:rsid w:val="00B22ECC"/>
    <w:rsid w:val="00B23098"/>
    <w:rsid w:val="00B231E6"/>
    <w:rsid w:val="00B23203"/>
    <w:rsid w:val="00B2325F"/>
    <w:rsid w:val="00B232C5"/>
    <w:rsid w:val="00B23924"/>
    <w:rsid w:val="00B23E14"/>
    <w:rsid w:val="00B23E4A"/>
    <w:rsid w:val="00B23FC1"/>
    <w:rsid w:val="00B24282"/>
    <w:rsid w:val="00B242EB"/>
    <w:rsid w:val="00B2430E"/>
    <w:rsid w:val="00B24331"/>
    <w:rsid w:val="00B2452D"/>
    <w:rsid w:val="00B24A53"/>
    <w:rsid w:val="00B24A60"/>
    <w:rsid w:val="00B24DE0"/>
    <w:rsid w:val="00B25082"/>
    <w:rsid w:val="00B2515E"/>
    <w:rsid w:val="00B259C9"/>
    <w:rsid w:val="00B259DD"/>
    <w:rsid w:val="00B25A7A"/>
    <w:rsid w:val="00B25B70"/>
    <w:rsid w:val="00B25E0A"/>
    <w:rsid w:val="00B264BB"/>
    <w:rsid w:val="00B26726"/>
    <w:rsid w:val="00B26883"/>
    <w:rsid w:val="00B26AC0"/>
    <w:rsid w:val="00B26BA2"/>
    <w:rsid w:val="00B26CFB"/>
    <w:rsid w:val="00B26E27"/>
    <w:rsid w:val="00B26FD3"/>
    <w:rsid w:val="00B2710A"/>
    <w:rsid w:val="00B2762C"/>
    <w:rsid w:val="00B27716"/>
    <w:rsid w:val="00B27901"/>
    <w:rsid w:val="00B27A1A"/>
    <w:rsid w:val="00B3001C"/>
    <w:rsid w:val="00B30152"/>
    <w:rsid w:val="00B302F5"/>
    <w:rsid w:val="00B3049A"/>
    <w:rsid w:val="00B3059C"/>
    <w:rsid w:val="00B305B7"/>
    <w:rsid w:val="00B3060B"/>
    <w:rsid w:val="00B30724"/>
    <w:rsid w:val="00B3083E"/>
    <w:rsid w:val="00B30A27"/>
    <w:rsid w:val="00B30E2F"/>
    <w:rsid w:val="00B30EAC"/>
    <w:rsid w:val="00B31251"/>
    <w:rsid w:val="00B3132D"/>
    <w:rsid w:val="00B31335"/>
    <w:rsid w:val="00B313BC"/>
    <w:rsid w:val="00B315A5"/>
    <w:rsid w:val="00B3168D"/>
    <w:rsid w:val="00B31944"/>
    <w:rsid w:val="00B319D7"/>
    <w:rsid w:val="00B31A52"/>
    <w:rsid w:val="00B31BFC"/>
    <w:rsid w:val="00B31F43"/>
    <w:rsid w:val="00B321E1"/>
    <w:rsid w:val="00B32605"/>
    <w:rsid w:val="00B3282F"/>
    <w:rsid w:val="00B328D6"/>
    <w:rsid w:val="00B329EE"/>
    <w:rsid w:val="00B32C2E"/>
    <w:rsid w:val="00B32E19"/>
    <w:rsid w:val="00B32EC9"/>
    <w:rsid w:val="00B32EFC"/>
    <w:rsid w:val="00B330B6"/>
    <w:rsid w:val="00B33463"/>
    <w:rsid w:val="00B3380C"/>
    <w:rsid w:val="00B33BAA"/>
    <w:rsid w:val="00B33E3B"/>
    <w:rsid w:val="00B33FC2"/>
    <w:rsid w:val="00B341D5"/>
    <w:rsid w:val="00B34229"/>
    <w:rsid w:val="00B34440"/>
    <w:rsid w:val="00B34529"/>
    <w:rsid w:val="00B34790"/>
    <w:rsid w:val="00B3484A"/>
    <w:rsid w:val="00B3487C"/>
    <w:rsid w:val="00B34909"/>
    <w:rsid w:val="00B34AE2"/>
    <w:rsid w:val="00B34C8B"/>
    <w:rsid w:val="00B34F5E"/>
    <w:rsid w:val="00B3506E"/>
    <w:rsid w:val="00B35072"/>
    <w:rsid w:val="00B350CC"/>
    <w:rsid w:val="00B3524A"/>
    <w:rsid w:val="00B3527C"/>
    <w:rsid w:val="00B353C3"/>
    <w:rsid w:val="00B35592"/>
    <w:rsid w:val="00B35624"/>
    <w:rsid w:val="00B35730"/>
    <w:rsid w:val="00B35838"/>
    <w:rsid w:val="00B35861"/>
    <w:rsid w:val="00B35999"/>
    <w:rsid w:val="00B35E9E"/>
    <w:rsid w:val="00B36405"/>
    <w:rsid w:val="00B364B2"/>
    <w:rsid w:val="00B36A02"/>
    <w:rsid w:val="00B36CF4"/>
    <w:rsid w:val="00B36D20"/>
    <w:rsid w:val="00B36D41"/>
    <w:rsid w:val="00B36E2E"/>
    <w:rsid w:val="00B36EFA"/>
    <w:rsid w:val="00B36FAB"/>
    <w:rsid w:val="00B371A0"/>
    <w:rsid w:val="00B373D0"/>
    <w:rsid w:val="00B37494"/>
    <w:rsid w:val="00B374E9"/>
    <w:rsid w:val="00B376B8"/>
    <w:rsid w:val="00B37B11"/>
    <w:rsid w:val="00B37F35"/>
    <w:rsid w:val="00B37FBA"/>
    <w:rsid w:val="00B40245"/>
    <w:rsid w:val="00B40326"/>
    <w:rsid w:val="00B406EA"/>
    <w:rsid w:val="00B4094D"/>
    <w:rsid w:val="00B41278"/>
    <w:rsid w:val="00B412EC"/>
    <w:rsid w:val="00B413E1"/>
    <w:rsid w:val="00B4144A"/>
    <w:rsid w:val="00B414F0"/>
    <w:rsid w:val="00B4159D"/>
    <w:rsid w:val="00B41952"/>
    <w:rsid w:val="00B41B0B"/>
    <w:rsid w:val="00B41D4F"/>
    <w:rsid w:val="00B41D88"/>
    <w:rsid w:val="00B422DA"/>
    <w:rsid w:val="00B4232D"/>
    <w:rsid w:val="00B42677"/>
    <w:rsid w:val="00B4273C"/>
    <w:rsid w:val="00B42A3D"/>
    <w:rsid w:val="00B42FB5"/>
    <w:rsid w:val="00B43160"/>
    <w:rsid w:val="00B4366C"/>
    <w:rsid w:val="00B43A2B"/>
    <w:rsid w:val="00B43AC6"/>
    <w:rsid w:val="00B43BFF"/>
    <w:rsid w:val="00B43C93"/>
    <w:rsid w:val="00B43E9B"/>
    <w:rsid w:val="00B44269"/>
    <w:rsid w:val="00B44B0C"/>
    <w:rsid w:val="00B44BC9"/>
    <w:rsid w:val="00B44DC6"/>
    <w:rsid w:val="00B44E80"/>
    <w:rsid w:val="00B456A3"/>
    <w:rsid w:val="00B45778"/>
    <w:rsid w:val="00B45931"/>
    <w:rsid w:val="00B45BFF"/>
    <w:rsid w:val="00B45E29"/>
    <w:rsid w:val="00B45E60"/>
    <w:rsid w:val="00B46056"/>
    <w:rsid w:val="00B4617B"/>
    <w:rsid w:val="00B46A12"/>
    <w:rsid w:val="00B46CC5"/>
    <w:rsid w:val="00B46E1F"/>
    <w:rsid w:val="00B46E95"/>
    <w:rsid w:val="00B46EFA"/>
    <w:rsid w:val="00B46FE3"/>
    <w:rsid w:val="00B470CA"/>
    <w:rsid w:val="00B47231"/>
    <w:rsid w:val="00B47534"/>
    <w:rsid w:val="00B4759B"/>
    <w:rsid w:val="00B47B6A"/>
    <w:rsid w:val="00B47B9D"/>
    <w:rsid w:val="00B47DF1"/>
    <w:rsid w:val="00B47E36"/>
    <w:rsid w:val="00B5014B"/>
    <w:rsid w:val="00B5040D"/>
    <w:rsid w:val="00B50505"/>
    <w:rsid w:val="00B506EB"/>
    <w:rsid w:val="00B50707"/>
    <w:rsid w:val="00B50D66"/>
    <w:rsid w:val="00B50DBF"/>
    <w:rsid w:val="00B50F5E"/>
    <w:rsid w:val="00B51132"/>
    <w:rsid w:val="00B51236"/>
    <w:rsid w:val="00B51907"/>
    <w:rsid w:val="00B51A4C"/>
    <w:rsid w:val="00B51A8F"/>
    <w:rsid w:val="00B51B81"/>
    <w:rsid w:val="00B51BD4"/>
    <w:rsid w:val="00B51C7E"/>
    <w:rsid w:val="00B521EE"/>
    <w:rsid w:val="00B52239"/>
    <w:rsid w:val="00B5281D"/>
    <w:rsid w:val="00B529CC"/>
    <w:rsid w:val="00B52EF4"/>
    <w:rsid w:val="00B531F6"/>
    <w:rsid w:val="00B53365"/>
    <w:rsid w:val="00B53458"/>
    <w:rsid w:val="00B53535"/>
    <w:rsid w:val="00B53616"/>
    <w:rsid w:val="00B537AD"/>
    <w:rsid w:val="00B537BA"/>
    <w:rsid w:val="00B538E8"/>
    <w:rsid w:val="00B538EA"/>
    <w:rsid w:val="00B53E8E"/>
    <w:rsid w:val="00B5416B"/>
    <w:rsid w:val="00B54428"/>
    <w:rsid w:val="00B54515"/>
    <w:rsid w:val="00B546FF"/>
    <w:rsid w:val="00B5475B"/>
    <w:rsid w:val="00B54996"/>
    <w:rsid w:val="00B54ADA"/>
    <w:rsid w:val="00B54BE8"/>
    <w:rsid w:val="00B54C3E"/>
    <w:rsid w:val="00B54DA0"/>
    <w:rsid w:val="00B55485"/>
    <w:rsid w:val="00B559BF"/>
    <w:rsid w:val="00B55A79"/>
    <w:rsid w:val="00B55A7F"/>
    <w:rsid w:val="00B55C65"/>
    <w:rsid w:val="00B560D0"/>
    <w:rsid w:val="00B56172"/>
    <w:rsid w:val="00B56223"/>
    <w:rsid w:val="00B56598"/>
    <w:rsid w:val="00B56B03"/>
    <w:rsid w:val="00B56B07"/>
    <w:rsid w:val="00B56C88"/>
    <w:rsid w:val="00B56CD9"/>
    <w:rsid w:val="00B56E7D"/>
    <w:rsid w:val="00B56E82"/>
    <w:rsid w:val="00B5722C"/>
    <w:rsid w:val="00B576B4"/>
    <w:rsid w:val="00B57B2E"/>
    <w:rsid w:val="00B57BF9"/>
    <w:rsid w:val="00B57DAF"/>
    <w:rsid w:val="00B602C9"/>
    <w:rsid w:val="00B602CD"/>
    <w:rsid w:val="00B6032E"/>
    <w:rsid w:val="00B6083E"/>
    <w:rsid w:val="00B6092F"/>
    <w:rsid w:val="00B609A6"/>
    <w:rsid w:val="00B60BEF"/>
    <w:rsid w:val="00B60E1F"/>
    <w:rsid w:val="00B612E3"/>
    <w:rsid w:val="00B61354"/>
    <w:rsid w:val="00B613A1"/>
    <w:rsid w:val="00B61464"/>
    <w:rsid w:val="00B61523"/>
    <w:rsid w:val="00B61964"/>
    <w:rsid w:val="00B619D0"/>
    <w:rsid w:val="00B61B5A"/>
    <w:rsid w:val="00B61EAA"/>
    <w:rsid w:val="00B61FF4"/>
    <w:rsid w:val="00B62002"/>
    <w:rsid w:val="00B620E7"/>
    <w:rsid w:val="00B62A19"/>
    <w:rsid w:val="00B62D84"/>
    <w:rsid w:val="00B62FAF"/>
    <w:rsid w:val="00B63136"/>
    <w:rsid w:val="00B63686"/>
    <w:rsid w:val="00B63EAB"/>
    <w:rsid w:val="00B63F81"/>
    <w:rsid w:val="00B640AA"/>
    <w:rsid w:val="00B64164"/>
    <w:rsid w:val="00B64274"/>
    <w:rsid w:val="00B644A2"/>
    <w:rsid w:val="00B64526"/>
    <w:rsid w:val="00B645D5"/>
    <w:rsid w:val="00B646C8"/>
    <w:rsid w:val="00B647C8"/>
    <w:rsid w:val="00B647FF"/>
    <w:rsid w:val="00B64D62"/>
    <w:rsid w:val="00B65091"/>
    <w:rsid w:val="00B6525B"/>
    <w:rsid w:val="00B65359"/>
    <w:rsid w:val="00B65429"/>
    <w:rsid w:val="00B655B5"/>
    <w:rsid w:val="00B65752"/>
    <w:rsid w:val="00B6598F"/>
    <w:rsid w:val="00B65ACA"/>
    <w:rsid w:val="00B65DD0"/>
    <w:rsid w:val="00B65DD9"/>
    <w:rsid w:val="00B66373"/>
    <w:rsid w:val="00B6638C"/>
    <w:rsid w:val="00B66608"/>
    <w:rsid w:val="00B666DA"/>
    <w:rsid w:val="00B668B7"/>
    <w:rsid w:val="00B6695E"/>
    <w:rsid w:val="00B669E9"/>
    <w:rsid w:val="00B66A0D"/>
    <w:rsid w:val="00B66BEE"/>
    <w:rsid w:val="00B66BFA"/>
    <w:rsid w:val="00B66C0F"/>
    <w:rsid w:val="00B66D1A"/>
    <w:rsid w:val="00B67096"/>
    <w:rsid w:val="00B674BE"/>
    <w:rsid w:val="00B674D7"/>
    <w:rsid w:val="00B677CF"/>
    <w:rsid w:val="00B67AAA"/>
    <w:rsid w:val="00B67B1B"/>
    <w:rsid w:val="00B67D62"/>
    <w:rsid w:val="00B67D88"/>
    <w:rsid w:val="00B70192"/>
    <w:rsid w:val="00B70365"/>
    <w:rsid w:val="00B70552"/>
    <w:rsid w:val="00B7055F"/>
    <w:rsid w:val="00B70663"/>
    <w:rsid w:val="00B7080E"/>
    <w:rsid w:val="00B709C4"/>
    <w:rsid w:val="00B70CAD"/>
    <w:rsid w:val="00B70F2D"/>
    <w:rsid w:val="00B71244"/>
    <w:rsid w:val="00B7130D"/>
    <w:rsid w:val="00B7155C"/>
    <w:rsid w:val="00B7188D"/>
    <w:rsid w:val="00B71996"/>
    <w:rsid w:val="00B71AD6"/>
    <w:rsid w:val="00B71B80"/>
    <w:rsid w:val="00B71C63"/>
    <w:rsid w:val="00B72049"/>
    <w:rsid w:val="00B720A2"/>
    <w:rsid w:val="00B720F3"/>
    <w:rsid w:val="00B72109"/>
    <w:rsid w:val="00B72324"/>
    <w:rsid w:val="00B723AF"/>
    <w:rsid w:val="00B723E2"/>
    <w:rsid w:val="00B726D4"/>
    <w:rsid w:val="00B72DDA"/>
    <w:rsid w:val="00B72E1B"/>
    <w:rsid w:val="00B734C2"/>
    <w:rsid w:val="00B735E1"/>
    <w:rsid w:val="00B738BF"/>
    <w:rsid w:val="00B73994"/>
    <w:rsid w:val="00B73AEE"/>
    <w:rsid w:val="00B73BA0"/>
    <w:rsid w:val="00B73C96"/>
    <w:rsid w:val="00B73F80"/>
    <w:rsid w:val="00B73F82"/>
    <w:rsid w:val="00B74045"/>
    <w:rsid w:val="00B741F0"/>
    <w:rsid w:val="00B7423E"/>
    <w:rsid w:val="00B744DF"/>
    <w:rsid w:val="00B746A0"/>
    <w:rsid w:val="00B746E2"/>
    <w:rsid w:val="00B747EA"/>
    <w:rsid w:val="00B7481C"/>
    <w:rsid w:val="00B749B4"/>
    <w:rsid w:val="00B74A10"/>
    <w:rsid w:val="00B74B48"/>
    <w:rsid w:val="00B74B79"/>
    <w:rsid w:val="00B74B80"/>
    <w:rsid w:val="00B74C43"/>
    <w:rsid w:val="00B74E13"/>
    <w:rsid w:val="00B74EB7"/>
    <w:rsid w:val="00B75255"/>
    <w:rsid w:val="00B75348"/>
    <w:rsid w:val="00B756E8"/>
    <w:rsid w:val="00B7573C"/>
    <w:rsid w:val="00B7582C"/>
    <w:rsid w:val="00B7587B"/>
    <w:rsid w:val="00B7595B"/>
    <w:rsid w:val="00B759AD"/>
    <w:rsid w:val="00B759B5"/>
    <w:rsid w:val="00B76030"/>
    <w:rsid w:val="00B7606E"/>
    <w:rsid w:val="00B76395"/>
    <w:rsid w:val="00B763BD"/>
    <w:rsid w:val="00B763C6"/>
    <w:rsid w:val="00B763F0"/>
    <w:rsid w:val="00B76429"/>
    <w:rsid w:val="00B76541"/>
    <w:rsid w:val="00B76621"/>
    <w:rsid w:val="00B76764"/>
    <w:rsid w:val="00B76A9E"/>
    <w:rsid w:val="00B76CD6"/>
    <w:rsid w:val="00B7702B"/>
    <w:rsid w:val="00B7736E"/>
    <w:rsid w:val="00B7764F"/>
    <w:rsid w:val="00B7765E"/>
    <w:rsid w:val="00B7778E"/>
    <w:rsid w:val="00B77B8F"/>
    <w:rsid w:val="00B77EF4"/>
    <w:rsid w:val="00B77F40"/>
    <w:rsid w:val="00B77FAE"/>
    <w:rsid w:val="00B80036"/>
    <w:rsid w:val="00B803B8"/>
    <w:rsid w:val="00B80539"/>
    <w:rsid w:val="00B80685"/>
    <w:rsid w:val="00B80785"/>
    <w:rsid w:val="00B80866"/>
    <w:rsid w:val="00B808C7"/>
    <w:rsid w:val="00B80AC2"/>
    <w:rsid w:val="00B80AD9"/>
    <w:rsid w:val="00B80EDC"/>
    <w:rsid w:val="00B81123"/>
    <w:rsid w:val="00B81723"/>
    <w:rsid w:val="00B8172E"/>
    <w:rsid w:val="00B8192C"/>
    <w:rsid w:val="00B81B45"/>
    <w:rsid w:val="00B81B9E"/>
    <w:rsid w:val="00B81EA2"/>
    <w:rsid w:val="00B81EBD"/>
    <w:rsid w:val="00B820D5"/>
    <w:rsid w:val="00B822AC"/>
    <w:rsid w:val="00B824FE"/>
    <w:rsid w:val="00B826E2"/>
    <w:rsid w:val="00B82DE7"/>
    <w:rsid w:val="00B8343B"/>
    <w:rsid w:val="00B83497"/>
    <w:rsid w:val="00B834AA"/>
    <w:rsid w:val="00B836D6"/>
    <w:rsid w:val="00B83989"/>
    <w:rsid w:val="00B839F6"/>
    <w:rsid w:val="00B83A13"/>
    <w:rsid w:val="00B83A37"/>
    <w:rsid w:val="00B83BAC"/>
    <w:rsid w:val="00B83BC2"/>
    <w:rsid w:val="00B83CC9"/>
    <w:rsid w:val="00B83DA2"/>
    <w:rsid w:val="00B83E00"/>
    <w:rsid w:val="00B84275"/>
    <w:rsid w:val="00B847D2"/>
    <w:rsid w:val="00B84871"/>
    <w:rsid w:val="00B84ADD"/>
    <w:rsid w:val="00B8505A"/>
    <w:rsid w:val="00B85082"/>
    <w:rsid w:val="00B85148"/>
    <w:rsid w:val="00B85463"/>
    <w:rsid w:val="00B85753"/>
    <w:rsid w:val="00B85C72"/>
    <w:rsid w:val="00B86032"/>
    <w:rsid w:val="00B8606A"/>
    <w:rsid w:val="00B86109"/>
    <w:rsid w:val="00B8616D"/>
    <w:rsid w:val="00B86268"/>
    <w:rsid w:val="00B862E5"/>
    <w:rsid w:val="00B863B1"/>
    <w:rsid w:val="00B86763"/>
    <w:rsid w:val="00B871A0"/>
    <w:rsid w:val="00B8737B"/>
    <w:rsid w:val="00B87454"/>
    <w:rsid w:val="00B87A2D"/>
    <w:rsid w:val="00B87B2B"/>
    <w:rsid w:val="00B87E16"/>
    <w:rsid w:val="00B900D2"/>
    <w:rsid w:val="00B901DF"/>
    <w:rsid w:val="00B9032E"/>
    <w:rsid w:val="00B9079E"/>
    <w:rsid w:val="00B911F6"/>
    <w:rsid w:val="00B91D2D"/>
    <w:rsid w:val="00B91D92"/>
    <w:rsid w:val="00B91E1D"/>
    <w:rsid w:val="00B91FAA"/>
    <w:rsid w:val="00B92161"/>
    <w:rsid w:val="00B9216B"/>
    <w:rsid w:val="00B9220A"/>
    <w:rsid w:val="00B9230B"/>
    <w:rsid w:val="00B92325"/>
    <w:rsid w:val="00B9239C"/>
    <w:rsid w:val="00B925A5"/>
    <w:rsid w:val="00B925A8"/>
    <w:rsid w:val="00B928D0"/>
    <w:rsid w:val="00B92B9A"/>
    <w:rsid w:val="00B92F23"/>
    <w:rsid w:val="00B9303E"/>
    <w:rsid w:val="00B93641"/>
    <w:rsid w:val="00B9373B"/>
    <w:rsid w:val="00B93768"/>
    <w:rsid w:val="00B9382E"/>
    <w:rsid w:val="00B93881"/>
    <w:rsid w:val="00B9388F"/>
    <w:rsid w:val="00B93AF1"/>
    <w:rsid w:val="00B93D45"/>
    <w:rsid w:val="00B93D6A"/>
    <w:rsid w:val="00B93E5B"/>
    <w:rsid w:val="00B940BE"/>
    <w:rsid w:val="00B94110"/>
    <w:rsid w:val="00B94213"/>
    <w:rsid w:val="00B94413"/>
    <w:rsid w:val="00B9441B"/>
    <w:rsid w:val="00B9442C"/>
    <w:rsid w:val="00B9495F"/>
    <w:rsid w:val="00B94B52"/>
    <w:rsid w:val="00B94D80"/>
    <w:rsid w:val="00B94E68"/>
    <w:rsid w:val="00B954D4"/>
    <w:rsid w:val="00B95722"/>
    <w:rsid w:val="00B95997"/>
    <w:rsid w:val="00B95A37"/>
    <w:rsid w:val="00B95F3E"/>
    <w:rsid w:val="00B96128"/>
    <w:rsid w:val="00B96281"/>
    <w:rsid w:val="00B96543"/>
    <w:rsid w:val="00B9686D"/>
    <w:rsid w:val="00B96A9C"/>
    <w:rsid w:val="00B96ABC"/>
    <w:rsid w:val="00B96AC5"/>
    <w:rsid w:val="00B9703A"/>
    <w:rsid w:val="00B970F1"/>
    <w:rsid w:val="00B972B8"/>
    <w:rsid w:val="00B972FA"/>
    <w:rsid w:val="00B973FE"/>
    <w:rsid w:val="00B97455"/>
    <w:rsid w:val="00B97537"/>
    <w:rsid w:val="00B9769B"/>
    <w:rsid w:val="00B977DE"/>
    <w:rsid w:val="00B97874"/>
    <w:rsid w:val="00B97D70"/>
    <w:rsid w:val="00BA0299"/>
    <w:rsid w:val="00BA057B"/>
    <w:rsid w:val="00BA07BA"/>
    <w:rsid w:val="00BA0881"/>
    <w:rsid w:val="00BA090E"/>
    <w:rsid w:val="00BA0B9E"/>
    <w:rsid w:val="00BA0E64"/>
    <w:rsid w:val="00BA0E88"/>
    <w:rsid w:val="00BA0E9B"/>
    <w:rsid w:val="00BA10AD"/>
    <w:rsid w:val="00BA1301"/>
    <w:rsid w:val="00BA1774"/>
    <w:rsid w:val="00BA1878"/>
    <w:rsid w:val="00BA1897"/>
    <w:rsid w:val="00BA19F8"/>
    <w:rsid w:val="00BA1A15"/>
    <w:rsid w:val="00BA1BEE"/>
    <w:rsid w:val="00BA2147"/>
    <w:rsid w:val="00BA252D"/>
    <w:rsid w:val="00BA2674"/>
    <w:rsid w:val="00BA27A9"/>
    <w:rsid w:val="00BA2815"/>
    <w:rsid w:val="00BA2E78"/>
    <w:rsid w:val="00BA30FD"/>
    <w:rsid w:val="00BA341E"/>
    <w:rsid w:val="00BA3500"/>
    <w:rsid w:val="00BA3514"/>
    <w:rsid w:val="00BA379A"/>
    <w:rsid w:val="00BA38E6"/>
    <w:rsid w:val="00BA42C7"/>
    <w:rsid w:val="00BA45DE"/>
    <w:rsid w:val="00BA464D"/>
    <w:rsid w:val="00BA48F8"/>
    <w:rsid w:val="00BA4932"/>
    <w:rsid w:val="00BA4A9D"/>
    <w:rsid w:val="00BA4F62"/>
    <w:rsid w:val="00BA503E"/>
    <w:rsid w:val="00BA53E4"/>
    <w:rsid w:val="00BA5883"/>
    <w:rsid w:val="00BA5BC3"/>
    <w:rsid w:val="00BA5D55"/>
    <w:rsid w:val="00BA5F2C"/>
    <w:rsid w:val="00BA6042"/>
    <w:rsid w:val="00BA6056"/>
    <w:rsid w:val="00BA6204"/>
    <w:rsid w:val="00BA637F"/>
    <w:rsid w:val="00BA63D9"/>
    <w:rsid w:val="00BA67E4"/>
    <w:rsid w:val="00BA68B0"/>
    <w:rsid w:val="00BA6AAC"/>
    <w:rsid w:val="00BA6AFC"/>
    <w:rsid w:val="00BA6B66"/>
    <w:rsid w:val="00BA6C4F"/>
    <w:rsid w:val="00BA6DB7"/>
    <w:rsid w:val="00BA7019"/>
    <w:rsid w:val="00BA72C5"/>
    <w:rsid w:val="00BA73BC"/>
    <w:rsid w:val="00BA73E5"/>
    <w:rsid w:val="00BA7500"/>
    <w:rsid w:val="00BA75E4"/>
    <w:rsid w:val="00BA7602"/>
    <w:rsid w:val="00BA7811"/>
    <w:rsid w:val="00BA791A"/>
    <w:rsid w:val="00BA7DC2"/>
    <w:rsid w:val="00BA7EF1"/>
    <w:rsid w:val="00BB01D6"/>
    <w:rsid w:val="00BB04C3"/>
    <w:rsid w:val="00BB06B4"/>
    <w:rsid w:val="00BB095B"/>
    <w:rsid w:val="00BB0AC3"/>
    <w:rsid w:val="00BB0BA0"/>
    <w:rsid w:val="00BB0BE9"/>
    <w:rsid w:val="00BB0CA2"/>
    <w:rsid w:val="00BB0ECB"/>
    <w:rsid w:val="00BB0F03"/>
    <w:rsid w:val="00BB0FEC"/>
    <w:rsid w:val="00BB11D4"/>
    <w:rsid w:val="00BB1408"/>
    <w:rsid w:val="00BB1769"/>
    <w:rsid w:val="00BB1CC4"/>
    <w:rsid w:val="00BB1CF3"/>
    <w:rsid w:val="00BB22FE"/>
    <w:rsid w:val="00BB231A"/>
    <w:rsid w:val="00BB2587"/>
    <w:rsid w:val="00BB25B8"/>
    <w:rsid w:val="00BB281B"/>
    <w:rsid w:val="00BB2854"/>
    <w:rsid w:val="00BB291B"/>
    <w:rsid w:val="00BB2BA3"/>
    <w:rsid w:val="00BB2E07"/>
    <w:rsid w:val="00BB2ECA"/>
    <w:rsid w:val="00BB30CF"/>
    <w:rsid w:val="00BB3159"/>
    <w:rsid w:val="00BB32BD"/>
    <w:rsid w:val="00BB32DF"/>
    <w:rsid w:val="00BB33BD"/>
    <w:rsid w:val="00BB36AA"/>
    <w:rsid w:val="00BB3928"/>
    <w:rsid w:val="00BB3BB9"/>
    <w:rsid w:val="00BB3C2D"/>
    <w:rsid w:val="00BB3D9C"/>
    <w:rsid w:val="00BB3E38"/>
    <w:rsid w:val="00BB45BB"/>
    <w:rsid w:val="00BB4602"/>
    <w:rsid w:val="00BB4678"/>
    <w:rsid w:val="00BB4877"/>
    <w:rsid w:val="00BB49BF"/>
    <w:rsid w:val="00BB4CEF"/>
    <w:rsid w:val="00BB5302"/>
    <w:rsid w:val="00BB5621"/>
    <w:rsid w:val="00BB56FD"/>
    <w:rsid w:val="00BB5777"/>
    <w:rsid w:val="00BB577A"/>
    <w:rsid w:val="00BB5D30"/>
    <w:rsid w:val="00BB5E91"/>
    <w:rsid w:val="00BB5EC3"/>
    <w:rsid w:val="00BB613C"/>
    <w:rsid w:val="00BB616F"/>
    <w:rsid w:val="00BB67DA"/>
    <w:rsid w:val="00BB67FA"/>
    <w:rsid w:val="00BB689E"/>
    <w:rsid w:val="00BB6971"/>
    <w:rsid w:val="00BB6A6A"/>
    <w:rsid w:val="00BB6E89"/>
    <w:rsid w:val="00BB6F9C"/>
    <w:rsid w:val="00BB6FC0"/>
    <w:rsid w:val="00BB73AF"/>
    <w:rsid w:val="00BB7599"/>
    <w:rsid w:val="00BB78EA"/>
    <w:rsid w:val="00BB7927"/>
    <w:rsid w:val="00BB7A2E"/>
    <w:rsid w:val="00BB7AD2"/>
    <w:rsid w:val="00BB7EF0"/>
    <w:rsid w:val="00BB7F97"/>
    <w:rsid w:val="00BC016D"/>
    <w:rsid w:val="00BC02BA"/>
    <w:rsid w:val="00BC0323"/>
    <w:rsid w:val="00BC0454"/>
    <w:rsid w:val="00BC04ED"/>
    <w:rsid w:val="00BC0B94"/>
    <w:rsid w:val="00BC0C0C"/>
    <w:rsid w:val="00BC0C4F"/>
    <w:rsid w:val="00BC0C9C"/>
    <w:rsid w:val="00BC0CD4"/>
    <w:rsid w:val="00BC0D91"/>
    <w:rsid w:val="00BC0E13"/>
    <w:rsid w:val="00BC105D"/>
    <w:rsid w:val="00BC1A80"/>
    <w:rsid w:val="00BC1C3E"/>
    <w:rsid w:val="00BC1CC1"/>
    <w:rsid w:val="00BC233F"/>
    <w:rsid w:val="00BC25F5"/>
    <w:rsid w:val="00BC2754"/>
    <w:rsid w:val="00BC2760"/>
    <w:rsid w:val="00BC27B0"/>
    <w:rsid w:val="00BC2CC2"/>
    <w:rsid w:val="00BC2DFE"/>
    <w:rsid w:val="00BC2EF5"/>
    <w:rsid w:val="00BC30FE"/>
    <w:rsid w:val="00BC38EF"/>
    <w:rsid w:val="00BC3911"/>
    <w:rsid w:val="00BC39E7"/>
    <w:rsid w:val="00BC3A89"/>
    <w:rsid w:val="00BC3AC7"/>
    <w:rsid w:val="00BC3F0F"/>
    <w:rsid w:val="00BC449C"/>
    <w:rsid w:val="00BC45C8"/>
    <w:rsid w:val="00BC46B4"/>
    <w:rsid w:val="00BC473D"/>
    <w:rsid w:val="00BC4A69"/>
    <w:rsid w:val="00BC5073"/>
    <w:rsid w:val="00BC519D"/>
    <w:rsid w:val="00BC5938"/>
    <w:rsid w:val="00BC598E"/>
    <w:rsid w:val="00BC62DB"/>
    <w:rsid w:val="00BC64AB"/>
    <w:rsid w:val="00BC65AD"/>
    <w:rsid w:val="00BC6854"/>
    <w:rsid w:val="00BC685D"/>
    <w:rsid w:val="00BC6B09"/>
    <w:rsid w:val="00BC6B91"/>
    <w:rsid w:val="00BC70F6"/>
    <w:rsid w:val="00BC716B"/>
    <w:rsid w:val="00BC727F"/>
    <w:rsid w:val="00BC743F"/>
    <w:rsid w:val="00BC752A"/>
    <w:rsid w:val="00BC797E"/>
    <w:rsid w:val="00BC7A3D"/>
    <w:rsid w:val="00BC7EF7"/>
    <w:rsid w:val="00BD040A"/>
    <w:rsid w:val="00BD0859"/>
    <w:rsid w:val="00BD0A7C"/>
    <w:rsid w:val="00BD0BC2"/>
    <w:rsid w:val="00BD0DF9"/>
    <w:rsid w:val="00BD1068"/>
    <w:rsid w:val="00BD12CA"/>
    <w:rsid w:val="00BD1414"/>
    <w:rsid w:val="00BD150D"/>
    <w:rsid w:val="00BD15D3"/>
    <w:rsid w:val="00BD15E1"/>
    <w:rsid w:val="00BD1867"/>
    <w:rsid w:val="00BD1885"/>
    <w:rsid w:val="00BD1911"/>
    <w:rsid w:val="00BD1C9F"/>
    <w:rsid w:val="00BD1D03"/>
    <w:rsid w:val="00BD1DD6"/>
    <w:rsid w:val="00BD20C6"/>
    <w:rsid w:val="00BD212F"/>
    <w:rsid w:val="00BD24FB"/>
    <w:rsid w:val="00BD2568"/>
    <w:rsid w:val="00BD2A44"/>
    <w:rsid w:val="00BD2C0B"/>
    <w:rsid w:val="00BD2CDA"/>
    <w:rsid w:val="00BD2F2A"/>
    <w:rsid w:val="00BD2F81"/>
    <w:rsid w:val="00BD3038"/>
    <w:rsid w:val="00BD312E"/>
    <w:rsid w:val="00BD31CB"/>
    <w:rsid w:val="00BD3211"/>
    <w:rsid w:val="00BD32CE"/>
    <w:rsid w:val="00BD35B5"/>
    <w:rsid w:val="00BD3732"/>
    <w:rsid w:val="00BD3787"/>
    <w:rsid w:val="00BD38DA"/>
    <w:rsid w:val="00BD3A7F"/>
    <w:rsid w:val="00BD3AB7"/>
    <w:rsid w:val="00BD3BA9"/>
    <w:rsid w:val="00BD3C39"/>
    <w:rsid w:val="00BD3C71"/>
    <w:rsid w:val="00BD43A1"/>
    <w:rsid w:val="00BD4491"/>
    <w:rsid w:val="00BD4556"/>
    <w:rsid w:val="00BD472D"/>
    <w:rsid w:val="00BD4773"/>
    <w:rsid w:val="00BD47FA"/>
    <w:rsid w:val="00BD492B"/>
    <w:rsid w:val="00BD4A85"/>
    <w:rsid w:val="00BD4CC4"/>
    <w:rsid w:val="00BD4F06"/>
    <w:rsid w:val="00BD57A4"/>
    <w:rsid w:val="00BD58CC"/>
    <w:rsid w:val="00BD5BE5"/>
    <w:rsid w:val="00BD5C9F"/>
    <w:rsid w:val="00BD5CB5"/>
    <w:rsid w:val="00BD5D6D"/>
    <w:rsid w:val="00BD6156"/>
    <w:rsid w:val="00BD62BC"/>
    <w:rsid w:val="00BD6736"/>
    <w:rsid w:val="00BD694E"/>
    <w:rsid w:val="00BD6A47"/>
    <w:rsid w:val="00BD6A4B"/>
    <w:rsid w:val="00BD6CC6"/>
    <w:rsid w:val="00BD6CE9"/>
    <w:rsid w:val="00BD6DE3"/>
    <w:rsid w:val="00BD761A"/>
    <w:rsid w:val="00BD776C"/>
    <w:rsid w:val="00BD7C15"/>
    <w:rsid w:val="00BD7E40"/>
    <w:rsid w:val="00BE00ED"/>
    <w:rsid w:val="00BE0491"/>
    <w:rsid w:val="00BE062F"/>
    <w:rsid w:val="00BE0842"/>
    <w:rsid w:val="00BE0D7A"/>
    <w:rsid w:val="00BE0E7F"/>
    <w:rsid w:val="00BE111F"/>
    <w:rsid w:val="00BE18CF"/>
    <w:rsid w:val="00BE1A6C"/>
    <w:rsid w:val="00BE1B02"/>
    <w:rsid w:val="00BE1BCA"/>
    <w:rsid w:val="00BE1F93"/>
    <w:rsid w:val="00BE2223"/>
    <w:rsid w:val="00BE2332"/>
    <w:rsid w:val="00BE262B"/>
    <w:rsid w:val="00BE2826"/>
    <w:rsid w:val="00BE289D"/>
    <w:rsid w:val="00BE28CB"/>
    <w:rsid w:val="00BE2950"/>
    <w:rsid w:val="00BE2CB7"/>
    <w:rsid w:val="00BE304E"/>
    <w:rsid w:val="00BE30FB"/>
    <w:rsid w:val="00BE31BC"/>
    <w:rsid w:val="00BE3463"/>
    <w:rsid w:val="00BE3569"/>
    <w:rsid w:val="00BE3695"/>
    <w:rsid w:val="00BE39C7"/>
    <w:rsid w:val="00BE3AC8"/>
    <w:rsid w:val="00BE3BC5"/>
    <w:rsid w:val="00BE4086"/>
    <w:rsid w:val="00BE45F5"/>
    <w:rsid w:val="00BE47F6"/>
    <w:rsid w:val="00BE4C5A"/>
    <w:rsid w:val="00BE4CC4"/>
    <w:rsid w:val="00BE52A1"/>
    <w:rsid w:val="00BE52AF"/>
    <w:rsid w:val="00BE5496"/>
    <w:rsid w:val="00BE5AA9"/>
    <w:rsid w:val="00BE5C70"/>
    <w:rsid w:val="00BE607B"/>
    <w:rsid w:val="00BE6331"/>
    <w:rsid w:val="00BE6490"/>
    <w:rsid w:val="00BE65DA"/>
    <w:rsid w:val="00BE6624"/>
    <w:rsid w:val="00BE68AF"/>
    <w:rsid w:val="00BE6EA3"/>
    <w:rsid w:val="00BE7187"/>
    <w:rsid w:val="00BE72D0"/>
    <w:rsid w:val="00BE7432"/>
    <w:rsid w:val="00BE7B36"/>
    <w:rsid w:val="00BE7C32"/>
    <w:rsid w:val="00BE7C5F"/>
    <w:rsid w:val="00BE7D6E"/>
    <w:rsid w:val="00BF0124"/>
    <w:rsid w:val="00BF069E"/>
    <w:rsid w:val="00BF083F"/>
    <w:rsid w:val="00BF0900"/>
    <w:rsid w:val="00BF0A0C"/>
    <w:rsid w:val="00BF0BA8"/>
    <w:rsid w:val="00BF0C42"/>
    <w:rsid w:val="00BF0D8C"/>
    <w:rsid w:val="00BF1313"/>
    <w:rsid w:val="00BF1463"/>
    <w:rsid w:val="00BF1610"/>
    <w:rsid w:val="00BF1647"/>
    <w:rsid w:val="00BF1C69"/>
    <w:rsid w:val="00BF1DC8"/>
    <w:rsid w:val="00BF2084"/>
    <w:rsid w:val="00BF208F"/>
    <w:rsid w:val="00BF2213"/>
    <w:rsid w:val="00BF22C0"/>
    <w:rsid w:val="00BF2428"/>
    <w:rsid w:val="00BF25CD"/>
    <w:rsid w:val="00BF25F5"/>
    <w:rsid w:val="00BF2A70"/>
    <w:rsid w:val="00BF2D94"/>
    <w:rsid w:val="00BF3651"/>
    <w:rsid w:val="00BF3677"/>
    <w:rsid w:val="00BF36D7"/>
    <w:rsid w:val="00BF38AE"/>
    <w:rsid w:val="00BF391E"/>
    <w:rsid w:val="00BF39C8"/>
    <w:rsid w:val="00BF3B12"/>
    <w:rsid w:val="00BF3B66"/>
    <w:rsid w:val="00BF3CCA"/>
    <w:rsid w:val="00BF3EC7"/>
    <w:rsid w:val="00BF3F96"/>
    <w:rsid w:val="00BF42C0"/>
    <w:rsid w:val="00BF4396"/>
    <w:rsid w:val="00BF46B6"/>
    <w:rsid w:val="00BF47A5"/>
    <w:rsid w:val="00BF4965"/>
    <w:rsid w:val="00BF4E80"/>
    <w:rsid w:val="00BF4EBA"/>
    <w:rsid w:val="00BF4ED8"/>
    <w:rsid w:val="00BF4F1E"/>
    <w:rsid w:val="00BF5395"/>
    <w:rsid w:val="00BF53BC"/>
    <w:rsid w:val="00BF570A"/>
    <w:rsid w:val="00BF59DB"/>
    <w:rsid w:val="00BF5C78"/>
    <w:rsid w:val="00BF5DAE"/>
    <w:rsid w:val="00BF5DC4"/>
    <w:rsid w:val="00BF5E1E"/>
    <w:rsid w:val="00BF5EF8"/>
    <w:rsid w:val="00BF6225"/>
    <w:rsid w:val="00BF65DD"/>
    <w:rsid w:val="00BF6832"/>
    <w:rsid w:val="00BF69F8"/>
    <w:rsid w:val="00BF6D71"/>
    <w:rsid w:val="00BF708F"/>
    <w:rsid w:val="00BF7180"/>
    <w:rsid w:val="00BF733D"/>
    <w:rsid w:val="00BF73FB"/>
    <w:rsid w:val="00BF76FA"/>
    <w:rsid w:val="00BF7714"/>
    <w:rsid w:val="00BF7970"/>
    <w:rsid w:val="00BF7A3D"/>
    <w:rsid w:val="00BF7A51"/>
    <w:rsid w:val="00BF7ACF"/>
    <w:rsid w:val="00BF7AE1"/>
    <w:rsid w:val="00BF7E9D"/>
    <w:rsid w:val="00BF7FF8"/>
    <w:rsid w:val="00C006A6"/>
    <w:rsid w:val="00C006C1"/>
    <w:rsid w:val="00C0083E"/>
    <w:rsid w:val="00C00D14"/>
    <w:rsid w:val="00C012C7"/>
    <w:rsid w:val="00C01462"/>
    <w:rsid w:val="00C017DE"/>
    <w:rsid w:val="00C01B37"/>
    <w:rsid w:val="00C01D8B"/>
    <w:rsid w:val="00C0218F"/>
    <w:rsid w:val="00C022FE"/>
    <w:rsid w:val="00C02404"/>
    <w:rsid w:val="00C02647"/>
    <w:rsid w:val="00C027B3"/>
    <w:rsid w:val="00C027BA"/>
    <w:rsid w:val="00C027CE"/>
    <w:rsid w:val="00C02966"/>
    <w:rsid w:val="00C02AA7"/>
    <w:rsid w:val="00C02CD5"/>
    <w:rsid w:val="00C02D26"/>
    <w:rsid w:val="00C02D94"/>
    <w:rsid w:val="00C02F1E"/>
    <w:rsid w:val="00C03272"/>
    <w:rsid w:val="00C0348F"/>
    <w:rsid w:val="00C035CA"/>
    <w:rsid w:val="00C03C44"/>
    <w:rsid w:val="00C03CD0"/>
    <w:rsid w:val="00C0451C"/>
    <w:rsid w:val="00C0472B"/>
    <w:rsid w:val="00C04858"/>
    <w:rsid w:val="00C04AA0"/>
    <w:rsid w:val="00C04B1C"/>
    <w:rsid w:val="00C04DE1"/>
    <w:rsid w:val="00C04F35"/>
    <w:rsid w:val="00C0548A"/>
    <w:rsid w:val="00C05950"/>
    <w:rsid w:val="00C05A9E"/>
    <w:rsid w:val="00C05D66"/>
    <w:rsid w:val="00C05DA2"/>
    <w:rsid w:val="00C05F97"/>
    <w:rsid w:val="00C06295"/>
    <w:rsid w:val="00C06A6A"/>
    <w:rsid w:val="00C06ADE"/>
    <w:rsid w:val="00C06D57"/>
    <w:rsid w:val="00C06DAD"/>
    <w:rsid w:val="00C07319"/>
    <w:rsid w:val="00C076D2"/>
    <w:rsid w:val="00C077F3"/>
    <w:rsid w:val="00C07876"/>
    <w:rsid w:val="00C0789C"/>
    <w:rsid w:val="00C07A02"/>
    <w:rsid w:val="00C07AFE"/>
    <w:rsid w:val="00C1004C"/>
    <w:rsid w:val="00C10200"/>
    <w:rsid w:val="00C10476"/>
    <w:rsid w:val="00C104C0"/>
    <w:rsid w:val="00C1050A"/>
    <w:rsid w:val="00C1059A"/>
    <w:rsid w:val="00C106A3"/>
    <w:rsid w:val="00C10AF0"/>
    <w:rsid w:val="00C10D67"/>
    <w:rsid w:val="00C11387"/>
    <w:rsid w:val="00C11869"/>
    <w:rsid w:val="00C11971"/>
    <w:rsid w:val="00C11A45"/>
    <w:rsid w:val="00C11F5A"/>
    <w:rsid w:val="00C12008"/>
    <w:rsid w:val="00C1220E"/>
    <w:rsid w:val="00C1250B"/>
    <w:rsid w:val="00C1251D"/>
    <w:rsid w:val="00C12A5A"/>
    <w:rsid w:val="00C12BFF"/>
    <w:rsid w:val="00C1382B"/>
    <w:rsid w:val="00C13AFA"/>
    <w:rsid w:val="00C13FD4"/>
    <w:rsid w:val="00C13FDF"/>
    <w:rsid w:val="00C14049"/>
    <w:rsid w:val="00C1410B"/>
    <w:rsid w:val="00C1416B"/>
    <w:rsid w:val="00C14582"/>
    <w:rsid w:val="00C14843"/>
    <w:rsid w:val="00C14A8A"/>
    <w:rsid w:val="00C14DDB"/>
    <w:rsid w:val="00C14E3F"/>
    <w:rsid w:val="00C14F17"/>
    <w:rsid w:val="00C15130"/>
    <w:rsid w:val="00C153B5"/>
    <w:rsid w:val="00C156C1"/>
    <w:rsid w:val="00C1594F"/>
    <w:rsid w:val="00C15E77"/>
    <w:rsid w:val="00C15F1F"/>
    <w:rsid w:val="00C15FEB"/>
    <w:rsid w:val="00C1638B"/>
    <w:rsid w:val="00C1644C"/>
    <w:rsid w:val="00C165B9"/>
    <w:rsid w:val="00C16708"/>
    <w:rsid w:val="00C16717"/>
    <w:rsid w:val="00C167DE"/>
    <w:rsid w:val="00C1699C"/>
    <w:rsid w:val="00C16A49"/>
    <w:rsid w:val="00C16BDF"/>
    <w:rsid w:val="00C16E50"/>
    <w:rsid w:val="00C16EE1"/>
    <w:rsid w:val="00C16F03"/>
    <w:rsid w:val="00C16FB9"/>
    <w:rsid w:val="00C1707F"/>
    <w:rsid w:val="00C170A6"/>
    <w:rsid w:val="00C17281"/>
    <w:rsid w:val="00C172E2"/>
    <w:rsid w:val="00C17A3B"/>
    <w:rsid w:val="00C17DF3"/>
    <w:rsid w:val="00C17E2F"/>
    <w:rsid w:val="00C201C7"/>
    <w:rsid w:val="00C201C9"/>
    <w:rsid w:val="00C20604"/>
    <w:rsid w:val="00C2097C"/>
    <w:rsid w:val="00C20FC3"/>
    <w:rsid w:val="00C21267"/>
    <w:rsid w:val="00C212BC"/>
    <w:rsid w:val="00C2134B"/>
    <w:rsid w:val="00C2143A"/>
    <w:rsid w:val="00C21524"/>
    <w:rsid w:val="00C2190F"/>
    <w:rsid w:val="00C219E5"/>
    <w:rsid w:val="00C21D75"/>
    <w:rsid w:val="00C21FD5"/>
    <w:rsid w:val="00C21FF7"/>
    <w:rsid w:val="00C224B6"/>
    <w:rsid w:val="00C22A4B"/>
    <w:rsid w:val="00C22B38"/>
    <w:rsid w:val="00C22BA3"/>
    <w:rsid w:val="00C22C7C"/>
    <w:rsid w:val="00C22F7C"/>
    <w:rsid w:val="00C2303C"/>
    <w:rsid w:val="00C230C7"/>
    <w:rsid w:val="00C230F4"/>
    <w:rsid w:val="00C23340"/>
    <w:rsid w:val="00C23363"/>
    <w:rsid w:val="00C234EB"/>
    <w:rsid w:val="00C234EF"/>
    <w:rsid w:val="00C23640"/>
    <w:rsid w:val="00C236E1"/>
    <w:rsid w:val="00C237E9"/>
    <w:rsid w:val="00C239B3"/>
    <w:rsid w:val="00C23B28"/>
    <w:rsid w:val="00C23CCA"/>
    <w:rsid w:val="00C23E06"/>
    <w:rsid w:val="00C23E53"/>
    <w:rsid w:val="00C24044"/>
    <w:rsid w:val="00C2449E"/>
    <w:rsid w:val="00C24648"/>
    <w:rsid w:val="00C24738"/>
    <w:rsid w:val="00C2483B"/>
    <w:rsid w:val="00C24CAE"/>
    <w:rsid w:val="00C24CDC"/>
    <w:rsid w:val="00C24D6F"/>
    <w:rsid w:val="00C24FDA"/>
    <w:rsid w:val="00C25113"/>
    <w:rsid w:val="00C25327"/>
    <w:rsid w:val="00C25329"/>
    <w:rsid w:val="00C257C3"/>
    <w:rsid w:val="00C25D89"/>
    <w:rsid w:val="00C25E98"/>
    <w:rsid w:val="00C26662"/>
    <w:rsid w:val="00C26865"/>
    <w:rsid w:val="00C268AD"/>
    <w:rsid w:val="00C26981"/>
    <w:rsid w:val="00C269A5"/>
    <w:rsid w:val="00C26C28"/>
    <w:rsid w:val="00C27347"/>
    <w:rsid w:val="00C274B2"/>
    <w:rsid w:val="00C2759A"/>
    <w:rsid w:val="00C276F1"/>
    <w:rsid w:val="00C277C0"/>
    <w:rsid w:val="00C27866"/>
    <w:rsid w:val="00C2799A"/>
    <w:rsid w:val="00C27B1B"/>
    <w:rsid w:val="00C27C0E"/>
    <w:rsid w:val="00C27C26"/>
    <w:rsid w:val="00C27DF8"/>
    <w:rsid w:val="00C3015A"/>
    <w:rsid w:val="00C3094F"/>
    <w:rsid w:val="00C30A04"/>
    <w:rsid w:val="00C30AFA"/>
    <w:rsid w:val="00C30E3D"/>
    <w:rsid w:val="00C31031"/>
    <w:rsid w:val="00C310DE"/>
    <w:rsid w:val="00C31435"/>
    <w:rsid w:val="00C316FA"/>
    <w:rsid w:val="00C31728"/>
    <w:rsid w:val="00C31893"/>
    <w:rsid w:val="00C3199C"/>
    <w:rsid w:val="00C319DA"/>
    <w:rsid w:val="00C31BBC"/>
    <w:rsid w:val="00C31C35"/>
    <w:rsid w:val="00C320CF"/>
    <w:rsid w:val="00C325E2"/>
    <w:rsid w:val="00C3264B"/>
    <w:rsid w:val="00C32686"/>
    <w:rsid w:val="00C32783"/>
    <w:rsid w:val="00C32AAC"/>
    <w:rsid w:val="00C32B93"/>
    <w:rsid w:val="00C32F85"/>
    <w:rsid w:val="00C33496"/>
    <w:rsid w:val="00C338CE"/>
    <w:rsid w:val="00C3414F"/>
    <w:rsid w:val="00C3438E"/>
    <w:rsid w:val="00C3439C"/>
    <w:rsid w:val="00C343C0"/>
    <w:rsid w:val="00C34616"/>
    <w:rsid w:val="00C3461A"/>
    <w:rsid w:val="00C3486E"/>
    <w:rsid w:val="00C348C7"/>
    <w:rsid w:val="00C34901"/>
    <w:rsid w:val="00C34AD6"/>
    <w:rsid w:val="00C34C80"/>
    <w:rsid w:val="00C34DB3"/>
    <w:rsid w:val="00C35514"/>
    <w:rsid w:val="00C3560D"/>
    <w:rsid w:val="00C35785"/>
    <w:rsid w:val="00C358F7"/>
    <w:rsid w:val="00C35FC4"/>
    <w:rsid w:val="00C36251"/>
    <w:rsid w:val="00C36402"/>
    <w:rsid w:val="00C36606"/>
    <w:rsid w:val="00C36821"/>
    <w:rsid w:val="00C368A9"/>
    <w:rsid w:val="00C36A8A"/>
    <w:rsid w:val="00C36DA5"/>
    <w:rsid w:val="00C36EA4"/>
    <w:rsid w:val="00C37210"/>
    <w:rsid w:val="00C37225"/>
    <w:rsid w:val="00C37362"/>
    <w:rsid w:val="00C3763D"/>
    <w:rsid w:val="00C376B5"/>
    <w:rsid w:val="00C3781E"/>
    <w:rsid w:val="00C37899"/>
    <w:rsid w:val="00C37A3C"/>
    <w:rsid w:val="00C37C83"/>
    <w:rsid w:val="00C37D03"/>
    <w:rsid w:val="00C400C5"/>
    <w:rsid w:val="00C40266"/>
    <w:rsid w:val="00C4037D"/>
    <w:rsid w:val="00C4097B"/>
    <w:rsid w:val="00C40A45"/>
    <w:rsid w:val="00C40AD9"/>
    <w:rsid w:val="00C40C9D"/>
    <w:rsid w:val="00C40D34"/>
    <w:rsid w:val="00C40D3D"/>
    <w:rsid w:val="00C413A9"/>
    <w:rsid w:val="00C415A6"/>
    <w:rsid w:val="00C41662"/>
    <w:rsid w:val="00C417EE"/>
    <w:rsid w:val="00C418FE"/>
    <w:rsid w:val="00C419AD"/>
    <w:rsid w:val="00C41AA3"/>
    <w:rsid w:val="00C41AF3"/>
    <w:rsid w:val="00C41C70"/>
    <w:rsid w:val="00C41C7C"/>
    <w:rsid w:val="00C41DF9"/>
    <w:rsid w:val="00C41F04"/>
    <w:rsid w:val="00C41F0E"/>
    <w:rsid w:val="00C4232A"/>
    <w:rsid w:val="00C42886"/>
    <w:rsid w:val="00C42891"/>
    <w:rsid w:val="00C428E1"/>
    <w:rsid w:val="00C42941"/>
    <w:rsid w:val="00C42A7A"/>
    <w:rsid w:val="00C42EA7"/>
    <w:rsid w:val="00C42F16"/>
    <w:rsid w:val="00C42F52"/>
    <w:rsid w:val="00C43058"/>
    <w:rsid w:val="00C4346C"/>
    <w:rsid w:val="00C43856"/>
    <w:rsid w:val="00C438D5"/>
    <w:rsid w:val="00C43DBD"/>
    <w:rsid w:val="00C43E7A"/>
    <w:rsid w:val="00C44392"/>
    <w:rsid w:val="00C44E76"/>
    <w:rsid w:val="00C44EDF"/>
    <w:rsid w:val="00C44FA3"/>
    <w:rsid w:val="00C45072"/>
    <w:rsid w:val="00C45095"/>
    <w:rsid w:val="00C45311"/>
    <w:rsid w:val="00C45399"/>
    <w:rsid w:val="00C455A4"/>
    <w:rsid w:val="00C45709"/>
    <w:rsid w:val="00C45A05"/>
    <w:rsid w:val="00C45CBC"/>
    <w:rsid w:val="00C45D41"/>
    <w:rsid w:val="00C460BF"/>
    <w:rsid w:val="00C462CA"/>
    <w:rsid w:val="00C4631E"/>
    <w:rsid w:val="00C46759"/>
    <w:rsid w:val="00C4677B"/>
    <w:rsid w:val="00C46B64"/>
    <w:rsid w:val="00C46BE4"/>
    <w:rsid w:val="00C46E83"/>
    <w:rsid w:val="00C4717D"/>
    <w:rsid w:val="00C472E8"/>
    <w:rsid w:val="00C47485"/>
    <w:rsid w:val="00C478E7"/>
    <w:rsid w:val="00C47BA9"/>
    <w:rsid w:val="00C47CD1"/>
    <w:rsid w:val="00C47DD5"/>
    <w:rsid w:val="00C47F84"/>
    <w:rsid w:val="00C47FDD"/>
    <w:rsid w:val="00C5012A"/>
    <w:rsid w:val="00C50154"/>
    <w:rsid w:val="00C501FC"/>
    <w:rsid w:val="00C504D2"/>
    <w:rsid w:val="00C50506"/>
    <w:rsid w:val="00C50837"/>
    <w:rsid w:val="00C5097E"/>
    <w:rsid w:val="00C509F2"/>
    <w:rsid w:val="00C50AF6"/>
    <w:rsid w:val="00C50C99"/>
    <w:rsid w:val="00C50D24"/>
    <w:rsid w:val="00C5130B"/>
    <w:rsid w:val="00C515A8"/>
    <w:rsid w:val="00C515EC"/>
    <w:rsid w:val="00C519FF"/>
    <w:rsid w:val="00C51A9B"/>
    <w:rsid w:val="00C51B83"/>
    <w:rsid w:val="00C51CA4"/>
    <w:rsid w:val="00C51CD2"/>
    <w:rsid w:val="00C51D91"/>
    <w:rsid w:val="00C52091"/>
    <w:rsid w:val="00C5286A"/>
    <w:rsid w:val="00C52B7B"/>
    <w:rsid w:val="00C52C98"/>
    <w:rsid w:val="00C52EA6"/>
    <w:rsid w:val="00C53199"/>
    <w:rsid w:val="00C53236"/>
    <w:rsid w:val="00C53448"/>
    <w:rsid w:val="00C535A0"/>
    <w:rsid w:val="00C5393F"/>
    <w:rsid w:val="00C539BC"/>
    <w:rsid w:val="00C53A77"/>
    <w:rsid w:val="00C53BB4"/>
    <w:rsid w:val="00C53FE0"/>
    <w:rsid w:val="00C545E1"/>
    <w:rsid w:val="00C54680"/>
    <w:rsid w:val="00C547D2"/>
    <w:rsid w:val="00C548CD"/>
    <w:rsid w:val="00C54919"/>
    <w:rsid w:val="00C54DE7"/>
    <w:rsid w:val="00C54FD5"/>
    <w:rsid w:val="00C558C9"/>
    <w:rsid w:val="00C55A16"/>
    <w:rsid w:val="00C55A50"/>
    <w:rsid w:val="00C55A70"/>
    <w:rsid w:val="00C55A8D"/>
    <w:rsid w:val="00C55F6E"/>
    <w:rsid w:val="00C55FB8"/>
    <w:rsid w:val="00C56317"/>
    <w:rsid w:val="00C563C2"/>
    <w:rsid w:val="00C563FA"/>
    <w:rsid w:val="00C566BB"/>
    <w:rsid w:val="00C56848"/>
    <w:rsid w:val="00C56BFF"/>
    <w:rsid w:val="00C56C12"/>
    <w:rsid w:val="00C56ECE"/>
    <w:rsid w:val="00C56F30"/>
    <w:rsid w:val="00C5704A"/>
    <w:rsid w:val="00C57453"/>
    <w:rsid w:val="00C578D9"/>
    <w:rsid w:val="00C57CDD"/>
    <w:rsid w:val="00C601F9"/>
    <w:rsid w:val="00C608C4"/>
    <w:rsid w:val="00C60AF0"/>
    <w:rsid w:val="00C60B9F"/>
    <w:rsid w:val="00C60E80"/>
    <w:rsid w:val="00C60F8A"/>
    <w:rsid w:val="00C61019"/>
    <w:rsid w:val="00C61185"/>
    <w:rsid w:val="00C615FF"/>
    <w:rsid w:val="00C61D47"/>
    <w:rsid w:val="00C623A2"/>
    <w:rsid w:val="00C623CE"/>
    <w:rsid w:val="00C626B2"/>
    <w:rsid w:val="00C62C7C"/>
    <w:rsid w:val="00C62D8D"/>
    <w:rsid w:val="00C630B8"/>
    <w:rsid w:val="00C630F8"/>
    <w:rsid w:val="00C637B5"/>
    <w:rsid w:val="00C63B79"/>
    <w:rsid w:val="00C63BD2"/>
    <w:rsid w:val="00C63C8A"/>
    <w:rsid w:val="00C63ED0"/>
    <w:rsid w:val="00C63F10"/>
    <w:rsid w:val="00C6400E"/>
    <w:rsid w:val="00C64011"/>
    <w:rsid w:val="00C64337"/>
    <w:rsid w:val="00C645D2"/>
    <w:rsid w:val="00C648D2"/>
    <w:rsid w:val="00C64BEA"/>
    <w:rsid w:val="00C64D28"/>
    <w:rsid w:val="00C64ECC"/>
    <w:rsid w:val="00C6523A"/>
    <w:rsid w:val="00C652E2"/>
    <w:rsid w:val="00C6538E"/>
    <w:rsid w:val="00C6551D"/>
    <w:rsid w:val="00C659A1"/>
    <w:rsid w:val="00C659F9"/>
    <w:rsid w:val="00C65B3C"/>
    <w:rsid w:val="00C65F19"/>
    <w:rsid w:val="00C6635F"/>
    <w:rsid w:val="00C66563"/>
    <w:rsid w:val="00C66757"/>
    <w:rsid w:val="00C66842"/>
    <w:rsid w:val="00C668CA"/>
    <w:rsid w:val="00C66951"/>
    <w:rsid w:val="00C66955"/>
    <w:rsid w:val="00C669EE"/>
    <w:rsid w:val="00C66C12"/>
    <w:rsid w:val="00C6737C"/>
    <w:rsid w:val="00C6741D"/>
    <w:rsid w:val="00C6755D"/>
    <w:rsid w:val="00C675AE"/>
    <w:rsid w:val="00C67796"/>
    <w:rsid w:val="00C67E2C"/>
    <w:rsid w:val="00C67E4A"/>
    <w:rsid w:val="00C67F29"/>
    <w:rsid w:val="00C70072"/>
    <w:rsid w:val="00C7016C"/>
    <w:rsid w:val="00C705F4"/>
    <w:rsid w:val="00C70613"/>
    <w:rsid w:val="00C71416"/>
    <w:rsid w:val="00C71A74"/>
    <w:rsid w:val="00C72317"/>
    <w:rsid w:val="00C724AC"/>
    <w:rsid w:val="00C72AD6"/>
    <w:rsid w:val="00C731EB"/>
    <w:rsid w:val="00C732EB"/>
    <w:rsid w:val="00C73717"/>
    <w:rsid w:val="00C7374F"/>
    <w:rsid w:val="00C737AD"/>
    <w:rsid w:val="00C73EDF"/>
    <w:rsid w:val="00C73F4F"/>
    <w:rsid w:val="00C73FA5"/>
    <w:rsid w:val="00C7401E"/>
    <w:rsid w:val="00C74156"/>
    <w:rsid w:val="00C74308"/>
    <w:rsid w:val="00C743D4"/>
    <w:rsid w:val="00C7455D"/>
    <w:rsid w:val="00C745F5"/>
    <w:rsid w:val="00C74799"/>
    <w:rsid w:val="00C74C28"/>
    <w:rsid w:val="00C74E19"/>
    <w:rsid w:val="00C7502B"/>
    <w:rsid w:val="00C7513A"/>
    <w:rsid w:val="00C7544F"/>
    <w:rsid w:val="00C75584"/>
    <w:rsid w:val="00C755CA"/>
    <w:rsid w:val="00C7596D"/>
    <w:rsid w:val="00C75D68"/>
    <w:rsid w:val="00C76194"/>
    <w:rsid w:val="00C76387"/>
    <w:rsid w:val="00C7685C"/>
    <w:rsid w:val="00C76885"/>
    <w:rsid w:val="00C768A3"/>
    <w:rsid w:val="00C76ADE"/>
    <w:rsid w:val="00C76E79"/>
    <w:rsid w:val="00C77018"/>
    <w:rsid w:val="00C7703C"/>
    <w:rsid w:val="00C771CA"/>
    <w:rsid w:val="00C7735D"/>
    <w:rsid w:val="00C7761D"/>
    <w:rsid w:val="00C779F9"/>
    <w:rsid w:val="00C77A48"/>
    <w:rsid w:val="00C77A83"/>
    <w:rsid w:val="00C77B4C"/>
    <w:rsid w:val="00C77BAB"/>
    <w:rsid w:val="00C77EDF"/>
    <w:rsid w:val="00C77F65"/>
    <w:rsid w:val="00C8029D"/>
    <w:rsid w:val="00C802F4"/>
    <w:rsid w:val="00C805F0"/>
    <w:rsid w:val="00C8082C"/>
    <w:rsid w:val="00C80879"/>
    <w:rsid w:val="00C80889"/>
    <w:rsid w:val="00C812F8"/>
    <w:rsid w:val="00C815F6"/>
    <w:rsid w:val="00C817B6"/>
    <w:rsid w:val="00C81830"/>
    <w:rsid w:val="00C819D3"/>
    <w:rsid w:val="00C81BAA"/>
    <w:rsid w:val="00C81C01"/>
    <w:rsid w:val="00C81CAC"/>
    <w:rsid w:val="00C81CC4"/>
    <w:rsid w:val="00C81F7D"/>
    <w:rsid w:val="00C827B5"/>
    <w:rsid w:val="00C828FF"/>
    <w:rsid w:val="00C8313E"/>
    <w:rsid w:val="00C833E9"/>
    <w:rsid w:val="00C836BF"/>
    <w:rsid w:val="00C83980"/>
    <w:rsid w:val="00C83C15"/>
    <w:rsid w:val="00C83C88"/>
    <w:rsid w:val="00C83EA4"/>
    <w:rsid w:val="00C84237"/>
    <w:rsid w:val="00C8423D"/>
    <w:rsid w:val="00C84372"/>
    <w:rsid w:val="00C84AFC"/>
    <w:rsid w:val="00C84B2A"/>
    <w:rsid w:val="00C84B39"/>
    <w:rsid w:val="00C84E9C"/>
    <w:rsid w:val="00C84F37"/>
    <w:rsid w:val="00C84F65"/>
    <w:rsid w:val="00C8555C"/>
    <w:rsid w:val="00C85B14"/>
    <w:rsid w:val="00C85C90"/>
    <w:rsid w:val="00C85D48"/>
    <w:rsid w:val="00C85EAA"/>
    <w:rsid w:val="00C861C5"/>
    <w:rsid w:val="00C86269"/>
    <w:rsid w:val="00C8626B"/>
    <w:rsid w:val="00C86434"/>
    <w:rsid w:val="00C864F5"/>
    <w:rsid w:val="00C86656"/>
    <w:rsid w:val="00C8679C"/>
    <w:rsid w:val="00C8683B"/>
    <w:rsid w:val="00C86855"/>
    <w:rsid w:val="00C869C5"/>
    <w:rsid w:val="00C86B8A"/>
    <w:rsid w:val="00C86BA9"/>
    <w:rsid w:val="00C86EB9"/>
    <w:rsid w:val="00C86F7D"/>
    <w:rsid w:val="00C87076"/>
    <w:rsid w:val="00C870B0"/>
    <w:rsid w:val="00C87135"/>
    <w:rsid w:val="00C87314"/>
    <w:rsid w:val="00C87521"/>
    <w:rsid w:val="00C876D3"/>
    <w:rsid w:val="00C8778E"/>
    <w:rsid w:val="00C87B89"/>
    <w:rsid w:val="00C87E2A"/>
    <w:rsid w:val="00C90014"/>
    <w:rsid w:val="00C9003A"/>
    <w:rsid w:val="00C90175"/>
    <w:rsid w:val="00C90195"/>
    <w:rsid w:val="00C905FC"/>
    <w:rsid w:val="00C90A62"/>
    <w:rsid w:val="00C911CF"/>
    <w:rsid w:val="00C91278"/>
    <w:rsid w:val="00C914F1"/>
    <w:rsid w:val="00C91B51"/>
    <w:rsid w:val="00C91F87"/>
    <w:rsid w:val="00C91FB2"/>
    <w:rsid w:val="00C92021"/>
    <w:rsid w:val="00C9215D"/>
    <w:rsid w:val="00C92735"/>
    <w:rsid w:val="00C92774"/>
    <w:rsid w:val="00C928C2"/>
    <w:rsid w:val="00C92AB9"/>
    <w:rsid w:val="00C932D3"/>
    <w:rsid w:val="00C936F0"/>
    <w:rsid w:val="00C93BBB"/>
    <w:rsid w:val="00C93D5E"/>
    <w:rsid w:val="00C93E6D"/>
    <w:rsid w:val="00C93EB4"/>
    <w:rsid w:val="00C93F80"/>
    <w:rsid w:val="00C9401B"/>
    <w:rsid w:val="00C941D0"/>
    <w:rsid w:val="00C94301"/>
    <w:rsid w:val="00C94335"/>
    <w:rsid w:val="00C945D4"/>
    <w:rsid w:val="00C94999"/>
    <w:rsid w:val="00C94D58"/>
    <w:rsid w:val="00C94E24"/>
    <w:rsid w:val="00C9520D"/>
    <w:rsid w:val="00C954BC"/>
    <w:rsid w:val="00C95794"/>
    <w:rsid w:val="00C958B1"/>
    <w:rsid w:val="00C95C12"/>
    <w:rsid w:val="00C95C4C"/>
    <w:rsid w:val="00C95DEF"/>
    <w:rsid w:val="00C95E4B"/>
    <w:rsid w:val="00C95E5F"/>
    <w:rsid w:val="00C9602E"/>
    <w:rsid w:val="00C96066"/>
    <w:rsid w:val="00C964D7"/>
    <w:rsid w:val="00C9656F"/>
    <w:rsid w:val="00C967E1"/>
    <w:rsid w:val="00C96915"/>
    <w:rsid w:val="00C96D59"/>
    <w:rsid w:val="00C96F37"/>
    <w:rsid w:val="00C97120"/>
    <w:rsid w:val="00C97174"/>
    <w:rsid w:val="00C976C8"/>
    <w:rsid w:val="00C9775B"/>
    <w:rsid w:val="00C9786F"/>
    <w:rsid w:val="00C978D1"/>
    <w:rsid w:val="00C97995"/>
    <w:rsid w:val="00C97A35"/>
    <w:rsid w:val="00C97AD6"/>
    <w:rsid w:val="00C97D04"/>
    <w:rsid w:val="00C97FE2"/>
    <w:rsid w:val="00CA0042"/>
    <w:rsid w:val="00CA03FB"/>
    <w:rsid w:val="00CA0402"/>
    <w:rsid w:val="00CA0523"/>
    <w:rsid w:val="00CA0B81"/>
    <w:rsid w:val="00CA0EF0"/>
    <w:rsid w:val="00CA0FFA"/>
    <w:rsid w:val="00CA12AD"/>
    <w:rsid w:val="00CA12DD"/>
    <w:rsid w:val="00CA1320"/>
    <w:rsid w:val="00CA13F5"/>
    <w:rsid w:val="00CA142C"/>
    <w:rsid w:val="00CA16E2"/>
    <w:rsid w:val="00CA1801"/>
    <w:rsid w:val="00CA1A19"/>
    <w:rsid w:val="00CA1B6B"/>
    <w:rsid w:val="00CA1D27"/>
    <w:rsid w:val="00CA1DE3"/>
    <w:rsid w:val="00CA1E31"/>
    <w:rsid w:val="00CA20FD"/>
    <w:rsid w:val="00CA2170"/>
    <w:rsid w:val="00CA23A2"/>
    <w:rsid w:val="00CA25B5"/>
    <w:rsid w:val="00CA2600"/>
    <w:rsid w:val="00CA264D"/>
    <w:rsid w:val="00CA2846"/>
    <w:rsid w:val="00CA2C4B"/>
    <w:rsid w:val="00CA2E65"/>
    <w:rsid w:val="00CA2E97"/>
    <w:rsid w:val="00CA37B3"/>
    <w:rsid w:val="00CA3917"/>
    <w:rsid w:val="00CA3ABA"/>
    <w:rsid w:val="00CA3C8C"/>
    <w:rsid w:val="00CA40B7"/>
    <w:rsid w:val="00CA40C3"/>
    <w:rsid w:val="00CA4167"/>
    <w:rsid w:val="00CA5022"/>
    <w:rsid w:val="00CA5073"/>
    <w:rsid w:val="00CA5174"/>
    <w:rsid w:val="00CA530D"/>
    <w:rsid w:val="00CA555E"/>
    <w:rsid w:val="00CA55C2"/>
    <w:rsid w:val="00CA5D6E"/>
    <w:rsid w:val="00CA611A"/>
    <w:rsid w:val="00CA6237"/>
    <w:rsid w:val="00CA637C"/>
    <w:rsid w:val="00CA63BE"/>
    <w:rsid w:val="00CA644F"/>
    <w:rsid w:val="00CA64AF"/>
    <w:rsid w:val="00CA66FC"/>
    <w:rsid w:val="00CA6A87"/>
    <w:rsid w:val="00CA6BFE"/>
    <w:rsid w:val="00CA6CD0"/>
    <w:rsid w:val="00CA6D20"/>
    <w:rsid w:val="00CA70B5"/>
    <w:rsid w:val="00CA7138"/>
    <w:rsid w:val="00CA72B3"/>
    <w:rsid w:val="00CA72CC"/>
    <w:rsid w:val="00CA7C5E"/>
    <w:rsid w:val="00CB00FC"/>
    <w:rsid w:val="00CB01CE"/>
    <w:rsid w:val="00CB10D9"/>
    <w:rsid w:val="00CB11C0"/>
    <w:rsid w:val="00CB1337"/>
    <w:rsid w:val="00CB157B"/>
    <w:rsid w:val="00CB1605"/>
    <w:rsid w:val="00CB16C1"/>
    <w:rsid w:val="00CB1A1B"/>
    <w:rsid w:val="00CB1D52"/>
    <w:rsid w:val="00CB22D7"/>
    <w:rsid w:val="00CB2385"/>
    <w:rsid w:val="00CB2489"/>
    <w:rsid w:val="00CB251E"/>
    <w:rsid w:val="00CB2531"/>
    <w:rsid w:val="00CB2710"/>
    <w:rsid w:val="00CB2771"/>
    <w:rsid w:val="00CB2923"/>
    <w:rsid w:val="00CB2B06"/>
    <w:rsid w:val="00CB2BA9"/>
    <w:rsid w:val="00CB2CDD"/>
    <w:rsid w:val="00CB2EDF"/>
    <w:rsid w:val="00CB3578"/>
    <w:rsid w:val="00CB366C"/>
    <w:rsid w:val="00CB379F"/>
    <w:rsid w:val="00CB37E6"/>
    <w:rsid w:val="00CB380D"/>
    <w:rsid w:val="00CB389D"/>
    <w:rsid w:val="00CB39BF"/>
    <w:rsid w:val="00CB3B04"/>
    <w:rsid w:val="00CB3F0D"/>
    <w:rsid w:val="00CB3FDF"/>
    <w:rsid w:val="00CB4079"/>
    <w:rsid w:val="00CB412E"/>
    <w:rsid w:val="00CB41E3"/>
    <w:rsid w:val="00CB43E5"/>
    <w:rsid w:val="00CB442A"/>
    <w:rsid w:val="00CB455D"/>
    <w:rsid w:val="00CB482C"/>
    <w:rsid w:val="00CB49E3"/>
    <w:rsid w:val="00CB4ACD"/>
    <w:rsid w:val="00CB4D6E"/>
    <w:rsid w:val="00CB4D7E"/>
    <w:rsid w:val="00CB5231"/>
    <w:rsid w:val="00CB526C"/>
    <w:rsid w:val="00CB54C0"/>
    <w:rsid w:val="00CB556E"/>
    <w:rsid w:val="00CB55D6"/>
    <w:rsid w:val="00CB5607"/>
    <w:rsid w:val="00CB56C2"/>
    <w:rsid w:val="00CB5841"/>
    <w:rsid w:val="00CB5BD2"/>
    <w:rsid w:val="00CB5C19"/>
    <w:rsid w:val="00CB5C22"/>
    <w:rsid w:val="00CB5C6E"/>
    <w:rsid w:val="00CB63F4"/>
    <w:rsid w:val="00CB68D1"/>
    <w:rsid w:val="00CB69AF"/>
    <w:rsid w:val="00CB6BFD"/>
    <w:rsid w:val="00CB6DD6"/>
    <w:rsid w:val="00CB6FC7"/>
    <w:rsid w:val="00CB7478"/>
    <w:rsid w:val="00CB77D3"/>
    <w:rsid w:val="00CB7C25"/>
    <w:rsid w:val="00CB7DC8"/>
    <w:rsid w:val="00CC094A"/>
    <w:rsid w:val="00CC0A09"/>
    <w:rsid w:val="00CC0C0C"/>
    <w:rsid w:val="00CC0F34"/>
    <w:rsid w:val="00CC1107"/>
    <w:rsid w:val="00CC1243"/>
    <w:rsid w:val="00CC13CA"/>
    <w:rsid w:val="00CC144D"/>
    <w:rsid w:val="00CC1451"/>
    <w:rsid w:val="00CC14BF"/>
    <w:rsid w:val="00CC155D"/>
    <w:rsid w:val="00CC1776"/>
    <w:rsid w:val="00CC1A82"/>
    <w:rsid w:val="00CC20D8"/>
    <w:rsid w:val="00CC2143"/>
    <w:rsid w:val="00CC2206"/>
    <w:rsid w:val="00CC2750"/>
    <w:rsid w:val="00CC2898"/>
    <w:rsid w:val="00CC31AA"/>
    <w:rsid w:val="00CC3472"/>
    <w:rsid w:val="00CC3499"/>
    <w:rsid w:val="00CC34C5"/>
    <w:rsid w:val="00CC3B43"/>
    <w:rsid w:val="00CC4344"/>
    <w:rsid w:val="00CC4479"/>
    <w:rsid w:val="00CC4596"/>
    <w:rsid w:val="00CC46AD"/>
    <w:rsid w:val="00CC497A"/>
    <w:rsid w:val="00CC4C1E"/>
    <w:rsid w:val="00CC4C56"/>
    <w:rsid w:val="00CC4DF0"/>
    <w:rsid w:val="00CC4EB4"/>
    <w:rsid w:val="00CC502F"/>
    <w:rsid w:val="00CC52CB"/>
    <w:rsid w:val="00CC5362"/>
    <w:rsid w:val="00CC540D"/>
    <w:rsid w:val="00CC54C4"/>
    <w:rsid w:val="00CC5584"/>
    <w:rsid w:val="00CC574F"/>
    <w:rsid w:val="00CC57ED"/>
    <w:rsid w:val="00CC5B65"/>
    <w:rsid w:val="00CC5D3E"/>
    <w:rsid w:val="00CC5D6C"/>
    <w:rsid w:val="00CC5E50"/>
    <w:rsid w:val="00CC6003"/>
    <w:rsid w:val="00CC6060"/>
    <w:rsid w:val="00CC6190"/>
    <w:rsid w:val="00CC6244"/>
    <w:rsid w:val="00CC65B4"/>
    <w:rsid w:val="00CC6979"/>
    <w:rsid w:val="00CC6AAF"/>
    <w:rsid w:val="00CC6BB3"/>
    <w:rsid w:val="00CC6BDE"/>
    <w:rsid w:val="00CC6CB8"/>
    <w:rsid w:val="00CC6E77"/>
    <w:rsid w:val="00CC6F77"/>
    <w:rsid w:val="00CC719F"/>
    <w:rsid w:val="00CC77AD"/>
    <w:rsid w:val="00CC78D7"/>
    <w:rsid w:val="00CC79E7"/>
    <w:rsid w:val="00CC7DFD"/>
    <w:rsid w:val="00CC7E7E"/>
    <w:rsid w:val="00CC7ECD"/>
    <w:rsid w:val="00CC7F37"/>
    <w:rsid w:val="00CD021C"/>
    <w:rsid w:val="00CD0543"/>
    <w:rsid w:val="00CD055C"/>
    <w:rsid w:val="00CD0A9A"/>
    <w:rsid w:val="00CD119E"/>
    <w:rsid w:val="00CD11B5"/>
    <w:rsid w:val="00CD1818"/>
    <w:rsid w:val="00CD1C1A"/>
    <w:rsid w:val="00CD2100"/>
    <w:rsid w:val="00CD2360"/>
    <w:rsid w:val="00CD243C"/>
    <w:rsid w:val="00CD2472"/>
    <w:rsid w:val="00CD25F0"/>
    <w:rsid w:val="00CD270B"/>
    <w:rsid w:val="00CD2C34"/>
    <w:rsid w:val="00CD2C3F"/>
    <w:rsid w:val="00CD2E0B"/>
    <w:rsid w:val="00CD303A"/>
    <w:rsid w:val="00CD34A1"/>
    <w:rsid w:val="00CD3627"/>
    <w:rsid w:val="00CD3644"/>
    <w:rsid w:val="00CD3870"/>
    <w:rsid w:val="00CD39C4"/>
    <w:rsid w:val="00CD3A0C"/>
    <w:rsid w:val="00CD3FEF"/>
    <w:rsid w:val="00CD408C"/>
    <w:rsid w:val="00CD430F"/>
    <w:rsid w:val="00CD49F1"/>
    <w:rsid w:val="00CD4B19"/>
    <w:rsid w:val="00CD4C98"/>
    <w:rsid w:val="00CD4CFA"/>
    <w:rsid w:val="00CD4F90"/>
    <w:rsid w:val="00CD52A0"/>
    <w:rsid w:val="00CD55EC"/>
    <w:rsid w:val="00CD5B70"/>
    <w:rsid w:val="00CD5D75"/>
    <w:rsid w:val="00CD6252"/>
    <w:rsid w:val="00CD62B8"/>
    <w:rsid w:val="00CD62EF"/>
    <w:rsid w:val="00CD6310"/>
    <w:rsid w:val="00CD6474"/>
    <w:rsid w:val="00CD65CE"/>
    <w:rsid w:val="00CD665D"/>
    <w:rsid w:val="00CD67AE"/>
    <w:rsid w:val="00CD682A"/>
    <w:rsid w:val="00CD6865"/>
    <w:rsid w:val="00CD68F1"/>
    <w:rsid w:val="00CD6CA0"/>
    <w:rsid w:val="00CD6DA3"/>
    <w:rsid w:val="00CD7347"/>
    <w:rsid w:val="00CD7538"/>
    <w:rsid w:val="00CD7863"/>
    <w:rsid w:val="00CD794C"/>
    <w:rsid w:val="00CD7960"/>
    <w:rsid w:val="00CD7D2A"/>
    <w:rsid w:val="00CD7F50"/>
    <w:rsid w:val="00CE0103"/>
    <w:rsid w:val="00CE013C"/>
    <w:rsid w:val="00CE0357"/>
    <w:rsid w:val="00CE035C"/>
    <w:rsid w:val="00CE0598"/>
    <w:rsid w:val="00CE06DC"/>
    <w:rsid w:val="00CE0856"/>
    <w:rsid w:val="00CE0862"/>
    <w:rsid w:val="00CE0891"/>
    <w:rsid w:val="00CE0AB2"/>
    <w:rsid w:val="00CE0C23"/>
    <w:rsid w:val="00CE0C31"/>
    <w:rsid w:val="00CE0E41"/>
    <w:rsid w:val="00CE0FCE"/>
    <w:rsid w:val="00CE0FDF"/>
    <w:rsid w:val="00CE121F"/>
    <w:rsid w:val="00CE12BC"/>
    <w:rsid w:val="00CE1551"/>
    <w:rsid w:val="00CE17E2"/>
    <w:rsid w:val="00CE1CC9"/>
    <w:rsid w:val="00CE1E78"/>
    <w:rsid w:val="00CE1F1E"/>
    <w:rsid w:val="00CE20E2"/>
    <w:rsid w:val="00CE2305"/>
    <w:rsid w:val="00CE246B"/>
    <w:rsid w:val="00CE25CD"/>
    <w:rsid w:val="00CE27F7"/>
    <w:rsid w:val="00CE2923"/>
    <w:rsid w:val="00CE29A0"/>
    <w:rsid w:val="00CE2A68"/>
    <w:rsid w:val="00CE2D2B"/>
    <w:rsid w:val="00CE309C"/>
    <w:rsid w:val="00CE32E1"/>
    <w:rsid w:val="00CE34BB"/>
    <w:rsid w:val="00CE370F"/>
    <w:rsid w:val="00CE3A08"/>
    <w:rsid w:val="00CE3CD5"/>
    <w:rsid w:val="00CE3CE4"/>
    <w:rsid w:val="00CE3F8D"/>
    <w:rsid w:val="00CE44D4"/>
    <w:rsid w:val="00CE4702"/>
    <w:rsid w:val="00CE48E0"/>
    <w:rsid w:val="00CE4BDC"/>
    <w:rsid w:val="00CE4E37"/>
    <w:rsid w:val="00CE512B"/>
    <w:rsid w:val="00CE5428"/>
    <w:rsid w:val="00CE54C2"/>
    <w:rsid w:val="00CE5503"/>
    <w:rsid w:val="00CE5896"/>
    <w:rsid w:val="00CE5908"/>
    <w:rsid w:val="00CE5CA3"/>
    <w:rsid w:val="00CE5D20"/>
    <w:rsid w:val="00CE5E4D"/>
    <w:rsid w:val="00CE6161"/>
    <w:rsid w:val="00CE6241"/>
    <w:rsid w:val="00CE6712"/>
    <w:rsid w:val="00CE68C9"/>
    <w:rsid w:val="00CE691F"/>
    <w:rsid w:val="00CE6A44"/>
    <w:rsid w:val="00CE6A64"/>
    <w:rsid w:val="00CE6A8A"/>
    <w:rsid w:val="00CE6B29"/>
    <w:rsid w:val="00CE6BE7"/>
    <w:rsid w:val="00CE6C1D"/>
    <w:rsid w:val="00CE6CC2"/>
    <w:rsid w:val="00CE6D36"/>
    <w:rsid w:val="00CE6EF7"/>
    <w:rsid w:val="00CE6F80"/>
    <w:rsid w:val="00CE70A6"/>
    <w:rsid w:val="00CE70E9"/>
    <w:rsid w:val="00CE7175"/>
    <w:rsid w:val="00CE71E6"/>
    <w:rsid w:val="00CE72B5"/>
    <w:rsid w:val="00CE73F6"/>
    <w:rsid w:val="00CE74E5"/>
    <w:rsid w:val="00CE74F5"/>
    <w:rsid w:val="00CE7679"/>
    <w:rsid w:val="00CE77FF"/>
    <w:rsid w:val="00CE7A2A"/>
    <w:rsid w:val="00CE7A7C"/>
    <w:rsid w:val="00CE7B66"/>
    <w:rsid w:val="00CE7F58"/>
    <w:rsid w:val="00CF053E"/>
    <w:rsid w:val="00CF0A03"/>
    <w:rsid w:val="00CF0B91"/>
    <w:rsid w:val="00CF10FF"/>
    <w:rsid w:val="00CF12EF"/>
    <w:rsid w:val="00CF1435"/>
    <w:rsid w:val="00CF1488"/>
    <w:rsid w:val="00CF14E4"/>
    <w:rsid w:val="00CF1933"/>
    <w:rsid w:val="00CF19DD"/>
    <w:rsid w:val="00CF1D2E"/>
    <w:rsid w:val="00CF1EC1"/>
    <w:rsid w:val="00CF1F2E"/>
    <w:rsid w:val="00CF1FDC"/>
    <w:rsid w:val="00CF201F"/>
    <w:rsid w:val="00CF202B"/>
    <w:rsid w:val="00CF20A4"/>
    <w:rsid w:val="00CF26DF"/>
    <w:rsid w:val="00CF28D4"/>
    <w:rsid w:val="00CF2A27"/>
    <w:rsid w:val="00CF2A6B"/>
    <w:rsid w:val="00CF2C12"/>
    <w:rsid w:val="00CF2C85"/>
    <w:rsid w:val="00CF2E09"/>
    <w:rsid w:val="00CF2F3A"/>
    <w:rsid w:val="00CF2FAD"/>
    <w:rsid w:val="00CF341A"/>
    <w:rsid w:val="00CF3800"/>
    <w:rsid w:val="00CF3899"/>
    <w:rsid w:val="00CF3A53"/>
    <w:rsid w:val="00CF3CFC"/>
    <w:rsid w:val="00CF3D08"/>
    <w:rsid w:val="00CF4094"/>
    <w:rsid w:val="00CF41F0"/>
    <w:rsid w:val="00CF453B"/>
    <w:rsid w:val="00CF48EC"/>
    <w:rsid w:val="00CF48ED"/>
    <w:rsid w:val="00CF491A"/>
    <w:rsid w:val="00CF4A3D"/>
    <w:rsid w:val="00CF4A62"/>
    <w:rsid w:val="00CF4DDE"/>
    <w:rsid w:val="00CF54FD"/>
    <w:rsid w:val="00CF550A"/>
    <w:rsid w:val="00CF5666"/>
    <w:rsid w:val="00CF59A9"/>
    <w:rsid w:val="00CF5A95"/>
    <w:rsid w:val="00CF5C90"/>
    <w:rsid w:val="00CF6034"/>
    <w:rsid w:val="00CF65C2"/>
    <w:rsid w:val="00CF6B7B"/>
    <w:rsid w:val="00CF6C75"/>
    <w:rsid w:val="00CF6CC5"/>
    <w:rsid w:val="00CF6DCC"/>
    <w:rsid w:val="00CF7156"/>
    <w:rsid w:val="00CF7372"/>
    <w:rsid w:val="00CF7525"/>
    <w:rsid w:val="00CF75C6"/>
    <w:rsid w:val="00CF76DC"/>
    <w:rsid w:val="00CF7A14"/>
    <w:rsid w:val="00CF7CA4"/>
    <w:rsid w:val="00CF7F00"/>
    <w:rsid w:val="00D00009"/>
    <w:rsid w:val="00D0050B"/>
    <w:rsid w:val="00D0057A"/>
    <w:rsid w:val="00D00724"/>
    <w:rsid w:val="00D00912"/>
    <w:rsid w:val="00D00B91"/>
    <w:rsid w:val="00D00BBA"/>
    <w:rsid w:val="00D00E68"/>
    <w:rsid w:val="00D00FD3"/>
    <w:rsid w:val="00D0100B"/>
    <w:rsid w:val="00D0139B"/>
    <w:rsid w:val="00D0150B"/>
    <w:rsid w:val="00D015FC"/>
    <w:rsid w:val="00D01753"/>
    <w:rsid w:val="00D019EE"/>
    <w:rsid w:val="00D01B3A"/>
    <w:rsid w:val="00D01CB7"/>
    <w:rsid w:val="00D02031"/>
    <w:rsid w:val="00D02380"/>
    <w:rsid w:val="00D0248D"/>
    <w:rsid w:val="00D0250F"/>
    <w:rsid w:val="00D02654"/>
    <w:rsid w:val="00D028B6"/>
    <w:rsid w:val="00D02B3B"/>
    <w:rsid w:val="00D02CB7"/>
    <w:rsid w:val="00D02ECE"/>
    <w:rsid w:val="00D0303E"/>
    <w:rsid w:val="00D0307D"/>
    <w:rsid w:val="00D03450"/>
    <w:rsid w:val="00D03548"/>
    <w:rsid w:val="00D0381B"/>
    <w:rsid w:val="00D0393A"/>
    <w:rsid w:val="00D03AEB"/>
    <w:rsid w:val="00D03BA6"/>
    <w:rsid w:val="00D03CD0"/>
    <w:rsid w:val="00D041B2"/>
    <w:rsid w:val="00D04267"/>
    <w:rsid w:val="00D04505"/>
    <w:rsid w:val="00D0459D"/>
    <w:rsid w:val="00D0477F"/>
    <w:rsid w:val="00D047DA"/>
    <w:rsid w:val="00D049E8"/>
    <w:rsid w:val="00D04A3A"/>
    <w:rsid w:val="00D04C59"/>
    <w:rsid w:val="00D04C64"/>
    <w:rsid w:val="00D0500E"/>
    <w:rsid w:val="00D057C9"/>
    <w:rsid w:val="00D059AC"/>
    <w:rsid w:val="00D05A7C"/>
    <w:rsid w:val="00D05AC6"/>
    <w:rsid w:val="00D05BF1"/>
    <w:rsid w:val="00D05D9F"/>
    <w:rsid w:val="00D05FE7"/>
    <w:rsid w:val="00D06003"/>
    <w:rsid w:val="00D06068"/>
    <w:rsid w:val="00D060C6"/>
    <w:rsid w:val="00D0618F"/>
    <w:rsid w:val="00D063B5"/>
    <w:rsid w:val="00D063D3"/>
    <w:rsid w:val="00D064B9"/>
    <w:rsid w:val="00D0668E"/>
    <w:rsid w:val="00D06695"/>
    <w:rsid w:val="00D067AF"/>
    <w:rsid w:val="00D06901"/>
    <w:rsid w:val="00D06B9C"/>
    <w:rsid w:val="00D07073"/>
    <w:rsid w:val="00D070FF"/>
    <w:rsid w:val="00D0717E"/>
    <w:rsid w:val="00D074A6"/>
    <w:rsid w:val="00D074B1"/>
    <w:rsid w:val="00D074D6"/>
    <w:rsid w:val="00D07917"/>
    <w:rsid w:val="00D07D2B"/>
    <w:rsid w:val="00D10018"/>
    <w:rsid w:val="00D107FF"/>
    <w:rsid w:val="00D10825"/>
    <w:rsid w:val="00D10853"/>
    <w:rsid w:val="00D1093D"/>
    <w:rsid w:val="00D10A58"/>
    <w:rsid w:val="00D10FA9"/>
    <w:rsid w:val="00D11297"/>
    <w:rsid w:val="00D11733"/>
    <w:rsid w:val="00D11925"/>
    <w:rsid w:val="00D119A9"/>
    <w:rsid w:val="00D11A5A"/>
    <w:rsid w:val="00D11BF0"/>
    <w:rsid w:val="00D11DAA"/>
    <w:rsid w:val="00D1229C"/>
    <w:rsid w:val="00D12367"/>
    <w:rsid w:val="00D12469"/>
    <w:rsid w:val="00D124D9"/>
    <w:rsid w:val="00D1286A"/>
    <w:rsid w:val="00D12B0E"/>
    <w:rsid w:val="00D12C23"/>
    <w:rsid w:val="00D12C6D"/>
    <w:rsid w:val="00D12D71"/>
    <w:rsid w:val="00D12DFB"/>
    <w:rsid w:val="00D12E02"/>
    <w:rsid w:val="00D13122"/>
    <w:rsid w:val="00D13396"/>
    <w:rsid w:val="00D134B9"/>
    <w:rsid w:val="00D135B4"/>
    <w:rsid w:val="00D1361C"/>
    <w:rsid w:val="00D137D0"/>
    <w:rsid w:val="00D137F3"/>
    <w:rsid w:val="00D13870"/>
    <w:rsid w:val="00D139F7"/>
    <w:rsid w:val="00D13A11"/>
    <w:rsid w:val="00D13FB6"/>
    <w:rsid w:val="00D1434A"/>
    <w:rsid w:val="00D14369"/>
    <w:rsid w:val="00D144E4"/>
    <w:rsid w:val="00D146C4"/>
    <w:rsid w:val="00D14767"/>
    <w:rsid w:val="00D14A3D"/>
    <w:rsid w:val="00D14CA3"/>
    <w:rsid w:val="00D14D17"/>
    <w:rsid w:val="00D14E34"/>
    <w:rsid w:val="00D14EB2"/>
    <w:rsid w:val="00D153CD"/>
    <w:rsid w:val="00D15465"/>
    <w:rsid w:val="00D15796"/>
    <w:rsid w:val="00D157C3"/>
    <w:rsid w:val="00D15A03"/>
    <w:rsid w:val="00D16030"/>
    <w:rsid w:val="00D16070"/>
    <w:rsid w:val="00D1662E"/>
    <w:rsid w:val="00D16652"/>
    <w:rsid w:val="00D16691"/>
    <w:rsid w:val="00D16886"/>
    <w:rsid w:val="00D16AEA"/>
    <w:rsid w:val="00D16CA7"/>
    <w:rsid w:val="00D16EBC"/>
    <w:rsid w:val="00D16F08"/>
    <w:rsid w:val="00D1702F"/>
    <w:rsid w:val="00D173A3"/>
    <w:rsid w:val="00D17C54"/>
    <w:rsid w:val="00D17C89"/>
    <w:rsid w:val="00D17E1B"/>
    <w:rsid w:val="00D17EB9"/>
    <w:rsid w:val="00D2008C"/>
    <w:rsid w:val="00D204EF"/>
    <w:rsid w:val="00D204F8"/>
    <w:rsid w:val="00D20562"/>
    <w:rsid w:val="00D205CB"/>
    <w:rsid w:val="00D205F3"/>
    <w:rsid w:val="00D20A4E"/>
    <w:rsid w:val="00D20F86"/>
    <w:rsid w:val="00D21170"/>
    <w:rsid w:val="00D212DB"/>
    <w:rsid w:val="00D2150C"/>
    <w:rsid w:val="00D2184F"/>
    <w:rsid w:val="00D21851"/>
    <w:rsid w:val="00D2188E"/>
    <w:rsid w:val="00D218D5"/>
    <w:rsid w:val="00D21E45"/>
    <w:rsid w:val="00D21E55"/>
    <w:rsid w:val="00D2201E"/>
    <w:rsid w:val="00D220B2"/>
    <w:rsid w:val="00D223BB"/>
    <w:rsid w:val="00D22431"/>
    <w:rsid w:val="00D22607"/>
    <w:rsid w:val="00D22760"/>
    <w:rsid w:val="00D227B9"/>
    <w:rsid w:val="00D2297E"/>
    <w:rsid w:val="00D22A74"/>
    <w:rsid w:val="00D22EA5"/>
    <w:rsid w:val="00D22F48"/>
    <w:rsid w:val="00D22FDC"/>
    <w:rsid w:val="00D23088"/>
    <w:rsid w:val="00D23152"/>
    <w:rsid w:val="00D2373A"/>
    <w:rsid w:val="00D2379D"/>
    <w:rsid w:val="00D237CB"/>
    <w:rsid w:val="00D23870"/>
    <w:rsid w:val="00D23D27"/>
    <w:rsid w:val="00D23DA4"/>
    <w:rsid w:val="00D23E90"/>
    <w:rsid w:val="00D240BC"/>
    <w:rsid w:val="00D242D7"/>
    <w:rsid w:val="00D2439C"/>
    <w:rsid w:val="00D246E3"/>
    <w:rsid w:val="00D248BB"/>
    <w:rsid w:val="00D24AB3"/>
    <w:rsid w:val="00D24B16"/>
    <w:rsid w:val="00D24B78"/>
    <w:rsid w:val="00D254E0"/>
    <w:rsid w:val="00D25816"/>
    <w:rsid w:val="00D2582B"/>
    <w:rsid w:val="00D25BBC"/>
    <w:rsid w:val="00D25C91"/>
    <w:rsid w:val="00D25D76"/>
    <w:rsid w:val="00D26085"/>
    <w:rsid w:val="00D261CB"/>
    <w:rsid w:val="00D2668B"/>
    <w:rsid w:val="00D26783"/>
    <w:rsid w:val="00D26CCB"/>
    <w:rsid w:val="00D26FA2"/>
    <w:rsid w:val="00D27074"/>
    <w:rsid w:val="00D27233"/>
    <w:rsid w:val="00D277C7"/>
    <w:rsid w:val="00D279F1"/>
    <w:rsid w:val="00D27A16"/>
    <w:rsid w:val="00D27D3A"/>
    <w:rsid w:val="00D27E2A"/>
    <w:rsid w:val="00D27E60"/>
    <w:rsid w:val="00D27EEE"/>
    <w:rsid w:val="00D302F8"/>
    <w:rsid w:val="00D305B6"/>
    <w:rsid w:val="00D305BF"/>
    <w:rsid w:val="00D30791"/>
    <w:rsid w:val="00D307C3"/>
    <w:rsid w:val="00D308E2"/>
    <w:rsid w:val="00D309C0"/>
    <w:rsid w:val="00D30F67"/>
    <w:rsid w:val="00D311AD"/>
    <w:rsid w:val="00D311AF"/>
    <w:rsid w:val="00D3146F"/>
    <w:rsid w:val="00D31909"/>
    <w:rsid w:val="00D3195C"/>
    <w:rsid w:val="00D31E39"/>
    <w:rsid w:val="00D31EF4"/>
    <w:rsid w:val="00D3217A"/>
    <w:rsid w:val="00D327BE"/>
    <w:rsid w:val="00D327E8"/>
    <w:rsid w:val="00D328F5"/>
    <w:rsid w:val="00D32B4B"/>
    <w:rsid w:val="00D32FEA"/>
    <w:rsid w:val="00D333B9"/>
    <w:rsid w:val="00D3367A"/>
    <w:rsid w:val="00D337F7"/>
    <w:rsid w:val="00D33BC5"/>
    <w:rsid w:val="00D340F9"/>
    <w:rsid w:val="00D34113"/>
    <w:rsid w:val="00D34185"/>
    <w:rsid w:val="00D34191"/>
    <w:rsid w:val="00D341CF"/>
    <w:rsid w:val="00D34289"/>
    <w:rsid w:val="00D34406"/>
    <w:rsid w:val="00D344A5"/>
    <w:rsid w:val="00D34712"/>
    <w:rsid w:val="00D3486C"/>
    <w:rsid w:val="00D34BF4"/>
    <w:rsid w:val="00D34DAA"/>
    <w:rsid w:val="00D34E5F"/>
    <w:rsid w:val="00D35021"/>
    <w:rsid w:val="00D3509F"/>
    <w:rsid w:val="00D3516D"/>
    <w:rsid w:val="00D3520C"/>
    <w:rsid w:val="00D3536A"/>
    <w:rsid w:val="00D3555F"/>
    <w:rsid w:val="00D35685"/>
    <w:rsid w:val="00D356F5"/>
    <w:rsid w:val="00D35820"/>
    <w:rsid w:val="00D35895"/>
    <w:rsid w:val="00D35B78"/>
    <w:rsid w:val="00D35E7B"/>
    <w:rsid w:val="00D35F84"/>
    <w:rsid w:val="00D3630A"/>
    <w:rsid w:val="00D3658C"/>
    <w:rsid w:val="00D3669A"/>
    <w:rsid w:val="00D36712"/>
    <w:rsid w:val="00D3676C"/>
    <w:rsid w:val="00D369A5"/>
    <w:rsid w:val="00D36C06"/>
    <w:rsid w:val="00D36F89"/>
    <w:rsid w:val="00D3705F"/>
    <w:rsid w:val="00D370EB"/>
    <w:rsid w:val="00D372C0"/>
    <w:rsid w:val="00D37555"/>
    <w:rsid w:val="00D37719"/>
    <w:rsid w:val="00D379A7"/>
    <w:rsid w:val="00D37F05"/>
    <w:rsid w:val="00D40415"/>
    <w:rsid w:val="00D404AD"/>
    <w:rsid w:val="00D40781"/>
    <w:rsid w:val="00D40921"/>
    <w:rsid w:val="00D40992"/>
    <w:rsid w:val="00D40C92"/>
    <w:rsid w:val="00D40D57"/>
    <w:rsid w:val="00D4177B"/>
    <w:rsid w:val="00D41833"/>
    <w:rsid w:val="00D41C2A"/>
    <w:rsid w:val="00D420B0"/>
    <w:rsid w:val="00D42118"/>
    <w:rsid w:val="00D422A6"/>
    <w:rsid w:val="00D422D1"/>
    <w:rsid w:val="00D42351"/>
    <w:rsid w:val="00D42370"/>
    <w:rsid w:val="00D427A2"/>
    <w:rsid w:val="00D42938"/>
    <w:rsid w:val="00D42EB8"/>
    <w:rsid w:val="00D42FEA"/>
    <w:rsid w:val="00D42FF9"/>
    <w:rsid w:val="00D43333"/>
    <w:rsid w:val="00D4340F"/>
    <w:rsid w:val="00D43477"/>
    <w:rsid w:val="00D43ADC"/>
    <w:rsid w:val="00D43E33"/>
    <w:rsid w:val="00D43ED4"/>
    <w:rsid w:val="00D43EF6"/>
    <w:rsid w:val="00D43F2D"/>
    <w:rsid w:val="00D43FCB"/>
    <w:rsid w:val="00D44066"/>
    <w:rsid w:val="00D442A6"/>
    <w:rsid w:val="00D44371"/>
    <w:rsid w:val="00D448A4"/>
    <w:rsid w:val="00D4492F"/>
    <w:rsid w:val="00D44940"/>
    <w:rsid w:val="00D45030"/>
    <w:rsid w:val="00D45754"/>
    <w:rsid w:val="00D457CE"/>
    <w:rsid w:val="00D45A04"/>
    <w:rsid w:val="00D45F89"/>
    <w:rsid w:val="00D46202"/>
    <w:rsid w:val="00D4660A"/>
    <w:rsid w:val="00D46669"/>
    <w:rsid w:val="00D467CC"/>
    <w:rsid w:val="00D46937"/>
    <w:rsid w:val="00D469E6"/>
    <w:rsid w:val="00D46A50"/>
    <w:rsid w:val="00D46D7A"/>
    <w:rsid w:val="00D46E0C"/>
    <w:rsid w:val="00D46E7D"/>
    <w:rsid w:val="00D46EEE"/>
    <w:rsid w:val="00D46FE6"/>
    <w:rsid w:val="00D46FF9"/>
    <w:rsid w:val="00D4721C"/>
    <w:rsid w:val="00D4722C"/>
    <w:rsid w:val="00D47425"/>
    <w:rsid w:val="00D474FF"/>
    <w:rsid w:val="00D475E7"/>
    <w:rsid w:val="00D47604"/>
    <w:rsid w:val="00D47778"/>
    <w:rsid w:val="00D4788B"/>
    <w:rsid w:val="00D47944"/>
    <w:rsid w:val="00D47AF3"/>
    <w:rsid w:val="00D47B5D"/>
    <w:rsid w:val="00D47C51"/>
    <w:rsid w:val="00D47D81"/>
    <w:rsid w:val="00D47E39"/>
    <w:rsid w:val="00D5026A"/>
    <w:rsid w:val="00D50570"/>
    <w:rsid w:val="00D5057D"/>
    <w:rsid w:val="00D50829"/>
    <w:rsid w:val="00D50844"/>
    <w:rsid w:val="00D508B5"/>
    <w:rsid w:val="00D50B12"/>
    <w:rsid w:val="00D50B13"/>
    <w:rsid w:val="00D50BAB"/>
    <w:rsid w:val="00D50CBF"/>
    <w:rsid w:val="00D50D6F"/>
    <w:rsid w:val="00D50D7A"/>
    <w:rsid w:val="00D50F7C"/>
    <w:rsid w:val="00D510C1"/>
    <w:rsid w:val="00D513BB"/>
    <w:rsid w:val="00D51989"/>
    <w:rsid w:val="00D51A82"/>
    <w:rsid w:val="00D51AFA"/>
    <w:rsid w:val="00D51C09"/>
    <w:rsid w:val="00D51DBB"/>
    <w:rsid w:val="00D51FED"/>
    <w:rsid w:val="00D52148"/>
    <w:rsid w:val="00D521E2"/>
    <w:rsid w:val="00D5233B"/>
    <w:rsid w:val="00D5242B"/>
    <w:rsid w:val="00D52447"/>
    <w:rsid w:val="00D5255E"/>
    <w:rsid w:val="00D527BB"/>
    <w:rsid w:val="00D52C19"/>
    <w:rsid w:val="00D52DDD"/>
    <w:rsid w:val="00D52E47"/>
    <w:rsid w:val="00D52EB0"/>
    <w:rsid w:val="00D52F72"/>
    <w:rsid w:val="00D530BA"/>
    <w:rsid w:val="00D532DB"/>
    <w:rsid w:val="00D533D4"/>
    <w:rsid w:val="00D53479"/>
    <w:rsid w:val="00D535AD"/>
    <w:rsid w:val="00D537B3"/>
    <w:rsid w:val="00D53AD4"/>
    <w:rsid w:val="00D53C77"/>
    <w:rsid w:val="00D53CC4"/>
    <w:rsid w:val="00D53D48"/>
    <w:rsid w:val="00D5410B"/>
    <w:rsid w:val="00D54185"/>
    <w:rsid w:val="00D54330"/>
    <w:rsid w:val="00D543D5"/>
    <w:rsid w:val="00D54685"/>
    <w:rsid w:val="00D54AC0"/>
    <w:rsid w:val="00D54C2A"/>
    <w:rsid w:val="00D54C49"/>
    <w:rsid w:val="00D54CB4"/>
    <w:rsid w:val="00D5505C"/>
    <w:rsid w:val="00D555AB"/>
    <w:rsid w:val="00D556B2"/>
    <w:rsid w:val="00D557AA"/>
    <w:rsid w:val="00D557C8"/>
    <w:rsid w:val="00D55897"/>
    <w:rsid w:val="00D559E0"/>
    <w:rsid w:val="00D55AA0"/>
    <w:rsid w:val="00D55B53"/>
    <w:rsid w:val="00D55DFC"/>
    <w:rsid w:val="00D561CD"/>
    <w:rsid w:val="00D562DD"/>
    <w:rsid w:val="00D563AC"/>
    <w:rsid w:val="00D56524"/>
    <w:rsid w:val="00D56582"/>
    <w:rsid w:val="00D56728"/>
    <w:rsid w:val="00D56742"/>
    <w:rsid w:val="00D5697B"/>
    <w:rsid w:val="00D56995"/>
    <w:rsid w:val="00D56BF6"/>
    <w:rsid w:val="00D574D3"/>
    <w:rsid w:val="00D57521"/>
    <w:rsid w:val="00D5792B"/>
    <w:rsid w:val="00D579CA"/>
    <w:rsid w:val="00D57A8A"/>
    <w:rsid w:val="00D57C02"/>
    <w:rsid w:val="00D600E0"/>
    <w:rsid w:val="00D60199"/>
    <w:rsid w:val="00D602F4"/>
    <w:rsid w:val="00D604AF"/>
    <w:rsid w:val="00D60856"/>
    <w:rsid w:val="00D60A27"/>
    <w:rsid w:val="00D60CD4"/>
    <w:rsid w:val="00D60D63"/>
    <w:rsid w:val="00D60E97"/>
    <w:rsid w:val="00D617D0"/>
    <w:rsid w:val="00D6184C"/>
    <w:rsid w:val="00D61C4D"/>
    <w:rsid w:val="00D61EE2"/>
    <w:rsid w:val="00D6229B"/>
    <w:rsid w:val="00D622E5"/>
    <w:rsid w:val="00D6250E"/>
    <w:rsid w:val="00D626A3"/>
    <w:rsid w:val="00D6294C"/>
    <w:rsid w:val="00D62AEB"/>
    <w:rsid w:val="00D62DDC"/>
    <w:rsid w:val="00D63007"/>
    <w:rsid w:val="00D630C7"/>
    <w:rsid w:val="00D63102"/>
    <w:rsid w:val="00D63373"/>
    <w:rsid w:val="00D635E5"/>
    <w:rsid w:val="00D6365C"/>
    <w:rsid w:val="00D637D9"/>
    <w:rsid w:val="00D63834"/>
    <w:rsid w:val="00D63907"/>
    <w:rsid w:val="00D63954"/>
    <w:rsid w:val="00D63E14"/>
    <w:rsid w:val="00D63E6A"/>
    <w:rsid w:val="00D64038"/>
    <w:rsid w:val="00D641A8"/>
    <w:rsid w:val="00D641DB"/>
    <w:rsid w:val="00D642BD"/>
    <w:rsid w:val="00D64678"/>
    <w:rsid w:val="00D646D6"/>
    <w:rsid w:val="00D64774"/>
    <w:rsid w:val="00D64AA5"/>
    <w:rsid w:val="00D64B2E"/>
    <w:rsid w:val="00D64B9C"/>
    <w:rsid w:val="00D64F45"/>
    <w:rsid w:val="00D651CD"/>
    <w:rsid w:val="00D651E4"/>
    <w:rsid w:val="00D653DF"/>
    <w:rsid w:val="00D6555F"/>
    <w:rsid w:val="00D65814"/>
    <w:rsid w:val="00D65969"/>
    <w:rsid w:val="00D659A4"/>
    <w:rsid w:val="00D65ABF"/>
    <w:rsid w:val="00D66327"/>
    <w:rsid w:val="00D66827"/>
    <w:rsid w:val="00D669A9"/>
    <w:rsid w:val="00D66AEA"/>
    <w:rsid w:val="00D66B5E"/>
    <w:rsid w:val="00D670C3"/>
    <w:rsid w:val="00D67104"/>
    <w:rsid w:val="00D674E4"/>
    <w:rsid w:val="00D675B9"/>
    <w:rsid w:val="00D675D0"/>
    <w:rsid w:val="00D6778B"/>
    <w:rsid w:val="00D67976"/>
    <w:rsid w:val="00D67A9F"/>
    <w:rsid w:val="00D67E7C"/>
    <w:rsid w:val="00D7079A"/>
    <w:rsid w:val="00D707E3"/>
    <w:rsid w:val="00D70A11"/>
    <w:rsid w:val="00D70A47"/>
    <w:rsid w:val="00D70BB0"/>
    <w:rsid w:val="00D70DD9"/>
    <w:rsid w:val="00D70F39"/>
    <w:rsid w:val="00D713CA"/>
    <w:rsid w:val="00D714B1"/>
    <w:rsid w:val="00D714CF"/>
    <w:rsid w:val="00D715D7"/>
    <w:rsid w:val="00D71ACE"/>
    <w:rsid w:val="00D71BC9"/>
    <w:rsid w:val="00D71C48"/>
    <w:rsid w:val="00D71DD3"/>
    <w:rsid w:val="00D71E4A"/>
    <w:rsid w:val="00D71EF4"/>
    <w:rsid w:val="00D71FF3"/>
    <w:rsid w:val="00D726A3"/>
    <w:rsid w:val="00D726F7"/>
    <w:rsid w:val="00D728D1"/>
    <w:rsid w:val="00D72CE3"/>
    <w:rsid w:val="00D72F36"/>
    <w:rsid w:val="00D73246"/>
    <w:rsid w:val="00D7332C"/>
    <w:rsid w:val="00D73888"/>
    <w:rsid w:val="00D73A7D"/>
    <w:rsid w:val="00D73E77"/>
    <w:rsid w:val="00D73F68"/>
    <w:rsid w:val="00D73F8C"/>
    <w:rsid w:val="00D74206"/>
    <w:rsid w:val="00D742A2"/>
    <w:rsid w:val="00D7433F"/>
    <w:rsid w:val="00D74360"/>
    <w:rsid w:val="00D74546"/>
    <w:rsid w:val="00D74A25"/>
    <w:rsid w:val="00D74D03"/>
    <w:rsid w:val="00D74D59"/>
    <w:rsid w:val="00D74DE3"/>
    <w:rsid w:val="00D75104"/>
    <w:rsid w:val="00D75286"/>
    <w:rsid w:val="00D758B7"/>
    <w:rsid w:val="00D75942"/>
    <w:rsid w:val="00D75AC1"/>
    <w:rsid w:val="00D75BC1"/>
    <w:rsid w:val="00D75E21"/>
    <w:rsid w:val="00D760C6"/>
    <w:rsid w:val="00D760F3"/>
    <w:rsid w:val="00D761A4"/>
    <w:rsid w:val="00D76401"/>
    <w:rsid w:val="00D765DA"/>
    <w:rsid w:val="00D76A0F"/>
    <w:rsid w:val="00D76FC0"/>
    <w:rsid w:val="00D77124"/>
    <w:rsid w:val="00D7731D"/>
    <w:rsid w:val="00D773A3"/>
    <w:rsid w:val="00D77471"/>
    <w:rsid w:val="00D775A5"/>
    <w:rsid w:val="00D775BD"/>
    <w:rsid w:val="00D775EF"/>
    <w:rsid w:val="00D775F3"/>
    <w:rsid w:val="00D777EA"/>
    <w:rsid w:val="00D77B45"/>
    <w:rsid w:val="00D77CBC"/>
    <w:rsid w:val="00D77D48"/>
    <w:rsid w:val="00D77DCA"/>
    <w:rsid w:val="00D801C2"/>
    <w:rsid w:val="00D803E9"/>
    <w:rsid w:val="00D8046B"/>
    <w:rsid w:val="00D80792"/>
    <w:rsid w:val="00D808D9"/>
    <w:rsid w:val="00D80BD2"/>
    <w:rsid w:val="00D80C59"/>
    <w:rsid w:val="00D810DD"/>
    <w:rsid w:val="00D81113"/>
    <w:rsid w:val="00D812E0"/>
    <w:rsid w:val="00D81446"/>
    <w:rsid w:val="00D815D2"/>
    <w:rsid w:val="00D8162C"/>
    <w:rsid w:val="00D8186C"/>
    <w:rsid w:val="00D81A4B"/>
    <w:rsid w:val="00D81C25"/>
    <w:rsid w:val="00D81CF9"/>
    <w:rsid w:val="00D81D66"/>
    <w:rsid w:val="00D820A7"/>
    <w:rsid w:val="00D8211D"/>
    <w:rsid w:val="00D82772"/>
    <w:rsid w:val="00D82A8C"/>
    <w:rsid w:val="00D82AE0"/>
    <w:rsid w:val="00D82F9F"/>
    <w:rsid w:val="00D8303A"/>
    <w:rsid w:val="00D833EE"/>
    <w:rsid w:val="00D83495"/>
    <w:rsid w:val="00D835B2"/>
    <w:rsid w:val="00D8365F"/>
    <w:rsid w:val="00D83871"/>
    <w:rsid w:val="00D839D1"/>
    <w:rsid w:val="00D83CD9"/>
    <w:rsid w:val="00D83CE2"/>
    <w:rsid w:val="00D8402A"/>
    <w:rsid w:val="00D84230"/>
    <w:rsid w:val="00D84558"/>
    <w:rsid w:val="00D84650"/>
    <w:rsid w:val="00D8483C"/>
    <w:rsid w:val="00D84DAB"/>
    <w:rsid w:val="00D85214"/>
    <w:rsid w:val="00D8527B"/>
    <w:rsid w:val="00D8545F"/>
    <w:rsid w:val="00D8583A"/>
    <w:rsid w:val="00D85869"/>
    <w:rsid w:val="00D858FE"/>
    <w:rsid w:val="00D85A30"/>
    <w:rsid w:val="00D85BC3"/>
    <w:rsid w:val="00D85BDC"/>
    <w:rsid w:val="00D85F4C"/>
    <w:rsid w:val="00D86044"/>
    <w:rsid w:val="00D86124"/>
    <w:rsid w:val="00D861A8"/>
    <w:rsid w:val="00D865E2"/>
    <w:rsid w:val="00D86A35"/>
    <w:rsid w:val="00D86B1C"/>
    <w:rsid w:val="00D86BFF"/>
    <w:rsid w:val="00D86C9A"/>
    <w:rsid w:val="00D87289"/>
    <w:rsid w:val="00D876DD"/>
    <w:rsid w:val="00D90008"/>
    <w:rsid w:val="00D903CE"/>
    <w:rsid w:val="00D909F6"/>
    <w:rsid w:val="00D90C10"/>
    <w:rsid w:val="00D90DF3"/>
    <w:rsid w:val="00D91079"/>
    <w:rsid w:val="00D911BF"/>
    <w:rsid w:val="00D917EB"/>
    <w:rsid w:val="00D91B9A"/>
    <w:rsid w:val="00D91DFD"/>
    <w:rsid w:val="00D91E4C"/>
    <w:rsid w:val="00D921BC"/>
    <w:rsid w:val="00D924E8"/>
    <w:rsid w:val="00D925B0"/>
    <w:rsid w:val="00D9264F"/>
    <w:rsid w:val="00D926AC"/>
    <w:rsid w:val="00D926B1"/>
    <w:rsid w:val="00D92AAA"/>
    <w:rsid w:val="00D92BC5"/>
    <w:rsid w:val="00D92BD1"/>
    <w:rsid w:val="00D92D24"/>
    <w:rsid w:val="00D93029"/>
    <w:rsid w:val="00D93373"/>
    <w:rsid w:val="00D93404"/>
    <w:rsid w:val="00D9345A"/>
    <w:rsid w:val="00D934A2"/>
    <w:rsid w:val="00D93590"/>
    <w:rsid w:val="00D935A1"/>
    <w:rsid w:val="00D935BD"/>
    <w:rsid w:val="00D936FE"/>
    <w:rsid w:val="00D93BFB"/>
    <w:rsid w:val="00D93DD9"/>
    <w:rsid w:val="00D93E14"/>
    <w:rsid w:val="00D93E1D"/>
    <w:rsid w:val="00D93EEC"/>
    <w:rsid w:val="00D94195"/>
    <w:rsid w:val="00D943F0"/>
    <w:rsid w:val="00D94648"/>
    <w:rsid w:val="00D9481B"/>
    <w:rsid w:val="00D949DC"/>
    <w:rsid w:val="00D94A6C"/>
    <w:rsid w:val="00D94B30"/>
    <w:rsid w:val="00D94B69"/>
    <w:rsid w:val="00D94C58"/>
    <w:rsid w:val="00D94D6E"/>
    <w:rsid w:val="00D94DEC"/>
    <w:rsid w:val="00D94ECF"/>
    <w:rsid w:val="00D94F03"/>
    <w:rsid w:val="00D9508F"/>
    <w:rsid w:val="00D952A8"/>
    <w:rsid w:val="00D956F8"/>
    <w:rsid w:val="00D957A2"/>
    <w:rsid w:val="00D9583E"/>
    <w:rsid w:val="00D95877"/>
    <w:rsid w:val="00D95C36"/>
    <w:rsid w:val="00D9605E"/>
    <w:rsid w:val="00D962AA"/>
    <w:rsid w:val="00D96D13"/>
    <w:rsid w:val="00D9734C"/>
    <w:rsid w:val="00D97454"/>
    <w:rsid w:val="00D97750"/>
    <w:rsid w:val="00D977FA"/>
    <w:rsid w:val="00D9791C"/>
    <w:rsid w:val="00D9798F"/>
    <w:rsid w:val="00D97AE8"/>
    <w:rsid w:val="00D97DE5"/>
    <w:rsid w:val="00D97E16"/>
    <w:rsid w:val="00DA003A"/>
    <w:rsid w:val="00DA0122"/>
    <w:rsid w:val="00DA0163"/>
    <w:rsid w:val="00DA0228"/>
    <w:rsid w:val="00DA038D"/>
    <w:rsid w:val="00DA0788"/>
    <w:rsid w:val="00DA0B23"/>
    <w:rsid w:val="00DA0C01"/>
    <w:rsid w:val="00DA0DB4"/>
    <w:rsid w:val="00DA1140"/>
    <w:rsid w:val="00DA128D"/>
    <w:rsid w:val="00DA1535"/>
    <w:rsid w:val="00DA174F"/>
    <w:rsid w:val="00DA17B3"/>
    <w:rsid w:val="00DA1818"/>
    <w:rsid w:val="00DA1A22"/>
    <w:rsid w:val="00DA1D29"/>
    <w:rsid w:val="00DA1FE6"/>
    <w:rsid w:val="00DA209F"/>
    <w:rsid w:val="00DA20D2"/>
    <w:rsid w:val="00DA220D"/>
    <w:rsid w:val="00DA24CB"/>
    <w:rsid w:val="00DA2D8A"/>
    <w:rsid w:val="00DA2EFF"/>
    <w:rsid w:val="00DA3348"/>
    <w:rsid w:val="00DA36A1"/>
    <w:rsid w:val="00DA36F0"/>
    <w:rsid w:val="00DA371E"/>
    <w:rsid w:val="00DA390F"/>
    <w:rsid w:val="00DA3B3E"/>
    <w:rsid w:val="00DA3B96"/>
    <w:rsid w:val="00DA3E9C"/>
    <w:rsid w:val="00DA41B4"/>
    <w:rsid w:val="00DA4224"/>
    <w:rsid w:val="00DA42EA"/>
    <w:rsid w:val="00DA440D"/>
    <w:rsid w:val="00DA4601"/>
    <w:rsid w:val="00DA46FE"/>
    <w:rsid w:val="00DA48CE"/>
    <w:rsid w:val="00DA4A5A"/>
    <w:rsid w:val="00DA507C"/>
    <w:rsid w:val="00DA54B4"/>
    <w:rsid w:val="00DA5536"/>
    <w:rsid w:val="00DA55F6"/>
    <w:rsid w:val="00DA561C"/>
    <w:rsid w:val="00DA56BD"/>
    <w:rsid w:val="00DA57BA"/>
    <w:rsid w:val="00DA595F"/>
    <w:rsid w:val="00DA5B4F"/>
    <w:rsid w:val="00DA5CED"/>
    <w:rsid w:val="00DA5E1B"/>
    <w:rsid w:val="00DA5EB6"/>
    <w:rsid w:val="00DA6054"/>
    <w:rsid w:val="00DA6335"/>
    <w:rsid w:val="00DA645A"/>
    <w:rsid w:val="00DA650F"/>
    <w:rsid w:val="00DA66C6"/>
    <w:rsid w:val="00DA6819"/>
    <w:rsid w:val="00DA6992"/>
    <w:rsid w:val="00DA6B24"/>
    <w:rsid w:val="00DA6EC3"/>
    <w:rsid w:val="00DA7299"/>
    <w:rsid w:val="00DA7477"/>
    <w:rsid w:val="00DA76F7"/>
    <w:rsid w:val="00DA779A"/>
    <w:rsid w:val="00DA7C02"/>
    <w:rsid w:val="00DA7CC1"/>
    <w:rsid w:val="00DA7FC6"/>
    <w:rsid w:val="00DB011B"/>
    <w:rsid w:val="00DB05DC"/>
    <w:rsid w:val="00DB06CE"/>
    <w:rsid w:val="00DB06EA"/>
    <w:rsid w:val="00DB0BE1"/>
    <w:rsid w:val="00DB0CC4"/>
    <w:rsid w:val="00DB0D65"/>
    <w:rsid w:val="00DB0EFA"/>
    <w:rsid w:val="00DB10F1"/>
    <w:rsid w:val="00DB169A"/>
    <w:rsid w:val="00DB1779"/>
    <w:rsid w:val="00DB1924"/>
    <w:rsid w:val="00DB1CF0"/>
    <w:rsid w:val="00DB1EA1"/>
    <w:rsid w:val="00DB2337"/>
    <w:rsid w:val="00DB2854"/>
    <w:rsid w:val="00DB292A"/>
    <w:rsid w:val="00DB2BCC"/>
    <w:rsid w:val="00DB2D17"/>
    <w:rsid w:val="00DB2D45"/>
    <w:rsid w:val="00DB2FE8"/>
    <w:rsid w:val="00DB32C0"/>
    <w:rsid w:val="00DB3434"/>
    <w:rsid w:val="00DB349F"/>
    <w:rsid w:val="00DB35DC"/>
    <w:rsid w:val="00DB3A16"/>
    <w:rsid w:val="00DB3C19"/>
    <w:rsid w:val="00DB3E3C"/>
    <w:rsid w:val="00DB3E5D"/>
    <w:rsid w:val="00DB3FBD"/>
    <w:rsid w:val="00DB412F"/>
    <w:rsid w:val="00DB4208"/>
    <w:rsid w:val="00DB442E"/>
    <w:rsid w:val="00DB4442"/>
    <w:rsid w:val="00DB44D3"/>
    <w:rsid w:val="00DB45A7"/>
    <w:rsid w:val="00DB46CB"/>
    <w:rsid w:val="00DB48DF"/>
    <w:rsid w:val="00DB4C44"/>
    <w:rsid w:val="00DB51C2"/>
    <w:rsid w:val="00DB5228"/>
    <w:rsid w:val="00DB5385"/>
    <w:rsid w:val="00DB5767"/>
    <w:rsid w:val="00DB5864"/>
    <w:rsid w:val="00DB5ECE"/>
    <w:rsid w:val="00DB608B"/>
    <w:rsid w:val="00DB6313"/>
    <w:rsid w:val="00DB68BF"/>
    <w:rsid w:val="00DB69A7"/>
    <w:rsid w:val="00DB69B6"/>
    <w:rsid w:val="00DB6C25"/>
    <w:rsid w:val="00DB6C38"/>
    <w:rsid w:val="00DB702D"/>
    <w:rsid w:val="00DB70E2"/>
    <w:rsid w:val="00DB74BE"/>
    <w:rsid w:val="00DB750B"/>
    <w:rsid w:val="00DB76A5"/>
    <w:rsid w:val="00DB76E5"/>
    <w:rsid w:val="00DB7765"/>
    <w:rsid w:val="00DB784D"/>
    <w:rsid w:val="00DB7B6F"/>
    <w:rsid w:val="00DB7DDC"/>
    <w:rsid w:val="00DC0652"/>
    <w:rsid w:val="00DC075C"/>
    <w:rsid w:val="00DC09B6"/>
    <w:rsid w:val="00DC0D87"/>
    <w:rsid w:val="00DC0DE2"/>
    <w:rsid w:val="00DC1097"/>
    <w:rsid w:val="00DC143A"/>
    <w:rsid w:val="00DC168E"/>
    <w:rsid w:val="00DC1D71"/>
    <w:rsid w:val="00DC1FAB"/>
    <w:rsid w:val="00DC2050"/>
    <w:rsid w:val="00DC223C"/>
    <w:rsid w:val="00DC22B5"/>
    <w:rsid w:val="00DC23A3"/>
    <w:rsid w:val="00DC2426"/>
    <w:rsid w:val="00DC267A"/>
    <w:rsid w:val="00DC2747"/>
    <w:rsid w:val="00DC296F"/>
    <w:rsid w:val="00DC2E79"/>
    <w:rsid w:val="00DC2EBE"/>
    <w:rsid w:val="00DC3104"/>
    <w:rsid w:val="00DC31B0"/>
    <w:rsid w:val="00DC3226"/>
    <w:rsid w:val="00DC3338"/>
    <w:rsid w:val="00DC3370"/>
    <w:rsid w:val="00DC349E"/>
    <w:rsid w:val="00DC36A1"/>
    <w:rsid w:val="00DC3A6D"/>
    <w:rsid w:val="00DC3FEC"/>
    <w:rsid w:val="00DC4036"/>
    <w:rsid w:val="00DC44C2"/>
    <w:rsid w:val="00DC4909"/>
    <w:rsid w:val="00DC4D7E"/>
    <w:rsid w:val="00DC4EC1"/>
    <w:rsid w:val="00DC50E0"/>
    <w:rsid w:val="00DC53EC"/>
    <w:rsid w:val="00DC57EF"/>
    <w:rsid w:val="00DC5C67"/>
    <w:rsid w:val="00DC610C"/>
    <w:rsid w:val="00DC616C"/>
    <w:rsid w:val="00DC6497"/>
    <w:rsid w:val="00DC667C"/>
    <w:rsid w:val="00DC68D4"/>
    <w:rsid w:val="00DC68D6"/>
    <w:rsid w:val="00DC68F5"/>
    <w:rsid w:val="00DC6BF1"/>
    <w:rsid w:val="00DC6D45"/>
    <w:rsid w:val="00DC6DBF"/>
    <w:rsid w:val="00DC6DC5"/>
    <w:rsid w:val="00DC784F"/>
    <w:rsid w:val="00DC7AE4"/>
    <w:rsid w:val="00DC7D60"/>
    <w:rsid w:val="00DC7FF2"/>
    <w:rsid w:val="00DD019A"/>
    <w:rsid w:val="00DD01F8"/>
    <w:rsid w:val="00DD09EA"/>
    <w:rsid w:val="00DD0C23"/>
    <w:rsid w:val="00DD10FE"/>
    <w:rsid w:val="00DD1448"/>
    <w:rsid w:val="00DD15DD"/>
    <w:rsid w:val="00DD172B"/>
    <w:rsid w:val="00DD1887"/>
    <w:rsid w:val="00DD1A55"/>
    <w:rsid w:val="00DD1C4C"/>
    <w:rsid w:val="00DD1CBE"/>
    <w:rsid w:val="00DD1DE9"/>
    <w:rsid w:val="00DD1EF9"/>
    <w:rsid w:val="00DD20F8"/>
    <w:rsid w:val="00DD21E6"/>
    <w:rsid w:val="00DD2488"/>
    <w:rsid w:val="00DD2564"/>
    <w:rsid w:val="00DD27C6"/>
    <w:rsid w:val="00DD2E77"/>
    <w:rsid w:val="00DD2F1D"/>
    <w:rsid w:val="00DD30A0"/>
    <w:rsid w:val="00DD30CF"/>
    <w:rsid w:val="00DD321F"/>
    <w:rsid w:val="00DD3229"/>
    <w:rsid w:val="00DD3423"/>
    <w:rsid w:val="00DD344D"/>
    <w:rsid w:val="00DD3918"/>
    <w:rsid w:val="00DD3984"/>
    <w:rsid w:val="00DD3CFE"/>
    <w:rsid w:val="00DD3E0E"/>
    <w:rsid w:val="00DD47A6"/>
    <w:rsid w:val="00DD49E5"/>
    <w:rsid w:val="00DD4CEF"/>
    <w:rsid w:val="00DD4ECB"/>
    <w:rsid w:val="00DD4F01"/>
    <w:rsid w:val="00DD4F74"/>
    <w:rsid w:val="00DD51FE"/>
    <w:rsid w:val="00DD5524"/>
    <w:rsid w:val="00DD56F9"/>
    <w:rsid w:val="00DD5F34"/>
    <w:rsid w:val="00DD5F63"/>
    <w:rsid w:val="00DD602D"/>
    <w:rsid w:val="00DD6172"/>
    <w:rsid w:val="00DD6471"/>
    <w:rsid w:val="00DD66F5"/>
    <w:rsid w:val="00DD67D8"/>
    <w:rsid w:val="00DD68F7"/>
    <w:rsid w:val="00DD695A"/>
    <w:rsid w:val="00DD69B5"/>
    <w:rsid w:val="00DD6AA1"/>
    <w:rsid w:val="00DD6F93"/>
    <w:rsid w:val="00DD70A8"/>
    <w:rsid w:val="00DD7188"/>
    <w:rsid w:val="00DD71EC"/>
    <w:rsid w:val="00DD7278"/>
    <w:rsid w:val="00DD72A1"/>
    <w:rsid w:val="00DD76A5"/>
    <w:rsid w:val="00DD76E6"/>
    <w:rsid w:val="00DD77C8"/>
    <w:rsid w:val="00DD7A16"/>
    <w:rsid w:val="00DE029D"/>
    <w:rsid w:val="00DE07E9"/>
    <w:rsid w:val="00DE08E4"/>
    <w:rsid w:val="00DE0BB5"/>
    <w:rsid w:val="00DE0C39"/>
    <w:rsid w:val="00DE0F09"/>
    <w:rsid w:val="00DE0FC7"/>
    <w:rsid w:val="00DE103C"/>
    <w:rsid w:val="00DE11C3"/>
    <w:rsid w:val="00DE14B1"/>
    <w:rsid w:val="00DE1584"/>
    <w:rsid w:val="00DE19A5"/>
    <w:rsid w:val="00DE1B63"/>
    <w:rsid w:val="00DE1BA3"/>
    <w:rsid w:val="00DE1FA2"/>
    <w:rsid w:val="00DE21A0"/>
    <w:rsid w:val="00DE22DD"/>
    <w:rsid w:val="00DE22F0"/>
    <w:rsid w:val="00DE287D"/>
    <w:rsid w:val="00DE2B41"/>
    <w:rsid w:val="00DE2D0C"/>
    <w:rsid w:val="00DE2E62"/>
    <w:rsid w:val="00DE3143"/>
    <w:rsid w:val="00DE33A3"/>
    <w:rsid w:val="00DE347F"/>
    <w:rsid w:val="00DE36D7"/>
    <w:rsid w:val="00DE3ADD"/>
    <w:rsid w:val="00DE4425"/>
    <w:rsid w:val="00DE446B"/>
    <w:rsid w:val="00DE46D0"/>
    <w:rsid w:val="00DE4712"/>
    <w:rsid w:val="00DE47E1"/>
    <w:rsid w:val="00DE4CE5"/>
    <w:rsid w:val="00DE4EAB"/>
    <w:rsid w:val="00DE4FB8"/>
    <w:rsid w:val="00DE512D"/>
    <w:rsid w:val="00DE53B0"/>
    <w:rsid w:val="00DE53EF"/>
    <w:rsid w:val="00DE5657"/>
    <w:rsid w:val="00DE56C2"/>
    <w:rsid w:val="00DE58E7"/>
    <w:rsid w:val="00DE5987"/>
    <w:rsid w:val="00DE5C2B"/>
    <w:rsid w:val="00DE5D4D"/>
    <w:rsid w:val="00DE5D91"/>
    <w:rsid w:val="00DE5EA8"/>
    <w:rsid w:val="00DE5FD3"/>
    <w:rsid w:val="00DE60AA"/>
    <w:rsid w:val="00DE630B"/>
    <w:rsid w:val="00DE6490"/>
    <w:rsid w:val="00DE64FB"/>
    <w:rsid w:val="00DE64FD"/>
    <w:rsid w:val="00DE682F"/>
    <w:rsid w:val="00DE68D2"/>
    <w:rsid w:val="00DE68D8"/>
    <w:rsid w:val="00DE68EA"/>
    <w:rsid w:val="00DE6C1B"/>
    <w:rsid w:val="00DE6EF8"/>
    <w:rsid w:val="00DE6F79"/>
    <w:rsid w:val="00DE70CC"/>
    <w:rsid w:val="00DE728A"/>
    <w:rsid w:val="00DE7734"/>
    <w:rsid w:val="00DE79CB"/>
    <w:rsid w:val="00DE7C1E"/>
    <w:rsid w:val="00DE7EDC"/>
    <w:rsid w:val="00DE7F37"/>
    <w:rsid w:val="00DF0238"/>
    <w:rsid w:val="00DF0889"/>
    <w:rsid w:val="00DF0935"/>
    <w:rsid w:val="00DF09B6"/>
    <w:rsid w:val="00DF0FC3"/>
    <w:rsid w:val="00DF11DB"/>
    <w:rsid w:val="00DF13AF"/>
    <w:rsid w:val="00DF150D"/>
    <w:rsid w:val="00DF181A"/>
    <w:rsid w:val="00DF1AB7"/>
    <w:rsid w:val="00DF1B00"/>
    <w:rsid w:val="00DF1DEA"/>
    <w:rsid w:val="00DF1EDB"/>
    <w:rsid w:val="00DF1FF5"/>
    <w:rsid w:val="00DF20AC"/>
    <w:rsid w:val="00DF20CE"/>
    <w:rsid w:val="00DF22B2"/>
    <w:rsid w:val="00DF28E1"/>
    <w:rsid w:val="00DF2DA8"/>
    <w:rsid w:val="00DF2E9C"/>
    <w:rsid w:val="00DF3186"/>
    <w:rsid w:val="00DF33EC"/>
    <w:rsid w:val="00DF36C6"/>
    <w:rsid w:val="00DF3701"/>
    <w:rsid w:val="00DF38AA"/>
    <w:rsid w:val="00DF39F8"/>
    <w:rsid w:val="00DF3E19"/>
    <w:rsid w:val="00DF3EDB"/>
    <w:rsid w:val="00DF401B"/>
    <w:rsid w:val="00DF404A"/>
    <w:rsid w:val="00DF4282"/>
    <w:rsid w:val="00DF4369"/>
    <w:rsid w:val="00DF4438"/>
    <w:rsid w:val="00DF4502"/>
    <w:rsid w:val="00DF4B84"/>
    <w:rsid w:val="00DF4CC0"/>
    <w:rsid w:val="00DF4FE2"/>
    <w:rsid w:val="00DF50A1"/>
    <w:rsid w:val="00DF52D2"/>
    <w:rsid w:val="00DF5353"/>
    <w:rsid w:val="00DF59B2"/>
    <w:rsid w:val="00DF5BE4"/>
    <w:rsid w:val="00DF61A1"/>
    <w:rsid w:val="00DF663A"/>
    <w:rsid w:val="00DF6723"/>
    <w:rsid w:val="00DF6CF7"/>
    <w:rsid w:val="00DF6EAC"/>
    <w:rsid w:val="00DF772D"/>
    <w:rsid w:val="00DF77E8"/>
    <w:rsid w:val="00DF7986"/>
    <w:rsid w:val="00DF7B04"/>
    <w:rsid w:val="00DF7C79"/>
    <w:rsid w:val="00DF7F31"/>
    <w:rsid w:val="00DF7F4C"/>
    <w:rsid w:val="00DF7F83"/>
    <w:rsid w:val="00E00148"/>
    <w:rsid w:val="00E00899"/>
    <w:rsid w:val="00E00FC4"/>
    <w:rsid w:val="00E014E2"/>
    <w:rsid w:val="00E016E5"/>
    <w:rsid w:val="00E01E19"/>
    <w:rsid w:val="00E01E4C"/>
    <w:rsid w:val="00E01EFB"/>
    <w:rsid w:val="00E02059"/>
    <w:rsid w:val="00E02184"/>
    <w:rsid w:val="00E02AC1"/>
    <w:rsid w:val="00E02D41"/>
    <w:rsid w:val="00E03647"/>
    <w:rsid w:val="00E03857"/>
    <w:rsid w:val="00E038BE"/>
    <w:rsid w:val="00E03917"/>
    <w:rsid w:val="00E03F7B"/>
    <w:rsid w:val="00E03FB3"/>
    <w:rsid w:val="00E042AD"/>
    <w:rsid w:val="00E0478F"/>
    <w:rsid w:val="00E049E0"/>
    <w:rsid w:val="00E04AF6"/>
    <w:rsid w:val="00E04CF1"/>
    <w:rsid w:val="00E05088"/>
    <w:rsid w:val="00E0512F"/>
    <w:rsid w:val="00E053BF"/>
    <w:rsid w:val="00E05596"/>
    <w:rsid w:val="00E05652"/>
    <w:rsid w:val="00E05A7A"/>
    <w:rsid w:val="00E05B34"/>
    <w:rsid w:val="00E05E1E"/>
    <w:rsid w:val="00E0604D"/>
    <w:rsid w:val="00E0615B"/>
    <w:rsid w:val="00E062E2"/>
    <w:rsid w:val="00E062F3"/>
    <w:rsid w:val="00E06365"/>
    <w:rsid w:val="00E065D2"/>
    <w:rsid w:val="00E065DC"/>
    <w:rsid w:val="00E066C4"/>
    <w:rsid w:val="00E06B13"/>
    <w:rsid w:val="00E070A9"/>
    <w:rsid w:val="00E070CF"/>
    <w:rsid w:val="00E07A03"/>
    <w:rsid w:val="00E07A7A"/>
    <w:rsid w:val="00E07C88"/>
    <w:rsid w:val="00E07D19"/>
    <w:rsid w:val="00E07D5A"/>
    <w:rsid w:val="00E07DCF"/>
    <w:rsid w:val="00E07E36"/>
    <w:rsid w:val="00E07E83"/>
    <w:rsid w:val="00E1007E"/>
    <w:rsid w:val="00E10195"/>
    <w:rsid w:val="00E101C7"/>
    <w:rsid w:val="00E101EF"/>
    <w:rsid w:val="00E103DD"/>
    <w:rsid w:val="00E10C59"/>
    <w:rsid w:val="00E10F1F"/>
    <w:rsid w:val="00E11219"/>
    <w:rsid w:val="00E11286"/>
    <w:rsid w:val="00E114C2"/>
    <w:rsid w:val="00E114EE"/>
    <w:rsid w:val="00E11E73"/>
    <w:rsid w:val="00E120E8"/>
    <w:rsid w:val="00E1219E"/>
    <w:rsid w:val="00E121C7"/>
    <w:rsid w:val="00E121DE"/>
    <w:rsid w:val="00E12393"/>
    <w:rsid w:val="00E1280F"/>
    <w:rsid w:val="00E12943"/>
    <w:rsid w:val="00E12A27"/>
    <w:rsid w:val="00E12A8C"/>
    <w:rsid w:val="00E12C7B"/>
    <w:rsid w:val="00E12DE6"/>
    <w:rsid w:val="00E1307A"/>
    <w:rsid w:val="00E13162"/>
    <w:rsid w:val="00E13826"/>
    <w:rsid w:val="00E138EE"/>
    <w:rsid w:val="00E13B09"/>
    <w:rsid w:val="00E13E4A"/>
    <w:rsid w:val="00E13FBE"/>
    <w:rsid w:val="00E140C9"/>
    <w:rsid w:val="00E141F0"/>
    <w:rsid w:val="00E14202"/>
    <w:rsid w:val="00E14A02"/>
    <w:rsid w:val="00E14B97"/>
    <w:rsid w:val="00E14BBA"/>
    <w:rsid w:val="00E14BD6"/>
    <w:rsid w:val="00E153A5"/>
    <w:rsid w:val="00E15674"/>
    <w:rsid w:val="00E156DB"/>
    <w:rsid w:val="00E15AFE"/>
    <w:rsid w:val="00E15DA7"/>
    <w:rsid w:val="00E16080"/>
    <w:rsid w:val="00E16183"/>
    <w:rsid w:val="00E16195"/>
    <w:rsid w:val="00E16268"/>
    <w:rsid w:val="00E1638F"/>
    <w:rsid w:val="00E1640E"/>
    <w:rsid w:val="00E16822"/>
    <w:rsid w:val="00E16E74"/>
    <w:rsid w:val="00E16F2A"/>
    <w:rsid w:val="00E170F0"/>
    <w:rsid w:val="00E17332"/>
    <w:rsid w:val="00E1783B"/>
    <w:rsid w:val="00E17916"/>
    <w:rsid w:val="00E179FC"/>
    <w:rsid w:val="00E17B4F"/>
    <w:rsid w:val="00E17C64"/>
    <w:rsid w:val="00E17EB6"/>
    <w:rsid w:val="00E200CA"/>
    <w:rsid w:val="00E202E9"/>
    <w:rsid w:val="00E2038C"/>
    <w:rsid w:val="00E20509"/>
    <w:rsid w:val="00E20A81"/>
    <w:rsid w:val="00E20B8F"/>
    <w:rsid w:val="00E20D17"/>
    <w:rsid w:val="00E20DF0"/>
    <w:rsid w:val="00E2107C"/>
    <w:rsid w:val="00E21098"/>
    <w:rsid w:val="00E2110E"/>
    <w:rsid w:val="00E2118D"/>
    <w:rsid w:val="00E21F29"/>
    <w:rsid w:val="00E220A8"/>
    <w:rsid w:val="00E22253"/>
    <w:rsid w:val="00E22780"/>
    <w:rsid w:val="00E22C61"/>
    <w:rsid w:val="00E230F5"/>
    <w:rsid w:val="00E23108"/>
    <w:rsid w:val="00E232F7"/>
    <w:rsid w:val="00E2386F"/>
    <w:rsid w:val="00E2389A"/>
    <w:rsid w:val="00E23AAE"/>
    <w:rsid w:val="00E23EE4"/>
    <w:rsid w:val="00E23F50"/>
    <w:rsid w:val="00E2428B"/>
    <w:rsid w:val="00E24715"/>
    <w:rsid w:val="00E247F6"/>
    <w:rsid w:val="00E24891"/>
    <w:rsid w:val="00E24BF3"/>
    <w:rsid w:val="00E24DDD"/>
    <w:rsid w:val="00E24EF1"/>
    <w:rsid w:val="00E25034"/>
    <w:rsid w:val="00E25193"/>
    <w:rsid w:val="00E25386"/>
    <w:rsid w:val="00E253C7"/>
    <w:rsid w:val="00E25548"/>
    <w:rsid w:val="00E255ED"/>
    <w:rsid w:val="00E258B7"/>
    <w:rsid w:val="00E259D5"/>
    <w:rsid w:val="00E25A45"/>
    <w:rsid w:val="00E25B53"/>
    <w:rsid w:val="00E25B97"/>
    <w:rsid w:val="00E25FE2"/>
    <w:rsid w:val="00E263BC"/>
    <w:rsid w:val="00E266B8"/>
    <w:rsid w:val="00E2672E"/>
    <w:rsid w:val="00E26925"/>
    <w:rsid w:val="00E26ADC"/>
    <w:rsid w:val="00E26E74"/>
    <w:rsid w:val="00E26FAC"/>
    <w:rsid w:val="00E27037"/>
    <w:rsid w:val="00E27074"/>
    <w:rsid w:val="00E27347"/>
    <w:rsid w:val="00E27453"/>
    <w:rsid w:val="00E274E1"/>
    <w:rsid w:val="00E275CB"/>
    <w:rsid w:val="00E276CA"/>
    <w:rsid w:val="00E2786A"/>
    <w:rsid w:val="00E278C2"/>
    <w:rsid w:val="00E279A2"/>
    <w:rsid w:val="00E27AD5"/>
    <w:rsid w:val="00E27B0B"/>
    <w:rsid w:val="00E27BA1"/>
    <w:rsid w:val="00E27FF0"/>
    <w:rsid w:val="00E301CD"/>
    <w:rsid w:val="00E306AA"/>
    <w:rsid w:val="00E30960"/>
    <w:rsid w:val="00E30BA1"/>
    <w:rsid w:val="00E30BCF"/>
    <w:rsid w:val="00E30C78"/>
    <w:rsid w:val="00E311D5"/>
    <w:rsid w:val="00E31224"/>
    <w:rsid w:val="00E3123A"/>
    <w:rsid w:val="00E31599"/>
    <w:rsid w:val="00E315CF"/>
    <w:rsid w:val="00E317A4"/>
    <w:rsid w:val="00E31B26"/>
    <w:rsid w:val="00E31B33"/>
    <w:rsid w:val="00E31B7A"/>
    <w:rsid w:val="00E31F50"/>
    <w:rsid w:val="00E32318"/>
    <w:rsid w:val="00E3232D"/>
    <w:rsid w:val="00E32A99"/>
    <w:rsid w:val="00E32ABD"/>
    <w:rsid w:val="00E33295"/>
    <w:rsid w:val="00E333AE"/>
    <w:rsid w:val="00E336E3"/>
    <w:rsid w:val="00E33D33"/>
    <w:rsid w:val="00E340C2"/>
    <w:rsid w:val="00E34326"/>
    <w:rsid w:val="00E34814"/>
    <w:rsid w:val="00E3489A"/>
    <w:rsid w:val="00E34CFA"/>
    <w:rsid w:val="00E34D0B"/>
    <w:rsid w:val="00E34E00"/>
    <w:rsid w:val="00E35551"/>
    <w:rsid w:val="00E356DA"/>
    <w:rsid w:val="00E35CAF"/>
    <w:rsid w:val="00E35E49"/>
    <w:rsid w:val="00E35E4F"/>
    <w:rsid w:val="00E35E8C"/>
    <w:rsid w:val="00E36133"/>
    <w:rsid w:val="00E364CB"/>
    <w:rsid w:val="00E364E4"/>
    <w:rsid w:val="00E3661E"/>
    <w:rsid w:val="00E36639"/>
    <w:rsid w:val="00E36910"/>
    <w:rsid w:val="00E369A8"/>
    <w:rsid w:val="00E36BFF"/>
    <w:rsid w:val="00E36C28"/>
    <w:rsid w:val="00E36D98"/>
    <w:rsid w:val="00E36E0B"/>
    <w:rsid w:val="00E36E1A"/>
    <w:rsid w:val="00E37137"/>
    <w:rsid w:val="00E3732D"/>
    <w:rsid w:val="00E37662"/>
    <w:rsid w:val="00E3774F"/>
    <w:rsid w:val="00E377A7"/>
    <w:rsid w:val="00E37872"/>
    <w:rsid w:val="00E37C2C"/>
    <w:rsid w:val="00E37DDB"/>
    <w:rsid w:val="00E401D7"/>
    <w:rsid w:val="00E40400"/>
    <w:rsid w:val="00E408C5"/>
    <w:rsid w:val="00E409AA"/>
    <w:rsid w:val="00E40C35"/>
    <w:rsid w:val="00E411E8"/>
    <w:rsid w:val="00E41377"/>
    <w:rsid w:val="00E41398"/>
    <w:rsid w:val="00E416A2"/>
    <w:rsid w:val="00E416A6"/>
    <w:rsid w:val="00E41718"/>
    <w:rsid w:val="00E41AE6"/>
    <w:rsid w:val="00E41E6A"/>
    <w:rsid w:val="00E41FDE"/>
    <w:rsid w:val="00E42160"/>
    <w:rsid w:val="00E4235A"/>
    <w:rsid w:val="00E42705"/>
    <w:rsid w:val="00E42757"/>
    <w:rsid w:val="00E42841"/>
    <w:rsid w:val="00E42B70"/>
    <w:rsid w:val="00E42BBA"/>
    <w:rsid w:val="00E42C03"/>
    <w:rsid w:val="00E42C33"/>
    <w:rsid w:val="00E42D58"/>
    <w:rsid w:val="00E42F4B"/>
    <w:rsid w:val="00E42FAB"/>
    <w:rsid w:val="00E43131"/>
    <w:rsid w:val="00E43CE8"/>
    <w:rsid w:val="00E44548"/>
    <w:rsid w:val="00E44BB5"/>
    <w:rsid w:val="00E44C42"/>
    <w:rsid w:val="00E450BF"/>
    <w:rsid w:val="00E45142"/>
    <w:rsid w:val="00E453E2"/>
    <w:rsid w:val="00E454CF"/>
    <w:rsid w:val="00E45560"/>
    <w:rsid w:val="00E455EC"/>
    <w:rsid w:val="00E455F2"/>
    <w:rsid w:val="00E456F5"/>
    <w:rsid w:val="00E45739"/>
    <w:rsid w:val="00E458AB"/>
    <w:rsid w:val="00E459EA"/>
    <w:rsid w:val="00E45CC0"/>
    <w:rsid w:val="00E4620D"/>
    <w:rsid w:val="00E46A11"/>
    <w:rsid w:val="00E46A7F"/>
    <w:rsid w:val="00E46CF3"/>
    <w:rsid w:val="00E4730A"/>
    <w:rsid w:val="00E47514"/>
    <w:rsid w:val="00E4761F"/>
    <w:rsid w:val="00E4790F"/>
    <w:rsid w:val="00E47AD1"/>
    <w:rsid w:val="00E47C8A"/>
    <w:rsid w:val="00E47D21"/>
    <w:rsid w:val="00E50175"/>
    <w:rsid w:val="00E504A3"/>
    <w:rsid w:val="00E50778"/>
    <w:rsid w:val="00E508C1"/>
    <w:rsid w:val="00E50A41"/>
    <w:rsid w:val="00E50A7E"/>
    <w:rsid w:val="00E50B55"/>
    <w:rsid w:val="00E50F6F"/>
    <w:rsid w:val="00E510E8"/>
    <w:rsid w:val="00E51280"/>
    <w:rsid w:val="00E51377"/>
    <w:rsid w:val="00E5138F"/>
    <w:rsid w:val="00E518C3"/>
    <w:rsid w:val="00E51980"/>
    <w:rsid w:val="00E519AA"/>
    <w:rsid w:val="00E51C6A"/>
    <w:rsid w:val="00E51EBE"/>
    <w:rsid w:val="00E51F68"/>
    <w:rsid w:val="00E51FA2"/>
    <w:rsid w:val="00E5222F"/>
    <w:rsid w:val="00E524E0"/>
    <w:rsid w:val="00E52628"/>
    <w:rsid w:val="00E52B2D"/>
    <w:rsid w:val="00E52BB4"/>
    <w:rsid w:val="00E52C56"/>
    <w:rsid w:val="00E52D45"/>
    <w:rsid w:val="00E535D4"/>
    <w:rsid w:val="00E5361C"/>
    <w:rsid w:val="00E537A9"/>
    <w:rsid w:val="00E53CB5"/>
    <w:rsid w:val="00E53D04"/>
    <w:rsid w:val="00E53FFF"/>
    <w:rsid w:val="00E54214"/>
    <w:rsid w:val="00E54381"/>
    <w:rsid w:val="00E5438A"/>
    <w:rsid w:val="00E543D7"/>
    <w:rsid w:val="00E5441E"/>
    <w:rsid w:val="00E544BD"/>
    <w:rsid w:val="00E54797"/>
    <w:rsid w:val="00E547E2"/>
    <w:rsid w:val="00E5485D"/>
    <w:rsid w:val="00E54937"/>
    <w:rsid w:val="00E54AC2"/>
    <w:rsid w:val="00E54C57"/>
    <w:rsid w:val="00E54DD9"/>
    <w:rsid w:val="00E54EAA"/>
    <w:rsid w:val="00E54EDE"/>
    <w:rsid w:val="00E54F34"/>
    <w:rsid w:val="00E554D2"/>
    <w:rsid w:val="00E5577B"/>
    <w:rsid w:val="00E55859"/>
    <w:rsid w:val="00E558E9"/>
    <w:rsid w:val="00E55A5D"/>
    <w:rsid w:val="00E55A8B"/>
    <w:rsid w:val="00E55BFA"/>
    <w:rsid w:val="00E55F97"/>
    <w:rsid w:val="00E561FC"/>
    <w:rsid w:val="00E562EF"/>
    <w:rsid w:val="00E56509"/>
    <w:rsid w:val="00E56559"/>
    <w:rsid w:val="00E56592"/>
    <w:rsid w:val="00E5695A"/>
    <w:rsid w:val="00E56AF4"/>
    <w:rsid w:val="00E56CA1"/>
    <w:rsid w:val="00E57017"/>
    <w:rsid w:val="00E571D9"/>
    <w:rsid w:val="00E575BF"/>
    <w:rsid w:val="00E579AB"/>
    <w:rsid w:val="00E57AB6"/>
    <w:rsid w:val="00E57EE3"/>
    <w:rsid w:val="00E6020C"/>
    <w:rsid w:val="00E60427"/>
    <w:rsid w:val="00E60638"/>
    <w:rsid w:val="00E6089E"/>
    <w:rsid w:val="00E60AE1"/>
    <w:rsid w:val="00E60B34"/>
    <w:rsid w:val="00E60F7B"/>
    <w:rsid w:val="00E611CB"/>
    <w:rsid w:val="00E611F3"/>
    <w:rsid w:val="00E61251"/>
    <w:rsid w:val="00E615C1"/>
    <w:rsid w:val="00E61ED4"/>
    <w:rsid w:val="00E62056"/>
    <w:rsid w:val="00E62257"/>
    <w:rsid w:val="00E62576"/>
    <w:rsid w:val="00E6296E"/>
    <w:rsid w:val="00E629D8"/>
    <w:rsid w:val="00E62E23"/>
    <w:rsid w:val="00E62E4C"/>
    <w:rsid w:val="00E63054"/>
    <w:rsid w:val="00E630DF"/>
    <w:rsid w:val="00E632EA"/>
    <w:rsid w:val="00E63328"/>
    <w:rsid w:val="00E6358D"/>
    <w:rsid w:val="00E636BA"/>
    <w:rsid w:val="00E636BF"/>
    <w:rsid w:val="00E636CA"/>
    <w:rsid w:val="00E638D8"/>
    <w:rsid w:val="00E639BC"/>
    <w:rsid w:val="00E63B10"/>
    <w:rsid w:val="00E63DE1"/>
    <w:rsid w:val="00E640A1"/>
    <w:rsid w:val="00E64261"/>
    <w:rsid w:val="00E642D8"/>
    <w:rsid w:val="00E642EA"/>
    <w:rsid w:val="00E64305"/>
    <w:rsid w:val="00E6453D"/>
    <w:rsid w:val="00E65220"/>
    <w:rsid w:val="00E6523B"/>
    <w:rsid w:val="00E65478"/>
    <w:rsid w:val="00E654CA"/>
    <w:rsid w:val="00E656E8"/>
    <w:rsid w:val="00E658E2"/>
    <w:rsid w:val="00E65C1D"/>
    <w:rsid w:val="00E65FF4"/>
    <w:rsid w:val="00E66114"/>
    <w:rsid w:val="00E66374"/>
    <w:rsid w:val="00E6639F"/>
    <w:rsid w:val="00E6668F"/>
    <w:rsid w:val="00E66779"/>
    <w:rsid w:val="00E66829"/>
    <w:rsid w:val="00E6693E"/>
    <w:rsid w:val="00E66970"/>
    <w:rsid w:val="00E66FE2"/>
    <w:rsid w:val="00E67158"/>
    <w:rsid w:val="00E6740C"/>
    <w:rsid w:val="00E67607"/>
    <w:rsid w:val="00E677BE"/>
    <w:rsid w:val="00E67C92"/>
    <w:rsid w:val="00E67D26"/>
    <w:rsid w:val="00E70014"/>
    <w:rsid w:val="00E700E8"/>
    <w:rsid w:val="00E702D7"/>
    <w:rsid w:val="00E703DD"/>
    <w:rsid w:val="00E70597"/>
    <w:rsid w:val="00E709E5"/>
    <w:rsid w:val="00E70B27"/>
    <w:rsid w:val="00E70ECB"/>
    <w:rsid w:val="00E7124C"/>
    <w:rsid w:val="00E712CE"/>
    <w:rsid w:val="00E7187B"/>
    <w:rsid w:val="00E71AC8"/>
    <w:rsid w:val="00E71E6F"/>
    <w:rsid w:val="00E720C0"/>
    <w:rsid w:val="00E72136"/>
    <w:rsid w:val="00E723E8"/>
    <w:rsid w:val="00E7257D"/>
    <w:rsid w:val="00E7286F"/>
    <w:rsid w:val="00E728D3"/>
    <w:rsid w:val="00E729F4"/>
    <w:rsid w:val="00E72B2F"/>
    <w:rsid w:val="00E72B3A"/>
    <w:rsid w:val="00E72B94"/>
    <w:rsid w:val="00E72FBC"/>
    <w:rsid w:val="00E731D5"/>
    <w:rsid w:val="00E733FD"/>
    <w:rsid w:val="00E73524"/>
    <w:rsid w:val="00E736F4"/>
    <w:rsid w:val="00E73B8E"/>
    <w:rsid w:val="00E73BE3"/>
    <w:rsid w:val="00E73C65"/>
    <w:rsid w:val="00E73DD4"/>
    <w:rsid w:val="00E73E3F"/>
    <w:rsid w:val="00E73FC2"/>
    <w:rsid w:val="00E7419D"/>
    <w:rsid w:val="00E744A3"/>
    <w:rsid w:val="00E74573"/>
    <w:rsid w:val="00E746C3"/>
    <w:rsid w:val="00E746CD"/>
    <w:rsid w:val="00E7495C"/>
    <w:rsid w:val="00E74AD1"/>
    <w:rsid w:val="00E74D89"/>
    <w:rsid w:val="00E74E01"/>
    <w:rsid w:val="00E74E41"/>
    <w:rsid w:val="00E74F59"/>
    <w:rsid w:val="00E74FF4"/>
    <w:rsid w:val="00E75358"/>
    <w:rsid w:val="00E75437"/>
    <w:rsid w:val="00E7561A"/>
    <w:rsid w:val="00E75902"/>
    <w:rsid w:val="00E75B13"/>
    <w:rsid w:val="00E75C08"/>
    <w:rsid w:val="00E75D5F"/>
    <w:rsid w:val="00E75E31"/>
    <w:rsid w:val="00E75F90"/>
    <w:rsid w:val="00E76501"/>
    <w:rsid w:val="00E76762"/>
    <w:rsid w:val="00E76937"/>
    <w:rsid w:val="00E76B5F"/>
    <w:rsid w:val="00E76D1C"/>
    <w:rsid w:val="00E76E17"/>
    <w:rsid w:val="00E76E89"/>
    <w:rsid w:val="00E76EAD"/>
    <w:rsid w:val="00E76FE8"/>
    <w:rsid w:val="00E76FFD"/>
    <w:rsid w:val="00E770A6"/>
    <w:rsid w:val="00E771C5"/>
    <w:rsid w:val="00E7741D"/>
    <w:rsid w:val="00E77442"/>
    <w:rsid w:val="00E7790D"/>
    <w:rsid w:val="00E77AF9"/>
    <w:rsid w:val="00E77C66"/>
    <w:rsid w:val="00E77EFE"/>
    <w:rsid w:val="00E80079"/>
    <w:rsid w:val="00E803FE"/>
    <w:rsid w:val="00E8083E"/>
    <w:rsid w:val="00E80998"/>
    <w:rsid w:val="00E809CB"/>
    <w:rsid w:val="00E809D3"/>
    <w:rsid w:val="00E80AD2"/>
    <w:rsid w:val="00E80B26"/>
    <w:rsid w:val="00E80C1E"/>
    <w:rsid w:val="00E810BE"/>
    <w:rsid w:val="00E81251"/>
    <w:rsid w:val="00E81287"/>
    <w:rsid w:val="00E812E7"/>
    <w:rsid w:val="00E81590"/>
    <w:rsid w:val="00E815DA"/>
    <w:rsid w:val="00E817F7"/>
    <w:rsid w:val="00E818EB"/>
    <w:rsid w:val="00E819D1"/>
    <w:rsid w:val="00E81BD9"/>
    <w:rsid w:val="00E81D20"/>
    <w:rsid w:val="00E81F17"/>
    <w:rsid w:val="00E81F3F"/>
    <w:rsid w:val="00E82118"/>
    <w:rsid w:val="00E822CF"/>
    <w:rsid w:val="00E8247F"/>
    <w:rsid w:val="00E82CAF"/>
    <w:rsid w:val="00E82D03"/>
    <w:rsid w:val="00E82D66"/>
    <w:rsid w:val="00E82D77"/>
    <w:rsid w:val="00E82EF6"/>
    <w:rsid w:val="00E8327D"/>
    <w:rsid w:val="00E83916"/>
    <w:rsid w:val="00E83920"/>
    <w:rsid w:val="00E83956"/>
    <w:rsid w:val="00E839D8"/>
    <w:rsid w:val="00E83CA3"/>
    <w:rsid w:val="00E83D0B"/>
    <w:rsid w:val="00E83E8E"/>
    <w:rsid w:val="00E84292"/>
    <w:rsid w:val="00E84414"/>
    <w:rsid w:val="00E8453B"/>
    <w:rsid w:val="00E8476D"/>
    <w:rsid w:val="00E849F9"/>
    <w:rsid w:val="00E849FD"/>
    <w:rsid w:val="00E84BA1"/>
    <w:rsid w:val="00E8505D"/>
    <w:rsid w:val="00E85084"/>
    <w:rsid w:val="00E85108"/>
    <w:rsid w:val="00E8521F"/>
    <w:rsid w:val="00E8541D"/>
    <w:rsid w:val="00E8545F"/>
    <w:rsid w:val="00E855A9"/>
    <w:rsid w:val="00E8569B"/>
    <w:rsid w:val="00E8593A"/>
    <w:rsid w:val="00E85A99"/>
    <w:rsid w:val="00E85C1B"/>
    <w:rsid w:val="00E86267"/>
    <w:rsid w:val="00E86480"/>
    <w:rsid w:val="00E86566"/>
    <w:rsid w:val="00E866ED"/>
    <w:rsid w:val="00E867CC"/>
    <w:rsid w:val="00E86D40"/>
    <w:rsid w:val="00E86D8E"/>
    <w:rsid w:val="00E870BD"/>
    <w:rsid w:val="00E87137"/>
    <w:rsid w:val="00E87195"/>
    <w:rsid w:val="00E872CA"/>
    <w:rsid w:val="00E872CD"/>
    <w:rsid w:val="00E872DB"/>
    <w:rsid w:val="00E8752F"/>
    <w:rsid w:val="00E8762E"/>
    <w:rsid w:val="00E87633"/>
    <w:rsid w:val="00E8783D"/>
    <w:rsid w:val="00E87856"/>
    <w:rsid w:val="00E87A71"/>
    <w:rsid w:val="00E87BE7"/>
    <w:rsid w:val="00E9007E"/>
    <w:rsid w:val="00E903B1"/>
    <w:rsid w:val="00E905EA"/>
    <w:rsid w:val="00E906C0"/>
    <w:rsid w:val="00E90F33"/>
    <w:rsid w:val="00E9123A"/>
    <w:rsid w:val="00E9142C"/>
    <w:rsid w:val="00E91509"/>
    <w:rsid w:val="00E917F0"/>
    <w:rsid w:val="00E91A60"/>
    <w:rsid w:val="00E91B1E"/>
    <w:rsid w:val="00E91C93"/>
    <w:rsid w:val="00E92274"/>
    <w:rsid w:val="00E927B6"/>
    <w:rsid w:val="00E92822"/>
    <w:rsid w:val="00E92958"/>
    <w:rsid w:val="00E92C8F"/>
    <w:rsid w:val="00E93158"/>
    <w:rsid w:val="00E932B4"/>
    <w:rsid w:val="00E932B7"/>
    <w:rsid w:val="00E935FD"/>
    <w:rsid w:val="00E939FC"/>
    <w:rsid w:val="00E93C00"/>
    <w:rsid w:val="00E93C17"/>
    <w:rsid w:val="00E93C6A"/>
    <w:rsid w:val="00E9407D"/>
    <w:rsid w:val="00E940BC"/>
    <w:rsid w:val="00E94202"/>
    <w:rsid w:val="00E9444F"/>
    <w:rsid w:val="00E944E3"/>
    <w:rsid w:val="00E945F3"/>
    <w:rsid w:val="00E94747"/>
    <w:rsid w:val="00E94CBE"/>
    <w:rsid w:val="00E95076"/>
    <w:rsid w:val="00E95264"/>
    <w:rsid w:val="00E954A0"/>
    <w:rsid w:val="00E954B6"/>
    <w:rsid w:val="00E9575E"/>
    <w:rsid w:val="00E95D4A"/>
    <w:rsid w:val="00E95FA4"/>
    <w:rsid w:val="00E95FCF"/>
    <w:rsid w:val="00E960F4"/>
    <w:rsid w:val="00E96374"/>
    <w:rsid w:val="00E9638D"/>
    <w:rsid w:val="00E96660"/>
    <w:rsid w:val="00E969FA"/>
    <w:rsid w:val="00E96C7A"/>
    <w:rsid w:val="00E96DAB"/>
    <w:rsid w:val="00E96E7B"/>
    <w:rsid w:val="00E96F75"/>
    <w:rsid w:val="00E971B8"/>
    <w:rsid w:val="00E971D6"/>
    <w:rsid w:val="00E975B8"/>
    <w:rsid w:val="00E97613"/>
    <w:rsid w:val="00E97784"/>
    <w:rsid w:val="00E97803"/>
    <w:rsid w:val="00E97831"/>
    <w:rsid w:val="00E97E83"/>
    <w:rsid w:val="00E97F58"/>
    <w:rsid w:val="00E97F5A"/>
    <w:rsid w:val="00EA028C"/>
    <w:rsid w:val="00EA0345"/>
    <w:rsid w:val="00EA05FB"/>
    <w:rsid w:val="00EA06B9"/>
    <w:rsid w:val="00EA0723"/>
    <w:rsid w:val="00EA074A"/>
    <w:rsid w:val="00EA0BF7"/>
    <w:rsid w:val="00EA0D61"/>
    <w:rsid w:val="00EA124A"/>
    <w:rsid w:val="00EA14C5"/>
    <w:rsid w:val="00EA15BD"/>
    <w:rsid w:val="00EA1624"/>
    <w:rsid w:val="00EA1A9D"/>
    <w:rsid w:val="00EA1DCC"/>
    <w:rsid w:val="00EA1E58"/>
    <w:rsid w:val="00EA1E61"/>
    <w:rsid w:val="00EA238C"/>
    <w:rsid w:val="00EA238E"/>
    <w:rsid w:val="00EA26EC"/>
    <w:rsid w:val="00EA2A1D"/>
    <w:rsid w:val="00EA2B19"/>
    <w:rsid w:val="00EA3229"/>
    <w:rsid w:val="00EA326C"/>
    <w:rsid w:val="00EA33F9"/>
    <w:rsid w:val="00EA37D5"/>
    <w:rsid w:val="00EA3CF8"/>
    <w:rsid w:val="00EA4076"/>
    <w:rsid w:val="00EA4124"/>
    <w:rsid w:val="00EA41E7"/>
    <w:rsid w:val="00EA430B"/>
    <w:rsid w:val="00EA4736"/>
    <w:rsid w:val="00EA4778"/>
    <w:rsid w:val="00EA4CB7"/>
    <w:rsid w:val="00EA4F96"/>
    <w:rsid w:val="00EA50A8"/>
    <w:rsid w:val="00EA530E"/>
    <w:rsid w:val="00EA5332"/>
    <w:rsid w:val="00EA5A34"/>
    <w:rsid w:val="00EA5B91"/>
    <w:rsid w:val="00EA5CAA"/>
    <w:rsid w:val="00EA5E3F"/>
    <w:rsid w:val="00EA6002"/>
    <w:rsid w:val="00EA6552"/>
    <w:rsid w:val="00EA669E"/>
    <w:rsid w:val="00EA6918"/>
    <w:rsid w:val="00EA69D2"/>
    <w:rsid w:val="00EA6AE0"/>
    <w:rsid w:val="00EA6B84"/>
    <w:rsid w:val="00EA6CAB"/>
    <w:rsid w:val="00EA6D8E"/>
    <w:rsid w:val="00EA7189"/>
    <w:rsid w:val="00EA7339"/>
    <w:rsid w:val="00EA7372"/>
    <w:rsid w:val="00EA74CC"/>
    <w:rsid w:val="00EA758C"/>
    <w:rsid w:val="00EA7979"/>
    <w:rsid w:val="00EA7A81"/>
    <w:rsid w:val="00EB007E"/>
    <w:rsid w:val="00EB0220"/>
    <w:rsid w:val="00EB044E"/>
    <w:rsid w:val="00EB05CC"/>
    <w:rsid w:val="00EB0842"/>
    <w:rsid w:val="00EB08A4"/>
    <w:rsid w:val="00EB0C29"/>
    <w:rsid w:val="00EB1203"/>
    <w:rsid w:val="00EB138F"/>
    <w:rsid w:val="00EB18FD"/>
    <w:rsid w:val="00EB19F8"/>
    <w:rsid w:val="00EB1A95"/>
    <w:rsid w:val="00EB1FD6"/>
    <w:rsid w:val="00EB2016"/>
    <w:rsid w:val="00EB214D"/>
    <w:rsid w:val="00EB248A"/>
    <w:rsid w:val="00EB27E5"/>
    <w:rsid w:val="00EB2B39"/>
    <w:rsid w:val="00EB2D5A"/>
    <w:rsid w:val="00EB3088"/>
    <w:rsid w:val="00EB329F"/>
    <w:rsid w:val="00EB32B6"/>
    <w:rsid w:val="00EB33F5"/>
    <w:rsid w:val="00EB36CE"/>
    <w:rsid w:val="00EB3BE2"/>
    <w:rsid w:val="00EB3E0A"/>
    <w:rsid w:val="00EB4585"/>
    <w:rsid w:val="00EB45E2"/>
    <w:rsid w:val="00EB497F"/>
    <w:rsid w:val="00EB5181"/>
    <w:rsid w:val="00EB51BE"/>
    <w:rsid w:val="00EB5264"/>
    <w:rsid w:val="00EB52CD"/>
    <w:rsid w:val="00EB554E"/>
    <w:rsid w:val="00EB599A"/>
    <w:rsid w:val="00EB5A87"/>
    <w:rsid w:val="00EB5CB5"/>
    <w:rsid w:val="00EB5CF3"/>
    <w:rsid w:val="00EB5E5D"/>
    <w:rsid w:val="00EB6213"/>
    <w:rsid w:val="00EB6235"/>
    <w:rsid w:val="00EB65B6"/>
    <w:rsid w:val="00EB6636"/>
    <w:rsid w:val="00EB6B64"/>
    <w:rsid w:val="00EB6B71"/>
    <w:rsid w:val="00EB6C77"/>
    <w:rsid w:val="00EB7184"/>
    <w:rsid w:val="00EB722E"/>
    <w:rsid w:val="00EB788E"/>
    <w:rsid w:val="00EB7930"/>
    <w:rsid w:val="00EB7A03"/>
    <w:rsid w:val="00EB7E7E"/>
    <w:rsid w:val="00EC0568"/>
    <w:rsid w:val="00EC06FF"/>
    <w:rsid w:val="00EC096A"/>
    <w:rsid w:val="00EC0AE6"/>
    <w:rsid w:val="00EC0D1E"/>
    <w:rsid w:val="00EC0DFB"/>
    <w:rsid w:val="00EC0EF8"/>
    <w:rsid w:val="00EC1152"/>
    <w:rsid w:val="00EC13DC"/>
    <w:rsid w:val="00EC15D1"/>
    <w:rsid w:val="00EC15E1"/>
    <w:rsid w:val="00EC16E4"/>
    <w:rsid w:val="00EC17D5"/>
    <w:rsid w:val="00EC19D4"/>
    <w:rsid w:val="00EC19F8"/>
    <w:rsid w:val="00EC1AE1"/>
    <w:rsid w:val="00EC1AFC"/>
    <w:rsid w:val="00EC1C74"/>
    <w:rsid w:val="00EC1FCF"/>
    <w:rsid w:val="00EC24A2"/>
    <w:rsid w:val="00EC2648"/>
    <w:rsid w:val="00EC2A5B"/>
    <w:rsid w:val="00EC2B90"/>
    <w:rsid w:val="00EC2C34"/>
    <w:rsid w:val="00EC2D34"/>
    <w:rsid w:val="00EC2EEE"/>
    <w:rsid w:val="00EC320A"/>
    <w:rsid w:val="00EC377B"/>
    <w:rsid w:val="00EC3950"/>
    <w:rsid w:val="00EC39BD"/>
    <w:rsid w:val="00EC3A1C"/>
    <w:rsid w:val="00EC3AFD"/>
    <w:rsid w:val="00EC3B08"/>
    <w:rsid w:val="00EC408D"/>
    <w:rsid w:val="00EC40AB"/>
    <w:rsid w:val="00EC43E9"/>
    <w:rsid w:val="00EC443A"/>
    <w:rsid w:val="00EC461A"/>
    <w:rsid w:val="00EC4628"/>
    <w:rsid w:val="00EC495D"/>
    <w:rsid w:val="00EC4AAF"/>
    <w:rsid w:val="00EC4C3F"/>
    <w:rsid w:val="00EC4E5E"/>
    <w:rsid w:val="00EC507B"/>
    <w:rsid w:val="00EC527D"/>
    <w:rsid w:val="00EC529A"/>
    <w:rsid w:val="00EC5327"/>
    <w:rsid w:val="00EC5330"/>
    <w:rsid w:val="00EC5492"/>
    <w:rsid w:val="00EC55FD"/>
    <w:rsid w:val="00EC5921"/>
    <w:rsid w:val="00EC5CA4"/>
    <w:rsid w:val="00EC5D73"/>
    <w:rsid w:val="00EC5F08"/>
    <w:rsid w:val="00EC5FA6"/>
    <w:rsid w:val="00EC615E"/>
    <w:rsid w:val="00EC6294"/>
    <w:rsid w:val="00EC6589"/>
    <w:rsid w:val="00EC6711"/>
    <w:rsid w:val="00EC6839"/>
    <w:rsid w:val="00EC68E6"/>
    <w:rsid w:val="00EC6907"/>
    <w:rsid w:val="00EC704B"/>
    <w:rsid w:val="00EC7A6A"/>
    <w:rsid w:val="00EC7B6F"/>
    <w:rsid w:val="00EC7CAC"/>
    <w:rsid w:val="00EC7D16"/>
    <w:rsid w:val="00EC7D51"/>
    <w:rsid w:val="00EC7EC6"/>
    <w:rsid w:val="00ED0311"/>
    <w:rsid w:val="00ED0933"/>
    <w:rsid w:val="00ED0AE0"/>
    <w:rsid w:val="00ED0B3A"/>
    <w:rsid w:val="00ED0D36"/>
    <w:rsid w:val="00ED0D9E"/>
    <w:rsid w:val="00ED1488"/>
    <w:rsid w:val="00ED150D"/>
    <w:rsid w:val="00ED15DD"/>
    <w:rsid w:val="00ED1ACC"/>
    <w:rsid w:val="00ED1B5D"/>
    <w:rsid w:val="00ED1DE7"/>
    <w:rsid w:val="00ED22F8"/>
    <w:rsid w:val="00ED25EE"/>
    <w:rsid w:val="00ED26E2"/>
    <w:rsid w:val="00ED2A9A"/>
    <w:rsid w:val="00ED2B2F"/>
    <w:rsid w:val="00ED2B92"/>
    <w:rsid w:val="00ED2CCF"/>
    <w:rsid w:val="00ED2CD0"/>
    <w:rsid w:val="00ED2DC0"/>
    <w:rsid w:val="00ED2FAE"/>
    <w:rsid w:val="00ED2FEF"/>
    <w:rsid w:val="00ED31AC"/>
    <w:rsid w:val="00ED323E"/>
    <w:rsid w:val="00ED3CFC"/>
    <w:rsid w:val="00ED3EEF"/>
    <w:rsid w:val="00ED4022"/>
    <w:rsid w:val="00ED41EE"/>
    <w:rsid w:val="00ED437A"/>
    <w:rsid w:val="00ED438E"/>
    <w:rsid w:val="00ED4A56"/>
    <w:rsid w:val="00ED4BED"/>
    <w:rsid w:val="00ED4CDF"/>
    <w:rsid w:val="00ED4D4A"/>
    <w:rsid w:val="00ED54F3"/>
    <w:rsid w:val="00ED5510"/>
    <w:rsid w:val="00ED5528"/>
    <w:rsid w:val="00ED562C"/>
    <w:rsid w:val="00ED562F"/>
    <w:rsid w:val="00ED5700"/>
    <w:rsid w:val="00ED58BA"/>
    <w:rsid w:val="00ED5A15"/>
    <w:rsid w:val="00ED5B9D"/>
    <w:rsid w:val="00ED5D52"/>
    <w:rsid w:val="00ED5E1A"/>
    <w:rsid w:val="00ED5E49"/>
    <w:rsid w:val="00ED5F29"/>
    <w:rsid w:val="00ED5F5A"/>
    <w:rsid w:val="00ED5F9E"/>
    <w:rsid w:val="00ED5FE0"/>
    <w:rsid w:val="00ED603E"/>
    <w:rsid w:val="00ED60CC"/>
    <w:rsid w:val="00ED6198"/>
    <w:rsid w:val="00ED61EA"/>
    <w:rsid w:val="00ED641A"/>
    <w:rsid w:val="00ED65D9"/>
    <w:rsid w:val="00ED6996"/>
    <w:rsid w:val="00ED6EC7"/>
    <w:rsid w:val="00ED71AF"/>
    <w:rsid w:val="00ED7424"/>
    <w:rsid w:val="00ED77BE"/>
    <w:rsid w:val="00ED7CE3"/>
    <w:rsid w:val="00ED7D07"/>
    <w:rsid w:val="00ED7EB1"/>
    <w:rsid w:val="00EE0289"/>
    <w:rsid w:val="00EE0504"/>
    <w:rsid w:val="00EE0CED"/>
    <w:rsid w:val="00EE126D"/>
    <w:rsid w:val="00EE17CD"/>
    <w:rsid w:val="00EE1A9F"/>
    <w:rsid w:val="00EE1F69"/>
    <w:rsid w:val="00EE20D1"/>
    <w:rsid w:val="00EE23C0"/>
    <w:rsid w:val="00EE241A"/>
    <w:rsid w:val="00EE244B"/>
    <w:rsid w:val="00EE2500"/>
    <w:rsid w:val="00EE260D"/>
    <w:rsid w:val="00EE26E8"/>
    <w:rsid w:val="00EE2A7F"/>
    <w:rsid w:val="00EE2C88"/>
    <w:rsid w:val="00EE2DE5"/>
    <w:rsid w:val="00EE34C4"/>
    <w:rsid w:val="00EE3507"/>
    <w:rsid w:val="00EE368F"/>
    <w:rsid w:val="00EE37DC"/>
    <w:rsid w:val="00EE3D04"/>
    <w:rsid w:val="00EE3E03"/>
    <w:rsid w:val="00EE4884"/>
    <w:rsid w:val="00EE4B42"/>
    <w:rsid w:val="00EE4CF3"/>
    <w:rsid w:val="00EE4ECD"/>
    <w:rsid w:val="00EE501E"/>
    <w:rsid w:val="00EE52CB"/>
    <w:rsid w:val="00EE5492"/>
    <w:rsid w:val="00EE55A2"/>
    <w:rsid w:val="00EE561D"/>
    <w:rsid w:val="00EE593D"/>
    <w:rsid w:val="00EE5A63"/>
    <w:rsid w:val="00EE5D94"/>
    <w:rsid w:val="00EE61AC"/>
    <w:rsid w:val="00EE6227"/>
    <w:rsid w:val="00EE662C"/>
    <w:rsid w:val="00EE69BA"/>
    <w:rsid w:val="00EE6B3E"/>
    <w:rsid w:val="00EE6B6E"/>
    <w:rsid w:val="00EE6BD9"/>
    <w:rsid w:val="00EE6DCD"/>
    <w:rsid w:val="00EE71C4"/>
    <w:rsid w:val="00EE73EA"/>
    <w:rsid w:val="00EE7443"/>
    <w:rsid w:val="00EE76B9"/>
    <w:rsid w:val="00EE77D9"/>
    <w:rsid w:val="00EE78A7"/>
    <w:rsid w:val="00EE7F97"/>
    <w:rsid w:val="00EF0118"/>
    <w:rsid w:val="00EF0271"/>
    <w:rsid w:val="00EF04DE"/>
    <w:rsid w:val="00EF0577"/>
    <w:rsid w:val="00EF0633"/>
    <w:rsid w:val="00EF0705"/>
    <w:rsid w:val="00EF08E9"/>
    <w:rsid w:val="00EF0BBF"/>
    <w:rsid w:val="00EF0DA8"/>
    <w:rsid w:val="00EF0FA3"/>
    <w:rsid w:val="00EF10CD"/>
    <w:rsid w:val="00EF133A"/>
    <w:rsid w:val="00EF192B"/>
    <w:rsid w:val="00EF1AE3"/>
    <w:rsid w:val="00EF1B76"/>
    <w:rsid w:val="00EF1DCB"/>
    <w:rsid w:val="00EF1EE7"/>
    <w:rsid w:val="00EF2546"/>
    <w:rsid w:val="00EF2588"/>
    <w:rsid w:val="00EF259A"/>
    <w:rsid w:val="00EF25D9"/>
    <w:rsid w:val="00EF29CD"/>
    <w:rsid w:val="00EF2AE2"/>
    <w:rsid w:val="00EF2B46"/>
    <w:rsid w:val="00EF2FA0"/>
    <w:rsid w:val="00EF30BB"/>
    <w:rsid w:val="00EF3385"/>
    <w:rsid w:val="00EF3464"/>
    <w:rsid w:val="00EF34C2"/>
    <w:rsid w:val="00EF356F"/>
    <w:rsid w:val="00EF35AB"/>
    <w:rsid w:val="00EF3750"/>
    <w:rsid w:val="00EF375B"/>
    <w:rsid w:val="00EF377A"/>
    <w:rsid w:val="00EF3BE5"/>
    <w:rsid w:val="00EF3C6A"/>
    <w:rsid w:val="00EF3D09"/>
    <w:rsid w:val="00EF3E72"/>
    <w:rsid w:val="00EF3F52"/>
    <w:rsid w:val="00EF42EC"/>
    <w:rsid w:val="00EF456E"/>
    <w:rsid w:val="00EF4AA8"/>
    <w:rsid w:val="00EF4D28"/>
    <w:rsid w:val="00EF4F1A"/>
    <w:rsid w:val="00EF5112"/>
    <w:rsid w:val="00EF53C1"/>
    <w:rsid w:val="00EF5807"/>
    <w:rsid w:val="00EF58E2"/>
    <w:rsid w:val="00EF5CCA"/>
    <w:rsid w:val="00EF5DD4"/>
    <w:rsid w:val="00EF5E15"/>
    <w:rsid w:val="00EF64CC"/>
    <w:rsid w:val="00EF6554"/>
    <w:rsid w:val="00EF6600"/>
    <w:rsid w:val="00EF68C9"/>
    <w:rsid w:val="00EF6AF3"/>
    <w:rsid w:val="00EF7072"/>
    <w:rsid w:val="00EF719B"/>
    <w:rsid w:val="00EF71BF"/>
    <w:rsid w:val="00EF72F4"/>
    <w:rsid w:val="00EF7379"/>
    <w:rsid w:val="00EF759F"/>
    <w:rsid w:val="00EF7619"/>
    <w:rsid w:val="00EF7A63"/>
    <w:rsid w:val="00EF7D83"/>
    <w:rsid w:val="00EF7EC9"/>
    <w:rsid w:val="00EF7F46"/>
    <w:rsid w:val="00EF7F7F"/>
    <w:rsid w:val="00F0018A"/>
    <w:rsid w:val="00F00600"/>
    <w:rsid w:val="00F00669"/>
    <w:rsid w:val="00F006DB"/>
    <w:rsid w:val="00F00A57"/>
    <w:rsid w:val="00F00B64"/>
    <w:rsid w:val="00F00C32"/>
    <w:rsid w:val="00F00D04"/>
    <w:rsid w:val="00F01172"/>
    <w:rsid w:val="00F01484"/>
    <w:rsid w:val="00F01950"/>
    <w:rsid w:val="00F01BDB"/>
    <w:rsid w:val="00F02299"/>
    <w:rsid w:val="00F02850"/>
    <w:rsid w:val="00F02B2E"/>
    <w:rsid w:val="00F02C60"/>
    <w:rsid w:val="00F02EC7"/>
    <w:rsid w:val="00F02FF1"/>
    <w:rsid w:val="00F030D4"/>
    <w:rsid w:val="00F030F8"/>
    <w:rsid w:val="00F0372C"/>
    <w:rsid w:val="00F03D49"/>
    <w:rsid w:val="00F03D55"/>
    <w:rsid w:val="00F0412A"/>
    <w:rsid w:val="00F041C1"/>
    <w:rsid w:val="00F041E2"/>
    <w:rsid w:val="00F04392"/>
    <w:rsid w:val="00F04439"/>
    <w:rsid w:val="00F04851"/>
    <w:rsid w:val="00F04873"/>
    <w:rsid w:val="00F04AF0"/>
    <w:rsid w:val="00F04B78"/>
    <w:rsid w:val="00F04D5D"/>
    <w:rsid w:val="00F04DAD"/>
    <w:rsid w:val="00F04E57"/>
    <w:rsid w:val="00F04EA2"/>
    <w:rsid w:val="00F050E8"/>
    <w:rsid w:val="00F0547C"/>
    <w:rsid w:val="00F0549B"/>
    <w:rsid w:val="00F05580"/>
    <w:rsid w:val="00F05C76"/>
    <w:rsid w:val="00F05E7E"/>
    <w:rsid w:val="00F06010"/>
    <w:rsid w:val="00F061E5"/>
    <w:rsid w:val="00F064F2"/>
    <w:rsid w:val="00F066D5"/>
    <w:rsid w:val="00F068BC"/>
    <w:rsid w:val="00F06BA6"/>
    <w:rsid w:val="00F06CB6"/>
    <w:rsid w:val="00F06D69"/>
    <w:rsid w:val="00F06E35"/>
    <w:rsid w:val="00F06ED9"/>
    <w:rsid w:val="00F07279"/>
    <w:rsid w:val="00F0733D"/>
    <w:rsid w:val="00F0765E"/>
    <w:rsid w:val="00F078AA"/>
    <w:rsid w:val="00F07C5D"/>
    <w:rsid w:val="00F07F9E"/>
    <w:rsid w:val="00F100B3"/>
    <w:rsid w:val="00F1037C"/>
    <w:rsid w:val="00F103C1"/>
    <w:rsid w:val="00F10667"/>
    <w:rsid w:val="00F1080F"/>
    <w:rsid w:val="00F10D50"/>
    <w:rsid w:val="00F11128"/>
    <w:rsid w:val="00F111D4"/>
    <w:rsid w:val="00F118C1"/>
    <w:rsid w:val="00F11AB9"/>
    <w:rsid w:val="00F11B03"/>
    <w:rsid w:val="00F1258B"/>
    <w:rsid w:val="00F128AA"/>
    <w:rsid w:val="00F12A01"/>
    <w:rsid w:val="00F12B23"/>
    <w:rsid w:val="00F12D3F"/>
    <w:rsid w:val="00F137F7"/>
    <w:rsid w:val="00F140B5"/>
    <w:rsid w:val="00F14216"/>
    <w:rsid w:val="00F143A8"/>
    <w:rsid w:val="00F14743"/>
    <w:rsid w:val="00F14923"/>
    <w:rsid w:val="00F14D0C"/>
    <w:rsid w:val="00F14F92"/>
    <w:rsid w:val="00F151DE"/>
    <w:rsid w:val="00F1559F"/>
    <w:rsid w:val="00F15894"/>
    <w:rsid w:val="00F15D37"/>
    <w:rsid w:val="00F15E59"/>
    <w:rsid w:val="00F15FAA"/>
    <w:rsid w:val="00F162DD"/>
    <w:rsid w:val="00F168D4"/>
    <w:rsid w:val="00F16932"/>
    <w:rsid w:val="00F16ADA"/>
    <w:rsid w:val="00F16DB0"/>
    <w:rsid w:val="00F16E8B"/>
    <w:rsid w:val="00F17009"/>
    <w:rsid w:val="00F1707B"/>
    <w:rsid w:val="00F17898"/>
    <w:rsid w:val="00F17991"/>
    <w:rsid w:val="00F17AA7"/>
    <w:rsid w:val="00F17B25"/>
    <w:rsid w:val="00F17E52"/>
    <w:rsid w:val="00F17F55"/>
    <w:rsid w:val="00F17F87"/>
    <w:rsid w:val="00F20279"/>
    <w:rsid w:val="00F2045C"/>
    <w:rsid w:val="00F205F4"/>
    <w:rsid w:val="00F207E2"/>
    <w:rsid w:val="00F20CA4"/>
    <w:rsid w:val="00F20FFB"/>
    <w:rsid w:val="00F21109"/>
    <w:rsid w:val="00F211B0"/>
    <w:rsid w:val="00F21354"/>
    <w:rsid w:val="00F2199B"/>
    <w:rsid w:val="00F21CD8"/>
    <w:rsid w:val="00F21DFB"/>
    <w:rsid w:val="00F22072"/>
    <w:rsid w:val="00F222A7"/>
    <w:rsid w:val="00F223E1"/>
    <w:rsid w:val="00F226BB"/>
    <w:rsid w:val="00F22A87"/>
    <w:rsid w:val="00F22A93"/>
    <w:rsid w:val="00F22B28"/>
    <w:rsid w:val="00F22EDE"/>
    <w:rsid w:val="00F2327C"/>
    <w:rsid w:val="00F23346"/>
    <w:rsid w:val="00F233B3"/>
    <w:rsid w:val="00F233B6"/>
    <w:rsid w:val="00F23415"/>
    <w:rsid w:val="00F2395B"/>
    <w:rsid w:val="00F23B1D"/>
    <w:rsid w:val="00F23F6C"/>
    <w:rsid w:val="00F240D7"/>
    <w:rsid w:val="00F2426B"/>
    <w:rsid w:val="00F24395"/>
    <w:rsid w:val="00F243B9"/>
    <w:rsid w:val="00F243BE"/>
    <w:rsid w:val="00F24710"/>
    <w:rsid w:val="00F248F9"/>
    <w:rsid w:val="00F24943"/>
    <w:rsid w:val="00F24991"/>
    <w:rsid w:val="00F24B68"/>
    <w:rsid w:val="00F24C69"/>
    <w:rsid w:val="00F24C6B"/>
    <w:rsid w:val="00F24D86"/>
    <w:rsid w:val="00F24F8D"/>
    <w:rsid w:val="00F258FF"/>
    <w:rsid w:val="00F25BBA"/>
    <w:rsid w:val="00F25E37"/>
    <w:rsid w:val="00F2614B"/>
    <w:rsid w:val="00F26202"/>
    <w:rsid w:val="00F265AC"/>
    <w:rsid w:val="00F26821"/>
    <w:rsid w:val="00F26852"/>
    <w:rsid w:val="00F269E6"/>
    <w:rsid w:val="00F26BDE"/>
    <w:rsid w:val="00F26DA5"/>
    <w:rsid w:val="00F2700D"/>
    <w:rsid w:val="00F277A7"/>
    <w:rsid w:val="00F27B24"/>
    <w:rsid w:val="00F27BB2"/>
    <w:rsid w:val="00F27CF1"/>
    <w:rsid w:val="00F27D80"/>
    <w:rsid w:val="00F27DB1"/>
    <w:rsid w:val="00F3032E"/>
    <w:rsid w:val="00F30391"/>
    <w:rsid w:val="00F307BC"/>
    <w:rsid w:val="00F30CE7"/>
    <w:rsid w:val="00F30D28"/>
    <w:rsid w:val="00F312DF"/>
    <w:rsid w:val="00F31303"/>
    <w:rsid w:val="00F316C8"/>
    <w:rsid w:val="00F31A72"/>
    <w:rsid w:val="00F31A97"/>
    <w:rsid w:val="00F31F6C"/>
    <w:rsid w:val="00F31FB8"/>
    <w:rsid w:val="00F323A0"/>
    <w:rsid w:val="00F324C4"/>
    <w:rsid w:val="00F32610"/>
    <w:rsid w:val="00F329E1"/>
    <w:rsid w:val="00F32BC8"/>
    <w:rsid w:val="00F32DF4"/>
    <w:rsid w:val="00F32EA2"/>
    <w:rsid w:val="00F32EE0"/>
    <w:rsid w:val="00F334D2"/>
    <w:rsid w:val="00F336B4"/>
    <w:rsid w:val="00F33849"/>
    <w:rsid w:val="00F338C5"/>
    <w:rsid w:val="00F33AB7"/>
    <w:rsid w:val="00F33CDB"/>
    <w:rsid w:val="00F33E65"/>
    <w:rsid w:val="00F34002"/>
    <w:rsid w:val="00F3400E"/>
    <w:rsid w:val="00F340DC"/>
    <w:rsid w:val="00F340EF"/>
    <w:rsid w:val="00F34200"/>
    <w:rsid w:val="00F3451E"/>
    <w:rsid w:val="00F348B9"/>
    <w:rsid w:val="00F348F6"/>
    <w:rsid w:val="00F34AB8"/>
    <w:rsid w:val="00F34BD4"/>
    <w:rsid w:val="00F34D3E"/>
    <w:rsid w:val="00F351E9"/>
    <w:rsid w:val="00F35412"/>
    <w:rsid w:val="00F3546A"/>
    <w:rsid w:val="00F35581"/>
    <w:rsid w:val="00F3589A"/>
    <w:rsid w:val="00F35A8B"/>
    <w:rsid w:val="00F35AD2"/>
    <w:rsid w:val="00F35B62"/>
    <w:rsid w:val="00F35D88"/>
    <w:rsid w:val="00F35E92"/>
    <w:rsid w:val="00F3639C"/>
    <w:rsid w:val="00F363CE"/>
    <w:rsid w:val="00F36426"/>
    <w:rsid w:val="00F3642F"/>
    <w:rsid w:val="00F365C1"/>
    <w:rsid w:val="00F36658"/>
    <w:rsid w:val="00F36968"/>
    <w:rsid w:val="00F369B8"/>
    <w:rsid w:val="00F36C0C"/>
    <w:rsid w:val="00F36CE3"/>
    <w:rsid w:val="00F3710D"/>
    <w:rsid w:val="00F371E8"/>
    <w:rsid w:val="00F3738B"/>
    <w:rsid w:val="00F37471"/>
    <w:rsid w:val="00F37584"/>
    <w:rsid w:val="00F37BF1"/>
    <w:rsid w:val="00F37C37"/>
    <w:rsid w:val="00F400A9"/>
    <w:rsid w:val="00F402F6"/>
    <w:rsid w:val="00F40457"/>
    <w:rsid w:val="00F4050E"/>
    <w:rsid w:val="00F4057E"/>
    <w:rsid w:val="00F4064F"/>
    <w:rsid w:val="00F40675"/>
    <w:rsid w:val="00F4071B"/>
    <w:rsid w:val="00F40874"/>
    <w:rsid w:val="00F40987"/>
    <w:rsid w:val="00F409CF"/>
    <w:rsid w:val="00F40ADF"/>
    <w:rsid w:val="00F40DE2"/>
    <w:rsid w:val="00F40E53"/>
    <w:rsid w:val="00F4155C"/>
    <w:rsid w:val="00F4161A"/>
    <w:rsid w:val="00F41697"/>
    <w:rsid w:val="00F41746"/>
    <w:rsid w:val="00F41AB2"/>
    <w:rsid w:val="00F41FE1"/>
    <w:rsid w:val="00F421CA"/>
    <w:rsid w:val="00F42263"/>
    <w:rsid w:val="00F425A5"/>
    <w:rsid w:val="00F4291C"/>
    <w:rsid w:val="00F42939"/>
    <w:rsid w:val="00F4294F"/>
    <w:rsid w:val="00F429FF"/>
    <w:rsid w:val="00F42C52"/>
    <w:rsid w:val="00F42CEF"/>
    <w:rsid w:val="00F42D8A"/>
    <w:rsid w:val="00F4309E"/>
    <w:rsid w:val="00F430C8"/>
    <w:rsid w:val="00F430CB"/>
    <w:rsid w:val="00F432B4"/>
    <w:rsid w:val="00F43350"/>
    <w:rsid w:val="00F4362B"/>
    <w:rsid w:val="00F43853"/>
    <w:rsid w:val="00F43DD8"/>
    <w:rsid w:val="00F43E67"/>
    <w:rsid w:val="00F4407E"/>
    <w:rsid w:val="00F441C3"/>
    <w:rsid w:val="00F44352"/>
    <w:rsid w:val="00F44614"/>
    <w:rsid w:val="00F4490C"/>
    <w:rsid w:val="00F44923"/>
    <w:rsid w:val="00F44A37"/>
    <w:rsid w:val="00F44BE4"/>
    <w:rsid w:val="00F44D61"/>
    <w:rsid w:val="00F44FBE"/>
    <w:rsid w:val="00F45133"/>
    <w:rsid w:val="00F4515E"/>
    <w:rsid w:val="00F452DD"/>
    <w:rsid w:val="00F4549E"/>
    <w:rsid w:val="00F45682"/>
    <w:rsid w:val="00F456CB"/>
    <w:rsid w:val="00F456F4"/>
    <w:rsid w:val="00F4570E"/>
    <w:rsid w:val="00F45714"/>
    <w:rsid w:val="00F4586A"/>
    <w:rsid w:val="00F45A03"/>
    <w:rsid w:val="00F45A56"/>
    <w:rsid w:val="00F45AEA"/>
    <w:rsid w:val="00F45D21"/>
    <w:rsid w:val="00F45E70"/>
    <w:rsid w:val="00F45E9F"/>
    <w:rsid w:val="00F460BC"/>
    <w:rsid w:val="00F467DD"/>
    <w:rsid w:val="00F46A2F"/>
    <w:rsid w:val="00F46B67"/>
    <w:rsid w:val="00F46C46"/>
    <w:rsid w:val="00F46DFF"/>
    <w:rsid w:val="00F46E23"/>
    <w:rsid w:val="00F46E94"/>
    <w:rsid w:val="00F46E9A"/>
    <w:rsid w:val="00F473BD"/>
    <w:rsid w:val="00F4763B"/>
    <w:rsid w:val="00F47641"/>
    <w:rsid w:val="00F47872"/>
    <w:rsid w:val="00F47A0C"/>
    <w:rsid w:val="00F47A18"/>
    <w:rsid w:val="00F47B71"/>
    <w:rsid w:val="00F47B8A"/>
    <w:rsid w:val="00F47C3B"/>
    <w:rsid w:val="00F47D98"/>
    <w:rsid w:val="00F50341"/>
    <w:rsid w:val="00F503B8"/>
    <w:rsid w:val="00F50713"/>
    <w:rsid w:val="00F50842"/>
    <w:rsid w:val="00F5091F"/>
    <w:rsid w:val="00F50AB4"/>
    <w:rsid w:val="00F50C9B"/>
    <w:rsid w:val="00F50D8E"/>
    <w:rsid w:val="00F51744"/>
    <w:rsid w:val="00F51790"/>
    <w:rsid w:val="00F51793"/>
    <w:rsid w:val="00F51898"/>
    <w:rsid w:val="00F51A35"/>
    <w:rsid w:val="00F51A58"/>
    <w:rsid w:val="00F51AA7"/>
    <w:rsid w:val="00F51B65"/>
    <w:rsid w:val="00F51CD6"/>
    <w:rsid w:val="00F51D76"/>
    <w:rsid w:val="00F51E1A"/>
    <w:rsid w:val="00F51F3B"/>
    <w:rsid w:val="00F52043"/>
    <w:rsid w:val="00F523C4"/>
    <w:rsid w:val="00F52486"/>
    <w:rsid w:val="00F527F0"/>
    <w:rsid w:val="00F5298A"/>
    <w:rsid w:val="00F529A9"/>
    <w:rsid w:val="00F53004"/>
    <w:rsid w:val="00F5305F"/>
    <w:rsid w:val="00F531E1"/>
    <w:rsid w:val="00F532E8"/>
    <w:rsid w:val="00F5334F"/>
    <w:rsid w:val="00F5349A"/>
    <w:rsid w:val="00F534CB"/>
    <w:rsid w:val="00F536D3"/>
    <w:rsid w:val="00F539DB"/>
    <w:rsid w:val="00F53A5B"/>
    <w:rsid w:val="00F53C5A"/>
    <w:rsid w:val="00F53F82"/>
    <w:rsid w:val="00F53FE7"/>
    <w:rsid w:val="00F5426F"/>
    <w:rsid w:val="00F5427C"/>
    <w:rsid w:val="00F5435B"/>
    <w:rsid w:val="00F544D4"/>
    <w:rsid w:val="00F546E0"/>
    <w:rsid w:val="00F547B8"/>
    <w:rsid w:val="00F549BF"/>
    <w:rsid w:val="00F54AE1"/>
    <w:rsid w:val="00F54B77"/>
    <w:rsid w:val="00F54C02"/>
    <w:rsid w:val="00F54D4E"/>
    <w:rsid w:val="00F54D69"/>
    <w:rsid w:val="00F54EEC"/>
    <w:rsid w:val="00F551D4"/>
    <w:rsid w:val="00F55452"/>
    <w:rsid w:val="00F555CA"/>
    <w:rsid w:val="00F55805"/>
    <w:rsid w:val="00F55DA7"/>
    <w:rsid w:val="00F55E86"/>
    <w:rsid w:val="00F5624E"/>
    <w:rsid w:val="00F562BE"/>
    <w:rsid w:val="00F56471"/>
    <w:rsid w:val="00F56677"/>
    <w:rsid w:val="00F56997"/>
    <w:rsid w:val="00F56A41"/>
    <w:rsid w:val="00F56D2B"/>
    <w:rsid w:val="00F56DA5"/>
    <w:rsid w:val="00F56DC5"/>
    <w:rsid w:val="00F5700C"/>
    <w:rsid w:val="00F5711E"/>
    <w:rsid w:val="00F57266"/>
    <w:rsid w:val="00F572A4"/>
    <w:rsid w:val="00F57317"/>
    <w:rsid w:val="00F5735A"/>
    <w:rsid w:val="00F576D0"/>
    <w:rsid w:val="00F57C35"/>
    <w:rsid w:val="00F57D0F"/>
    <w:rsid w:val="00F60093"/>
    <w:rsid w:val="00F605C3"/>
    <w:rsid w:val="00F6061B"/>
    <w:rsid w:val="00F60D3E"/>
    <w:rsid w:val="00F60E37"/>
    <w:rsid w:val="00F60F2C"/>
    <w:rsid w:val="00F6129A"/>
    <w:rsid w:val="00F61601"/>
    <w:rsid w:val="00F61660"/>
    <w:rsid w:val="00F61722"/>
    <w:rsid w:val="00F61BE1"/>
    <w:rsid w:val="00F61D71"/>
    <w:rsid w:val="00F61E4E"/>
    <w:rsid w:val="00F61E51"/>
    <w:rsid w:val="00F61FB1"/>
    <w:rsid w:val="00F622FC"/>
    <w:rsid w:val="00F624ED"/>
    <w:rsid w:val="00F62649"/>
    <w:rsid w:val="00F6274F"/>
    <w:rsid w:val="00F62E24"/>
    <w:rsid w:val="00F630A7"/>
    <w:rsid w:val="00F63405"/>
    <w:rsid w:val="00F638A7"/>
    <w:rsid w:val="00F6394B"/>
    <w:rsid w:val="00F63AE5"/>
    <w:rsid w:val="00F63B1B"/>
    <w:rsid w:val="00F63E16"/>
    <w:rsid w:val="00F63E64"/>
    <w:rsid w:val="00F63EFE"/>
    <w:rsid w:val="00F64457"/>
    <w:rsid w:val="00F64612"/>
    <w:rsid w:val="00F646CA"/>
    <w:rsid w:val="00F6498C"/>
    <w:rsid w:val="00F64F26"/>
    <w:rsid w:val="00F64F57"/>
    <w:rsid w:val="00F65016"/>
    <w:rsid w:val="00F650E2"/>
    <w:rsid w:val="00F6514A"/>
    <w:rsid w:val="00F656CA"/>
    <w:rsid w:val="00F65877"/>
    <w:rsid w:val="00F65B1B"/>
    <w:rsid w:val="00F65DB6"/>
    <w:rsid w:val="00F65DF3"/>
    <w:rsid w:val="00F65F3C"/>
    <w:rsid w:val="00F66104"/>
    <w:rsid w:val="00F66108"/>
    <w:rsid w:val="00F6612E"/>
    <w:rsid w:val="00F661D2"/>
    <w:rsid w:val="00F66411"/>
    <w:rsid w:val="00F664C8"/>
    <w:rsid w:val="00F66692"/>
    <w:rsid w:val="00F666DF"/>
    <w:rsid w:val="00F667E7"/>
    <w:rsid w:val="00F66818"/>
    <w:rsid w:val="00F66E4A"/>
    <w:rsid w:val="00F66E69"/>
    <w:rsid w:val="00F673B0"/>
    <w:rsid w:val="00F673E5"/>
    <w:rsid w:val="00F674E8"/>
    <w:rsid w:val="00F67E05"/>
    <w:rsid w:val="00F67E99"/>
    <w:rsid w:val="00F67F13"/>
    <w:rsid w:val="00F702CC"/>
    <w:rsid w:val="00F703B2"/>
    <w:rsid w:val="00F703D1"/>
    <w:rsid w:val="00F706F3"/>
    <w:rsid w:val="00F708F9"/>
    <w:rsid w:val="00F70B44"/>
    <w:rsid w:val="00F70D65"/>
    <w:rsid w:val="00F70E41"/>
    <w:rsid w:val="00F7101E"/>
    <w:rsid w:val="00F713A2"/>
    <w:rsid w:val="00F714C3"/>
    <w:rsid w:val="00F7172C"/>
    <w:rsid w:val="00F7176D"/>
    <w:rsid w:val="00F71C12"/>
    <w:rsid w:val="00F71C17"/>
    <w:rsid w:val="00F71FE0"/>
    <w:rsid w:val="00F72382"/>
    <w:rsid w:val="00F723F3"/>
    <w:rsid w:val="00F72515"/>
    <w:rsid w:val="00F72935"/>
    <w:rsid w:val="00F7295F"/>
    <w:rsid w:val="00F72B51"/>
    <w:rsid w:val="00F72C15"/>
    <w:rsid w:val="00F72C77"/>
    <w:rsid w:val="00F72D6F"/>
    <w:rsid w:val="00F73001"/>
    <w:rsid w:val="00F73404"/>
    <w:rsid w:val="00F7357F"/>
    <w:rsid w:val="00F73B9F"/>
    <w:rsid w:val="00F73C1E"/>
    <w:rsid w:val="00F73C9A"/>
    <w:rsid w:val="00F73D10"/>
    <w:rsid w:val="00F73F35"/>
    <w:rsid w:val="00F740E1"/>
    <w:rsid w:val="00F741A0"/>
    <w:rsid w:val="00F7430D"/>
    <w:rsid w:val="00F74460"/>
    <w:rsid w:val="00F746A2"/>
    <w:rsid w:val="00F74793"/>
    <w:rsid w:val="00F7492F"/>
    <w:rsid w:val="00F74ADB"/>
    <w:rsid w:val="00F74AF3"/>
    <w:rsid w:val="00F74B8E"/>
    <w:rsid w:val="00F74D4E"/>
    <w:rsid w:val="00F74F56"/>
    <w:rsid w:val="00F74F59"/>
    <w:rsid w:val="00F74F62"/>
    <w:rsid w:val="00F7534C"/>
    <w:rsid w:val="00F755A2"/>
    <w:rsid w:val="00F75742"/>
    <w:rsid w:val="00F75F25"/>
    <w:rsid w:val="00F761B4"/>
    <w:rsid w:val="00F762F7"/>
    <w:rsid w:val="00F7639D"/>
    <w:rsid w:val="00F763FD"/>
    <w:rsid w:val="00F76479"/>
    <w:rsid w:val="00F7670C"/>
    <w:rsid w:val="00F76871"/>
    <w:rsid w:val="00F76F9E"/>
    <w:rsid w:val="00F77194"/>
    <w:rsid w:val="00F777FA"/>
    <w:rsid w:val="00F77854"/>
    <w:rsid w:val="00F77DED"/>
    <w:rsid w:val="00F803BB"/>
    <w:rsid w:val="00F807FE"/>
    <w:rsid w:val="00F8081D"/>
    <w:rsid w:val="00F80C82"/>
    <w:rsid w:val="00F80D2D"/>
    <w:rsid w:val="00F80D3E"/>
    <w:rsid w:val="00F80D5C"/>
    <w:rsid w:val="00F80F21"/>
    <w:rsid w:val="00F81240"/>
    <w:rsid w:val="00F81282"/>
    <w:rsid w:val="00F81361"/>
    <w:rsid w:val="00F8136E"/>
    <w:rsid w:val="00F81547"/>
    <w:rsid w:val="00F819B1"/>
    <w:rsid w:val="00F819C3"/>
    <w:rsid w:val="00F81BE4"/>
    <w:rsid w:val="00F81D8B"/>
    <w:rsid w:val="00F81DC3"/>
    <w:rsid w:val="00F81DED"/>
    <w:rsid w:val="00F81FA4"/>
    <w:rsid w:val="00F81FC8"/>
    <w:rsid w:val="00F820AE"/>
    <w:rsid w:val="00F82447"/>
    <w:rsid w:val="00F825BE"/>
    <w:rsid w:val="00F8274D"/>
    <w:rsid w:val="00F8288C"/>
    <w:rsid w:val="00F82A2C"/>
    <w:rsid w:val="00F82C24"/>
    <w:rsid w:val="00F82CAA"/>
    <w:rsid w:val="00F82E04"/>
    <w:rsid w:val="00F83099"/>
    <w:rsid w:val="00F83291"/>
    <w:rsid w:val="00F8371B"/>
    <w:rsid w:val="00F83AC2"/>
    <w:rsid w:val="00F83DAF"/>
    <w:rsid w:val="00F83F12"/>
    <w:rsid w:val="00F83F80"/>
    <w:rsid w:val="00F8408A"/>
    <w:rsid w:val="00F8425C"/>
    <w:rsid w:val="00F842B1"/>
    <w:rsid w:val="00F845BF"/>
    <w:rsid w:val="00F8486B"/>
    <w:rsid w:val="00F84DA8"/>
    <w:rsid w:val="00F84F00"/>
    <w:rsid w:val="00F8516E"/>
    <w:rsid w:val="00F85200"/>
    <w:rsid w:val="00F85288"/>
    <w:rsid w:val="00F85621"/>
    <w:rsid w:val="00F85B94"/>
    <w:rsid w:val="00F85C9C"/>
    <w:rsid w:val="00F86204"/>
    <w:rsid w:val="00F8681B"/>
    <w:rsid w:val="00F86A4D"/>
    <w:rsid w:val="00F86B45"/>
    <w:rsid w:val="00F86C30"/>
    <w:rsid w:val="00F87370"/>
    <w:rsid w:val="00F87AC4"/>
    <w:rsid w:val="00F87DCC"/>
    <w:rsid w:val="00F87EE7"/>
    <w:rsid w:val="00F87FF0"/>
    <w:rsid w:val="00F900D3"/>
    <w:rsid w:val="00F903F6"/>
    <w:rsid w:val="00F905F5"/>
    <w:rsid w:val="00F90849"/>
    <w:rsid w:val="00F9097D"/>
    <w:rsid w:val="00F90BCE"/>
    <w:rsid w:val="00F90F7C"/>
    <w:rsid w:val="00F91215"/>
    <w:rsid w:val="00F9125B"/>
    <w:rsid w:val="00F91288"/>
    <w:rsid w:val="00F912E0"/>
    <w:rsid w:val="00F9156A"/>
    <w:rsid w:val="00F91773"/>
    <w:rsid w:val="00F91868"/>
    <w:rsid w:val="00F91F57"/>
    <w:rsid w:val="00F92302"/>
    <w:rsid w:val="00F92783"/>
    <w:rsid w:val="00F929AC"/>
    <w:rsid w:val="00F92CA1"/>
    <w:rsid w:val="00F92F0F"/>
    <w:rsid w:val="00F92F3E"/>
    <w:rsid w:val="00F92FEE"/>
    <w:rsid w:val="00F93739"/>
    <w:rsid w:val="00F938C9"/>
    <w:rsid w:val="00F939B2"/>
    <w:rsid w:val="00F93BAE"/>
    <w:rsid w:val="00F93C98"/>
    <w:rsid w:val="00F93EA6"/>
    <w:rsid w:val="00F93F69"/>
    <w:rsid w:val="00F93FBE"/>
    <w:rsid w:val="00F940E6"/>
    <w:rsid w:val="00F9443F"/>
    <w:rsid w:val="00F944FA"/>
    <w:rsid w:val="00F94504"/>
    <w:rsid w:val="00F94902"/>
    <w:rsid w:val="00F94AE3"/>
    <w:rsid w:val="00F94F39"/>
    <w:rsid w:val="00F950CF"/>
    <w:rsid w:val="00F951BF"/>
    <w:rsid w:val="00F955D2"/>
    <w:rsid w:val="00F956BA"/>
    <w:rsid w:val="00F95A7F"/>
    <w:rsid w:val="00F95B8D"/>
    <w:rsid w:val="00F95D74"/>
    <w:rsid w:val="00F960BC"/>
    <w:rsid w:val="00F96143"/>
    <w:rsid w:val="00F962F2"/>
    <w:rsid w:val="00F963CE"/>
    <w:rsid w:val="00F96406"/>
    <w:rsid w:val="00F96471"/>
    <w:rsid w:val="00F9676C"/>
    <w:rsid w:val="00F96868"/>
    <w:rsid w:val="00F96C13"/>
    <w:rsid w:val="00F96E80"/>
    <w:rsid w:val="00F96FDA"/>
    <w:rsid w:val="00F975E8"/>
    <w:rsid w:val="00F976BD"/>
    <w:rsid w:val="00F97A01"/>
    <w:rsid w:val="00FA010D"/>
    <w:rsid w:val="00FA0137"/>
    <w:rsid w:val="00FA045F"/>
    <w:rsid w:val="00FA0520"/>
    <w:rsid w:val="00FA05A5"/>
    <w:rsid w:val="00FA069C"/>
    <w:rsid w:val="00FA073F"/>
    <w:rsid w:val="00FA077B"/>
    <w:rsid w:val="00FA0794"/>
    <w:rsid w:val="00FA0998"/>
    <w:rsid w:val="00FA09FD"/>
    <w:rsid w:val="00FA0C70"/>
    <w:rsid w:val="00FA0E61"/>
    <w:rsid w:val="00FA1388"/>
    <w:rsid w:val="00FA150D"/>
    <w:rsid w:val="00FA1547"/>
    <w:rsid w:val="00FA1B57"/>
    <w:rsid w:val="00FA1EB9"/>
    <w:rsid w:val="00FA1FE7"/>
    <w:rsid w:val="00FA2086"/>
    <w:rsid w:val="00FA20EA"/>
    <w:rsid w:val="00FA2123"/>
    <w:rsid w:val="00FA22AA"/>
    <w:rsid w:val="00FA22CF"/>
    <w:rsid w:val="00FA23A1"/>
    <w:rsid w:val="00FA2448"/>
    <w:rsid w:val="00FA244C"/>
    <w:rsid w:val="00FA24FA"/>
    <w:rsid w:val="00FA25A4"/>
    <w:rsid w:val="00FA33C5"/>
    <w:rsid w:val="00FA394E"/>
    <w:rsid w:val="00FA3AE9"/>
    <w:rsid w:val="00FA3BDD"/>
    <w:rsid w:val="00FA3C62"/>
    <w:rsid w:val="00FA3E4E"/>
    <w:rsid w:val="00FA3F17"/>
    <w:rsid w:val="00FA3F44"/>
    <w:rsid w:val="00FA40DE"/>
    <w:rsid w:val="00FA4AD4"/>
    <w:rsid w:val="00FA4BC2"/>
    <w:rsid w:val="00FA4D65"/>
    <w:rsid w:val="00FA5550"/>
    <w:rsid w:val="00FA562A"/>
    <w:rsid w:val="00FA57C8"/>
    <w:rsid w:val="00FA5AFC"/>
    <w:rsid w:val="00FA5BA6"/>
    <w:rsid w:val="00FA5DC4"/>
    <w:rsid w:val="00FA5F46"/>
    <w:rsid w:val="00FA6190"/>
    <w:rsid w:val="00FA6234"/>
    <w:rsid w:val="00FA6603"/>
    <w:rsid w:val="00FA6830"/>
    <w:rsid w:val="00FA688F"/>
    <w:rsid w:val="00FA6CE1"/>
    <w:rsid w:val="00FA6D5F"/>
    <w:rsid w:val="00FA6F53"/>
    <w:rsid w:val="00FA71DD"/>
    <w:rsid w:val="00FA7A62"/>
    <w:rsid w:val="00FA7AA1"/>
    <w:rsid w:val="00FA7CDE"/>
    <w:rsid w:val="00FA7D3D"/>
    <w:rsid w:val="00FB01F8"/>
    <w:rsid w:val="00FB0829"/>
    <w:rsid w:val="00FB0906"/>
    <w:rsid w:val="00FB0967"/>
    <w:rsid w:val="00FB0AC9"/>
    <w:rsid w:val="00FB0B37"/>
    <w:rsid w:val="00FB0F45"/>
    <w:rsid w:val="00FB0F89"/>
    <w:rsid w:val="00FB11BF"/>
    <w:rsid w:val="00FB1357"/>
    <w:rsid w:val="00FB1417"/>
    <w:rsid w:val="00FB1BCD"/>
    <w:rsid w:val="00FB204C"/>
    <w:rsid w:val="00FB255F"/>
    <w:rsid w:val="00FB25CB"/>
    <w:rsid w:val="00FB280A"/>
    <w:rsid w:val="00FB284B"/>
    <w:rsid w:val="00FB2943"/>
    <w:rsid w:val="00FB2BD1"/>
    <w:rsid w:val="00FB2C6F"/>
    <w:rsid w:val="00FB2C80"/>
    <w:rsid w:val="00FB2CB7"/>
    <w:rsid w:val="00FB2CF8"/>
    <w:rsid w:val="00FB2D43"/>
    <w:rsid w:val="00FB2D96"/>
    <w:rsid w:val="00FB307A"/>
    <w:rsid w:val="00FB30AF"/>
    <w:rsid w:val="00FB356B"/>
    <w:rsid w:val="00FB3592"/>
    <w:rsid w:val="00FB36C2"/>
    <w:rsid w:val="00FB38D6"/>
    <w:rsid w:val="00FB3A56"/>
    <w:rsid w:val="00FB3AD3"/>
    <w:rsid w:val="00FB3C9D"/>
    <w:rsid w:val="00FB3CFB"/>
    <w:rsid w:val="00FB3D05"/>
    <w:rsid w:val="00FB40A5"/>
    <w:rsid w:val="00FB4155"/>
    <w:rsid w:val="00FB43F3"/>
    <w:rsid w:val="00FB4405"/>
    <w:rsid w:val="00FB47CE"/>
    <w:rsid w:val="00FB4A23"/>
    <w:rsid w:val="00FB4BE3"/>
    <w:rsid w:val="00FB5064"/>
    <w:rsid w:val="00FB5115"/>
    <w:rsid w:val="00FB514A"/>
    <w:rsid w:val="00FB5161"/>
    <w:rsid w:val="00FB53B5"/>
    <w:rsid w:val="00FB5493"/>
    <w:rsid w:val="00FB54A6"/>
    <w:rsid w:val="00FB5AC1"/>
    <w:rsid w:val="00FB5D21"/>
    <w:rsid w:val="00FB5DFD"/>
    <w:rsid w:val="00FB5E66"/>
    <w:rsid w:val="00FB65E6"/>
    <w:rsid w:val="00FB6635"/>
    <w:rsid w:val="00FB66E5"/>
    <w:rsid w:val="00FB6760"/>
    <w:rsid w:val="00FB6796"/>
    <w:rsid w:val="00FB69DA"/>
    <w:rsid w:val="00FB6F95"/>
    <w:rsid w:val="00FB705F"/>
    <w:rsid w:val="00FB70BE"/>
    <w:rsid w:val="00FB72CD"/>
    <w:rsid w:val="00FB7451"/>
    <w:rsid w:val="00FB76ED"/>
    <w:rsid w:val="00FB7715"/>
    <w:rsid w:val="00FB7888"/>
    <w:rsid w:val="00FB7B23"/>
    <w:rsid w:val="00FB7B70"/>
    <w:rsid w:val="00FB7C30"/>
    <w:rsid w:val="00FB7E6F"/>
    <w:rsid w:val="00FB7F9F"/>
    <w:rsid w:val="00FC05B0"/>
    <w:rsid w:val="00FC07F7"/>
    <w:rsid w:val="00FC08B5"/>
    <w:rsid w:val="00FC0AC5"/>
    <w:rsid w:val="00FC0BC1"/>
    <w:rsid w:val="00FC0BC6"/>
    <w:rsid w:val="00FC0D85"/>
    <w:rsid w:val="00FC0E52"/>
    <w:rsid w:val="00FC0F07"/>
    <w:rsid w:val="00FC124D"/>
    <w:rsid w:val="00FC139F"/>
    <w:rsid w:val="00FC1547"/>
    <w:rsid w:val="00FC155E"/>
    <w:rsid w:val="00FC1579"/>
    <w:rsid w:val="00FC1770"/>
    <w:rsid w:val="00FC1781"/>
    <w:rsid w:val="00FC1914"/>
    <w:rsid w:val="00FC1B2F"/>
    <w:rsid w:val="00FC206E"/>
    <w:rsid w:val="00FC2351"/>
    <w:rsid w:val="00FC24E7"/>
    <w:rsid w:val="00FC26D9"/>
    <w:rsid w:val="00FC2856"/>
    <w:rsid w:val="00FC2A03"/>
    <w:rsid w:val="00FC2B2F"/>
    <w:rsid w:val="00FC2E1F"/>
    <w:rsid w:val="00FC2E59"/>
    <w:rsid w:val="00FC2F0B"/>
    <w:rsid w:val="00FC3A14"/>
    <w:rsid w:val="00FC443C"/>
    <w:rsid w:val="00FC449F"/>
    <w:rsid w:val="00FC46C9"/>
    <w:rsid w:val="00FC498B"/>
    <w:rsid w:val="00FC4A94"/>
    <w:rsid w:val="00FC4C8F"/>
    <w:rsid w:val="00FC4ED1"/>
    <w:rsid w:val="00FC5263"/>
    <w:rsid w:val="00FC5441"/>
    <w:rsid w:val="00FC56C0"/>
    <w:rsid w:val="00FC5785"/>
    <w:rsid w:val="00FC5817"/>
    <w:rsid w:val="00FC58B9"/>
    <w:rsid w:val="00FC5A9D"/>
    <w:rsid w:val="00FC5B6C"/>
    <w:rsid w:val="00FC6178"/>
    <w:rsid w:val="00FC6435"/>
    <w:rsid w:val="00FC67B4"/>
    <w:rsid w:val="00FC6E71"/>
    <w:rsid w:val="00FC712C"/>
    <w:rsid w:val="00FC768B"/>
    <w:rsid w:val="00FC77B4"/>
    <w:rsid w:val="00FC7A00"/>
    <w:rsid w:val="00FC7A86"/>
    <w:rsid w:val="00FC7DFD"/>
    <w:rsid w:val="00FC7E83"/>
    <w:rsid w:val="00FD0141"/>
    <w:rsid w:val="00FD0226"/>
    <w:rsid w:val="00FD0357"/>
    <w:rsid w:val="00FD0377"/>
    <w:rsid w:val="00FD03BC"/>
    <w:rsid w:val="00FD0566"/>
    <w:rsid w:val="00FD0642"/>
    <w:rsid w:val="00FD06B3"/>
    <w:rsid w:val="00FD07A2"/>
    <w:rsid w:val="00FD0D03"/>
    <w:rsid w:val="00FD0E69"/>
    <w:rsid w:val="00FD0F26"/>
    <w:rsid w:val="00FD0FC6"/>
    <w:rsid w:val="00FD13AB"/>
    <w:rsid w:val="00FD141C"/>
    <w:rsid w:val="00FD177A"/>
    <w:rsid w:val="00FD1A04"/>
    <w:rsid w:val="00FD1C74"/>
    <w:rsid w:val="00FD1D4B"/>
    <w:rsid w:val="00FD1DBF"/>
    <w:rsid w:val="00FD1FE1"/>
    <w:rsid w:val="00FD2135"/>
    <w:rsid w:val="00FD222E"/>
    <w:rsid w:val="00FD22C3"/>
    <w:rsid w:val="00FD2300"/>
    <w:rsid w:val="00FD2415"/>
    <w:rsid w:val="00FD2472"/>
    <w:rsid w:val="00FD2635"/>
    <w:rsid w:val="00FD271D"/>
    <w:rsid w:val="00FD2C9E"/>
    <w:rsid w:val="00FD2E0B"/>
    <w:rsid w:val="00FD3202"/>
    <w:rsid w:val="00FD3275"/>
    <w:rsid w:val="00FD3B34"/>
    <w:rsid w:val="00FD3D1C"/>
    <w:rsid w:val="00FD3D95"/>
    <w:rsid w:val="00FD3E46"/>
    <w:rsid w:val="00FD41D8"/>
    <w:rsid w:val="00FD42CD"/>
    <w:rsid w:val="00FD4328"/>
    <w:rsid w:val="00FD469D"/>
    <w:rsid w:val="00FD4BC2"/>
    <w:rsid w:val="00FD4EAB"/>
    <w:rsid w:val="00FD4F21"/>
    <w:rsid w:val="00FD50D7"/>
    <w:rsid w:val="00FD5176"/>
    <w:rsid w:val="00FD5208"/>
    <w:rsid w:val="00FD536E"/>
    <w:rsid w:val="00FD53A9"/>
    <w:rsid w:val="00FD55A9"/>
    <w:rsid w:val="00FD55D6"/>
    <w:rsid w:val="00FD5707"/>
    <w:rsid w:val="00FD59BB"/>
    <w:rsid w:val="00FD5AD8"/>
    <w:rsid w:val="00FD5CA0"/>
    <w:rsid w:val="00FD6210"/>
    <w:rsid w:val="00FD62F4"/>
    <w:rsid w:val="00FD65FF"/>
    <w:rsid w:val="00FD666C"/>
    <w:rsid w:val="00FD6921"/>
    <w:rsid w:val="00FD6D3E"/>
    <w:rsid w:val="00FD6DB2"/>
    <w:rsid w:val="00FD6DC3"/>
    <w:rsid w:val="00FD6FF8"/>
    <w:rsid w:val="00FD73E8"/>
    <w:rsid w:val="00FD7565"/>
    <w:rsid w:val="00FD7597"/>
    <w:rsid w:val="00FD7CE0"/>
    <w:rsid w:val="00FD7D6E"/>
    <w:rsid w:val="00FD7EFD"/>
    <w:rsid w:val="00FE0007"/>
    <w:rsid w:val="00FE00EA"/>
    <w:rsid w:val="00FE018C"/>
    <w:rsid w:val="00FE0443"/>
    <w:rsid w:val="00FE0475"/>
    <w:rsid w:val="00FE0570"/>
    <w:rsid w:val="00FE0A8E"/>
    <w:rsid w:val="00FE0C11"/>
    <w:rsid w:val="00FE0E2E"/>
    <w:rsid w:val="00FE10BD"/>
    <w:rsid w:val="00FE14D2"/>
    <w:rsid w:val="00FE16F2"/>
    <w:rsid w:val="00FE17C0"/>
    <w:rsid w:val="00FE18BA"/>
    <w:rsid w:val="00FE18D7"/>
    <w:rsid w:val="00FE1A19"/>
    <w:rsid w:val="00FE1B94"/>
    <w:rsid w:val="00FE1BFE"/>
    <w:rsid w:val="00FE1DB7"/>
    <w:rsid w:val="00FE26C8"/>
    <w:rsid w:val="00FE289F"/>
    <w:rsid w:val="00FE292C"/>
    <w:rsid w:val="00FE2DA8"/>
    <w:rsid w:val="00FE3045"/>
    <w:rsid w:val="00FE319E"/>
    <w:rsid w:val="00FE3514"/>
    <w:rsid w:val="00FE3602"/>
    <w:rsid w:val="00FE38A4"/>
    <w:rsid w:val="00FE3B1A"/>
    <w:rsid w:val="00FE41D3"/>
    <w:rsid w:val="00FE4303"/>
    <w:rsid w:val="00FE43B5"/>
    <w:rsid w:val="00FE45FA"/>
    <w:rsid w:val="00FE46B8"/>
    <w:rsid w:val="00FE478B"/>
    <w:rsid w:val="00FE4891"/>
    <w:rsid w:val="00FE4993"/>
    <w:rsid w:val="00FE4A69"/>
    <w:rsid w:val="00FE4B8E"/>
    <w:rsid w:val="00FE4BAE"/>
    <w:rsid w:val="00FE4BC9"/>
    <w:rsid w:val="00FE4D2B"/>
    <w:rsid w:val="00FE5032"/>
    <w:rsid w:val="00FE5043"/>
    <w:rsid w:val="00FE5245"/>
    <w:rsid w:val="00FE587E"/>
    <w:rsid w:val="00FE58A6"/>
    <w:rsid w:val="00FE58D4"/>
    <w:rsid w:val="00FE5AC8"/>
    <w:rsid w:val="00FE5AF0"/>
    <w:rsid w:val="00FE5EC2"/>
    <w:rsid w:val="00FE60A1"/>
    <w:rsid w:val="00FE60CB"/>
    <w:rsid w:val="00FE6148"/>
    <w:rsid w:val="00FE6590"/>
    <w:rsid w:val="00FE66E9"/>
    <w:rsid w:val="00FE6815"/>
    <w:rsid w:val="00FE6EDC"/>
    <w:rsid w:val="00FE721D"/>
    <w:rsid w:val="00FE7A92"/>
    <w:rsid w:val="00FE7DDB"/>
    <w:rsid w:val="00FF02D4"/>
    <w:rsid w:val="00FF085C"/>
    <w:rsid w:val="00FF0A40"/>
    <w:rsid w:val="00FF0A43"/>
    <w:rsid w:val="00FF0CEE"/>
    <w:rsid w:val="00FF0E1E"/>
    <w:rsid w:val="00FF0E4A"/>
    <w:rsid w:val="00FF0E70"/>
    <w:rsid w:val="00FF1133"/>
    <w:rsid w:val="00FF12D0"/>
    <w:rsid w:val="00FF138E"/>
    <w:rsid w:val="00FF16D5"/>
    <w:rsid w:val="00FF1848"/>
    <w:rsid w:val="00FF18E4"/>
    <w:rsid w:val="00FF19FD"/>
    <w:rsid w:val="00FF1BBB"/>
    <w:rsid w:val="00FF1C2C"/>
    <w:rsid w:val="00FF1F62"/>
    <w:rsid w:val="00FF228A"/>
    <w:rsid w:val="00FF253E"/>
    <w:rsid w:val="00FF261D"/>
    <w:rsid w:val="00FF2886"/>
    <w:rsid w:val="00FF2B4B"/>
    <w:rsid w:val="00FF2BAA"/>
    <w:rsid w:val="00FF2BB4"/>
    <w:rsid w:val="00FF319D"/>
    <w:rsid w:val="00FF31FD"/>
    <w:rsid w:val="00FF3294"/>
    <w:rsid w:val="00FF32BA"/>
    <w:rsid w:val="00FF3327"/>
    <w:rsid w:val="00FF3517"/>
    <w:rsid w:val="00FF3536"/>
    <w:rsid w:val="00FF3670"/>
    <w:rsid w:val="00FF3AAC"/>
    <w:rsid w:val="00FF3F75"/>
    <w:rsid w:val="00FF4238"/>
    <w:rsid w:val="00FF42A9"/>
    <w:rsid w:val="00FF4306"/>
    <w:rsid w:val="00FF4636"/>
    <w:rsid w:val="00FF465B"/>
    <w:rsid w:val="00FF46E3"/>
    <w:rsid w:val="00FF48CD"/>
    <w:rsid w:val="00FF4A60"/>
    <w:rsid w:val="00FF4ACD"/>
    <w:rsid w:val="00FF4BE7"/>
    <w:rsid w:val="00FF5470"/>
    <w:rsid w:val="00FF5482"/>
    <w:rsid w:val="00FF54E7"/>
    <w:rsid w:val="00FF578C"/>
    <w:rsid w:val="00FF5994"/>
    <w:rsid w:val="00FF5DA6"/>
    <w:rsid w:val="00FF5F02"/>
    <w:rsid w:val="00FF61D6"/>
    <w:rsid w:val="00FF654D"/>
    <w:rsid w:val="00FF6578"/>
    <w:rsid w:val="00FF6B5D"/>
    <w:rsid w:val="00FF6C1D"/>
    <w:rsid w:val="00FF6EBB"/>
    <w:rsid w:val="00FF710D"/>
    <w:rsid w:val="00FF7410"/>
    <w:rsid w:val="00FF7584"/>
    <w:rsid w:val="00FF784A"/>
    <w:rsid w:val="00FF7894"/>
    <w:rsid w:val="00FF7C5E"/>
    <w:rsid w:val="00FF7D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36"/>
    <o:shapelayout v:ext="edit">
      <o:idmap v:ext="edit" data="1"/>
    </o:shapelayout>
  </w:shapeDefaults>
  <w:decimalSymbol w:val="."/>
  <w:listSeparator w:val=","/>
  <w15:docId w15:val="{0B5051BF-01E3-4883-B7F3-207503D7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qFormat="1"/>
    <w:lsdException w:name="heading 6" w:uiPriority="0" w:qFormat="1"/>
    <w:lsdException w:name="heading 7" w:locked="0" w:uiPriority="0" w:qFormat="1"/>
    <w:lsdException w:name="heading 8" w:uiPriority="0" w:qFormat="1"/>
    <w:lsdException w:name="heading 9" w:uiPriority="0" w:qFormat="1"/>
    <w:lsdException w:name="index 1" w:locked="0" w:semiHidden="1"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qFormat="1"/>
    <w:lsdException w:name="index heading" w:locked="0" w:semiHidden="1" w:uiPriority="0" w:unhideWhenUsed="1"/>
    <w:lsdException w:name="caption" w:locked="0" w:semiHidden="1" w:uiPriority="0"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endnote reference" w:locked="0" w:semiHidden="1" w:unhideWhenUsed="1"/>
    <w:lsdException w:name="endnote text" w:locked="0" w:semiHidden="1" w:uiPriority="0" w:unhideWhenUsed="1"/>
    <w:lsdException w:name="table of authorities" w:semiHidden="1" w:unhideWhenUsed="1"/>
    <w:lsdException w:name="macro" w:semiHidden="1" w:unhideWhenUsed="1"/>
    <w:lsdException w:name="toa heading" w:locked="0" w:semiHidden="1" w:uiPriority="0"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lsdException w:name="Emphasis" w:uiPriority="0" w:qFormat="1"/>
    <w:lsdException w:name="Document Map" w:semiHidden="1" w:unhideWhenUsed="1"/>
    <w:lsdException w:name="Plain Text" w:locked="0"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0"/>
    <w:lsdException w:name="List Paragraph" w:qFormat="1"/>
    <w:lsdException w:name="Quote" w:locked="0"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Body (normal)"/>
    <w:qFormat/>
    <w:rsid w:val="00314A3B"/>
    <w:pPr>
      <w:spacing w:after="220" w:line="280" w:lineRule="atLeast"/>
    </w:pPr>
    <w:rPr>
      <w:rFonts w:ascii="Times New Roman" w:hAnsi="Times New Roman"/>
      <w:sz w:val="22"/>
      <w:lang w:val="en-GB" w:eastAsia="en-US"/>
    </w:rPr>
  </w:style>
  <w:style w:type="paragraph" w:styleId="Heading1">
    <w:name w:val="heading 1"/>
    <w:basedOn w:val="Normal"/>
    <w:next w:val="Normal"/>
    <w:link w:val="Heading1Char"/>
    <w:qFormat/>
    <w:rsid w:val="00EB65B6"/>
    <w:pPr>
      <w:keepNext/>
      <w:numPr>
        <w:numId w:val="7"/>
      </w:numPr>
      <w:spacing w:after="300" w:line="240" w:lineRule="auto"/>
      <w:outlineLvl w:val="0"/>
    </w:pPr>
    <w:rPr>
      <w:rFonts w:ascii="Tahoma" w:hAnsi="Tahoma"/>
      <w:b/>
      <w:color w:val="000033"/>
      <w:kern w:val="28"/>
      <w:sz w:val="40"/>
    </w:rPr>
  </w:style>
  <w:style w:type="paragraph" w:styleId="Heading2">
    <w:name w:val="heading 2"/>
    <w:basedOn w:val="Normal"/>
    <w:next w:val="Normal"/>
    <w:link w:val="Heading2Char"/>
    <w:autoRedefine/>
    <w:qFormat/>
    <w:rsid w:val="00722BA6"/>
    <w:pPr>
      <w:keepNext/>
      <w:numPr>
        <w:ilvl w:val="1"/>
        <w:numId w:val="7"/>
      </w:numPr>
      <w:spacing w:before="480" w:after="240" w:line="240" w:lineRule="auto"/>
      <w:ind w:left="720"/>
      <w:outlineLvl w:val="1"/>
    </w:pPr>
    <w:rPr>
      <w:rFonts w:ascii="Arial" w:hAnsi="Arial" w:cs="Arial"/>
      <w:b/>
      <w:color w:val="000033"/>
      <w:sz w:val="26"/>
      <w:szCs w:val="22"/>
    </w:rPr>
  </w:style>
  <w:style w:type="paragraph" w:styleId="Heading3">
    <w:name w:val="heading 3"/>
    <w:basedOn w:val="Normal"/>
    <w:next w:val="Normal"/>
    <w:link w:val="Heading3Char"/>
    <w:autoRedefine/>
    <w:qFormat/>
    <w:rsid w:val="005427F5"/>
    <w:pPr>
      <w:keepNext/>
      <w:numPr>
        <w:ilvl w:val="2"/>
        <w:numId w:val="7"/>
      </w:numPr>
      <w:spacing w:before="240" w:after="240" w:line="240" w:lineRule="auto"/>
      <w:outlineLvl w:val="2"/>
    </w:pPr>
    <w:rPr>
      <w:rFonts w:ascii="Arial" w:hAnsi="Arial" w:cs="Arial"/>
      <w:b/>
      <w:color w:val="000033"/>
    </w:rPr>
  </w:style>
  <w:style w:type="paragraph" w:styleId="Heading4">
    <w:name w:val="heading 4"/>
    <w:basedOn w:val="Normal"/>
    <w:next w:val="Normal"/>
    <w:link w:val="Heading4Char"/>
    <w:qFormat/>
    <w:rsid w:val="002E7DBF"/>
    <w:pPr>
      <w:keepNext/>
      <w:spacing w:after="120" w:line="240" w:lineRule="auto"/>
      <w:outlineLvl w:val="3"/>
    </w:pPr>
    <w:rPr>
      <w:b/>
      <w:sz w:val="24"/>
    </w:rPr>
  </w:style>
  <w:style w:type="paragraph" w:styleId="Heading5">
    <w:name w:val="heading 5"/>
    <w:basedOn w:val="Normal"/>
    <w:next w:val="Normal"/>
    <w:link w:val="Heading5Char"/>
    <w:uiPriority w:val="99"/>
    <w:qFormat/>
    <w:locked/>
    <w:rsid w:val="00924F40"/>
    <w:pPr>
      <w:keepNext/>
      <w:spacing w:before="60" w:after="60" w:line="240" w:lineRule="auto"/>
      <w:outlineLvl w:val="4"/>
    </w:pPr>
    <w:rPr>
      <w:i/>
      <w:sz w:val="24"/>
    </w:rPr>
  </w:style>
  <w:style w:type="paragraph" w:styleId="Heading6">
    <w:name w:val="heading 6"/>
    <w:basedOn w:val="Normal"/>
    <w:next w:val="Normal"/>
    <w:link w:val="Heading6Char"/>
    <w:semiHidden/>
    <w:qFormat/>
    <w:locked/>
    <w:rsid w:val="00924F40"/>
    <w:pPr>
      <w:spacing w:before="240" w:after="60" w:line="240" w:lineRule="auto"/>
      <w:outlineLvl w:val="5"/>
    </w:pPr>
    <w:rPr>
      <w:bCs/>
      <w:i/>
      <w:color w:val="7F7F7F" w:themeColor="text1" w:themeTint="80"/>
      <w:szCs w:val="22"/>
    </w:rPr>
  </w:style>
  <w:style w:type="paragraph" w:styleId="Heading7">
    <w:name w:val="heading 7"/>
    <w:aliases w:val="Appendix"/>
    <w:basedOn w:val="Normal"/>
    <w:next w:val="Normal"/>
    <w:link w:val="Heading7Char"/>
    <w:semiHidden/>
    <w:qFormat/>
    <w:locked/>
    <w:rsid w:val="00924F40"/>
    <w:pPr>
      <w:spacing w:before="240" w:after="60" w:line="240" w:lineRule="auto"/>
      <w:outlineLvl w:val="6"/>
    </w:pPr>
    <w:rPr>
      <w:b/>
      <w:sz w:val="24"/>
      <w:szCs w:val="24"/>
      <w:lang w:val="en-AU" w:eastAsia="en-AU"/>
    </w:rPr>
  </w:style>
  <w:style w:type="paragraph" w:styleId="Heading8">
    <w:name w:val="heading 8"/>
    <w:basedOn w:val="Normal"/>
    <w:next w:val="Normal"/>
    <w:link w:val="Heading8Char"/>
    <w:semiHidden/>
    <w:qFormat/>
    <w:locked/>
    <w:rsid w:val="00924F40"/>
    <w:pPr>
      <w:spacing w:before="240" w:after="60"/>
      <w:outlineLvl w:val="7"/>
    </w:pPr>
    <w:rPr>
      <w:rFonts w:ascii="Arial" w:hAnsi="Arial"/>
      <w:i/>
      <w:sz w:val="20"/>
      <w:lang w:val="en-AU" w:eastAsia="en-AU"/>
    </w:rPr>
  </w:style>
  <w:style w:type="paragraph" w:styleId="Heading9">
    <w:name w:val="heading 9"/>
    <w:basedOn w:val="Normal"/>
    <w:next w:val="Normal"/>
    <w:link w:val="Heading9Char"/>
    <w:semiHidden/>
    <w:qFormat/>
    <w:locked/>
    <w:rsid w:val="00924F40"/>
    <w:pPr>
      <w:spacing w:before="240" w:after="60"/>
      <w:outlineLvl w:val="8"/>
    </w:pPr>
    <w:rPr>
      <w:rFonts w:ascii="Arial" w:hAnsi="Arial"/>
      <w:b/>
      <w:i/>
      <w:sz w:val="1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B65B6"/>
    <w:rPr>
      <w:rFonts w:ascii="Tahoma" w:hAnsi="Tahoma"/>
      <w:b/>
      <w:color w:val="000033"/>
      <w:kern w:val="28"/>
      <w:sz w:val="40"/>
      <w:lang w:val="en-GB" w:eastAsia="en-US"/>
    </w:rPr>
  </w:style>
  <w:style w:type="character" w:customStyle="1" w:styleId="Heading2Char">
    <w:name w:val="Heading 2 Char"/>
    <w:link w:val="Heading2"/>
    <w:locked/>
    <w:rsid w:val="00722BA6"/>
    <w:rPr>
      <w:rFonts w:ascii="Arial" w:hAnsi="Arial" w:cs="Arial"/>
      <w:b/>
      <w:color w:val="000033"/>
      <w:sz w:val="26"/>
      <w:szCs w:val="22"/>
      <w:lang w:val="en-GB" w:eastAsia="en-US"/>
    </w:rPr>
  </w:style>
  <w:style w:type="character" w:customStyle="1" w:styleId="Heading3Char">
    <w:name w:val="Heading 3 Char"/>
    <w:link w:val="Heading3"/>
    <w:locked/>
    <w:rsid w:val="005427F5"/>
    <w:rPr>
      <w:rFonts w:ascii="Arial" w:hAnsi="Arial" w:cs="Arial"/>
      <w:b/>
      <w:color w:val="000033"/>
      <w:sz w:val="22"/>
      <w:lang w:val="en-GB" w:eastAsia="en-US"/>
    </w:rPr>
  </w:style>
  <w:style w:type="character" w:customStyle="1" w:styleId="Heading4Char">
    <w:name w:val="Heading 4 Char"/>
    <w:link w:val="Heading4"/>
    <w:locked/>
    <w:rsid w:val="002E7DBF"/>
    <w:rPr>
      <w:rFonts w:ascii="Times New Roman" w:hAnsi="Times New Roman"/>
      <w:b/>
      <w:sz w:val="24"/>
      <w:lang w:val="en-GB" w:eastAsia="en-US"/>
    </w:rPr>
  </w:style>
  <w:style w:type="character" w:customStyle="1" w:styleId="Heading5Char">
    <w:name w:val="Heading 5 Char"/>
    <w:link w:val="Heading5"/>
    <w:uiPriority w:val="99"/>
    <w:locked/>
    <w:rsid w:val="009852DB"/>
    <w:rPr>
      <w:rFonts w:ascii="Times New Roman" w:hAnsi="Times New Roman"/>
      <w:i/>
      <w:sz w:val="24"/>
      <w:lang w:val="en-GB" w:eastAsia="en-US"/>
    </w:rPr>
  </w:style>
  <w:style w:type="character" w:customStyle="1" w:styleId="Heading6Char">
    <w:name w:val="Heading 6 Char"/>
    <w:link w:val="Heading6"/>
    <w:semiHidden/>
    <w:locked/>
    <w:rsid w:val="009852DB"/>
    <w:rPr>
      <w:rFonts w:ascii="Times New Roman" w:hAnsi="Times New Roman"/>
      <w:bCs/>
      <w:i/>
      <w:color w:val="7F7F7F" w:themeColor="text1" w:themeTint="80"/>
      <w:sz w:val="22"/>
      <w:szCs w:val="22"/>
      <w:lang w:val="en-GB" w:eastAsia="en-US"/>
    </w:rPr>
  </w:style>
  <w:style w:type="character" w:customStyle="1" w:styleId="Heading7Char">
    <w:name w:val="Heading 7 Char"/>
    <w:aliases w:val="Appendix Char"/>
    <w:link w:val="Heading7"/>
    <w:semiHidden/>
    <w:locked/>
    <w:rsid w:val="009852DB"/>
    <w:rPr>
      <w:rFonts w:ascii="Times New Roman" w:hAnsi="Times New Roman"/>
      <w:b/>
      <w:sz w:val="24"/>
      <w:szCs w:val="24"/>
    </w:rPr>
  </w:style>
  <w:style w:type="character" w:customStyle="1" w:styleId="Heading8Char">
    <w:name w:val="Heading 8 Char"/>
    <w:link w:val="Heading8"/>
    <w:semiHidden/>
    <w:locked/>
    <w:rsid w:val="009852DB"/>
    <w:rPr>
      <w:rFonts w:ascii="Arial" w:hAnsi="Arial"/>
      <w:i/>
    </w:rPr>
  </w:style>
  <w:style w:type="character" w:customStyle="1" w:styleId="Heading9Char">
    <w:name w:val="Heading 9 Char"/>
    <w:link w:val="Heading9"/>
    <w:semiHidden/>
    <w:locked/>
    <w:rsid w:val="009852DB"/>
    <w:rPr>
      <w:rFonts w:ascii="Arial" w:hAnsi="Arial"/>
      <w:b/>
      <w:i/>
      <w:sz w:val="18"/>
    </w:rPr>
  </w:style>
  <w:style w:type="paragraph" w:customStyle="1" w:styleId="FigureName">
    <w:name w:val="Figure Name"/>
    <w:basedOn w:val="TableName"/>
    <w:next w:val="Normal"/>
    <w:qFormat/>
    <w:rsid w:val="00F7639D"/>
  </w:style>
  <w:style w:type="paragraph" w:customStyle="1" w:styleId="TableName">
    <w:name w:val="Table Name"/>
    <w:basedOn w:val="TableTextLeft"/>
    <w:link w:val="TableNameChar"/>
    <w:qFormat/>
    <w:rsid w:val="00F7639D"/>
    <w:pPr>
      <w:spacing w:before="120" w:after="120"/>
      <w:ind w:left="1080" w:hanging="1080"/>
    </w:pPr>
    <w:rPr>
      <w:b/>
      <w:sz w:val="20"/>
    </w:rPr>
  </w:style>
  <w:style w:type="paragraph" w:customStyle="1" w:styleId="TableTextLeft">
    <w:name w:val="Table Text Left"/>
    <w:uiPriority w:val="99"/>
    <w:qFormat/>
    <w:rsid w:val="008A6CA2"/>
    <w:pPr>
      <w:spacing w:before="40" w:after="40"/>
    </w:pPr>
    <w:rPr>
      <w:rFonts w:ascii="Arial Narrow" w:hAnsi="Arial Narrow"/>
      <w:sz w:val="18"/>
      <w:lang w:val="en-GB" w:eastAsia="en-US"/>
    </w:rPr>
  </w:style>
  <w:style w:type="character" w:customStyle="1" w:styleId="TableNameChar">
    <w:name w:val="Table Name Char"/>
    <w:link w:val="TableName"/>
    <w:locked/>
    <w:rsid w:val="008D7FA3"/>
    <w:rPr>
      <w:rFonts w:ascii="Arial Narrow" w:hAnsi="Arial Narrow" w:cs="Times New Roman"/>
      <w:b/>
    </w:rPr>
  </w:style>
  <w:style w:type="paragraph" w:styleId="Footer">
    <w:name w:val="footer"/>
    <w:aliases w:val="Footer (page number)"/>
    <w:basedOn w:val="Normal"/>
    <w:link w:val="FooterChar"/>
    <w:uiPriority w:val="99"/>
    <w:qFormat/>
    <w:rsid w:val="00280AFD"/>
    <w:pPr>
      <w:tabs>
        <w:tab w:val="right" w:pos="8732"/>
      </w:tabs>
      <w:spacing w:after="0" w:line="240" w:lineRule="atLeast"/>
    </w:pPr>
    <w:rPr>
      <w:i/>
      <w:color w:val="808080"/>
      <w:sz w:val="18"/>
    </w:rPr>
  </w:style>
  <w:style w:type="character" w:customStyle="1" w:styleId="FooterChar">
    <w:name w:val="Footer Char"/>
    <w:aliases w:val="Footer (page number) Char"/>
    <w:link w:val="Footer"/>
    <w:uiPriority w:val="99"/>
    <w:locked/>
    <w:rsid w:val="00280AFD"/>
    <w:rPr>
      <w:rFonts w:ascii="Times New Roman" w:hAnsi="Times New Roman"/>
      <w:i/>
      <w:color w:val="808080"/>
      <w:sz w:val="18"/>
      <w:lang w:val="en-GB" w:eastAsia="en-US"/>
    </w:rPr>
  </w:style>
  <w:style w:type="paragraph" w:customStyle="1" w:styleId="HeadingAppendix1">
    <w:name w:val="Heading Appendix 1"/>
    <w:basedOn w:val="Heading1"/>
    <w:qFormat/>
    <w:rsid w:val="000A4D58"/>
    <w:pPr>
      <w:numPr>
        <w:numId w:val="6"/>
      </w:numPr>
      <w:tabs>
        <w:tab w:val="left" w:pos="2693"/>
      </w:tabs>
    </w:pPr>
  </w:style>
  <w:style w:type="paragraph" w:styleId="FootnoteText">
    <w:name w:val="footnote text"/>
    <w:aliases w:val="Footnote,(NECG) Footnote Text,Footnote Text Char2,(NECG) Footnote Text Char,Footnote Text Char1 Char1"/>
    <w:basedOn w:val="Normal"/>
    <w:link w:val="FootnoteTextChar"/>
    <w:uiPriority w:val="99"/>
    <w:qFormat/>
    <w:rsid w:val="00847798"/>
    <w:pPr>
      <w:overflowPunct w:val="0"/>
      <w:autoSpaceDE w:val="0"/>
      <w:autoSpaceDN w:val="0"/>
      <w:adjustRightInd w:val="0"/>
      <w:spacing w:after="120" w:line="240" w:lineRule="auto"/>
      <w:textAlignment w:val="baseline"/>
    </w:pPr>
    <w:rPr>
      <w:sz w:val="18"/>
      <w:szCs w:val="18"/>
      <w:lang w:val="en-AU"/>
    </w:rPr>
  </w:style>
  <w:style w:type="character" w:customStyle="1" w:styleId="FootnoteTextChar">
    <w:name w:val="Footnote Text Char"/>
    <w:aliases w:val="Footnote Char,(NECG) Footnote Text Char1,Footnote Text Char2 Char,(NECG) Footnote Text Char Char,Footnote Text Char1 Char1 Char"/>
    <w:link w:val="FootnoteText"/>
    <w:uiPriority w:val="99"/>
    <w:locked/>
    <w:rsid w:val="00847798"/>
    <w:rPr>
      <w:rFonts w:ascii="Times New Roman" w:hAnsi="Times New Roman"/>
      <w:sz w:val="18"/>
      <w:szCs w:val="18"/>
      <w:lang w:eastAsia="en-US"/>
    </w:rPr>
  </w:style>
  <w:style w:type="paragraph" w:styleId="TableofFigures">
    <w:name w:val="table of figures"/>
    <w:basedOn w:val="Normal"/>
    <w:next w:val="Normal"/>
    <w:uiPriority w:val="99"/>
    <w:rsid w:val="00874740"/>
    <w:pPr>
      <w:tabs>
        <w:tab w:val="left" w:pos="1418"/>
        <w:tab w:val="right" w:pos="7655"/>
      </w:tabs>
      <w:ind w:left="1418" w:right="1418" w:hanging="1418"/>
    </w:pPr>
    <w:rPr>
      <w:noProof/>
    </w:rPr>
  </w:style>
  <w:style w:type="paragraph" w:styleId="TOC3">
    <w:name w:val="toc 3"/>
    <w:basedOn w:val="TOC2"/>
    <w:next w:val="Normal"/>
    <w:autoRedefine/>
    <w:uiPriority w:val="39"/>
    <w:rsid w:val="00F7639D"/>
    <w:pPr>
      <w:tabs>
        <w:tab w:val="left" w:pos="1800"/>
      </w:tabs>
      <w:ind w:left="1800"/>
    </w:pPr>
  </w:style>
  <w:style w:type="paragraph" w:styleId="TOC2">
    <w:name w:val="toc 2"/>
    <w:basedOn w:val="TOC1"/>
    <w:next w:val="Normal"/>
    <w:uiPriority w:val="39"/>
    <w:rsid w:val="00F7639D"/>
    <w:pPr>
      <w:tabs>
        <w:tab w:val="clear" w:pos="360"/>
        <w:tab w:val="left" w:pos="1080"/>
      </w:tabs>
      <w:spacing w:before="60" w:after="0"/>
      <w:ind w:left="1080" w:hanging="720"/>
    </w:pPr>
    <w:rPr>
      <w:b w:val="0"/>
    </w:rPr>
  </w:style>
  <w:style w:type="paragraph" w:styleId="TOC1">
    <w:name w:val="toc 1"/>
    <w:basedOn w:val="Normal"/>
    <w:next w:val="Normal"/>
    <w:uiPriority w:val="39"/>
    <w:rsid w:val="00CF6CC5"/>
    <w:pPr>
      <w:tabs>
        <w:tab w:val="left" w:pos="360"/>
        <w:tab w:val="right" w:pos="7655"/>
      </w:tabs>
      <w:spacing w:before="360" w:after="60" w:line="240" w:lineRule="auto"/>
      <w:ind w:left="357" w:right="1134" w:hanging="357"/>
    </w:pPr>
    <w:rPr>
      <w:b/>
      <w:noProof/>
      <w:szCs w:val="40"/>
    </w:rPr>
  </w:style>
  <w:style w:type="paragraph" w:styleId="Quote">
    <w:name w:val="Quote"/>
    <w:basedOn w:val="Normal"/>
    <w:link w:val="QuoteChar"/>
    <w:qFormat/>
    <w:rsid w:val="00924F40"/>
    <w:pPr>
      <w:spacing w:line="240" w:lineRule="atLeast"/>
      <w:ind w:left="360" w:right="360"/>
    </w:pPr>
    <w:rPr>
      <w:sz w:val="20"/>
      <w:lang w:val="en-AU" w:eastAsia="en-AU"/>
    </w:rPr>
  </w:style>
  <w:style w:type="character" w:customStyle="1" w:styleId="QuoteChar">
    <w:name w:val="Quote Char"/>
    <w:link w:val="Quote"/>
    <w:locked/>
    <w:rsid w:val="00924F40"/>
    <w:rPr>
      <w:rFonts w:ascii="Times New Roman" w:hAnsi="Times New Roman" w:cs="Times New Roman"/>
    </w:rPr>
  </w:style>
  <w:style w:type="paragraph" w:customStyle="1" w:styleId="Bullet">
    <w:name w:val="Bullet"/>
    <w:basedOn w:val="Normal"/>
    <w:link w:val="BulletChar"/>
    <w:qFormat/>
    <w:rsid w:val="008B275E"/>
    <w:pPr>
      <w:numPr>
        <w:numId w:val="1"/>
      </w:numPr>
      <w:spacing w:after="100"/>
    </w:pPr>
  </w:style>
  <w:style w:type="character" w:customStyle="1" w:styleId="BulletChar">
    <w:name w:val="Bullet Char"/>
    <w:link w:val="Bullet"/>
    <w:locked/>
    <w:rsid w:val="008B275E"/>
    <w:rPr>
      <w:rFonts w:ascii="Times New Roman" w:hAnsi="Times New Roman"/>
      <w:sz w:val="22"/>
      <w:lang w:val="en-GB" w:eastAsia="en-US"/>
    </w:rPr>
  </w:style>
  <w:style w:type="paragraph" w:customStyle="1" w:styleId="Heading1a">
    <w:name w:val="Heading 1a"/>
    <w:basedOn w:val="Heading1"/>
    <w:rsid w:val="000A4D58"/>
    <w:pPr>
      <w:numPr>
        <w:numId w:val="0"/>
      </w:numPr>
    </w:pPr>
    <w:rPr>
      <w:lang w:val="en-AU"/>
    </w:rPr>
  </w:style>
  <w:style w:type="paragraph" w:customStyle="1" w:styleId="TableHeadingLeft">
    <w:name w:val="Table Heading Left"/>
    <w:basedOn w:val="TableTextLeft"/>
    <w:uiPriority w:val="99"/>
    <w:rsid w:val="0025119B"/>
    <w:rPr>
      <w:b/>
    </w:rPr>
  </w:style>
  <w:style w:type="paragraph" w:customStyle="1" w:styleId="TableNotes">
    <w:name w:val="Table Notes"/>
    <w:basedOn w:val="TableTextLeft"/>
    <w:rsid w:val="00F7639D"/>
    <w:pPr>
      <w:keepLines/>
      <w:spacing w:before="60" w:after="0"/>
    </w:pPr>
    <w:rPr>
      <w:sz w:val="16"/>
    </w:rPr>
  </w:style>
  <w:style w:type="paragraph" w:customStyle="1" w:styleId="BulletLast">
    <w:name w:val="Bullet Last"/>
    <w:basedOn w:val="Normal"/>
    <w:qFormat/>
    <w:rsid w:val="008B275E"/>
    <w:pPr>
      <w:numPr>
        <w:numId w:val="5"/>
      </w:numPr>
      <w:ind w:left="681" w:hanging="397"/>
    </w:pPr>
  </w:style>
  <w:style w:type="paragraph" w:customStyle="1" w:styleId="TableBullet">
    <w:name w:val="Table Bullet"/>
    <w:basedOn w:val="TableTextLeft"/>
    <w:uiPriority w:val="99"/>
    <w:rsid w:val="00F7639D"/>
    <w:pPr>
      <w:numPr>
        <w:numId w:val="2"/>
      </w:numPr>
      <w:tabs>
        <w:tab w:val="left" w:pos="216"/>
      </w:tabs>
    </w:pPr>
  </w:style>
  <w:style w:type="paragraph" w:customStyle="1" w:styleId="TableNotesHanging">
    <w:name w:val="Table Notes Hanging"/>
    <w:basedOn w:val="TableNotes"/>
    <w:uiPriority w:val="99"/>
    <w:rsid w:val="00857C3E"/>
    <w:pPr>
      <w:ind w:left="737" w:hanging="737"/>
    </w:pPr>
  </w:style>
  <w:style w:type="character" w:styleId="Hyperlink">
    <w:name w:val="Hyperlink"/>
    <w:uiPriority w:val="99"/>
    <w:rsid w:val="00F7639D"/>
    <w:rPr>
      <w:rFonts w:ascii="Times New Roman" w:hAnsi="Times New Roman" w:cs="Times New Roman"/>
      <w:color w:val="000000"/>
      <w:sz w:val="22"/>
      <w:u w:val="none"/>
    </w:rPr>
  </w:style>
  <w:style w:type="paragraph" w:customStyle="1" w:styleId="TableNotesHangingLast">
    <w:name w:val="Table Notes Hanging Last"/>
    <w:basedOn w:val="TableNotesHanging"/>
    <w:uiPriority w:val="99"/>
    <w:rsid w:val="00857C3E"/>
    <w:pPr>
      <w:spacing w:after="320"/>
    </w:pPr>
  </w:style>
  <w:style w:type="paragraph" w:customStyle="1" w:styleId="TableNotesLast">
    <w:name w:val="Table Notes Last"/>
    <w:basedOn w:val="TableNotes"/>
    <w:rsid w:val="00F7639D"/>
    <w:pPr>
      <w:spacing w:after="320"/>
    </w:pPr>
  </w:style>
  <w:style w:type="paragraph" w:styleId="CommentText">
    <w:name w:val="annotation text"/>
    <w:basedOn w:val="Normal"/>
    <w:link w:val="CommentTextChar"/>
    <w:uiPriority w:val="99"/>
    <w:semiHidden/>
    <w:locked/>
    <w:rsid w:val="00474ECC"/>
    <w:rPr>
      <w:sz w:val="24"/>
      <w:szCs w:val="24"/>
    </w:rPr>
  </w:style>
  <w:style w:type="character" w:customStyle="1" w:styleId="CommentTextChar">
    <w:name w:val="Comment Text Char"/>
    <w:link w:val="CommentText"/>
    <w:uiPriority w:val="99"/>
    <w:semiHidden/>
    <w:locked/>
    <w:rsid w:val="00474ECC"/>
    <w:rPr>
      <w:rFonts w:ascii="Times New Roman" w:hAnsi="Times New Roman" w:cs="Times New Roman"/>
      <w:sz w:val="24"/>
      <w:szCs w:val="24"/>
    </w:rPr>
  </w:style>
  <w:style w:type="paragraph" w:styleId="CommentSubject">
    <w:name w:val="annotation subject"/>
    <w:basedOn w:val="CommentText"/>
    <w:next w:val="CommentText"/>
    <w:link w:val="CommentSubjectChar"/>
    <w:semiHidden/>
    <w:locked/>
    <w:rsid w:val="00474ECC"/>
    <w:rPr>
      <w:sz w:val="22"/>
      <w:szCs w:val="20"/>
    </w:rPr>
  </w:style>
  <w:style w:type="character" w:customStyle="1" w:styleId="CommentSubjectChar">
    <w:name w:val="Comment Subject Char"/>
    <w:basedOn w:val="CommentTextChar"/>
    <w:link w:val="CommentSubject"/>
    <w:semiHidden/>
    <w:locked/>
    <w:rsid w:val="00474ECC"/>
    <w:rPr>
      <w:rFonts w:ascii="Times New Roman" w:hAnsi="Times New Roman" w:cs="Times New Roman"/>
      <w:sz w:val="24"/>
      <w:szCs w:val="24"/>
    </w:rPr>
  </w:style>
  <w:style w:type="paragraph" w:styleId="EndnoteText">
    <w:name w:val="endnote text"/>
    <w:basedOn w:val="Normal"/>
    <w:link w:val="EndnoteTextChar"/>
    <w:semiHidden/>
    <w:locked/>
    <w:rsid w:val="00474ECC"/>
    <w:rPr>
      <w:sz w:val="20"/>
    </w:rPr>
  </w:style>
  <w:style w:type="character" w:customStyle="1" w:styleId="EndnoteTextChar">
    <w:name w:val="Endnote Text Char"/>
    <w:link w:val="EndnoteText"/>
    <w:semiHidden/>
    <w:locked/>
    <w:rsid w:val="00474ECC"/>
    <w:rPr>
      <w:rFonts w:ascii="Times New Roman" w:hAnsi="Times New Roman" w:cs="Times New Roman"/>
    </w:rPr>
  </w:style>
  <w:style w:type="paragraph" w:styleId="Index1">
    <w:name w:val="index 1"/>
    <w:basedOn w:val="Normal"/>
    <w:next w:val="Normal"/>
    <w:autoRedefine/>
    <w:uiPriority w:val="99"/>
    <w:semiHidden/>
    <w:locked/>
    <w:rsid w:val="00474ECC"/>
    <w:pPr>
      <w:ind w:left="220" w:hanging="220"/>
    </w:pPr>
  </w:style>
  <w:style w:type="paragraph" w:styleId="Index2">
    <w:name w:val="index 2"/>
    <w:basedOn w:val="Normal"/>
    <w:next w:val="Normal"/>
    <w:autoRedefine/>
    <w:semiHidden/>
    <w:locked/>
    <w:rsid w:val="00474ECC"/>
    <w:pPr>
      <w:ind w:left="440" w:hanging="220"/>
    </w:pPr>
  </w:style>
  <w:style w:type="paragraph" w:styleId="Index3">
    <w:name w:val="index 3"/>
    <w:basedOn w:val="Normal"/>
    <w:next w:val="Normal"/>
    <w:autoRedefine/>
    <w:semiHidden/>
    <w:locked/>
    <w:rsid w:val="00474ECC"/>
    <w:pPr>
      <w:ind w:left="660" w:hanging="220"/>
    </w:pPr>
  </w:style>
  <w:style w:type="paragraph" w:styleId="Index4">
    <w:name w:val="index 4"/>
    <w:basedOn w:val="Normal"/>
    <w:next w:val="Normal"/>
    <w:autoRedefine/>
    <w:semiHidden/>
    <w:locked/>
    <w:rsid w:val="00474ECC"/>
    <w:pPr>
      <w:ind w:left="880" w:hanging="220"/>
    </w:pPr>
  </w:style>
  <w:style w:type="paragraph" w:styleId="Index5">
    <w:name w:val="index 5"/>
    <w:basedOn w:val="Normal"/>
    <w:next w:val="Normal"/>
    <w:autoRedefine/>
    <w:semiHidden/>
    <w:locked/>
    <w:rsid w:val="00474ECC"/>
    <w:pPr>
      <w:ind w:left="1100" w:hanging="220"/>
    </w:pPr>
  </w:style>
  <w:style w:type="paragraph" w:styleId="Index6">
    <w:name w:val="index 6"/>
    <w:basedOn w:val="Normal"/>
    <w:next w:val="Normal"/>
    <w:autoRedefine/>
    <w:semiHidden/>
    <w:locked/>
    <w:rsid w:val="00474ECC"/>
    <w:pPr>
      <w:ind w:left="1320" w:hanging="220"/>
    </w:pPr>
  </w:style>
  <w:style w:type="paragraph" w:styleId="Index7">
    <w:name w:val="index 7"/>
    <w:basedOn w:val="Normal"/>
    <w:next w:val="Normal"/>
    <w:autoRedefine/>
    <w:semiHidden/>
    <w:locked/>
    <w:rsid w:val="00474ECC"/>
    <w:pPr>
      <w:ind w:left="1540" w:hanging="220"/>
    </w:pPr>
  </w:style>
  <w:style w:type="paragraph" w:styleId="Index8">
    <w:name w:val="index 8"/>
    <w:basedOn w:val="Normal"/>
    <w:next w:val="Normal"/>
    <w:autoRedefine/>
    <w:semiHidden/>
    <w:locked/>
    <w:rsid w:val="00474ECC"/>
    <w:pPr>
      <w:ind w:left="1760" w:hanging="220"/>
    </w:pPr>
  </w:style>
  <w:style w:type="paragraph" w:styleId="Index9">
    <w:name w:val="index 9"/>
    <w:basedOn w:val="Normal"/>
    <w:next w:val="Normal"/>
    <w:autoRedefine/>
    <w:semiHidden/>
    <w:locked/>
    <w:rsid w:val="00474ECC"/>
    <w:pPr>
      <w:ind w:left="1980" w:hanging="220"/>
    </w:pPr>
  </w:style>
  <w:style w:type="paragraph" w:styleId="IndexHeading">
    <w:name w:val="index heading"/>
    <w:basedOn w:val="Normal"/>
    <w:next w:val="Index1"/>
    <w:semiHidden/>
    <w:locked/>
    <w:rsid w:val="00474ECC"/>
    <w:rPr>
      <w:rFonts w:ascii="Arial" w:hAnsi="Arial" w:cs="Arial"/>
      <w:b/>
      <w:bCs/>
    </w:rPr>
  </w:style>
  <w:style w:type="paragraph" w:styleId="Caption">
    <w:name w:val="caption"/>
    <w:basedOn w:val="Normal"/>
    <w:next w:val="Normal"/>
    <w:semiHidden/>
    <w:qFormat/>
    <w:locked/>
    <w:rsid w:val="00C768A3"/>
    <w:pPr>
      <w:spacing w:after="200" w:line="240" w:lineRule="auto"/>
    </w:pPr>
    <w:rPr>
      <w:b/>
      <w:bCs/>
      <w:color w:val="4F81BD" w:themeColor="accent1"/>
      <w:sz w:val="18"/>
      <w:szCs w:val="18"/>
    </w:rPr>
  </w:style>
  <w:style w:type="paragraph" w:styleId="TOAHeading">
    <w:name w:val="toa heading"/>
    <w:basedOn w:val="Normal"/>
    <w:next w:val="Normal"/>
    <w:semiHidden/>
    <w:locked/>
    <w:rsid w:val="00474ECC"/>
    <w:pPr>
      <w:spacing w:before="120"/>
    </w:pPr>
    <w:rPr>
      <w:rFonts w:ascii="Arial" w:hAnsi="Arial" w:cs="Arial"/>
      <w:b/>
      <w:bCs/>
      <w:sz w:val="24"/>
      <w:szCs w:val="24"/>
    </w:rPr>
  </w:style>
  <w:style w:type="paragraph" w:customStyle="1" w:styleId="QuoteBullet">
    <w:name w:val="Quote Bullet"/>
    <w:basedOn w:val="Quote"/>
    <w:uiPriority w:val="99"/>
    <w:qFormat/>
    <w:rsid w:val="00F7639D"/>
    <w:pPr>
      <w:numPr>
        <w:numId w:val="3"/>
      </w:numPr>
      <w:ind w:left="714" w:right="357" w:hanging="357"/>
    </w:pPr>
  </w:style>
  <w:style w:type="paragraph" w:customStyle="1" w:styleId="References">
    <w:name w:val="References"/>
    <w:basedOn w:val="Normal"/>
    <w:qFormat/>
    <w:rsid w:val="00F24C6B"/>
    <w:pPr>
      <w:ind w:left="567" w:hanging="567"/>
    </w:pPr>
    <w:rPr>
      <w:szCs w:val="24"/>
    </w:rPr>
  </w:style>
  <w:style w:type="table" w:styleId="TableGrid">
    <w:name w:val="Table Grid"/>
    <w:basedOn w:val="TableNormal"/>
    <w:locked/>
    <w:rsid w:val="00474ECC"/>
    <w:pPr>
      <w:spacing w:after="220" w:line="280" w:lineRule="atLeast"/>
    </w:pPr>
    <w:rPr>
      <w:rFonts w:ascii="Times New Roman" w:eastAsia="SimSu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474ECC"/>
    <w:rPr>
      <w:rFonts w:ascii="Times New Roman" w:eastAsia="SimSun" w:hAnsi="Times New Roman"/>
      <w:sz w:val="22"/>
      <w:lang w:val="en-GB" w:eastAsia="en-US"/>
    </w:rPr>
  </w:style>
  <w:style w:type="table" w:customStyle="1" w:styleId="Style1">
    <w:name w:val="Style1"/>
    <w:locked/>
    <w:rsid w:val="00474ECC"/>
    <w:rPr>
      <w:rFonts w:ascii="Arial Narrow" w:eastAsia="SimSun" w:hAnsi="Arial Narrow"/>
      <w:sz w:val="18"/>
    </w:rPr>
    <w:tblPr>
      <w:tblInd w:w="0" w:type="dxa"/>
      <w:tblBorders>
        <w:top w:val="single" w:sz="8" w:space="0" w:color="333399"/>
        <w:bottom w:val="single" w:sz="8" w:space="0" w:color="333399"/>
      </w:tblBorders>
      <w:tblCellMar>
        <w:top w:w="0" w:type="dxa"/>
        <w:left w:w="108" w:type="dxa"/>
        <w:bottom w:w="0" w:type="dxa"/>
        <w:right w:w="108" w:type="dxa"/>
      </w:tblCellMar>
    </w:tblPr>
  </w:style>
  <w:style w:type="paragraph" w:styleId="PlainText">
    <w:name w:val="Plain Text"/>
    <w:basedOn w:val="Normal"/>
    <w:link w:val="PlainTextChar"/>
    <w:semiHidden/>
    <w:locked/>
    <w:rsid w:val="00474ECC"/>
    <w:rPr>
      <w:rFonts w:ascii="Consolas" w:hAnsi="Consolas"/>
      <w:sz w:val="21"/>
      <w:szCs w:val="21"/>
    </w:rPr>
  </w:style>
  <w:style w:type="character" w:customStyle="1" w:styleId="PlainTextChar">
    <w:name w:val="Plain Text Char"/>
    <w:link w:val="PlainText"/>
    <w:semiHidden/>
    <w:locked/>
    <w:rsid w:val="00474ECC"/>
    <w:rPr>
      <w:rFonts w:ascii="Consolas" w:hAnsi="Consolas" w:cs="Times New Roman"/>
      <w:sz w:val="21"/>
      <w:szCs w:val="21"/>
    </w:rPr>
  </w:style>
  <w:style w:type="table" w:customStyle="1" w:styleId="icrctable">
    <w:name w:val="icrc table"/>
    <w:basedOn w:val="TableSimple1"/>
    <w:locked/>
    <w:rsid w:val="00F7639D"/>
    <w:rPr>
      <w:rFonts w:ascii="Arial Narrow" w:hAnsi="Arial Narrow"/>
      <w:sz w:val="18"/>
      <w:lang w:val="en-US" w:eastAsia="en-US"/>
    </w:rPr>
    <w:tblPr>
      <w:tblBorders>
        <w:top w:val="single" w:sz="8" w:space="0" w:color="333399"/>
        <w:bottom w:val="single" w:sz="8" w:space="0" w:color="333399"/>
      </w:tblBorders>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styleId="TableSimple1">
    <w:name w:val="Table Simple 1"/>
    <w:basedOn w:val="TableNormal"/>
    <w:locked/>
    <w:rsid w:val="00F7639D"/>
    <w:pPr>
      <w:spacing w:after="220" w:line="280" w:lineRule="atLeast"/>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eaderodd">
    <w:name w:val="Header (odd)"/>
    <w:basedOn w:val="Normal"/>
    <w:rsid w:val="006D6B12"/>
    <w:pPr>
      <w:spacing w:after="0"/>
      <w:jc w:val="right"/>
    </w:pPr>
    <w:rPr>
      <w:i/>
      <w:color w:val="808080"/>
      <w:sz w:val="18"/>
      <w:szCs w:val="18"/>
    </w:rPr>
  </w:style>
  <w:style w:type="paragraph" w:customStyle="1" w:styleId="Headereven">
    <w:name w:val="Header (even)"/>
    <w:basedOn w:val="Headerodd"/>
    <w:rsid w:val="006D6B12"/>
    <w:pPr>
      <w:jc w:val="left"/>
    </w:pPr>
  </w:style>
  <w:style w:type="table" w:customStyle="1" w:styleId="ICRC">
    <w:name w:val="ICRC"/>
    <w:locked/>
    <w:rsid w:val="00474ECC"/>
    <w:rPr>
      <w:rFonts w:ascii="Arial Narrow" w:hAnsi="Arial Narrow"/>
      <w:sz w:val="18"/>
    </w:rPr>
    <w:tblPr>
      <w:tblInd w:w="0" w:type="dxa"/>
      <w:tblBorders>
        <w:bottom w:val="single" w:sz="12" w:space="0" w:color="333399"/>
      </w:tblBorders>
      <w:tblCellMar>
        <w:top w:w="0" w:type="dxa"/>
        <w:left w:w="108" w:type="dxa"/>
        <w:bottom w:w="0" w:type="dxa"/>
        <w:right w:w="108" w:type="dxa"/>
      </w:tblCellMar>
    </w:tblPr>
  </w:style>
  <w:style w:type="paragraph" w:customStyle="1" w:styleId="FigureText">
    <w:name w:val="Figure Text"/>
    <w:basedOn w:val="Normal"/>
    <w:qFormat/>
    <w:rsid w:val="00F7639D"/>
    <w:pPr>
      <w:spacing w:after="0" w:line="240" w:lineRule="auto"/>
    </w:pPr>
    <w:rPr>
      <w:rFonts w:ascii="Arial" w:hAnsi="Arial"/>
      <w:sz w:val="16"/>
    </w:rPr>
  </w:style>
  <w:style w:type="character" w:styleId="EndnoteReference">
    <w:name w:val="endnote reference"/>
    <w:uiPriority w:val="99"/>
    <w:semiHidden/>
    <w:unhideWhenUsed/>
    <w:locked/>
    <w:rsid w:val="001609AB"/>
    <w:rPr>
      <w:vertAlign w:val="superscript"/>
    </w:rPr>
  </w:style>
  <w:style w:type="paragraph" w:styleId="BalloonText">
    <w:name w:val="Balloon Text"/>
    <w:basedOn w:val="Normal"/>
    <w:link w:val="BalloonTextChar"/>
    <w:uiPriority w:val="99"/>
    <w:semiHidden/>
    <w:unhideWhenUsed/>
    <w:locked/>
    <w:rsid w:val="005F1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B"/>
    <w:rPr>
      <w:rFonts w:ascii="Tahoma" w:hAnsi="Tahoma" w:cs="Tahoma"/>
      <w:sz w:val="16"/>
      <w:szCs w:val="16"/>
      <w:lang w:val="en-GB" w:eastAsia="en-US"/>
    </w:rPr>
  </w:style>
  <w:style w:type="character" w:styleId="CommentReference">
    <w:name w:val="annotation reference"/>
    <w:basedOn w:val="DefaultParagraphFont"/>
    <w:uiPriority w:val="99"/>
    <w:semiHidden/>
    <w:unhideWhenUsed/>
    <w:locked/>
    <w:rsid w:val="0031462D"/>
    <w:rPr>
      <w:sz w:val="16"/>
      <w:szCs w:val="16"/>
    </w:rPr>
  </w:style>
  <w:style w:type="character" w:styleId="PlaceholderText">
    <w:name w:val="Placeholder Text"/>
    <w:basedOn w:val="DefaultParagraphFont"/>
    <w:uiPriority w:val="99"/>
    <w:semiHidden/>
    <w:locked/>
    <w:rsid w:val="0074389C"/>
    <w:rPr>
      <w:color w:val="808080"/>
    </w:rPr>
  </w:style>
  <w:style w:type="paragraph" w:customStyle="1" w:styleId="HeadingPart">
    <w:name w:val="Heading Part"/>
    <w:basedOn w:val="Heading1"/>
    <w:qFormat/>
    <w:rsid w:val="000A4D58"/>
    <w:pPr>
      <w:numPr>
        <w:numId w:val="4"/>
      </w:numPr>
      <w:tabs>
        <w:tab w:val="left" w:pos="1843"/>
      </w:tabs>
    </w:pPr>
  </w:style>
  <w:style w:type="character" w:styleId="FootnoteReference">
    <w:name w:val="footnote reference"/>
    <w:aliases w:val="(NECG) Footnote Reference"/>
    <w:basedOn w:val="DefaultParagraphFont"/>
    <w:uiPriority w:val="99"/>
    <w:unhideWhenUsed/>
    <w:rsid w:val="00FE0570"/>
    <w:rPr>
      <w:vertAlign w:val="superscript"/>
    </w:rPr>
  </w:style>
  <w:style w:type="character" w:customStyle="1" w:styleId="Italic">
    <w:name w:val="Italic"/>
    <w:basedOn w:val="DefaultParagraphFont"/>
    <w:uiPriority w:val="1"/>
    <w:qFormat/>
    <w:rsid w:val="00F24C6B"/>
    <w:rPr>
      <w:i/>
    </w:rPr>
  </w:style>
  <w:style w:type="character" w:customStyle="1" w:styleId="HighlightYellow">
    <w:name w:val="Highlight Yellow"/>
    <w:basedOn w:val="DefaultParagraphFont"/>
    <w:uiPriority w:val="1"/>
    <w:qFormat/>
    <w:rsid w:val="00A75C51"/>
    <w:rPr>
      <w:sz w:val="22"/>
      <w:szCs w:val="24"/>
      <w:bdr w:val="none" w:sz="0" w:space="0" w:color="auto"/>
      <w:shd w:val="clear" w:color="auto" w:fill="FFFF00"/>
    </w:rPr>
  </w:style>
  <w:style w:type="character" w:customStyle="1" w:styleId="HighlightGreen">
    <w:name w:val="Highlight Green"/>
    <w:basedOn w:val="HighlightYellow"/>
    <w:uiPriority w:val="1"/>
    <w:qFormat/>
    <w:rsid w:val="00FF5F02"/>
    <w:rPr>
      <w:sz w:val="22"/>
      <w:szCs w:val="24"/>
      <w:bdr w:val="none" w:sz="0" w:space="0" w:color="auto"/>
      <w:shd w:val="clear" w:color="auto" w:fill="92D050"/>
    </w:rPr>
  </w:style>
  <w:style w:type="character" w:customStyle="1" w:styleId="HighlightBlue">
    <w:name w:val="Highlight Blue"/>
    <w:basedOn w:val="HighlightGreen"/>
    <w:uiPriority w:val="1"/>
    <w:qFormat/>
    <w:rsid w:val="00FF5F02"/>
    <w:rPr>
      <w:sz w:val="22"/>
      <w:szCs w:val="24"/>
      <w:bdr w:val="none" w:sz="0" w:space="0" w:color="auto"/>
      <w:shd w:val="clear" w:color="auto" w:fill="00B0F0"/>
    </w:rPr>
  </w:style>
  <w:style w:type="character" w:customStyle="1" w:styleId="Bold">
    <w:name w:val="Bold"/>
    <w:basedOn w:val="DefaultParagraphFont"/>
    <w:uiPriority w:val="1"/>
    <w:qFormat/>
    <w:rsid w:val="00FB72CD"/>
    <w:rPr>
      <w:rFonts w:eastAsia="SimSun"/>
      <w:b/>
      <w:lang w:val="en-AU"/>
    </w:rPr>
  </w:style>
  <w:style w:type="paragraph" w:customStyle="1" w:styleId="Heading50">
    <w:name w:val="Heading 5^"/>
    <w:basedOn w:val="Heading5"/>
    <w:link w:val="Heading5Char0"/>
    <w:qFormat/>
    <w:rsid w:val="001822C4"/>
    <w:pPr>
      <w:spacing w:before="0" w:after="120"/>
    </w:pPr>
    <w:rPr>
      <w:szCs w:val="24"/>
      <w:lang w:val="en-AU"/>
    </w:rPr>
  </w:style>
  <w:style w:type="character" w:customStyle="1" w:styleId="Heading5Char0">
    <w:name w:val="Heading 5^ Char"/>
    <w:basedOn w:val="Heading5Char"/>
    <w:link w:val="Heading50"/>
    <w:rsid w:val="001822C4"/>
    <w:rPr>
      <w:rFonts w:ascii="Times New Roman" w:hAnsi="Times New Roman"/>
      <w:i/>
      <w:sz w:val="24"/>
      <w:szCs w:val="24"/>
      <w:lang w:val="en-GB" w:eastAsia="en-US"/>
    </w:rPr>
  </w:style>
  <w:style w:type="paragraph" w:customStyle="1" w:styleId="QuoteListnumber">
    <w:name w:val="Quote List (number)"/>
    <w:basedOn w:val="Normal"/>
    <w:rsid w:val="005566BA"/>
    <w:rPr>
      <w:sz w:val="20"/>
    </w:rPr>
  </w:style>
  <w:style w:type="paragraph" w:customStyle="1" w:styleId="TableHeadingRight">
    <w:name w:val="Table Heading Right"/>
    <w:basedOn w:val="TableHeadingLeft"/>
    <w:qFormat/>
    <w:rsid w:val="00280AFD"/>
    <w:pPr>
      <w:jc w:val="right"/>
    </w:pPr>
  </w:style>
  <w:style w:type="paragraph" w:customStyle="1" w:styleId="TableTextRight">
    <w:name w:val="Table Text Right"/>
    <w:basedOn w:val="TableTextLeft"/>
    <w:qFormat/>
    <w:rsid w:val="008A6CA2"/>
    <w:pPr>
      <w:jc w:val="right"/>
    </w:pPr>
  </w:style>
  <w:style w:type="paragraph" w:customStyle="1" w:styleId="HeadingAppendix2">
    <w:name w:val="Heading Appendix 2"/>
    <w:basedOn w:val="Heading2"/>
    <w:qFormat/>
    <w:rsid w:val="00D42FF9"/>
    <w:pPr>
      <w:numPr>
        <w:numId w:val="6"/>
      </w:numPr>
    </w:pPr>
  </w:style>
  <w:style w:type="paragraph" w:customStyle="1" w:styleId="HeadingAppendix3">
    <w:name w:val="Heading Appendix 3"/>
    <w:basedOn w:val="Heading3"/>
    <w:qFormat/>
    <w:rsid w:val="00D42FF9"/>
    <w:pPr>
      <w:numPr>
        <w:numId w:val="6"/>
      </w:numPr>
    </w:pPr>
  </w:style>
  <w:style w:type="paragraph" w:styleId="DocumentMap">
    <w:name w:val="Document Map"/>
    <w:basedOn w:val="Normal"/>
    <w:link w:val="DocumentMapChar"/>
    <w:uiPriority w:val="99"/>
    <w:semiHidden/>
    <w:unhideWhenUsed/>
    <w:locked/>
    <w:rsid w:val="00E258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58B7"/>
    <w:rPr>
      <w:rFonts w:ascii="Tahoma" w:hAnsi="Tahoma" w:cs="Tahoma"/>
      <w:sz w:val="16"/>
      <w:szCs w:val="16"/>
      <w:lang w:val="en-GB" w:eastAsia="en-US"/>
    </w:rPr>
  </w:style>
  <w:style w:type="paragraph" w:customStyle="1" w:styleId="QuoteListletter">
    <w:name w:val="Quote List (letter)"/>
    <w:basedOn w:val="QuoteListnumber"/>
    <w:qFormat/>
    <w:rsid w:val="005566BA"/>
    <w:pPr>
      <w:numPr>
        <w:ilvl w:val="1"/>
      </w:numPr>
    </w:pPr>
  </w:style>
  <w:style w:type="character" w:styleId="Emphasis">
    <w:name w:val="Emphasis"/>
    <w:basedOn w:val="DefaultParagraphFont"/>
    <w:qFormat/>
    <w:locked/>
    <w:rsid w:val="00F4763B"/>
    <w:rPr>
      <w:i/>
      <w:iCs/>
    </w:rPr>
  </w:style>
  <w:style w:type="paragraph" w:customStyle="1" w:styleId="Equation">
    <w:name w:val="Equation"/>
    <w:basedOn w:val="EquationVariables"/>
    <w:uiPriority w:val="99"/>
    <w:qFormat/>
    <w:rsid w:val="00F7295F"/>
    <w:pPr>
      <w:tabs>
        <w:tab w:val="clear" w:pos="1985"/>
      </w:tabs>
      <w:ind w:left="1418" w:firstLine="0"/>
    </w:pPr>
  </w:style>
  <w:style w:type="paragraph" w:customStyle="1" w:styleId="EquationVariables">
    <w:name w:val="Equation Variables"/>
    <w:basedOn w:val="Normal"/>
    <w:qFormat/>
    <w:rsid w:val="00F7295F"/>
    <w:pPr>
      <w:tabs>
        <w:tab w:val="left" w:pos="1985"/>
      </w:tabs>
      <w:ind w:left="2552" w:hanging="1134"/>
    </w:pPr>
  </w:style>
  <w:style w:type="paragraph" w:customStyle="1" w:styleId="HeadingAppendix">
    <w:name w:val="Heading Appendix"/>
    <w:basedOn w:val="Heading1"/>
    <w:uiPriority w:val="99"/>
    <w:locked/>
    <w:rsid w:val="006E1C49"/>
    <w:pPr>
      <w:numPr>
        <w:numId w:val="0"/>
      </w:numPr>
      <w:tabs>
        <w:tab w:val="left" w:pos="2693"/>
      </w:tabs>
      <w:ind w:left="2693" w:hanging="2693"/>
    </w:pPr>
  </w:style>
  <w:style w:type="paragraph" w:customStyle="1" w:styleId="Bodybulletintro">
    <w:name w:val="Body (bullet intro)"/>
    <w:basedOn w:val="Normal"/>
    <w:qFormat/>
    <w:rsid w:val="00C47CD1"/>
    <w:pPr>
      <w:keepNext/>
      <w:spacing w:after="100"/>
    </w:pPr>
  </w:style>
  <w:style w:type="paragraph" w:customStyle="1" w:styleId="Bodytableoutro">
    <w:name w:val="Body (table outro)"/>
    <w:basedOn w:val="Normal"/>
    <w:qFormat/>
    <w:rsid w:val="00814952"/>
    <w:pPr>
      <w:spacing w:before="220"/>
    </w:pPr>
  </w:style>
  <w:style w:type="paragraph" w:customStyle="1" w:styleId="TableTextLeftIndent">
    <w:name w:val="Table Text Left Indent"/>
    <w:basedOn w:val="TableTextLeft"/>
    <w:qFormat/>
    <w:rsid w:val="008A6CA2"/>
    <w:pPr>
      <w:ind w:left="170"/>
    </w:pPr>
    <w:rPr>
      <w:lang w:val="en-AU" w:eastAsia="en-AU"/>
    </w:rPr>
  </w:style>
  <w:style w:type="paragraph" w:customStyle="1" w:styleId="ToRName">
    <w:name w:val="ToR Name"/>
    <w:basedOn w:val="Normal"/>
    <w:uiPriority w:val="99"/>
    <w:rsid w:val="001A0127"/>
    <w:pPr>
      <w:tabs>
        <w:tab w:val="left" w:pos="2400"/>
        <w:tab w:val="left" w:pos="2880"/>
      </w:tabs>
      <w:spacing w:before="1220" w:after="100" w:line="240" w:lineRule="auto"/>
    </w:pPr>
    <w:rPr>
      <w:rFonts w:ascii="Arial" w:eastAsia="Times New Roman" w:hAnsi="Arial"/>
      <w:b/>
      <w:sz w:val="40"/>
      <w:lang w:val="en-AU"/>
    </w:rPr>
  </w:style>
  <w:style w:type="paragraph" w:customStyle="1" w:styleId="ToRCoverActs">
    <w:name w:val="ToR Cover Acts"/>
    <w:basedOn w:val="Normal"/>
    <w:uiPriority w:val="99"/>
    <w:rsid w:val="001A0127"/>
    <w:pPr>
      <w:tabs>
        <w:tab w:val="left" w:pos="2600"/>
      </w:tabs>
      <w:spacing w:before="200" w:after="60" w:line="240" w:lineRule="auto"/>
      <w:jc w:val="both"/>
    </w:pPr>
    <w:rPr>
      <w:rFonts w:ascii="Arial" w:eastAsia="Times New Roman" w:hAnsi="Arial"/>
      <w:b/>
      <w:sz w:val="24"/>
      <w:lang w:val="en-AU"/>
    </w:rPr>
  </w:style>
  <w:style w:type="paragraph" w:customStyle="1" w:styleId="CoverReport">
    <w:name w:val="Cover Report"/>
    <w:basedOn w:val="Normal"/>
    <w:qFormat/>
    <w:rsid w:val="00287869"/>
    <w:pPr>
      <w:spacing w:after="80"/>
      <w:ind w:left="142" w:right="98"/>
      <w:jc w:val="right"/>
    </w:pPr>
    <w:rPr>
      <w:rFonts w:ascii="Arial" w:hAnsi="Arial"/>
      <w:bCs/>
      <w:sz w:val="36"/>
      <w:szCs w:val="36"/>
      <w:lang w:val="en-AU"/>
    </w:rPr>
  </w:style>
  <w:style w:type="paragraph" w:customStyle="1" w:styleId="CoverInquiry">
    <w:name w:val="Cover Inquiry"/>
    <w:basedOn w:val="Normal"/>
    <w:qFormat/>
    <w:rsid w:val="00287869"/>
    <w:pPr>
      <w:ind w:left="142" w:right="98"/>
      <w:jc w:val="right"/>
    </w:pPr>
    <w:rPr>
      <w:rFonts w:ascii="Arial" w:hAnsi="Arial" w:cs="Arial"/>
      <w:b/>
      <w:color w:val="000033"/>
      <w:sz w:val="48"/>
      <w:szCs w:val="48"/>
    </w:rPr>
  </w:style>
  <w:style w:type="paragraph" w:customStyle="1" w:styleId="CoverReportNumMonth">
    <w:name w:val="Cover ReportNum &amp; Month"/>
    <w:basedOn w:val="Normal"/>
    <w:qFormat/>
    <w:rsid w:val="00287869"/>
    <w:pPr>
      <w:ind w:left="142" w:right="98"/>
      <w:jc w:val="right"/>
    </w:pPr>
    <w:rPr>
      <w:rFonts w:ascii="Arial" w:hAnsi="Arial"/>
      <w:b/>
      <w:sz w:val="24"/>
      <w:lang w:val="en-AU"/>
    </w:rPr>
  </w:style>
  <w:style w:type="character" w:customStyle="1" w:styleId="charBoldItals">
    <w:name w:val="charBoldItals"/>
    <w:basedOn w:val="DefaultParagraphFont"/>
    <w:uiPriority w:val="99"/>
    <w:rsid w:val="00DC784F"/>
    <w:rPr>
      <w:rFonts w:cs="Times New Roman"/>
      <w:b/>
      <w:bCs/>
      <w:i/>
      <w:iCs/>
    </w:rPr>
  </w:style>
  <w:style w:type="paragraph" w:customStyle="1" w:styleId="Apara">
    <w:name w:val="A para"/>
    <w:basedOn w:val="Normal"/>
    <w:uiPriority w:val="99"/>
    <w:rsid w:val="00DC784F"/>
    <w:pPr>
      <w:tabs>
        <w:tab w:val="right" w:pos="1400"/>
        <w:tab w:val="left" w:pos="1600"/>
      </w:tabs>
      <w:spacing w:before="80" w:after="60" w:line="240" w:lineRule="auto"/>
      <w:ind w:left="1600" w:hanging="1600"/>
      <w:jc w:val="both"/>
      <w:outlineLvl w:val="6"/>
    </w:pPr>
    <w:rPr>
      <w:rFonts w:eastAsia="Times New Roman"/>
      <w:sz w:val="24"/>
      <w:lang w:val="en-AU"/>
    </w:rPr>
  </w:style>
  <w:style w:type="paragraph" w:customStyle="1" w:styleId="AH5Sec">
    <w:name w:val="A H5 Sec"/>
    <w:basedOn w:val="Normal"/>
    <w:next w:val="Normal"/>
    <w:uiPriority w:val="99"/>
    <w:rsid w:val="00DC784F"/>
    <w:pPr>
      <w:keepNext/>
      <w:tabs>
        <w:tab w:val="left" w:pos="1100"/>
      </w:tabs>
      <w:spacing w:before="180" w:after="60" w:line="240" w:lineRule="auto"/>
      <w:ind w:left="1100" w:hanging="1100"/>
      <w:outlineLvl w:val="4"/>
    </w:pPr>
    <w:rPr>
      <w:rFonts w:ascii="Arial" w:eastAsia="Times New Roman" w:hAnsi="Arial"/>
      <w:b/>
      <w:sz w:val="24"/>
      <w:lang w:val="en-AU"/>
    </w:rPr>
  </w:style>
  <w:style w:type="paragraph" w:customStyle="1" w:styleId="Amain">
    <w:name w:val="A main"/>
    <w:basedOn w:val="Normal"/>
    <w:uiPriority w:val="99"/>
    <w:rsid w:val="00DC784F"/>
    <w:pPr>
      <w:tabs>
        <w:tab w:val="right" w:pos="900"/>
        <w:tab w:val="left" w:pos="1100"/>
      </w:tabs>
      <w:spacing w:before="80" w:after="60" w:line="240" w:lineRule="auto"/>
      <w:ind w:left="1100" w:hanging="1100"/>
      <w:jc w:val="both"/>
      <w:outlineLvl w:val="5"/>
    </w:pPr>
    <w:rPr>
      <w:rFonts w:eastAsia="Times New Roman"/>
      <w:sz w:val="24"/>
      <w:lang w:val="en-AU"/>
    </w:rPr>
  </w:style>
  <w:style w:type="paragraph" w:customStyle="1" w:styleId="aNote">
    <w:name w:val="aNote"/>
    <w:basedOn w:val="Normal"/>
    <w:uiPriority w:val="99"/>
    <w:rsid w:val="00DC784F"/>
    <w:pPr>
      <w:spacing w:before="80" w:after="60" w:line="240" w:lineRule="auto"/>
      <w:ind w:left="1900" w:hanging="800"/>
      <w:jc w:val="both"/>
    </w:pPr>
    <w:rPr>
      <w:rFonts w:eastAsia="Times New Roman"/>
      <w:sz w:val="20"/>
      <w:lang w:val="en-AU"/>
    </w:rPr>
  </w:style>
  <w:style w:type="character" w:customStyle="1" w:styleId="CharSectNo">
    <w:name w:val="CharSectNo"/>
    <w:basedOn w:val="DefaultParagraphFont"/>
    <w:uiPriority w:val="99"/>
    <w:rsid w:val="00DC784F"/>
    <w:rPr>
      <w:rFonts w:cs="Times New Roman"/>
    </w:rPr>
  </w:style>
  <w:style w:type="paragraph" w:styleId="ListParagraph">
    <w:name w:val="List Paragraph"/>
    <w:basedOn w:val="Normal"/>
    <w:uiPriority w:val="99"/>
    <w:qFormat/>
    <w:locked/>
    <w:rsid w:val="00DC784F"/>
    <w:pPr>
      <w:spacing w:after="200" w:line="276" w:lineRule="auto"/>
      <w:ind w:left="720"/>
      <w:contextualSpacing/>
    </w:pPr>
    <w:rPr>
      <w:rFonts w:eastAsia="PMingLiU"/>
      <w:szCs w:val="22"/>
      <w:lang w:eastAsia="zh-TW"/>
    </w:rPr>
  </w:style>
  <w:style w:type="paragraph" w:styleId="Header">
    <w:name w:val="header"/>
    <w:aliases w:val="Even header (essay title)"/>
    <w:basedOn w:val="Normal"/>
    <w:link w:val="HeaderChar"/>
    <w:uiPriority w:val="99"/>
    <w:unhideWhenUsed/>
    <w:rsid w:val="00E2786A"/>
    <w:pPr>
      <w:tabs>
        <w:tab w:val="center" w:pos="4513"/>
        <w:tab w:val="right" w:pos="9026"/>
      </w:tabs>
      <w:spacing w:after="0" w:line="240" w:lineRule="auto"/>
    </w:pPr>
  </w:style>
  <w:style w:type="character" w:customStyle="1" w:styleId="HeaderChar">
    <w:name w:val="Header Char"/>
    <w:aliases w:val="Even header (essay title) Char"/>
    <w:basedOn w:val="DefaultParagraphFont"/>
    <w:link w:val="Header"/>
    <w:uiPriority w:val="99"/>
    <w:rsid w:val="00E2786A"/>
    <w:rPr>
      <w:rFonts w:ascii="Times New Roman" w:hAnsi="Times New Roman"/>
      <w:sz w:val="22"/>
      <w:lang w:val="en-GB" w:eastAsia="en-US"/>
    </w:rPr>
  </w:style>
  <w:style w:type="character" w:styleId="HTMLCite">
    <w:name w:val="HTML Cite"/>
    <w:basedOn w:val="DefaultParagraphFont"/>
    <w:uiPriority w:val="99"/>
    <w:semiHidden/>
    <w:unhideWhenUsed/>
    <w:locked/>
    <w:rsid w:val="00542849"/>
    <w:rPr>
      <w:i/>
      <w:iCs/>
    </w:rPr>
  </w:style>
  <w:style w:type="paragraph" w:styleId="NormalWeb">
    <w:name w:val="Normal (Web)"/>
    <w:basedOn w:val="Normal"/>
    <w:uiPriority w:val="99"/>
    <w:semiHidden/>
    <w:unhideWhenUsed/>
    <w:rsid w:val="004C5B61"/>
    <w:pPr>
      <w:spacing w:before="100" w:beforeAutospacing="1" w:after="100" w:afterAutospacing="1" w:line="240" w:lineRule="auto"/>
    </w:pPr>
    <w:rPr>
      <w:rFonts w:eastAsiaTheme="minorEastAsia"/>
      <w:sz w:val="24"/>
      <w:szCs w:val="24"/>
      <w:lang w:val="en-AU" w:eastAsia="en-AU"/>
    </w:rPr>
  </w:style>
  <w:style w:type="paragraph" w:customStyle="1" w:styleId="Billname">
    <w:name w:val="Billname"/>
    <w:basedOn w:val="Normal"/>
    <w:rsid w:val="00E96374"/>
    <w:pPr>
      <w:tabs>
        <w:tab w:val="left" w:pos="2400"/>
        <w:tab w:val="left" w:pos="2880"/>
      </w:tabs>
      <w:spacing w:before="1220" w:after="100" w:line="240" w:lineRule="auto"/>
    </w:pPr>
    <w:rPr>
      <w:rFonts w:ascii="Arial" w:eastAsia="Times New Roman" w:hAnsi="Arial"/>
      <w:b/>
      <w:sz w:val="40"/>
      <w:lang w:val="en-AU"/>
    </w:rPr>
  </w:style>
  <w:style w:type="paragraph" w:customStyle="1" w:styleId="N-line3">
    <w:name w:val="N-line3"/>
    <w:basedOn w:val="Normal"/>
    <w:next w:val="Normal"/>
    <w:rsid w:val="00E96374"/>
    <w:pPr>
      <w:pBdr>
        <w:bottom w:val="single" w:sz="12" w:space="1" w:color="auto"/>
      </w:pBdr>
      <w:spacing w:after="0" w:line="240" w:lineRule="auto"/>
      <w:jc w:val="both"/>
    </w:pPr>
    <w:rPr>
      <w:rFonts w:eastAsia="Times New Roman"/>
      <w:sz w:val="24"/>
      <w:lang w:val="en-AU"/>
    </w:rPr>
  </w:style>
  <w:style w:type="paragraph" w:customStyle="1" w:styleId="madeunder">
    <w:name w:val="made under"/>
    <w:basedOn w:val="Normal"/>
    <w:rsid w:val="00E96374"/>
    <w:pPr>
      <w:spacing w:before="180" w:after="60" w:line="240" w:lineRule="auto"/>
      <w:jc w:val="both"/>
    </w:pPr>
    <w:rPr>
      <w:rFonts w:eastAsia="Times New Roman"/>
      <w:sz w:val="24"/>
      <w:lang w:val="en-AU"/>
    </w:rPr>
  </w:style>
  <w:style w:type="paragraph" w:customStyle="1" w:styleId="CoverActName">
    <w:name w:val="CoverActName"/>
    <w:basedOn w:val="Normal"/>
    <w:rsid w:val="00E96374"/>
    <w:pPr>
      <w:tabs>
        <w:tab w:val="left" w:pos="2600"/>
      </w:tabs>
      <w:spacing w:before="200" w:after="60" w:line="240" w:lineRule="auto"/>
      <w:jc w:val="both"/>
    </w:pPr>
    <w:rPr>
      <w:rFonts w:ascii="Arial" w:eastAsia="Times New Roman" w:hAnsi="Arial"/>
      <w:b/>
      <w:sz w:val="24"/>
      <w:lang w:val="en-AU"/>
    </w:rPr>
  </w:style>
  <w:style w:type="paragraph" w:styleId="TOCHeading">
    <w:name w:val="TOC Heading"/>
    <w:basedOn w:val="Heading1"/>
    <w:next w:val="Normal"/>
    <w:uiPriority w:val="39"/>
    <w:semiHidden/>
    <w:unhideWhenUsed/>
    <w:qFormat/>
    <w:locked/>
    <w:rsid w:val="006477A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OC4">
    <w:name w:val="toc 4"/>
    <w:basedOn w:val="Normal"/>
    <w:next w:val="Normal"/>
    <w:autoRedefine/>
    <w:uiPriority w:val="39"/>
    <w:unhideWhenUsed/>
    <w:locked/>
    <w:rsid w:val="006477A0"/>
    <w:pPr>
      <w:spacing w:after="100" w:line="276" w:lineRule="auto"/>
      <w:ind w:left="660"/>
    </w:pPr>
    <w:rPr>
      <w:rFonts w:asciiTheme="minorHAnsi" w:eastAsiaTheme="minorEastAsia" w:hAnsiTheme="minorHAnsi" w:cstheme="minorBidi"/>
      <w:szCs w:val="22"/>
      <w:lang w:val="en-AU" w:eastAsia="en-AU"/>
    </w:rPr>
  </w:style>
  <w:style w:type="paragraph" w:styleId="TOC5">
    <w:name w:val="toc 5"/>
    <w:basedOn w:val="Normal"/>
    <w:next w:val="Normal"/>
    <w:autoRedefine/>
    <w:uiPriority w:val="39"/>
    <w:unhideWhenUsed/>
    <w:locked/>
    <w:rsid w:val="006477A0"/>
    <w:pPr>
      <w:spacing w:after="100" w:line="276" w:lineRule="auto"/>
      <w:ind w:left="880"/>
    </w:pPr>
    <w:rPr>
      <w:rFonts w:asciiTheme="minorHAnsi" w:eastAsiaTheme="minorEastAsia" w:hAnsiTheme="minorHAnsi" w:cstheme="minorBidi"/>
      <w:szCs w:val="22"/>
      <w:lang w:val="en-AU" w:eastAsia="en-AU"/>
    </w:rPr>
  </w:style>
  <w:style w:type="paragraph" w:styleId="TOC6">
    <w:name w:val="toc 6"/>
    <w:basedOn w:val="Normal"/>
    <w:next w:val="Normal"/>
    <w:autoRedefine/>
    <w:uiPriority w:val="39"/>
    <w:unhideWhenUsed/>
    <w:locked/>
    <w:rsid w:val="006477A0"/>
    <w:pPr>
      <w:spacing w:after="100" w:line="276" w:lineRule="auto"/>
      <w:ind w:left="1100"/>
    </w:pPr>
    <w:rPr>
      <w:rFonts w:asciiTheme="minorHAnsi" w:eastAsiaTheme="minorEastAsia" w:hAnsiTheme="minorHAnsi" w:cstheme="minorBidi"/>
      <w:szCs w:val="22"/>
      <w:lang w:val="en-AU" w:eastAsia="en-AU"/>
    </w:rPr>
  </w:style>
  <w:style w:type="paragraph" w:styleId="TOC7">
    <w:name w:val="toc 7"/>
    <w:basedOn w:val="Normal"/>
    <w:next w:val="Normal"/>
    <w:autoRedefine/>
    <w:uiPriority w:val="39"/>
    <w:unhideWhenUsed/>
    <w:locked/>
    <w:rsid w:val="006477A0"/>
    <w:pPr>
      <w:spacing w:after="100" w:line="276" w:lineRule="auto"/>
      <w:ind w:left="1320"/>
    </w:pPr>
    <w:rPr>
      <w:rFonts w:asciiTheme="minorHAnsi" w:eastAsiaTheme="minorEastAsia" w:hAnsiTheme="minorHAnsi" w:cstheme="minorBidi"/>
      <w:szCs w:val="22"/>
      <w:lang w:val="en-AU" w:eastAsia="en-AU"/>
    </w:rPr>
  </w:style>
  <w:style w:type="paragraph" w:styleId="TOC8">
    <w:name w:val="toc 8"/>
    <w:basedOn w:val="Normal"/>
    <w:next w:val="Normal"/>
    <w:autoRedefine/>
    <w:uiPriority w:val="39"/>
    <w:unhideWhenUsed/>
    <w:locked/>
    <w:rsid w:val="006477A0"/>
    <w:pPr>
      <w:spacing w:after="100" w:line="276" w:lineRule="auto"/>
      <w:ind w:left="1540"/>
    </w:pPr>
    <w:rPr>
      <w:rFonts w:asciiTheme="minorHAnsi" w:eastAsiaTheme="minorEastAsia" w:hAnsiTheme="minorHAnsi" w:cstheme="minorBidi"/>
      <w:szCs w:val="22"/>
      <w:lang w:val="en-AU" w:eastAsia="en-AU"/>
    </w:rPr>
  </w:style>
  <w:style w:type="paragraph" w:styleId="TOC9">
    <w:name w:val="toc 9"/>
    <w:basedOn w:val="Normal"/>
    <w:next w:val="Normal"/>
    <w:autoRedefine/>
    <w:uiPriority w:val="39"/>
    <w:unhideWhenUsed/>
    <w:locked/>
    <w:rsid w:val="006477A0"/>
    <w:pPr>
      <w:spacing w:after="100" w:line="276" w:lineRule="auto"/>
      <w:ind w:left="1760"/>
    </w:pPr>
    <w:rPr>
      <w:rFonts w:asciiTheme="minorHAnsi" w:eastAsiaTheme="minorEastAsia" w:hAnsiTheme="minorHAnsi" w:cstheme="minorBidi"/>
      <w:szCs w:val="22"/>
      <w:lang w:val="en-AU" w:eastAsia="en-AU"/>
    </w:rPr>
  </w:style>
  <w:style w:type="character" w:styleId="Strong">
    <w:name w:val="Strong"/>
    <w:basedOn w:val="DefaultParagraphFont"/>
    <w:locked/>
    <w:rsid w:val="00FC0BC1"/>
    <w:rPr>
      <w:b/>
      <w:bCs/>
    </w:rPr>
  </w:style>
  <w:style w:type="paragraph" w:styleId="BodyText">
    <w:name w:val="Body Text"/>
    <w:basedOn w:val="Normal"/>
    <w:link w:val="BodyTextChar"/>
    <w:uiPriority w:val="99"/>
    <w:semiHidden/>
    <w:unhideWhenUsed/>
    <w:locked/>
    <w:rsid w:val="009F7536"/>
    <w:pPr>
      <w:spacing w:after="120"/>
    </w:pPr>
  </w:style>
  <w:style w:type="character" w:customStyle="1" w:styleId="BodyTextChar">
    <w:name w:val="Body Text Char"/>
    <w:basedOn w:val="DefaultParagraphFont"/>
    <w:link w:val="BodyText"/>
    <w:uiPriority w:val="99"/>
    <w:semiHidden/>
    <w:rsid w:val="009F7536"/>
    <w:rPr>
      <w:rFonts w:ascii="Times New Roman" w:hAnsi="Times New Roman"/>
      <w:sz w:val="22"/>
      <w:lang w:val="en-GB" w:eastAsia="en-US"/>
    </w:rPr>
  </w:style>
  <w:style w:type="character" w:styleId="FollowedHyperlink">
    <w:name w:val="FollowedHyperlink"/>
    <w:basedOn w:val="DefaultParagraphFont"/>
    <w:uiPriority w:val="99"/>
    <w:semiHidden/>
    <w:unhideWhenUsed/>
    <w:locked/>
    <w:rsid w:val="00DD695A"/>
    <w:rPr>
      <w:color w:val="800080" w:themeColor="followedHyperlink"/>
      <w:u w:val="single"/>
    </w:rPr>
  </w:style>
  <w:style w:type="paragraph" w:customStyle="1" w:styleId="Heading2a">
    <w:name w:val="Heading 2a"/>
    <w:basedOn w:val="Heading2"/>
    <w:next w:val="BodyText"/>
    <w:qFormat/>
    <w:rsid w:val="006A781F"/>
    <w:pPr>
      <w:numPr>
        <w:ilvl w:val="0"/>
        <w:numId w:val="0"/>
      </w:numPr>
    </w:pPr>
  </w:style>
  <w:style w:type="paragraph" w:customStyle="1" w:styleId="Heading3a">
    <w:name w:val="Heading 3a"/>
    <w:basedOn w:val="Heading3"/>
    <w:next w:val="BodyText"/>
    <w:qFormat/>
    <w:rsid w:val="006A781F"/>
    <w:pPr>
      <w:numPr>
        <w:ilvl w:val="0"/>
        <w:numId w:val="0"/>
      </w:numPr>
    </w:pPr>
  </w:style>
  <w:style w:type="paragraph" w:styleId="Title">
    <w:name w:val="Title"/>
    <w:basedOn w:val="Normal"/>
    <w:next w:val="Normal"/>
    <w:link w:val="TitleChar"/>
    <w:qFormat/>
    <w:locked/>
    <w:rsid w:val="00091A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091A4A"/>
    <w:rPr>
      <w:rFonts w:eastAsia="Times New Roman"/>
      <w:color w:val="17365D"/>
      <w:spacing w:val="5"/>
      <w:kern w:val="28"/>
      <w:sz w:val="52"/>
      <w:szCs w:val="52"/>
      <w:lang w:val="en-GB" w:eastAsia="en-US"/>
    </w:rPr>
  </w:style>
  <w:style w:type="paragraph" w:customStyle="1" w:styleId="Epigraph">
    <w:name w:val="Epigraph"/>
    <w:basedOn w:val="Normal"/>
    <w:next w:val="Normal"/>
    <w:qFormat/>
    <w:locked/>
    <w:rsid w:val="00091A4A"/>
    <w:rPr>
      <w:i/>
    </w:rPr>
  </w:style>
  <w:style w:type="paragraph" w:customStyle="1" w:styleId="Oddheaderauthorname">
    <w:name w:val="Odd header (author name)"/>
    <w:basedOn w:val="Header"/>
    <w:qFormat/>
    <w:locked/>
    <w:rsid w:val="00091A4A"/>
    <w:pPr>
      <w:jc w:val="right"/>
    </w:pPr>
  </w:style>
  <w:style w:type="paragraph" w:customStyle="1" w:styleId="Tabletext">
    <w:name w:val="Table text"/>
    <w:locked/>
    <w:rsid w:val="00091A4A"/>
    <w:pPr>
      <w:spacing w:before="60" w:after="60" w:line="240" w:lineRule="exact"/>
    </w:pPr>
    <w:rPr>
      <w:rFonts w:ascii="Arial" w:eastAsia="Calibri" w:hAnsi="Arial"/>
      <w:szCs w:val="22"/>
      <w:lang w:val="en-GB" w:eastAsia="en-US"/>
    </w:rPr>
  </w:style>
  <w:style w:type="paragraph" w:customStyle="1" w:styleId="Boxtext">
    <w:name w:val="Box text"/>
    <w:basedOn w:val="Normal"/>
    <w:next w:val="Normal"/>
    <w:qFormat/>
    <w:locked/>
    <w:rsid w:val="00091A4A"/>
    <w:pPr>
      <w:shd w:val="pct10" w:color="auto" w:fill="auto"/>
    </w:pPr>
    <w:rPr>
      <w:sz w:val="20"/>
    </w:rPr>
  </w:style>
  <w:style w:type="paragraph" w:styleId="ListNumber">
    <w:name w:val="List Number"/>
    <w:basedOn w:val="Normal"/>
    <w:qFormat/>
    <w:locked/>
    <w:rsid w:val="00091A4A"/>
    <w:pPr>
      <w:numPr>
        <w:numId w:val="9"/>
      </w:numPr>
      <w:contextualSpacing/>
    </w:pPr>
  </w:style>
  <w:style w:type="paragraph" w:customStyle="1" w:styleId="LetteredList">
    <w:name w:val="Lettered List"/>
    <w:basedOn w:val="Bullet"/>
    <w:qFormat/>
    <w:rsid w:val="009A7020"/>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00683">
      <w:bodyDiv w:val="1"/>
      <w:marLeft w:val="0"/>
      <w:marRight w:val="0"/>
      <w:marTop w:val="0"/>
      <w:marBottom w:val="0"/>
      <w:divBdr>
        <w:top w:val="none" w:sz="0" w:space="0" w:color="auto"/>
        <w:left w:val="none" w:sz="0" w:space="0" w:color="auto"/>
        <w:bottom w:val="none" w:sz="0" w:space="0" w:color="auto"/>
        <w:right w:val="none" w:sz="0" w:space="0" w:color="auto"/>
      </w:divBdr>
    </w:div>
    <w:div w:id="36200897">
      <w:bodyDiv w:val="1"/>
      <w:marLeft w:val="0"/>
      <w:marRight w:val="0"/>
      <w:marTop w:val="0"/>
      <w:marBottom w:val="0"/>
      <w:divBdr>
        <w:top w:val="none" w:sz="0" w:space="0" w:color="auto"/>
        <w:left w:val="none" w:sz="0" w:space="0" w:color="auto"/>
        <w:bottom w:val="none" w:sz="0" w:space="0" w:color="auto"/>
        <w:right w:val="none" w:sz="0" w:space="0" w:color="auto"/>
      </w:divBdr>
    </w:div>
    <w:div w:id="76680751">
      <w:bodyDiv w:val="1"/>
      <w:marLeft w:val="0"/>
      <w:marRight w:val="0"/>
      <w:marTop w:val="0"/>
      <w:marBottom w:val="0"/>
      <w:divBdr>
        <w:top w:val="none" w:sz="0" w:space="0" w:color="auto"/>
        <w:left w:val="none" w:sz="0" w:space="0" w:color="auto"/>
        <w:bottom w:val="none" w:sz="0" w:space="0" w:color="auto"/>
        <w:right w:val="none" w:sz="0" w:space="0" w:color="auto"/>
      </w:divBdr>
    </w:div>
    <w:div w:id="106627916">
      <w:bodyDiv w:val="1"/>
      <w:marLeft w:val="0"/>
      <w:marRight w:val="0"/>
      <w:marTop w:val="0"/>
      <w:marBottom w:val="0"/>
      <w:divBdr>
        <w:top w:val="none" w:sz="0" w:space="0" w:color="auto"/>
        <w:left w:val="none" w:sz="0" w:space="0" w:color="auto"/>
        <w:bottom w:val="none" w:sz="0" w:space="0" w:color="auto"/>
        <w:right w:val="none" w:sz="0" w:space="0" w:color="auto"/>
      </w:divBdr>
    </w:div>
    <w:div w:id="108202664">
      <w:bodyDiv w:val="1"/>
      <w:marLeft w:val="0"/>
      <w:marRight w:val="0"/>
      <w:marTop w:val="0"/>
      <w:marBottom w:val="0"/>
      <w:divBdr>
        <w:top w:val="none" w:sz="0" w:space="0" w:color="auto"/>
        <w:left w:val="none" w:sz="0" w:space="0" w:color="auto"/>
        <w:bottom w:val="none" w:sz="0" w:space="0" w:color="auto"/>
        <w:right w:val="none" w:sz="0" w:space="0" w:color="auto"/>
      </w:divBdr>
    </w:div>
    <w:div w:id="108936832">
      <w:bodyDiv w:val="1"/>
      <w:marLeft w:val="0"/>
      <w:marRight w:val="0"/>
      <w:marTop w:val="0"/>
      <w:marBottom w:val="0"/>
      <w:divBdr>
        <w:top w:val="none" w:sz="0" w:space="0" w:color="auto"/>
        <w:left w:val="none" w:sz="0" w:space="0" w:color="auto"/>
        <w:bottom w:val="none" w:sz="0" w:space="0" w:color="auto"/>
        <w:right w:val="none" w:sz="0" w:space="0" w:color="auto"/>
      </w:divBdr>
    </w:div>
    <w:div w:id="110634994">
      <w:bodyDiv w:val="1"/>
      <w:marLeft w:val="0"/>
      <w:marRight w:val="0"/>
      <w:marTop w:val="0"/>
      <w:marBottom w:val="0"/>
      <w:divBdr>
        <w:top w:val="none" w:sz="0" w:space="0" w:color="auto"/>
        <w:left w:val="none" w:sz="0" w:space="0" w:color="auto"/>
        <w:bottom w:val="none" w:sz="0" w:space="0" w:color="auto"/>
        <w:right w:val="none" w:sz="0" w:space="0" w:color="auto"/>
      </w:divBdr>
    </w:div>
    <w:div w:id="122038974">
      <w:bodyDiv w:val="1"/>
      <w:marLeft w:val="0"/>
      <w:marRight w:val="0"/>
      <w:marTop w:val="0"/>
      <w:marBottom w:val="0"/>
      <w:divBdr>
        <w:top w:val="none" w:sz="0" w:space="0" w:color="auto"/>
        <w:left w:val="none" w:sz="0" w:space="0" w:color="auto"/>
        <w:bottom w:val="none" w:sz="0" w:space="0" w:color="auto"/>
        <w:right w:val="none" w:sz="0" w:space="0" w:color="auto"/>
      </w:divBdr>
    </w:div>
    <w:div w:id="140385871">
      <w:bodyDiv w:val="1"/>
      <w:marLeft w:val="0"/>
      <w:marRight w:val="0"/>
      <w:marTop w:val="0"/>
      <w:marBottom w:val="0"/>
      <w:divBdr>
        <w:top w:val="none" w:sz="0" w:space="0" w:color="auto"/>
        <w:left w:val="none" w:sz="0" w:space="0" w:color="auto"/>
        <w:bottom w:val="none" w:sz="0" w:space="0" w:color="auto"/>
        <w:right w:val="none" w:sz="0" w:space="0" w:color="auto"/>
      </w:divBdr>
    </w:div>
    <w:div w:id="149519032">
      <w:bodyDiv w:val="1"/>
      <w:marLeft w:val="0"/>
      <w:marRight w:val="0"/>
      <w:marTop w:val="0"/>
      <w:marBottom w:val="0"/>
      <w:divBdr>
        <w:top w:val="none" w:sz="0" w:space="0" w:color="auto"/>
        <w:left w:val="none" w:sz="0" w:space="0" w:color="auto"/>
        <w:bottom w:val="none" w:sz="0" w:space="0" w:color="auto"/>
        <w:right w:val="none" w:sz="0" w:space="0" w:color="auto"/>
      </w:divBdr>
    </w:div>
    <w:div w:id="161244282">
      <w:bodyDiv w:val="1"/>
      <w:marLeft w:val="0"/>
      <w:marRight w:val="0"/>
      <w:marTop w:val="0"/>
      <w:marBottom w:val="0"/>
      <w:divBdr>
        <w:top w:val="none" w:sz="0" w:space="0" w:color="auto"/>
        <w:left w:val="none" w:sz="0" w:space="0" w:color="auto"/>
        <w:bottom w:val="none" w:sz="0" w:space="0" w:color="auto"/>
        <w:right w:val="none" w:sz="0" w:space="0" w:color="auto"/>
      </w:divBdr>
    </w:div>
    <w:div w:id="162740996">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216161130">
      <w:bodyDiv w:val="1"/>
      <w:marLeft w:val="0"/>
      <w:marRight w:val="0"/>
      <w:marTop w:val="0"/>
      <w:marBottom w:val="0"/>
      <w:divBdr>
        <w:top w:val="none" w:sz="0" w:space="0" w:color="auto"/>
        <w:left w:val="none" w:sz="0" w:space="0" w:color="auto"/>
        <w:bottom w:val="none" w:sz="0" w:space="0" w:color="auto"/>
        <w:right w:val="none" w:sz="0" w:space="0" w:color="auto"/>
      </w:divBdr>
    </w:div>
    <w:div w:id="220796579">
      <w:bodyDiv w:val="1"/>
      <w:marLeft w:val="0"/>
      <w:marRight w:val="0"/>
      <w:marTop w:val="0"/>
      <w:marBottom w:val="0"/>
      <w:divBdr>
        <w:top w:val="none" w:sz="0" w:space="0" w:color="auto"/>
        <w:left w:val="none" w:sz="0" w:space="0" w:color="auto"/>
        <w:bottom w:val="none" w:sz="0" w:space="0" w:color="auto"/>
        <w:right w:val="none" w:sz="0" w:space="0" w:color="auto"/>
      </w:divBdr>
    </w:div>
    <w:div w:id="232813655">
      <w:bodyDiv w:val="1"/>
      <w:marLeft w:val="0"/>
      <w:marRight w:val="0"/>
      <w:marTop w:val="0"/>
      <w:marBottom w:val="0"/>
      <w:divBdr>
        <w:top w:val="none" w:sz="0" w:space="0" w:color="auto"/>
        <w:left w:val="none" w:sz="0" w:space="0" w:color="auto"/>
        <w:bottom w:val="none" w:sz="0" w:space="0" w:color="auto"/>
        <w:right w:val="none" w:sz="0" w:space="0" w:color="auto"/>
      </w:divBdr>
    </w:div>
    <w:div w:id="240018996">
      <w:bodyDiv w:val="1"/>
      <w:marLeft w:val="0"/>
      <w:marRight w:val="0"/>
      <w:marTop w:val="0"/>
      <w:marBottom w:val="0"/>
      <w:divBdr>
        <w:top w:val="none" w:sz="0" w:space="0" w:color="auto"/>
        <w:left w:val="none" w:sz="0" w:space="0" w:color="auto"/>
        <w:bottom w:val="none" w:sz="0" w:space="0" w:color="auto"/>
        <w:right w:val="none" w:sz="0" w:space="0" w:color="auto"/>
      </w:divBdr>
    </w:div>
    <w:div w:id="268128040">
      <w:bodyDiv w:val="1"/>
      <w:marLeft w:val="0"/>
      <w:marRight w:val="0"/>
      <w:marTop w:val="0"/>
      <w:marBottom w:val="0"/>
      <w:divBdr>
        <w:top w:val="none" w:sz="0" w:space="0" w:color="auto"/>
        <w:left w:val="none" w:sz="0" w:space="0" w:color="auto"/>
        <w:bottom w:val="none" w:sz="0" w:space="0" w:color="auto"/>
        <w:right w:val="none" w:sz="0" w:space="0" w:color="auto"/>
      </w:divBdr>
    </w:div>
    <w:div w:id="272792016">
      <w:bodyDiv w:val="1"/>
      <w:marLeft w:val="0"/>
      <w:marRight w:val="0"/>
      <w:marTop w:val="0"/>
      <w:marBottom w:val="0"/>
      <w:divBdr>
        <w:top w:val="none" w:sz="0" w:space="0" w:color="auto"/>
        <w:left w:val="none" w:sz="0" w:space="0" w:color="auto"/>
        <w:bottom w:val="none" w:sz="0" w:space="0" w:color="auto"/>
        <w:right w:val="none" w:sz="0" w:space="0" w:color="auto"/>
      </w:divBdr>
    </w:div>
    <w:div w:id="302927545">
      <w:bodyDiv w:val="1"/>
      <w:marLeft w:val="0"/>
      <w:marRight w:val="0"/>
      <w:marTop w:val="0"/>
      <w:marBottom w:val="0"/>
      <w:divBdr>
        <w:top w:val="none" w:sz="0" w:space="0" w:color="auto"/>
        <w:left w:val="none" w:sz="0" w:space="0" w:color="auto"/>
        <w:bottom w:val="none" w:sz="0" w:space="0" w:color="auto"/>
        <w:right w:val="none" w:sz="0" w:space="0" w:color="auto"/>
      </w:divBdr>
      <w:divsChild>
        <w:div w:id="1875147875">
          <w:marLeft w:val="0"/>
          <w:marRight w:val="0"/>
          <w:marTop w:val="0"/>
          <w:marBottom w:val="0"/>
          <w:divBdr>
            <w:top w:val="none" w:sz="0" w:space="0" w:color="auto"/>
            <w:left w:val="none" w:sz="0" w:space="0" w:color="auto"/>
            <w:bottom w:val="none" w:sz="0" w:space="0" w:color="auto"/>
            <w:right w:val="none" w:sz="0" w:space="0" w:color="auto"/>
          </w:divBdr>
          <w:divsChild>
            <w:div w:id="1912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0557">
      <w:bodyDiv w:val="1"/>
      <w:marLeft w:val="0"/>
      <w:marRight w:val="0"/>
      <w:marTop w:val="0"/>
      <w:marBottom w:val="0"/>
      <w:divBdr>
        <w:top w:val="none" w:sz="0" w:space="0" w:color="auto"/>
        <w:left w:val="none" w:sz="0" w:space="0" w:color="auto"/>
        <w:bottom w:val="none" w:sz="0" w:space="0" w:color="auto"/>
        <w:right w:val="none" w:sz="0" w:space="0" w:color="auto"/>
      </w:divBdr>
    </w:div>
    <w:div w:id="321930817">
      <w:bodyDiv w:val="1"/>
      <w:marLeft w:val="0"/>
      <w:marRight w:val="0"/>
      <w:marTop w:val="0"/>
      <w:marBottom w:val="0"/>
      <w:divBdr>
        <w:top w:val="none" w:sz="0" w:space="0" w:color="auto"/>
        <w:left w:val="none" w:sz="0" w:space="0" w:color="auto"/>
        <w:bottom w:val="none" w:sz="0" w:space="0" w:color="auto"/>
        <w:right w:val="none" w:sz="0" w:space="0" w:color="auto"/>
      </w:divBdr>
    </w:div>
    <w:div w:id="323514219">
      <w:bodyDiv w:val="1"/>
      <w:marLeft w:val="0"/>
      <w:marRight w:val="0"/>
      <w:marTop w:val="0"/>
      <w:marBottom w:val="0"/>
      <w:divBdr>
        <w:top w:val="none" w:sz="0" w:space="0" w:color="auto"/>
        <w:left w:val="none" w:sz="0" w:space="0" w:color="auto"/>
        <w:bottom w:val="none" w:sz="0" w:space="0" w:color="auto"/>
        <w:right w:val="none" w:sz="0" w:space="0" w:color="auto"/>
      </w:divBdr>
    </w:div>
    <w:div w:id="331447694">
      <w:bodyDiv w:val="1"/>
      <w:marLeft w:val="0"/>
      <w:marRight w:val="0"/>
      <w:marTop w:val="0"/>
      <w:marBottom w:val="0"/>
      <w:divBdr>
        <w:top w:val="none" w:sz="0" w:space="0" w:color="auto"/>
        <w:left w:val="none" w:sz="0" w:space="0" w:color="auto"/>
        <w:bottom w:val="none" w:sz="0" w:space="0" w:color="auto"/>
        <w:right w:val="none" w:sz="0" w:space="0" w:color="auto"/>
      </w:divBdr>
    </w:div>
    <w:div w:id="333462946">
      <w:bodyDiv w:val="1"/>
      <w:marLeft w:val="0"/>
      <w:marRight w:val="0"/>
      <w:marTop w:val="0"/>
      <w:marBottom w:val="0"/>
      <w:divBdr>
        <w:top w:val="none" w:sz="0" w:space="0" w:color="auto"/>
        <w:left w:val="none" w:sz="0" w:space="0" w:color="auto"/>
        <w:bottom w:val="none" w:sz="0" w:space="0" w:color="auto"/>
        <w:right w:val="none" w:sz="0" w:space="0" w:color="auto"/>
      </w:divBdr>
    </w:div>
    <w:div w:id="337194333">
      <w:bodyDiv w:val="1"/>
      <w:marLeft w:val="0"/>
      <w:marRight w:val="0"/>
      <w:marTop w:val="0"/>
      <w:marBottom w:val="0"/>
      <w:divBdr>
        <w:top w:val="none" w:sz="0" w:space="0" w:color="auto"/>
        <w:left w:val="none" w:sz="0" w:space="0" w:color="auto"/>
        <w:bottom w:val="none" w:sz="0" w:space="0" w:color="auto"/>
        <w:right w:val="none" w:sz="0" w:space="0" w:color="auto"/>
      </w:divBdr>
    </w:div>
    <w:div w:id="337662165">
      <w:bodyDiv w:val="1"/>
      <w:marLeft w:val="0"/>
      <w:marRight w:val="0"/>
      <w:marTop w:val="0"/>
      <w:marBottom w:val="0"/>
      <w:divBdr>
        <w:top w:val="none" w:sz="0" w:space="0" w:color="auto"/>
        <w:left w:val="none" w:sz="0" w:space="0" w:color="auto"/>
        <w:bottom w:val="none" w:sz="0" w:space="0" w:color="auto"/>
        <w:right w:val="none" w:sz="0" w:space="0" w:color="auto"/>
      </w:divBdr>
    </w:div>
    <w:div w:id="339545424">
      <w:bodyDiv w:val="1"/>
      <w:marLeft w:val="0"/>
      <w:marRight w:val="0"/>
      <w:marTop w:val="0"/>
      <w:marBottom w:val="0"/>
      <w:divBdr>
        <w:top w:val="none" w:sz="0" w:space="0" w:color="auto"/>
        <w:left w:val="none" w:sz="0" w:space="0" w:color="auto"/>
        <w:bottom w:val="none" w:sz="0" w:space="0" w:color="auto"/>
        <w:right w:val="none" w:sz="0" w:space="0" w:color="auto"/>
      </w:divBdr>
    </w:div>
    <w:div w:id="352658110">
      <w:bodyDiv w:val="1"/>
      <w:marLeft w:val="0"/>
      <w:marRight w:val="0"/>
      <w:marTop w:val="0"/>
      <w:marBottom w:val="0"/>
      <w:divBdr>
        <w:top w:val="none" w:sz="0" w:space="0" w:color="auto"/>
        <w:left w:val="none" w:sz="0" w:space="0" w:color="auto"/>
        <w:bottom w:val="none" w:sz="0" w:space="0" w:color="auto"/>
        <w:right w:val="none" w:sz="0" w:space="0" w:color="auto"/>
      </w:divBdr>
    </w:div>
    <w:div w:id="362708820">
      <w:bodyDiv w:val="1"/>
      <w:marLeft w:val="0"/>
      <w:marRight w:val="0"/>
      <w:marTop w:val="0"/>
      <w:marBottom w:val="0"/>
      <w:divBdr>
        <w:top w:val="none" w:sz="0" w:space="0" w:color="auto"/>
        <w:left w:val="none" w:sz="0" w:space="0" w:color="auto"/>
        <w:bottom w:val="none" w:sz="0" w:space="0" w:color="auto"/>
        <w:right w:val="none" w:sz="0" w:space="0" w:color="auto"/>
      </w:divBdr>
      <w:divsChild>
        <w:div w:id="946079181">
          <w:marLeft w:val="0"/>
          <w:marRight w:val="0"/>
          <w:marTop w:val="0"/>
          <w:marBottom w:val="0"/>
          <w:divBdr>
            <w:top w:val="none" w:sz="0" w:space="0" w:color="auto"/>
            <w:left w:val="none" w:sz="0" w:space="0" w:color="auto"/>
            <w:bottom w:val="none" w:sz="0" w:space="0" w:color="auto"/>
            <w:right w:val="none" w:sz="0" w:space="0" w:color="auto"/>
          </w:divBdr>
          <w:divsChild>
            <w:div w:id="1527475269">
              <w:marLeft w:val="0"/>
              <w:marRight w:val="0"/>
              <w:marTop w:val="0"/>
              <w:marBottom w:val="0"/>
              <w:divBdr>
                <w:top w:val="none" w:sz="0" w:space="0" w:color="auto"/>
                <w:left w:val="none" w:sz="0" w:space="0" w:color="auto"/>
                <w:bottom w:val="none" w:sz="0" w:space="0" w:color="auto"/>
                <w:right w:val="none" w:sz="0" w:space="0" w:color="auto"/>
              </w:divBdr>
              <w:divsChild>
                <w:div w:id="1272778759">
                  <w:marLeft w:val="0"/>
                  <w:marRight w:val="0"/>
                  <w:marTop w:val="0"/>
                  <w:marBottom w:val="129"/>
                  <w:divBdr>
                    <w:top w:val="none" w:sz="0" w:space="0" w:color="auto"/>
                    <w:left w:val="none" w:sz="0" w:space="0" w:color="auto"/>
                    <w:bottom w:val="none" w:sz="0" w:space="0" w:color="auto"/>
                    <w:right w:val="none" w:sz="0" w:space="0" w:color="auto"/>
                  </w:divBdr>
                  <w:divsChild>
                    <w:div w:id="1636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98367">
      <w:bodyDiv w:val="1"/>
      <w:marLeft w:val="0"/>
      <w:marRight w:val="0"/>
      <w:marTop w:val="0"/>
      <w:marBottom w:val="0"/>
      <w:divBdr>
        <w:top w:val="none" w:sz="0" w:space="0" w:color="auto"/>
        <w:left w:val="none" w:sz="0" w:space="0" w:color="auto"/>
        <w:bottom w:val="none" w:sz="0" w:space="0" w:color="auto"/>
        <w:right w:val="none" w:sz="0" w:space="0" w:color="auto"/>
      </w:divBdr>
    </w:div>
    <w:div w:id="393897015">
      <w:bodyDiv w:val="1"/>
      <w:marLeft w:val="0"/>
      <w:marRight w:val="0"/>
      <w:marTop w:val="0"/>
      <w:marBottom w:val="0"/>
      <w:divBdr>
        <w:top w:val="none" w:sz="0" w:space="0" w:color="auto"/>
        <w:left w:val="none" w:sz="0" w:space="0" w:color="auto"/>
        <w:bottom w:val="none" w:sz="0" w:space="0" w:color="auto"/>
        <w:right w:val="none" w:sz="0" w:space="0" w:color="auto"/>
      </w:divBdr>
    </w:div>
    <w:div w:id="411705511">
      <w:bodyDiv w:val="1"/>
      <w:marLeft w:val="0"/>
      <w:marRight w:val="0"/>
      <w:marTop w:val="0"/>
      <w:marBottom w:val="0"/>
      <w:divBdr>
        <w:top w:val="none" w:sz="0" w:space="0" w:color="auto"/>
        <w:left w:val="none" w:sz="0" w:space="0" w:color="auto"/>
        <w:bottom w:val="none" w:sz="0" w:space="0" w:color="auto"/>
        <w:right w:val="none" w:sz="0" w:space="0" w:color="auto"/>
      </w:divBdr>
    </w:div>
    <w:div w:id="414279107">
      <w:bodyDiv w:val="1"/>
      <w:marLeft w:val="0"/>
      <w:marRight w:val="0"/>
      <w:marTop w:val="0"/>
      <w:marBottom w:val="0"/>
      <w:divBdr>
        <w:top w:val="none" w:sz="0" w:space="0" w:color="auto"/>
        <w:left w:val="none" w:sz="0" w:space="0" w:color="auto"/>
        <w:bottom w:val="none" w:sz="0" w:space="0" w:color="auto"/>
        <w:right w:val="none" w:sz="0" w:space="0" w:color="auto"/>
      </w:divBdr>
      <w:divsChild>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sChild>
                <w:div w:id="1100101900">
                  <w:marLeft w:val="0"/>
                  <w:marRight w:val="0"/>
                  <w:marTop w:val="0"/>
                  <w:marBottom w:val="129"/>
                  <w:divBdr>
                    <w:top w:val="none" w:sz="0" w:space="0" w:color="auto"/>
                    <w:left w:val="none" w:sz="0" w:space="0" w:color="auto"/>
                    <w:bottom w:val="none" w:sz="0" w:space="0" w:color="auto"/>
                    <w:right w:val="none" w:sz="0" w:space="0" w:color="auto"/>
                  </w:divBdr>
                  <w:divsChild>
                    <w:div w:id="9594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70134">
      <w:bodyDiv w:val="1"/>
      <w:marLeft w:val="0"/>
      <w:marRight w:val="0"/>
      <w:marTop w:val="0"/>
      <w:marBottom w:val="0"/>
      <w:divBdr>
        <w:top w:val="none" w:sz="0" w:space="0" w:color="auto"/>
        <w:left w:val="none" w:sz="0" w:space="0" w:color="auto"/>
        <w:bottom w:val="none" w:sz="0" w:space="0" w:color="auto"/>
        <w:right w:val="none" w:sz="0" w:space="0" w:color="auto"/>
      </w:divBdr>
      <w:divsChild>
        <w:div w:id="714811876">
          <w:marLeft w:val="0"/>
          <w:marRight w:val="0"/>
          <w:marTop w:val="0"/>
          <w:marBottom w:val="0"/>
          <w:divBdr>
            <w:top w:val="none" w:sz="0" w:space="0" w:color="auto"/>
            <w:left w:val="none" w:sz="0" w:space="0" w:color="auto"/>
            <w:bottom w:val="none" w:sz="0" w:space="0" w:color="auto"/>
            <w:right w:val="none" w:sz="0" w:space="0" w:color="auto"/>
          </w:divBdr>
          <w:divsChild>
            <w:div w:id="1025641637">
              <w:marLeft w:val="0"/>
              <w:marRight w:val="0"/>
              <w:marTop w:val="0"/>
              <w:marBottom w:val="0"/>
              <w:divBdr>
                <w:top w:val="none" w:sz="0" w:space="0" w:color="auto"/>
                <w:left w:val="none" w:sz="0" w:space="0" w:color="auto"/>
                <w:bottom w:val="none" w:sz="0" w:space="0" w:color="auto"/>
                <w:right w:val="none" w:sz="0" w:space="0" w:color="auto"/>
              </w:divBdr>
              <w:divsChild>
                <w:div w:id="1793014890">
                  <w:marLeft w:val="214"/>
                  <w:marRight w:val="0"/>
                  <w:marTop w:val="1457"/>
                  <w:marBottom w:val="0"/>
                  <w:divBdr>
                    <w:top w:val="none" w:sz="0" w:space="0" w:color="auto"/>
                    <w:left w:val="none" w:sz="0" w:space="0" w:color="auto"/>
                    <w:bottom w:val="none" w:sz="0" w:space="0" w:color="auto"/>
                    <w:right w:val="none" w:sz="0" w:space="0" w:color="auto"/>
                  </w:divBdr>
                </w:div>
              </w:divsChild>
            </w:div>
          </w:divsChild>
        </w:div>
      </w:divsChild>
    </w:div>
    <w:div w:id="418910522">
      <w:bodyDiv w:val="1"/>
      <w:marLeft w:val="0"/>
      <w:marRight w:val="0"/>
      <w:marTop w:val="0"/>
      <w:marBottom w:val="0"/>
      <w:divBdr>
        <w:top w:val="none" w:sz="0" w:space="0" w:color="auto"/>
        <w:left w:val="none" w:sz="0" w:space="0" w:color="auto"/>
        <w:bottom w:val="none" w:sz="0" w:space="0" w:color="auto"/>
        <w:right w:val="none" w:sz="0" w:space="0" w:color="auto"/>
      </w:divBdr>
    </w:div>
    <w:div w:id="429856465">
      <w:bodyDiv w:val="1"/>
      <w:marLeft w:val="0"/>
      <w:marRight w:val="0"/>
      <w:marTop w:val="0"/>
      <w:marBottom w:val="0"/>
      <w:divBdr>
        <w:top w:val="none" w:sz="0" w:space="0" w:color="auto"/>
        <w:left w:val="none" w:sz="0" w:space="0" w:color="auto"/>
        <w:bottom w:val="none" w:sz="0" w:space="0" w:color="auto"/>
        <w:right w:val="none" w:sz="0" w:space="0" w:color="auto"/>
      </w:divBdr>
    </w:div>
    <w:div w:id="438839691">
      <w:bodyDiv w:val="1"/>
      <w:marLeft w:val="0"/>
      <w:marRight w:val="0"/>
      <w:marTop w:val="0"/>
      <w:marBottom w:val="0"/>
      <w:divBdr>
        <w:top w:val="none" w:sz="0" w:space="0" w:color="auto"/>
        <w:left w:val="none" w:sz="0" w:space="0" w:color="auto"/>
        <w:bottom w:val="none" w:sz="0" w:space="0" w:color="auto"/>
        <w:right w:val="none" w:sz="0" w:space="0" w:color="auto"/>
      </w:divBdr>
    </w:div>
    <w:div w:id="445660680">
      <w:bodyDiv w:val="1"/>
      <w:marLeft w:val="0"/>
      <w:marRight w:val="0"/>
      <w:marTop w:val="0"/>
      <w:marBottom w:val="0"/>
      <w:divBdr>
        <w:top w:val="none" w:sz="0" w:space="0" w:color="auto"/>
        <w:left w:val="none" w:sz="0" w:space="0" w:color="auto"/>
        <w:bottom w:val="none" w:sz="0" w:space="0" w:color="auto"/>
        <w:right w:val="none" w:sz="0" w:space="0" w:color="auto"/>
      </w:divBdr>
    </w:div>
    <w:div w:id="464397798">
      <w:bodyDiv w:val="1"/>
      <w:marLeft w:val="0"/>
      <w:marRight w:val="0"/>
      <w:marTop w:val="0"/>
      <w:marBottom w:val="0"/>
      <w:divBdr>
        <w:top w:val="none" w:sz="0" w:space="0" w:color="auto"/>
        <w:left w:val="none" w:sz="0" w:space="0" w:color="auto"/>
        <w:bottom w:val="none" w:sz="0" w:space="0" w:color="auto"/>
        <w:right w:val="none" w:sz="0" w:space="0" w:color="auto"/>
      </w:divBdr>
    </w:div>
    <w:div w:id="465657628">
      <w:bodyDiv w:val="1"/>
      <w:marLeft w:val="0"/>
      <w:marRight w:val="0"/>
      <w:marTop w:val="0"/>
      <w:marBottom w:val="0"/>
      <w:divBdr>
        <w:top w:val="none" w:sz="0" w:space="0" w:color="auto"/>
        <w:left w:val="none" w:sz="0" w:space="0" w:color="auto"/>
        <w:bottom w:val="none" w:sz="0" w:space="0" w:color="auto"/>
        <w:right w:val="none" w:sz="0" w:space="0" w:color="auto"/>
      </w:divBdr>
    </w:div>
    <w:div w:id="472060248">
      <w:bodyDiv w:val="1"/>
      <w:marLeft w:val="0"/>
      <w:marRight w:val="0"/>
      <w:marTop w:val="0"/>
      <w:marBottom w:val="0"/>
      <w:divBdr>
        <w:top w:val="none" w:sz="0" w:space="0" w:color="auto"/>
        <w:left w:val="none" w:sz="0" w:space="0" w:color="auto"/>
        <w:bottom w:val="none" w:sz="0" w:space="0" w:color="auto"/>
        <w:right w:val="none" w:sz="0" w:space="0" w:color="auto"/>
      </w:divBdr>
    </w:div>
    <w:div w:id="472455727">
      <w:bodyDiv w:val="1"/>
      <w:marLeft w:val="0"/>
      <w:marRight w:val="0"/>
      <w:marTop w:val="0"/>
      <w:marBottom w:val="0"/>
      <w:divBdr>
        <w:top w:val="none" w:sz="0" w:space="0" w:color="auto"/>
        <w:left w:val="none" w:sz="0" w:space="0" w:color="auto"/>
        <w:bottom w:val="none" w:sz="0" w:space="0" w:color="auto"/>
        <w:right w:val="none" w:sz="0" w:space="0" w:color="auto"/>
      </w:divBdr>
      <w:divsChild>
        <w:div w:id="2113352405">
          <w:marLeft w:val="0"/>
          <w:marRight w:val="0"/>
          <w:marTop w:val="0"/>
          <w:marBottom w:val="0"/>
          <w:divBdr>
            <w:top w:val="none" w:sz="0" w:space="0" w:color="auto"/>
            <w:left w:val="none" w:sz="0" w:space="0" w:color="auto"/>
            <w:bottom w:val="none" w:sz="0" w:space="0" w:color="auto"/>
            <w:right w:val="none" w:sz="0" w:space="0" w:color="auto"/>
          </w:divBdr>
          <w:divsChild>
            <w:div w:id="2003393609">
              <w:marLeft w:val="0"/>
              <w:marRight w:val="0"/>
              <w:marTop w:val="0"/>
              <w:marBottom w:val="0"/>
              <w:divBdr>
                <w:top w:val="none" w:sz="0" w:space="0" w:color="auto"/>
                <w:left w:val="none" w:sz="0" w:space="0" w:color="auto"/>
                <w:bottom w:val="none" w:sz="0" w:space="0" w:color="auto"/>
                <w:right w:val="none" w:sz="0" w:space="0" w:color="auto"/>
              </w:divBdr>
              <w:divsChild>
                <w:div w:id="1017074213">
                  <w:marLeft w:val="0"/>
                  <w:marRight w:val="0"/>
                  <w:marTop w:val="0"/>
                  <w:marBottom w:val="129"/>
                  <w:divBdr>
                    <w:top w:val="none" w:sz="0" w:space="0" w:color="auto"/>
                    <w:left w:val="none" w:sz="0" w:space="0" w:color="auto"/>
                    <w:bottom w:val="none" w:sz="0" w:space="0" w:color="auto"/>
                    <w:right w:val="none" w:sz="0" w:space="0" w:color="auto"/>
                  </w:divBdr>
                  <w:divsChild>
                    <w:div w:id="3971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7483">
      <w:bodyDiv w:val="1"/>
      <w:marLeft w:val="0"/>
      <w:marRight w:val="0"/>
      <w:marTop w:val="0"/>
      <w:marBottom w:val="0"/>
      <w:divBdr>
        <w:top w:val="none" w:sz="0" w:space="0" w:color="auto"/>
        <w:left w:val="none" w:sz="0" w:space="0" w:color="auto"/>
        <w:bottom w:val="none" w:sz="0" w:space="0" w:color="auto"/>
        <w:right w:val="none" w:sz="0" w:space="0" w:color="auto"/>
      </w:divBdr>
    </w:div>
    <w:div w:id="512492938">
      <w:bodyDiv w:val="1"/>
      <w:marLeft w:val="0"/>
      <w:marRight w:val="0"/>
      <w:marTop w:val="0"/>
      <w:marBottom w:val="0"/>
      <w:divBdr>
        <w:top w:val="none" w:sz="0" w:space="0" w:color="auto"/>
        <w:left w:val="none" w:sz="0" w:space="0" w:color="auto"/>
        <w:bottom w:val="none" w:sz="0" w:space="0" w:color="auto"/>
        <w:right w:val="none" w:sz="0" w:space="0" w:color="auto"/>
      </w:divBdr>
    </w:div>
    <w:div w:id="518391351">
      <w:bodyDiv w:val="1"/>
      <w:marLeft w:val="0"/>
      <w:marRight w:val="0"/>
      <w:marTop w:val="0"/>
      <w:marBottom w:val="0"/>
      <w:divBdr>
        <w:top w:val="none" w:sz="0" w:space="0" w:color="auto"/>
        <w:left w:val="none" w:sz="0" w:space="0" w:color="auto"/>
        <w:bottom w:val="none" w:sz="0" w:space="0" w:color="auto"/>
        <w:right w:val="none" w:sz="0" w:space="0" w:color="auto"/>
      </w:divBdr>
    </w:div>
    <w:div w:id="546189717">
      <w:bodyDiv w:val="1"/>
      <w:marLeft w:val="0"/>
      <w:marRight w:val="0"/>
      <w:marTop w:val="0"/>
      <w:marBottom w:val="0"/>
      <w:divBdr>
        <w:top w:val="none" w:sz="0" w:space="0" w:color="auto"/>
        <w:left w:val="none" w:sz="0" w:space="0" w:color="auto"/>
        <w:bottom w:val="none" w:sz="0" w:space="0" w:color="auto"/>
        <w:right w:val="none" w:sz="0" w:space="0" w:color="auto"/>
      </w:divBdr>
    </w:div>
    <w:div w:id="549924482">
      <w:bodyDiv w:val="1"/>
      <w:marLeft w:val="0"/>
      <w:marRight w:val="0"/>
      <w:marTop w:val="0"/>
      <w:marBottom w:val="0"/>
      <w:divBdr>
        <w:top w:val="none" w:sz="0" w:space="0" w:color="auto"/>
        <w:left w:val="none" w:sz="0" w:space="0" w:color="auto"/>
        <w:bottom w:val="none" w:sz="0" w:space="0" w:color="auto"/>
        <w:right w:val="none" w:sz="0" w:space="0" w:color="auto"/>
      </w:divBdr>
    </w:div>
    <w:div w:id="552810018">
      <w:bodyDiv w:val="1"/>
      <w:marLeft w:val="0"/>
      <w:marRight w:val="0"/>
      <w:marTop w:val="0"/>
      <w:marBottom w:val="0"/>
      <w:divBdr>
        <w:top w:val="none" w:sz="0" w:space="0" w:color="auto"/>
        <w:left w:val="none" w:sz="0" w:space="0" w:color="auto"/>
        <w:bottom w:val="none" w:sz="0" w:space="0" w:color="auto"/>
        <w:right w:val="none" w:sz="0" w:space="0" w:color="auto"/>
      </w:divBdr>
    </w:div>
    <w:div w:id="557861112">
      <w:bodyDiv w:val="1"/>
      <w:marLeft w:val="0"/>
      <w:marRight w:val="0"/>
      <w:marTop w:val="0"/>
      <w:marBottom w:val="0"/>
      <w:divBdr>
        <w:top w:val="none" w:sz="0" w:space="0" w:color="auto"/>
        <w:left w:val="none" w:sz="0" w:space="0" w:color="auto"/>
        <w:bottom w:val="none" w:sz="0" w:space="0" w:color="auto"/>
        <w:right w:val="none" w:sz="0" w:space="0" w:color="auto"/>
      </w:divBdr>
    </w:div>
    <w:div w:id="602684812">
      <w:bodyDiv w:val="1"/>
      <w:marLeft w:val="0"/>
      <w:marRight w:val="0"/>
      <w:marTop w:val="0"/>
      <w:marBottom w:val="0"/>
      <w:divBdr>
        <w:top w:val="none" w:sz="0" w:space="0" w:color="auto"/>
        <w:left w:val="none" w:sz="0" w:space="0" w:color="auto"/>
        <w:bottom w:val="none" w:sz="0" w:space="0" w:color="auto"/>
        <w:right w:val="none" w:sz="0" w:space="0" w:color="auto"/>
      </w:divBdr>
    </w:div>
    <w:div w:id="612634001">
      <w:bodyDiv w:val="1"/>
      <w:marLeft w:val="0"/>
      <w:marRight w:val="0"/>
      <w:marTop w:val="0"/>
      <w:marBottom w:val="0"/>
      <w:divBdr>
        <w:top w:val="none" w:sz="0" w:space="0" w:color="auto"/>
        <w:left w:val="none" w:sz="0" w:space="0" w:color="auto"/>
        <w:bottom w:val="none" w:sz="0" w:space="0" w:color="auto"/>
        <w:right w:val="none" w:sz="0" w:space="0" w:color="auto"/>
      </w:divBdr>
    </w:div>
    <w:div w:id="613096929">
      <w:bodyDiv w:val="1"/>
      <w:marLeft w:val="0"/>
      <w:marRight w:val="0"/>
      <w:marTop w:val="0"/>
      <w:marBottom w:val="0"/>
      <w:divBdr>
        <w:top w:val="none" w:sz="0" w:space="0" w:color="auto"/>
        <w:left w:val="none" w:sz="0" w:space="0" w:color="auto"/>
        <w:bottom w:val="none" w:sz="0" w:space="0" w:color="auto"/>
        <w:right w:val="none" w:sz="0" w:space="0" w:color="auto"/>
      </w:divBdr>
    </w:div>
    <w:div w:id="627666094">
      <w:bodyDiv w:val="1"/>
      <w:marLeft w:val="0"/>
      <w:marRight w:val="0"/>
      <w:marTop w:val="0"/>
      <w:marBottom w:val="0"/>
      <w:divBdr>
        <w:top w:val="none" w:sz="0" w:space="0" w:color="auto"/>
        <w:left w:val="none" w:sz="0" w:space="0" w:color="auto"/>
        <w:bottom w:val="none" w:sz="0" w:space="0" w:color="auto"/>
        <w:right w:val="none" w:sz="0" w:space="0" w:color="auto"/>
      </w:divBdr>
    </w:div>
    <w:div w:id="631058662">
      <w:bodyDiv w:val="1"/>
      <w:marLeft w:val="0"/>
      <w:marRight w:val="0"/>
      <w:marTop w:val="0"/>
      <w:marBottom w:val="0"/>
      <w:divBdr>
        <w:top w:val="none" w:sz="0" w:space="0" w:color="auto"/>
        <w:left w:val="none" w:sz="0" w:space="0" w:color="auto"/>
        <w:bottom w:val="none" w:sz="0" w:space="0" w:color="auto"/>
        <w:right w:val="none" w:sz="0" w:space="0" w:color="auto"/>
      </w:divBdr>
    </w:div>
    <w:div w:id="636910931">
      <w:bodyDiv w:val="1"/>
      <w:marLeft w:val="0"/>
      <w:marRight w:val="0"/>
      <w:marTop w:val="0"/>
      <w:marBottom w:val="0"/>
      <w:divBdr>
        <w:top w:val="none" w:sz="0" w:space="0" w:color="auto"/>
        <w:left w:val="none" w:sz="0" w:space="0" w:color="auto"/>
        <w:bottom w:val="none" w:sz="0" w:space="0" w:color="auto"/>
        <w:right w:val="none" w:sz="0" w:space="0" w:color="auto"/>
      </w:divBdr>
    </w:div>
    <w:div w:id="659307349">
      <w:bodyDiv w:val="1"/>
      <w:marLeft w:val="0"/>
      <w:marRight w:val="0"/>
      <w:marTop w:val="0"/>
      <w:marBottom w:val="0"/>
      <w:divBdr>
        <w:top w:val="none" w:sz="0" w:space="0" w:color="auto"/>
        <w:left w:val="none" w:sz="0" w:space="0" w:color="auto"/>
        <w:bottom w:val="none" w:sz="0" w:space="0" w:color="auto"/>
        <w:right w:val="none" w:sz="0" w:space="0" w:color="auto"/>
      </w:divBdr>
    </w:div>
    <w:div w:id="659432759">
      <w:bodyDiv w:val="1"/>
      <w:marLeft w:val="0"/>
      <w:marRight w:val="0"/>
      <w:marTop w:val="0"/>
      <w:marBottom w:val="0"/>
      <w:divBdr>
        <w:top w:val="none" w:sz="0" w:space="0" w:color="auto"/>
        <w:left w:val="none" w:sz="0" w:space="0" w:color="auto"/>
        <w:bottom w:val="none" w:sz="0" w:space="0" w:color="auto"/>
        <w:right w:val="none" w:sz="0" w:space="0" w:color="auto"/>
      </w:divBdr>
    </w:div>
    <w:div w:id="671571279">
      <w:bodyDiv w:val="1"/>
      <w:marLeft w:val="0"/>
      <w:marRight w:val="0"/>
      <w:marTop w:val="0"/>
      <w:marBottom w:val="0"/>
      <w:divBdr>
        <w:top w:val="none" w:sz="0" w:space="0" w:color="auto"/>
        <w:left w:val="none" w:sz="0" w:space="0" w:color="auto"/>
        <w:bottom w:val="none" w:sz="0" w:space="0" w:color="auto"/>
        <w:right w:val="none" w:sz="0" w:space="0" w:color="auto"/>
      </w:divBdr>
    </w:div>
    <w:div w:id="695348233">
      <w:bodyDiv w:val="1"/>
      <w:marLeft w:val="0"/>
      <w:marRight w:val="0"/>
      <w:marTop w:val="0"/>
      <w:marBottom w:val="0"/>
      <w:divBdr>
        <w:top w:val="none" w:sz="0" w:space="0" w:color="auto"/>
        <w:left w:val="none" w:sz="0" w:space="0" w:color="auto"/>
        <w:bottom w:val="none" w:sz="0" w:space="0" w:color="auto"/>
        <w:right w:val="none" w:sz="0" w:space="0" w:color="auto"/>
      </w:divBdr>
    </w:div>
    <w:div w:id="699817255">
      <w:bodyDiv w:val="1"/>
      <w:marLeft w:val="0"/>
      <w:marRight w:val="0"/>
      <w:marTop w:val="0"/>
      <w:marBottom w:val="0"/>
      <w:divBdr>
        <w:top w:val="none" w:sz="0" w:space="0" w:color="auto"/>
        <w:left w:val="none" w:sz="0" w:space="0" w:color="auto"/>
        <w:bottom w:val="none" w:sz="0" w:space="0" w:color="auto"/>
        <w:right w:val="none" w:sz="0" w:space="0" w:color="auto"/>
      </w:divBdr>
    </w:div>
    <w:div w:id="710882641">
      <w:bodyDiv w:val="1"/>
      <w:marLeft w:val="0"/>
      <w:marRight w:val="0"/>
      <w:marTop w:val="0"/>
      <w:marBottom w:val="0"/>
      <w:divBdr>
        <w:top w:val="none" w:sz="0" w:space="0" w:color="auto"/>
        <w:left w:val="none" w:sz="0" w:space="0" w:color="auto"/>
        <w:bottom w:val="none" w:sz="0" w:space="0" w:color="auto"/>
        <w:right w:val="none" w:sz="0" w:space="0" w:color="auto"/>
      </w:divBdr>
    </w:div>
    <w:div w:id="716707607">
      <w:bodyDiv w:val="1"/>
      <w:marLeft w:val="0"/>
      <w:marRight w:val="0"/>
      <w:marTop w:val="0"/>
      <w:marBottom w:val="0"/>
      <w:divBdr>
        <w:top w:val="none" w:sz="0" w:space="0" w:color="auto"/>
        <w:left w:val="none" w:sz="0" w:space="0" w:color="auto"/>
        <w:bottom w:val="none" w:sz="0" w:space="0" w:color="auto"/>
        <w:right w:val="none" w:sz="0" w:space="0" w:color="auto"/>
      </w:divBdr>
    </w:div>
    <w:div w:id="738747807">
      <w:bodyDiv w:val="1"/>
      <w:marLeft w:val="0"/>
      <w:marRight w:val="0"/>
      <w:marTop w:val="0"/>
      <w:marBottom w:val="0"/>
      <w:divBdr>
        <w:top w:val="none" w:sz="0" w:space="0" w:color="auto"/>
        <w:left w:val="none" w:sz="0" w:space="0" w:color="auto"/>
        <w:bottom w:val="none" w:sz="0" w:space="0" w:color="auto"/>
        <w:right w:val="none" w:sz="0" w:space="0" w:color="auto"/>
      </w:divBdr>
    </w:div>
    <w:div w:id="749472083">
      <w:bodyDiv w:val="1"/>
      <w:marLeft w:val="0"/>
      <w:marRight w:val="0"/>
      <w:marTop w:val="0"/>
      <w:marBottom w:val="0"/>
      <w:divBdr>
        <w:top w:val="none" w:sz="0" w:space="0" w:color="auto"/>
        <w:left w:val="none" w:sz="0" w:space="0" w:color="auto"/>
        <w:bottom w:val="none" w:sz="0" w:space="0" w:color="auto"/>
        <w:right w:val="none" w:sz="0" w:space="0" w:color="auto"/>
      </w:divBdr>
    </w:div>
    <w:div w:id="761950322">
      <w:bodyDiv w:val="1"/>
      <w:marLeft w:val="0"/>
      <w:marRight w:val="0"/>
      <w:marTop w:val="0"/>
      <w:marBottom w:val="0"/>
      <w:divBdr>
        <w:top w:val="none" w:sz="0" w:space="0" w:color="auto"/>
        <w:left w:val="none" w:sz="0" w:space="0" w:color="auto"/>
        <w:bottom w:val="none" w:sz="0" w:space="0" w:color="auto"/>
        <w:right w:val="none" w:sz="0" w:space="0" w:color="auto"/>
      </w:divBdr>
    </w:div>
    <w:div w:id="781461353">
      <w:bodyDiv w:val="1"/>
      <w:marLeft w:val="0"/>
      <w:marRight w:val="0"/>
      <w:marTop w:val="0"/>
      <w:marBottom w:val="0"/>
      <w:divBdr>
        <w:top w:val="none" w:sz="0" w:space="0" w:color="auto"/>
        <w:left w:val="none" w:sz="0" w:space="0" w:color="auto"/>
        <w:bottom w:val="none" w:sz="0" w:space="0" w:color="auto"/>
        <w:right w:val="none" w:sz="0" w:space="0" w:color="auto"/>
      </w:divBdr>
    </w:div>
    <w:div w:id="855846145">
      <w:bodyDiv w:val="1"/>
      <w:marLeft w:val="0"/>
      <w:marRight w:val="0"/>
      <w:marTop w:val="0"/>
      <w:marBottom w:val="0"/>
      <w:divBdr>
        <w:top w:val="none" w:sz="0" w:space="0" w:color="auto"/>
        <w:left w:val="none" w:sz="0" w:space="0" w:color="auto"/>
        <w:bottom w:val="none" w:sz="0" w:space="0" w:color="auto"/>
        <w:right w:val="none" w:sz="0" w:space="0" w:color="auto"/>
      </w:divBdr>
    </w:div>
    <w:div w:id="861092685">
      <w:bodyDiv w:val="1"/>
      <w:marLeft w:val="0"/>
      <w:marRight w:val="0"/>
      <w:marTop w:val="0"/>
      <w:marBottom w:val="0"/>
      <w:divBdr>
        <w:top w:val="none" w:sz="0" w:space="0" w:color="auto"/>
        <w:left w:val="none" w:sz="0" w:space="0" w:color="auto"/>
        <w:bottom w:val="none" w:sz="0" w:space="0" w:color="auto"/>
        <w:right w:val="none" w:sz="0" w:space="0" w:color="auto"/>
      </w:divBdr>
    </w:div>
    <w:div w:id="888491885">
      <w:bodyDiv w:val="1"/>
      <w:marLeft w:val="0"/>
      <w:marRight w:val="0"/>
      <w:marTop w:val="0"/>
      <w:marBottom w:val="0"/>
      <w:divBdr>
        <w:top w:val="none" w:sz="0" w:space="0" w:color="auto"/>
        <w:left w:val="none" w:sz="0" w:space="0" w:color="auto"/>
        <w:bottom w:val="none" w:sz="0" w:space="0" w:color="auto"/>
        <w:right w:val="none" w:sz="0" w:space="0" w:color="auto"/>
      </w:divBdr>
      <w:divsChild>
        <w:div w:id="130174693">
          <w:marLeft w:val="0"/>
          <w:marRight w:val="0"/>
          <w:marTop w:val="0"/>
          <w:marBottom w:val="0"/>
          <w:divBdr>
            <w:top w:val="none" w:sz="0" w:space="0" w:color="auto"/>
            <w:left w:val="none" w:sz="0" w:space="0" w:color="auto"/>
            <w:bottom w:val="none" w:sz="0" w:space="0" w:color="auto"/>
            <w:right w:val="none" w:sz="0" w:space="0" w:color="auto"/>
          </w:divBdr>
        </w:div>
      </w:divsChild>
    </w:div>
    <w:div w:id="906721509">
      <w:bodyDiv w:val="1"/>
      <w:marLeft w:val="0"/>
      <w:marRight w:val="0"/>
      <w:marTop w:val="0"/>
      <w:marBottom w:val="0"/>
      <w:divBdr>
        <w:top w:val="none" w:sz="0" w:space="0" w:color="auto"/>
        <w:left w:val="none" w:sz="0" w:space="0" w:color="auto"/>
        <w:bottom w:val="none" w:sz="0" w:space="0" w:color="auto"/>
        <w:right w:val="none" w:sz="0" w:space="0" w:color="auto"/>
      </w:divBdr>
    </w:div>
    <w:div w:id="940720405">
      <w:bodyDiv w:val="1"/>
      <w:marLeft w:val="0"/>
      <w:marRight w:val="0"/>
      <w:marTop w:val="0"/>
      <w:marBottom w:val="0"/>
      <w:divBdr>
        <w:top w:val="none" w:sz="0" w:space="0" w:color="auto"/>
        <w:left w:val="none" w:sz="0" w:space="0" w:color="auto"/>
        <w:bottom w:val="none" w:sz="0" w:space="0" w:color="auto"/>
        <w:right w:val="none" w:sz="0" w:space="0" w:color="auto"/>
      </w:divBdr>
    </w:div>
    <w:div w:id="941886741">
      <w:bodyDiv w:val="1"/>
      <w:marLeft w:val="0"/>
      <w:marRight w:val="0"/>
      <w:marTop w:val="0"/>
      <w:marBottom w:val="0"/>
      <w:divBdr>
        <w:top w:val="none" w:sz="0" w:space="0" w:color="auto"/>
        <w:left w:val="none" w:sz="0" w:space="0" w:color="auto"/>
        <w:bottom w:val="none" w:sz="0" w:space="0" w:color="auto"/>
        <w:right w:val="none" w:sz="0" w:space="0" w:color="auto"/>
      </w:divBdr>
    </w:div>
    <w:div w:id="943197152">
      <w:bodyDiv w:val="1"/>
      <w:marLeft w:val="0"/>
      <w:marRight w:val="0"/>
      <w:marTop w:val="0"/>
      <w:marBottom w:val="0"/>
      <w:divBdr>
        <w:top w:val="none" w:sz="0" w:space="0" w:color="auto"/>
        <w:left w:val="none" w:sz="0" w:space="0" w:color="auto"/>
        <w:bottom w:val="none" w:sz="0" w:space="0" w:color="auto"/>
        <w:right w:val="none" w:sz="0" w:space="0" w:color="auto"/>
      </w:divBdr>
    </w:div>
    <w:div w:id="943653311">
      <w:bodyDiv w:val="1"/>
      <w:marLeft w:val="0"/>
      <w:marRight w:val="0"/>
      <w:marTop w:val="0"/>
      <w:marBottom w:val="0"/>
      <w:divBdr>
        <w:top w:val="none" w:sz="0" w:space="0" w:color="auto"/>
        <w:left w:val="none" w:sz="0" w:space="0" w:color="auto"/>
        <w:bottom w:val="none" w:sz="0" w:space="0" w:color="auto"/>
        <w:right w:val="none" w:sz="0" w:space="0" w:color="auto"/>
      </w:divBdr>
    </w:div>
    <w:div w:id="968362571">
      <w:bodyDiv w:val="1"/>
      <w:marLeft w:val="0"/>
      <w:marRight w:val="0"/>
      <w:marTop w:val="0"/>
      <w:marBottom w:val="0"/>
      <w:divBdr>
        <w:top w:val="none" w:sz="0" w:space="0" w:color="auto"/>
        <w:left w:val="none" w:sz="0" w:space="0" w:color="auto"/>
        <w:bottom w:val="none" w:sz="0" w:space="0" w:color="auto"/>
        <w:right w:val="none" w:sz="0" w:space="0" w:color="auto"/>
      </w:divBdr>
    </w:div>
    <w:div w:id="976571377">
      <w:bodyDiv w:val="1"/>
      <w:marLeft w:val="0"/>
      <w:marRight w:val="0"/>
      <w:marTop w:val="0"/>
      <w:marBottom w:val="0"/>
      <w:divBdr>
        <w:top w:val="none" w:sz="0" w:space="0" w:color="auto"/>
        <w:left w:val="none" w:sz="0" w:space="0" w:color="auto"/>
        <w:bottom w:val="none" w:sz="0" w:space="0" w:color="auto"/>
        <w:right w:val="none" w:sz="0" w:space="0" w:color="auto"/>
      </w:divBdr>
    </w:div>
    <w:div w:id="1001472059">
      <w:bodyDiv w:val="1"/>
      <w:marLeft w:val="0"/>
      <w:marRight w:val="0"/>
      <w:marTop w:val="0"/>
      <w:marBottom w:val="0"/>
      <w:divBdr>
        <w:top w:val="none" w:sz="0" w:space="0" w:color="auto"/>
        <w:left w:val="none" w:sz="0" w:space="0" w:color="auto"/>
        <w:bottom w:val="none" w:sz="0" w:space="0" w:color="auto"/>
        <w:right w:val="none" w:sz="0" w:space="0" w:color="auto"/>
      </w:divBdr>
    </w:div>
    <w:div w:id="1007555221">
      <w:bodyDiv w:val="1"/>
      <w:marLeft w:val="0"/>
      <w:marRight w:val="0"/>
      <w:marTop w:val="0"/>
      <w:marBottom w:val="0"/>
      <w:divBdr>
        <w:top w:val="none" w:sz="0" w:space="0" w:color="auto"/>
        <w:left w:val="none" w:sz="0" w:space="0" w:color="auto"/>
        <w:bottom w:val="none" w:sz="0" w:space="0" w:color="auto"/>
        <w:right w:val="none" w:sz="0" w:space="0" w:color="auto"/>
      </w:divBdr>
    </w:div>
    <w:div w:id="1011563207">
      <w:bodyDiv w:val="1"/>
      <w:marLeft w:val="0"/>
      <w:marRight w:val="0"/>
      <w:marTop w:val="0"/>
      <w:marBottom w:val="0"/>
      <w:divBdr>
        <w:top w:val="none" w:sz="0" w:space="0" w:color="auto"/>
        <w:left w:val="none" w:sz="0" w:space="0" w:color="auto"/>
        <w:bottom w:val="none" w:sz="0" w:space="0" w:color="auto"/>
        <w:right w:val="none" w:sz="0" w:space="0" w:color="auto"/>
      </w:divBdr>
    </w:div>
    <w:div w:id="1065223875">
      <w:bodyDiv w:val="1"/>
      <w:marLeft w:val="0"/>
      <w:marRight w:val="0"/>
      <w:marTop w:val="0"/>
      <w:marBottom w:val="0"/>
      <w:divBdr>
        <w:top w:val="none" w:sz="0" w:space="0" w:color="auto"/>
        <w:left w:val="none" w:sz="0" w:space="0" w:color="auto"/>
        <w:bottom w:val="none" w:sz="0" w:space="0" w:color="auto"/>
        <w:right w:val="none" w:sz="0" w:space="0" w:color="auto"/>
      </w:divBdr>
    </w:div>
    <w:div w:id="1103381103">
      <w:bodyDiv w:val="1"/>
      <w:marLeft w:val="0"/>
      <w:marRight w:val="0"/>
      <w:marTop w:val="0"/>
      <w:marBottom w:val="0"/>
      <w:divBdr>
        <w:top w:val="none" w:sz="0" w:space="0" w:color="auto"/>
        <w:left w:val="none" w:sz="0" w:space="0" w:color="auto"/>
        <w:bottom w:val="none" w:sz="0" w:space="0" w:color="auto"/>
        <w:right w:val="none" w:sz="0" w:space="0" w:color="auto"/>
      </w:divBdr>
    </w:div>
    <w:div w:id="1116563594">
      <w:bodyDiv w:val="1"/>
      <w:marLeft w:val="0"/>
      <w:marRight w:val="0"/>
      <w:marTop w:val="0"/>
      <w:marBottom w:val="0"/>
      <w:divBdr>
        <w:top w:val="none" w:sz="0" w:space="0" w:color="auto"/>
        <w:left w:val="none" w:sz="0" w:space="0" w:color="auto"/>
        <w:bottom w:val="none" w:sz="0" w:space="0" w:color="auto"/>
        <w:right w:val="none" w:sz="0" w:space="0" w:color="auto"/>
      </w:divBdr>
    </w:div>
    <w:div w:id="1118640269">
      <w:bodyDiv w:val="1"/>
      <w:marLeft w:val="0"/>
      <w:marRight w:val="0"/>
      <w:marTop w:val="0"/>
      <w:marBottom w:val="0"/>
      <w:divBdr>
        <w:top w:val="none" w:sz="0" w:space="0" w:color="auto"/>
        <w:left w:val="none" w:sz="0" w:space="0" w:color="auto"/>
        <w:bottom w:val="none" w:sz="0" w:space="0" w:color="auto"/>
        <w:right w:val="none" w:sz="0" w:space="0" w:color="auto"/>
      </w:divBdr>
    </w:div>
    <w:div w:id="1167941903">
      <w:bodyDiv w:val="1"/>
      <w:marLeft w:val="0"/>
      <w:marRight w:val="0"/>
      <w:marTop w:val="0"/>
      <w:marBottom w:val="0"/>
      <w:divBdr>
        <w:top w:val="none" w:sz="0" w:space="0" w:color="auto"/>
        <w:left w:val="none" w:sz="0" w:space="0" w:color="auto"/>
        <w:bottom w:val="none" w:sz="0" w:space="0" w:color="auto"/>
        <w:right w:val="none" w:sz="0" w:space="0" w:color="auto"/>
      </w:divBdr>
    </w:div>
    <w:div w:id="1171406824">
      <w:bodyDiv w:val="1"/>
      <w:marLeft w:val="0"/>
      <w:marRight w:val="0"/>
      <w:marTop w:val="0"/>
      <w:marBottom w:val="0"/>
      <w:divBdr>
        <w:top w:val="none" w:sz="0" w:space="0" w:color="auto"/>
        <w:left w:val="none" w:sz="0" w:space="0" w:color="auto"/>
        <w:bottom w:val="none" w:sz="0" w:space="0" w:color="auto"/>
        <w:right w:val="none" w:sz="0" w:space="0" w:color="auto"/>
      </w:divBdr>
    </w:div>
    <w:div w:id="1181775779">
      <w:bodyDiv w:val="1"/>
      <w:marLeft w:val="0"/>
      <w:marRight w:val="0"/>
      <w:marTop w:val="0"/>
      <w:marBottom w:val="0"/>
      <w:divBdr>
        <w:top w:val="none" w:sz="0" w:space="0" w:color="auto"/>
        <w:left w:val="none" w:sz="0" w:space="0" w:color="auto"/>
        <w:bottom w:val="none" w:sz="0" w:space="0" w:color="auto"/>
        <w:right w:val="none" w:sz="0" w:space="0" w:color="auto"/>
      </w:divBdr>
    </w:div>
    <w:div w:id="1182354981">
      <w:bodyDiv w:val="1"/>
      <w:marLeft w:val="0"/>
      <w:marRight w:val="0"/>
      <w:marTop w:val="0"/>
      <w:marBottom w:val="0"/>
      <w:divBdr>
        <w:top w:val="none" w:sz="0" w:space="0" w:color="auto"/>
        <w:left w:val="none" w:sz="0" w:space="0" w:color="auto"/>
        <w:bottom w:val="none" w:sz="0" w:space="0" w:color="auto"/>
        <w:right w:val="none" w:sz="0" w:space="0" w:color="auto"/>
      </w:divBdr>
    </w:div>
    <w:div w:id="1187871334">
      <w:bodyDiv w:val="1"/>
      <w:marLeft w:val="0"/>
      <w:marRight w:val="0"/>
      <w:marTop w:val="0"/>
      <w:marBottom w:val="0"/>
      <w:divBdr>
        <w:top w:val="none" w:sz="0" w:space="0" w:color="auto"/>
        <w:left w:val="none" w:sz="0" w:space="0" w:color="auto"/>
        <w:bottom w:val="none" w:sz="0" w:space="0" w:color="auto"/>
        <w:right w:val="none" w:sz="0" w:space="0" w:color="auto"/>
      </w:divBdr>
    </w:div>
    <w:div w:id="1217618148">
      <w:bodyDiv w:val="1"/>
      <w:marLeft w:val="0"/>
      <w:marRight w:val="0"/>
      <w:marTop w:val="0"/>
      <w:marBottom w:val="0"/>
      <w:divBdr>
        <w:top w:val="none" w:sz="0" w:space="0" w:color="auto"/>
        <w:left w:val="none" w:sz="0" w:space="0" w:color="auto"/>
        <w:bottom w:val="none" w:sz="0" w:space="0" w:color="auto"/>
        <w:right w:val="none" w:sz="0" w:space="0" w:color="auto"/>
      </w:divBdr>
    </w:div>
    <w:div w:id="1258708852">
      <w:bodyDiv w:val="1"/>
      <w:marLeft w:val="0"/>
      <w:marRight w:val="0"/>
      <w:marTop w:val="0"/>
      <w:marBottom w:val="0"/>
      <w:divBdr>
        <w:top w:val="none" w:sz="0" w:space="0" w:color="auto"/>
        <w:left w:val="none" w:sz="0" w:space="0" w:color="auto"/>
        <w:bottom w:val="none" w:sz="0" w:space="0" w:color="auto"/>
        <w:right w:val="none" w:sz="0" w:space="0" w:color="auto"/>
      </w:divBdr>
    </w:div>
    <w:div w:id="1273172141">
      <w:bodyDiv w:val="1"/>
      <w:marLeft w:val="0"/>
      <w:marRight w:val="0"/>
      <w:marTop w:val="0"/>
      <w:marBottom w:val="0"/>
      <w:divBdr>
        <w:top w:val="none" w:sz="0" w:space="0" w:color="auto"/>
        <w:left w:val="none" w:sz="0" w:space="0" w:color="auto"/>
        <w:bottom w:val="none" w:sz="0" w:space="0" w:color="auto"/>
        <w:right w:val="none" w:sz="0" w:space="0" w:color="auto"/>
      </w:divBdr>
    </w:div>
    <w:div w:id="1294408302">
      <w:bodyDiv w:val="1"/>
      <w:marLeft w:val="0"/>
      <w:marRight w:val="0"/>
      <w:marTop w:val="0"/>
      <w:marBottom w:val="0"/>
      <w:divBdr>
        <w:top w:val="none" w:sz="0" w:space="0" w:color="auto"/>
        <w:left w:val="none" w:sz="0" w:space="0" w:color="auto"/>
        <w:bottom w:val="none" w:sz="0" w:space="0" w:color="auto"/>
        <w:right w:val="none" w:sz="0" w:space="0" w:color="auto"/>
      </w:divBdr>
    </w:div>
    <w:div w:id="1295481164">
      <w:bodyDiv w:val="1"/>
      <w:marLeft w:val="0"/>
      <w:marRight w:val="0"/>
      <w:marTop w:val="0"/>
      <w:marBottom w:val="0"/>
      <w:divBdr>
        <w:top w:val="none" w:sz="0" w:space="0" w:color="auto"/>
        <w:left w:val="none" w:sz="0" w:space="0" w:color="auto"/>
        <w:bottom w:val="none" w:sz="0" w:space="0" w:color="auto"/>
        <w:right w:val="none" w:sz="0" w:space="0" w:color="auto"/>
      </w:divBdr>
    </w:div>
    <w:div w:id="1314413693">
      <w:bodyDiv w:val="1"/>
      <w:marLeft w:val="0"/>
      <w:marRight w:val="0"/>
      <w:marTop w:val="0"/>
      <w:marBottom w:val="0"/>
      <w:divBdr>
        <w:top w:val="none" w:sz="0" w:space="0" w:color="auto"/>
        <w:left w:val="none" w:sz="0" w:space="0" w:color="auto"/>
        <w:bottom w:val="none" w:sz="0" w:space="0" w:color="auto"/>
        <w:right w:val="none" w:sz="0" w:space="0" w:color="auto"/>
      </w:divBdr>
    </w:div>
    <w:div w:id="1327249792">
      <w:bodyDiv w:val="1"/>
      <w:marLeft w:val="0"/>
      <w:marRight w:val="0"/>
      <w:marTop w:val="0"/>
      <w:marBottom w:val="0"/>
      <w:divBdr>
        <w:top w:val="none" w:sz="0" w:space="0" w:color="auto"/>
        <w:left w:val="none" w:sz="0" w:space="0" w:color="auto"/>
        <w:bottom w:val="none" w:sz="0" w:space="0" w:color="auto"/>
        <w:right w:val="none" w:sz="0" w:space="0" w:color="auto"/>
      </w:divBdr>
    </w:div>
    <w:div w:id="1332953862">
      <w:bodyDiv w:val="1"/>
      <w:marLeft w:val="0"/>
      <w:marRight w:val="0"/>
      <w:marTop w:val="0"/>
      <w:marBottom w:val="0"/>
      <w:divBdr>
        <w:top w:val="none" w:sz="0" w:space="0" w:color="auto"/>
        <w:left w:val="none" w:sz="0" w:space="0" w:color="auto"/>
        <w:bottom w:val="none" w:sz="0" w:space="0" w:color="auto"/>
        <w:right w:val="none" w:sz="0" w:space="0" w:color="auto"/>
      </w:divBdr>
    </w:div>
    <w:div w:id="1353453716">
      <w:bodyDiv w:val="1"/>
      <w:marLeft w:val="0"/>
      <w:marRight w:val="0"/>
      <w:marTop w:val="0"/>
      <w:marBottom w:val="0"/>
      <w:divBdr>
        <w:top w:val="none" w:sz="0" w:space="0" w:color="auto"/>
        <w:left w:val="none" w:sz="0" w:space="0" w:color="auto"/>
        <w:bottom w:val="none" w:sz="0" w:space="0" w:color="auto"/>
        <w:right w:val="none" w:sz="0" w:space="0" w:color="auto"/>
      </w:divBdr>
    </w:div>
    <w:div w:id="1391344099">
      <w:bodyDiv w:val="1"/>
      <w:marLeft w:val="0"/>
      <w:marRight w:val="0"/>
      <w:marTop w:val="0"/>
      <w:marBottom w:val="0"/>
      <w:divBdr>
        <w:top w:val="none" w:sz="0" w:space="0" w:color="auto"/>
        <w:left w:val="none" w:sz="0" w:space="0" w:color="auto"/>
        <w:bottom w:val="none" w:sz="0" w:space="0" w:color="auto"/>
        <w:right w:val="none" w:sz="0" w:space="0" w:color="auto"/>
      </w:divBdr>
    </w:div>
    <w:div w:id="1437098443">
      <w:bodyDiv w:val="1"/>
      <w:marLeft w:val="0"/>
      <w:marRight w:val="0"/>
      <w:marTop w:val="0"/>
      <w:marBottom w:val="0"/>
      <w:divBdr>
        <w:top w:val="none" w:sz="0" w:space="0" w:color="auto"/>
        <w:left w:val="none" w:sz="0" w:space="0" w:color="auto"/>
        <w:bottom w:val="none" w:sz="0" w:space="0" w:color="auto"/>
        <w:right w:val="none" w:sz="0" w:space="0" w:color="auto"/>
      </w:divBdr>
    </w:div>
    <w:div w:id="1457797924">
      <w:bodyDiv w:val="1"/>
      <w:marLeft w:val="0"/>
      <w:marRight w:val="0"/>
      <w:marTop w:val="0"/>
      <w:marBottom w:val="0"/>
      <w:divBdr>
        <w:top w:val="none" w:sz="0" w:space="0" w:color="auto"/>
        <w:left w:val="none" w:sz="0" w:space="0" w:color="auto"/>
        <w:bottom w:val="none" w:sz="0" w:space="0" w:color="auto"/>
        <w:right w:val="none" w:sz="0" w:space="0" w:color="auto"/>
      </w:divBdr>
    </w:div>
    <w:div w:id="1467157771">
      <w:bodyDiv w:val="1"/>
      <w:marLeft w:val="0"/>
      <w:marRight w:val="0"/>
      <w:marTop w:val="0"/>
      <w:marBottom w:val="0"/>
      <w:divBdr>
        <w:top w:val="none" w:sz="0" w:space="0" w:color="auto"/>
        <w:left w:val="none" w:sz="0" w:space="0" w:color="auto"/>
        <w:bottom w:val="none" w:sz="0" w:space="0" w:color="auto"/>
        <w:right w:val="none" w:sz="0" w:space="0" w:color="auto"/>
      </w:divBdr>
      <w:divsChild>
        <w:div w:id="986858756">
          <w:marLeft w:val="0"/>
          <w:marRight w:val="0"/>
          <w:marTop w:val="0"/>
          <w:marBottom w:val="0"/>
          <w:divBdr>
            <w:top w:val="none" w:sz="0" w:space="0" w:color="auto"/>
            <w:left w:val="none" w:sz="0" w:space="0" w:color="auto"/>
            <w:bottom w:val="none" w:sz="0" w:space="0" w:color="auto"/>
            <w:right w:val="none" w:sz="0" w:space="0" w:color="auto"/>
          </w:divBdr>
        </w:div>
      </w:divsChild>
    </w:div>
    <w:div w:id="1470436677">
      <w:bodyDiv w:val="1"/>
      <w:marLeft w:val="0"/>
      <w:marRight w:val="0"/>
      <w:marTop w:val="0"/>
      <w:marBottom w:val="0"/>
      <w:divBdr>
        <w:top w:val="none" w:sz="0" w:space="0" w:color="auto"/>
        <w:left w:val="none" w:sz="0" w:space="0" w:color="auto"/>
        <w:bottom w:val="none" w:sz="0" w:space="0" w:color="auto"/>
        <w:right w:val="none" w:sz="0" w:space="0" w:color="auto"/>
      </w:divBdr>
    </w:div>
    <w:div w:id="1476682942">
      <w:bodyDiv w:val="1"/>
      <w:marLeft w:val="0"/>
      <w:marRight w:val="0"/>
      <w:marTop w:val="0"/>
      <w:marBottom w:val="0"/>
      <w:divBdr>
        <w:top w:val="none" w:sz="0" w:space="0" w:color="auto"/>
        <w:left w:val="none" w:sz="0" w:space="0" w:color="auto"/>
        <w:bottom w:val="none" w:sz="0" w:space="0" w:color="auto"/>
        <w:right w:val="none" w:sz="0" w:space="0" w:color="auto"/>
      </w:divBdr>
      <w:divsChild>
        <w:div w:id="696933038">
          <w:marLeft w:val="0"/>
          <w:marRight w:val="0"/>
          <w:marTop w:val="0"/>
          <w:marBottom w:val="0"/>
          <w:divBdr>
            <w:top w:val="none" w:sz="0" w:space="0" w:color="auto"/>
            <w:left w:val="none" w:sz="0" w:space="0" w:color="auto"/>
            <w:bottom w:val="none" w:sz="0" w:space="0" w:color="auto"/>
            <w:right w:val="none" w:sz="0" w:space="0" w:color="auto"/>
          </w:divBdr>
        </w:div>
      </w:divsChild>
    </w:div>
    <w:div w:id="1484859247">
      <w:bodyDiv w:val="1"/>
      <w:marLeft w:val="0"/>
      <w:marRight w:val="0"/>
      <w:marTop w:val="0"/>
      <w:marBottom w:val="0"/>
      <w:divBdr>
        <w:top w:val="none" w:sz="0" w:space="0" w:color="auto"/>
        <w:left w:val="none" w:sz="0" w:space="0" w:color="auto"/>
        <w:bottom w:val="none" w:sz="0" w:space="0" w:color="auto"/>
        <w:right w:val="none" w:sz="0" w:space="0" w:color="auto"/>
      </w:divBdr>
      <w:divsChild>
        <w:div w:id="222446916">
          <w:marLeft w:val="0"/>
          <w:marRight w:val="0"/>
          <w:marTop w:val="0"/>
          <w:marBottom w:val="0"/>
          <w:divBdr>
            <w:top w:val="none" w:sz="0" w:space="0" w:color="auto"/>
            <w:left w:val="none" w:sz="0" w:space="0" w:color="auto"/>
            <w:bottom w:val="none" w:sz="0" w:space="0" w:color="auto"/>
            <w:right w:val="none" w:sz="0" w:space="0" w:color="auto"/>
          </w:divBdr>
        </w:div>
      </w:divsChild>
    </w:div>
    <w:div w:id="1517495421">
      <w:bodyDiv w:val="1"/>
      <w:marLeft w:val="0"/>
      <w:marRight w:val="0"/>
      <w:marTop w:val="0"/>
      <w:marBottom w:val="0"/>
      <w:divBdr>
        <w:top w:val="none" w:sz="0" w:space="0" w:color="auto"/>
        <w:left w:val="none" w:sz="0" w:space="0" w:color="auto"/>
        <w:bottom w:val="none" w:sz="0" w:space="0" w:color="auto"/>
        <w:right w:val="none" w:sz="0" w:space="0" w:color="auto"/>
      </w:divBdr>
    </w:div>
    <w:div w:id="1527018004">
      <w:bodyDiv w:val="1"/>
      <w:marLeft w:val="0"/>
      <w:marRight w:val="0"/>
      <w:marTop w:val="0"/>
      <w:marBottom w:val="0"/>
      <w:divBdr>
        <w:top w:val="none" w:sz="0" w:space="0" w:color="auto"/>
        <w:left w:val="none" w:sz="0" w:space="0" w:color="auto"/>
        <w:bottom w:val="none" w:sz="0" w:space="0" w:color="auto"/>
        <w:right w:val="none" w:sz="0" w:space="0" w:color="auto"/>
      </w:divBdr>
    </w:div>
    <w:div w:id="1622807915">
      <w:bodyDiv w:val="1"/>
      <w:marLeft w:val="0"/>
      <w:marRight w:val="0"/>
      <w:marTop w:val="0"/>
      <w:marBottom w:val="0"/>
      <w:divBdr>
        <w:top w:val="none" w:sz="0" w:space="0" w:color="auto"/>
        <w:left w:val="none" w:sz="0" w:space="0" w:color="auto"/>
        <w:bottom w:val="none" w:sz="0" w:space="0" w:color="auto"/>
        <w:right w:val="none" w:sz="0" w:space="0" w:color="auto"/>
      </w:divBdr>
    </w:div>
    <w:div w:id="1636065651">
      <w:bodyDiv w:val="1"/>
      <w:marLeft w:val="0"/>
      <w:marRight w:val="0"/>
      <w:marTop w:val="0"/>
      <w:marBottom w:val="0"/>
      <w:divBdr>
        <w:top w:val="none" w:sz="0" w:space="0" w:color="auto"/>
        <w:left w:val="none" w:sz="0" w:space="0" w:color="auto"/>
        <w:bottom w:val="none" w:sz="0" w:space="0" w:color="auto"/>
        <w:right w:val="none" w:sz="0" w:space="0" w:color="auto"/>
      </w:divBdr>
    </w:div>
    <w:div w:id="1671521143">
      <w:bodyDiv w:val="1"/>
      <w:marLeft w:val="0"/>
      <w:marRight w:val="0"/>
      <w:marTop w:val="0"/>
      <w:marBottom w:val="0"/>
      <w:divBdr>
        <w:top w:val="none" w:sz="0" w:space="0" w:color="auto"/>
        <w:left w:val="none" w:sz="0" w:space="0" w:color="auto"/>
        <w:bottom w:val="none" w:sz="0" w:space="0" w:color="auto"/>
        <w:right w:val="none" w:sz="0" w:space="0" w:color="auto"/>
      </w:divBdr>
      <w:divsChild>
        <w:div w:id="324746016">
          <w:marLeft w:val="0"/>
          <w:marRight w:val="0"/>
          <w:marTop w:val="0"/>
          <w:marBottom w:val="0"/>
          <w:divBdr>
            <w:top w:val="none" w:sz="0" w:space="0" w:color="auto"/>
            <w:left w:val="none" w:sz="0" w:space="0" w:color="auto"/>
            <w:bottom w:val="none" w:sz="0" w:space="0" w:color="auto"/>
            <w:right w:val="none" w:sz="0" w:space="0" w:color="auto"/>
          </w:divBdr>
          <w:divsChild>
            <w:div w:id="983201167">
              <w:marLeft w:val="0"/>
              <w:marRight w:val="0"/>
              <w:marTop w:val="0"/>
              <w:marBottom w:val="0"/>
              <w:divBdr>
                <w:top w:val="none" w:sz="0" w:space="0" w:color="auto"/>
                <w:left w:val="none" w:sz="0" w:space="0" w:color="auto"/>
                <w:bottom w:val="none" w:sz="0" w:space="0" w:color="auto"/>
                <w:right w:val="none" w:sz="0" w:space="0" w:color="auto"/>
              </w:divBdr>
              <w:divsChild>
                <w:div w:id="1270620170">
                  <w:marLeft w:val="0"/>
                  <w:marRight w:val="0"/>
                  <w:marTop w:val="0"/>
                  <w:marBottom w:val="129"/>
                  <w:divBdr>
                    <w:top w:val="none" w:sz="0" w:space="0" w:color="auto"/>
                    <w:left w:val="none" w:sz="0" w:space="0" w:color="auto"/>
                    <w:bottom w:val="none" w:sz="0" w:space="0" w:color="auto"/>
                    <w:right w:val="none" w:sz="0" w:space="0" w:color="auto"/>
                  </w:divBdr>
                  <w:divsChild>
                    <w:div w:id="13319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40905">
      <w:bodyDiv w:val="1"/>
      <w:marLeft w:val="0"/>
      <w:marRight w:val="0"/>
      <w:marTop w:val="0"/>
      <w:marBottom w:val="0"/>
      <w:divBdr>
        <w:top w:val="none" w:sz="0" w:space="0" w:color="auto"/>
        <w:left w:val="none" w:sz="0" w:space="0" w:color="auto"/>
        <w:bottom w:val="none" w:sz="0" w:space="0" w:color="auto"/>
        <w:right w:val="none" w:sz="0" w:space="0" w:color="auto"/>
      </w:divBdr>
      <w:divsChild>
        <w:div w:id="1945764520">
          <w:marLeft w:val="0"/>
          <w:marRight w:val="0"/>
          <w:marTop w:val="0"/>
          <w:marBottom w:val="0"/>
          <w:divBdr>
            <w:top w:val="none" w:sz="0" w:space="0" w:color="auto"/>
            <w:left w:val="none" w:sz="0" w:space="0" w:color="auto"/>
            <w:bottom w:val="none" w:sz="0" w:space="0" w:color="auto"/>
            <w:right w:val="none" w:sz="0" w:space="0" w:color="auto"/>
          </w:divBdr>
          <w:divsChild>
            <w:div w:id="48844495">
              <w:marLeft w:val="0"/>
              <w:marRight w:val="0"/>
              <w:marTop w:val="0"/>
              <w:marBottom w:val="0"/>
              <w:divBdr>
                <w:top w:val="none" w:sz="0" w:space="0" w:color="auto"/>
                <w:left w:val="none" w:sz="0" w:space="0" w:color="auto"/>
                <w:bottom w:val="none" w:sz="0" w:space="0" w:color="auto"/>
                <w:right w:val="none" w:sz="0" w:space="0" w:color="auto"/>
              </w:divBdr>
              <w:divsChild>
                <w:div w:id="1122268288">
                  <w:marLeft w:val="0"/>
                  <w:marRight w:val="0"/>
                  <w:marTop w:val="0"/>
                  <w:marBottom w:val="0"/>
                  <w:divBdr>
                    <w:top w:val="none" w:sz="0" w:space="0" w:color="auto"/>
                    <w:left w:val="none" w:sz="0" w:space="0" w:color="auto"/>
                    <w:bottom w:val="none" w:sz="0" w:space="0" w:color="auto"/>
                    <w:right w:val="none" w:sz="0" w:space="0" w:color="auto"/>
                  </w:divBdr>
                  <w:divsChild>
                    <w:div w:id="1906984513">
                      <w:marLeft w:val="0"/>
                      <w:marRight w:val="0"/>
                      <w:marTop w:val="0"/>
                      <w:marBottom w:val="0"/>
                      <w:divBdr>
                        <w:top w:val="none" w:sz="0" w:space="0" w:color="auto"/>
                        <w:left w:val="none" w:sz="0" w:space="0" w:color="auto"/>
                        <w:bottom w:val="none" w:sz="0" w:space="0" w:color="auto"/>
                        <w:right w:val="none" w:sz="0" w:space="0" w:color="auto"/>
                      </w:divBdr>
                      <w:divsChild>
                        <w:div w:id="305356326">
                          <w:marLeft w:val="0"/>
                          <w:marRight w:val="0"/>
                          <w:marTop w:val="0"/>
                          <w:marBottom w:val="0"/>
                          <w:divBdr>
                            <w:top w:val="none" w:sz="0" w:space="0" w:color="auto"/>
                            <w:left w:val="none" w:sz="0" w:space="0" w:color="auto"/>
                            <w:bottom w:val="none" w:sz="0" w:space="0" w:color="auto"/>
                            <w:right w:val="none" w:sz="0" w:space="0" w:color="auto"/>
                          </w:divBdr>
                          <w:divsChild>
                            <w:div w:id="11807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876042">
      <w:bodyDiv w:val="1"/>
      <w:marLeft w:val="0"/>
      <w:marRight w:val="0"/>
      <w:marTop w:val="0"/>
      <w:marBottom w:val="0"/>
      <w:divBdr>
        <w:top w:val="none" w:sz="0" w:space="0" w:color="auto"/>
        <w:left w:val="none" w:sz="0" w:space="0" w:color="auto"/>
        <w:bottom w:val="none" w:sz="0" w:space="0" w:color="auto"/>
        <w:right w:val="none" w:sz="0" w:space="0" w:color="auto"/>
      </w:divBdr>
    </w:div>
    <w:div w:id="1693023121">
      <w:bodyDiv w:val="1"/>
      <w:marLeft w:val="0"/>
      <w:marRight w:val="0"/>
      <w:marTop w:val="0"/>
      <w:marBottom w:val="0"/>
      <w:divBdr>
        <w:top w:val="none" w:sz="0" w:space="0" w:color="auto"/>
        <w:left w:val="none" w:sz="0" w:space="0" w:color="auto"/>
        <w:bottom w:val="none" w:sz="0" w:space="0" w:color="auto"/>
        <w:right w:val="none" w:sz="0" w:space="0" w:color="auto"/>
      </w:divBdr>
    </w:div>
    <w:div w:id="1748920672">
      <w:bodyDiv w:val="1"/>
      <w:marLeft w:val="0"/>
      <w:marRight w:val="0"/>
      <w:marTop w:val="0"/>
      <w:marBottom w:val="0"/>
      <w:divBdr>
        <w:top w:val="none" w:sz="0" w:space="0" w:color="auto"/>
        <w:left w:val="none" w:sz="0" w:space="0" w:color="auto"/>
        <w:bottom w:val="none" w:sz="0" w:space="0" w:color="auto"/>
        <w:right w:val="none" w:sz="0" w:space="0" w:color="auto"/>
      </w:divBdr>
    </w:div>
    <w:div w:id="1763836881">
      <w:bodyDiv w:val="1"/>
      <w:marLeft w:val="0"/>
      <w:marRight w:val="0"/>
      <w:marTop w:val="0"/>
      <w:marBottom w:val="0"/>
      <w:divBdr>
        <w:top w:val="none" w:sz="0" w:space="0" w:color="auto"/>
        <w:left w:val="none" w:sz="0" w:space="0" w:color="auto"/>
        <w:bottom w:val="none" w:sz="0" w:space="0" w:color="auto"/>
        <w:right w:val="none" w:sz="0" w:space="0" w:color="auto"/>
      </w:divBdr>
    </w:div>
    <w:div w:id="1794861109">
      <w:bodyDiv w:val="1"/>
      <w:marLeft w:val="0"/>
      <w:marRight w:val="0"/>
      <w:marTop w:val="0"/>
      <w:marBottom w:val="0"/>
      <w:divBdr>
        <w:top w:val="none" w:sz="0" w:space="0" w:color="auto"/>
        <w:left w:val="none" w:sz="0" w:space="0" w:color="auto"/>
        <w:bottom w:val="none" w:sz="0" w:space="0" w:color="auto"/>
        <w:right w:val="none" w:sz="0" w:space="0" w:color="auto"/>
      </w:divBdr>
    </w:div>
    <w:div w:id="1800873048">
      <w:bodyDiv w:val="1"/>
      <w:marLeft w:val="0"/>
      <w:marRight w:val="0"/>
      <w:marTop w:val="0"/>
      <w:marBottom w:val="0"/>
      <w:divBdr>
        <w:top w:val="none" w:sz="0" w:space="0" w:color="auto"/>
        <w:left w:val="none" w:sz="0" w:space="0" w:color="auto"/>
        <w:bottom w:val="none" w:sz="0" w:space="0" w:color="auto"/>
        <w:right w:val="none" w:sz="0" w:space="0" w:color="auto"/>
      </w:divBdr>
    </w:div>
    <w:div w:id="1801222304">
      <w:bodyDiv w:val="1"/>
      <w:marLeft w:val="0"/>
      <w:marRight w:val="0"/>
      <w:marTop w:val="0"/>
      <w:marBottom w:val="0"/>
      <w:divBdr>
        <w:top w:val="none" w:sz="0" w:space="0" w:color="auto"/>
        <w:left w:val="none" w:sz="0" w:space="0" w:color="auto"/>
        <w:bottom w:val="none" w:sz="0" w:space="0" w:color="auto"/>
        <w:right w:val="none" w:sz="0" w:space="0" w:color="auto"/>
      </w:divBdr>
    </w:div>
    <w:div w:id="1805536431">
      <w:bodyDiv w:val="1"/>
      <w:marLeft w:val="0"/>
      <w:marRight w:val="0"/>
      <w:marTop w:val="0"/>
      <w:marBottom w:val="0"/>
      <w:divBdr>
        <w:top w:val="none" w:sz="0" w:space="0" w:color="auto"/>
        <w:left w:val="none" w:sz="0" w:space="0" w:color="auto"/>
        <w:bottom w:val="none" w:sz="0" w:space="0" w:color="auto"/>
        <w:right w:val="none" w:sz="0" w:space="0" w:color="auto"/>
      </w:divBdr>
    </w:div>
    <w:div w:id="1806503151">
      <w:bodyDiv w:val="1"/>
      <w:marLeft w:val="0"/>
      <w:marRight w:val="0"/>
      <w:marTop w:val="0"/>
      <w:marBottom w:val="0"/>
      <w:divBdr>
        <w:top w:val="none" w:sz="0" w:space="0" w:color="auto"/>
        <w:left w:val="none" w:sz="0" w:space="0" w:color="auto"/>
        <w:bottom w:val="none" w:sz="0" w:space="0" w:color="auto"/>
        <w:right w:val="none" w:sz="0" w:space="0" w:color="auto"/>
      </w:divBdr>
    </w:div>
    <w:div w:id="1816141698">
      <w:bodyDiv w:val="1"/>
      <w:marLeft w:val="0"/>
      <w:marRight w:val="0"/>
      <w:marTop w:val="0"/>
      <w:marBottom w:val="0"/>
      <w:divBdr>
        <w:top w:val="none" w:sz="0" w:space="0" w:color="auto"/>
        <w:left w:val="none" w:sz="0" w:space="0" w:color="auto"/>
        <w:bottom w:val="none" w:sz="0" w:space="0" w:color="auto"/>
        <w:right w:val="none" w:sz="0" w:space="0" w:color="auto"/>
      </w:divBdr>
    </w:div>
    <w:div w:id="1817455558">
      <w:bodyDiv w:val="1"/>
      <w:marLeft w:val="0"/>
      <w:marRight w:val="0"/>
      <w:marTop w:val="0"/>
      <w:marBottom w:val="0"/>
      <w:divBdr>
        <w:top w:val="none" w:sz="0" w:space="0" w:color="auto"/>
        <w:left w:val="none" w:sz="0" w:space="0" w:color="auto"/>
        <w:bottom w:val="none" w:sz="0" w:space="0" w:color="auto"/>
        <w:right w:val="none" w:sz="0" w:space="0" w:color="auto"/>
      </w:divBdr>
    </w:div>
    <w:div w:id="1819221497">
      <w:bodyDiv w:val="1"/>
      <w:marLeft w:val="0"/>
      <w:marRight w:val="0"/>
      <w:marTop w:val="0"/>
      <w:marBottom w:val="0"/>
      <w:divBdr>
        <w:top w:val="none" w:sz="0" w:space="0" w:color="auto"/>
        <w:left w:val="none" w:sz="0" w:space="0" w:color="auto"/>
        <w:bottom w:val="none" w:sz="0" w:space="0" w:color="auto"/>
        <w:right w:val="none" w:sz="0" w:space="0" w:color="auto"/>
      </w:divBdr>
    </w:div>
    <w:div w:id="1819951593">
      <w:bodyDiv w:val="1"/>
      <w:marLeft w:val="0"/>
      <w:marRight w:val="0"/>
      <w:marTop w:val="0"/>
      <w:marBottom w:val="0"/>
      <w:divBdr>
        <w:top w:val="none" w:sz="0" w:space="0" w:color="auto"/>
        <w:left w:val="none" w:sz="0" w:space="0" w:color="auto"/>
        <w:bottom w:val="none" w:sz="0" w:space="0" w:color="auto"/>
        <w:right w:val="none" w:sz="0" w:space="0" w:color="auto"/>
      </w:divBdr>
    </w:div>
    <w:div w:id="18229637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sChild>
            <w:div w:id="617879265">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129"/>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7207">
      <w:bodyDiv w:val="1"/>
      <w:marLeft w:val="0"/>
      <w:marRight w:val="0"/>
      <w:marTop w:val="0"/>
      <w:marBottom w:val="0"/>
      <w:divBdr>
        <w:top w:val="none" w:sz="0" w:space="0" w:color="auto"/>
        <w:left w:val="none" w:sz="0" w:space="0" w:color="auto"/>
        <w:bottom w:val="none" w:sz="0" w:space="0" w:color="auto"/>
        <w:right w:val="none" w:sz="0" w:space="0" w:color="auto"/>
      </w:divBdr>
    </w:div>
    <w:div w:id="1864243407">
      <w:bodyDiv w:val="1"/>
      <w:marLeft w:val="0"/>
      <w:marRight w:val="0"/>
      <w:marTop w:val="0"/>
      <w:marBottom w:val="0"/>
      <w:divBdr>
        <w:top w:val="none" w:sz="0" w:space="0" w:color="auto"/>
        <w:left w:val="none" w:sz="0" w:space="0" w:color="auto"/>
        <w:bottom w:val="none" w:sz="0" w:space="0" w:color="auto"/>
        <w:right w:val="none" w:sz="0" w:space="0" w:color="auto"/>
      </w:divBdr>
    </w:div>
    <w:div w:id="1886717864">
      <w:bodyDiv w:val="1"/>
      <w:marLeft w:val="0"/>
      <w:marRight w:val="0"/>
      <w:marTop w:val="0"/>
      <w:marBottom w:val="0"/>
      <w:divBdr>
        <w:top w:val="none" w:sz="0" w:space="0" w:color="auto"/>
        <w:left w:val="none" w:sz="0" w:space="0" w:color="auto"/>
        <w:bottom w:val="none" w:sz="0" w:space="0" w:color="auto"/>
        <w:right w:val="none" w:sz="0" w:space="0" w:color="auto"/>
      </w:divBdr>
    </w:div>
    <w:div w:id="1891648841">
      <w:bodyDiv w:val="1"/>
      <w:marLeft w:val="0"/>
      <w:marRight w:val="0"/>
      <w:marTop w:val="0"/>
      <w:marBottom w:val="0"/>
      <w:divBdr>
        <w:top w:val="none" w:sz="0" w:space="0" w:color="auto"/>
        <w:left w:val="none" w:sz="0" w:space="0" w:color="auto"/>
        <w:bottom w:val="none" w:sz="0" w:space="0" w:color="auto"/>
        <w:right w:val="none" w:sz="0" w:space="0" w:color="auto"/>
      </w:divBdr>
    </w:div>
    <w:div w:id="1904636001">
      <w:bodyDiv w:val="1"/>
      <w:marLeft w:val="0"/>
      <w:marRight w:val="0"/>
      <w:marTop w:val="0"/>
      <w:marBottom w:val="0"/>
      <w:divBdr>
        <w:top w:val="none" w:sz="0" w:space="0" w:color="auto"/>
        <w:left w:val="none" w:sz="0" w:space="0" w:color="auto"/>
        <w:bottom w:val="none" w:sz="0" w:space="0" w:color="auto"/>
        <w:right w:val="none" w:sz="0" w:space="0" w:color="auto"/>
      </w:divBdr>
    </w:div>
    <w:div w:id="1922596601">
      <w:bodyDiv w:val="1"/>
      <w:marLeft w:val="0"/>
      <w:marRight w:val="0"/>
      <w:marTop w:val="0"/>
      <w:marBottom w:val="0"/>
      <w:divBdr>
        <w:top w:val="none" w:sz="0" w:space="0" w:color="auto"/>
        <w:left w:val="none" w:sz="0" w:space="0" w:color="auto"/>
        <w:bottom w:val="none" w:sz="0" w:space="0" w:color="auto"/>
        <w:right w:val="none" w:sz="0" w:space="0" w:color="auto"/>
      </w:divBdr>
    </w:div>
    <w:div w:id="1932471509">
      <w:bodyDiv w:val="1"/>
      <w:marLeft w:val="0"/>
      <w:marRight w:val="0"/>
      <w:marTop w:val="0"/>
      <w:marBottom w:val="0"/>
      <w:divBdr>
        <w:top w:val="none" w:sz="0" w:space="0" w:color="auto"/>
        <w:left w:val="none" w:sz="0" w:space="0" w:color="auto"/>
        <w:bottom w:val="none" w:sz="0" w:space="0" w:color="auto"/>
        <w:right w:val="none" w:sz="0" w:space="0" w:color="auto"/>
      </w:divBdr>
    </w:div>
    <w:div w:id="1937781952">
      <w:bodyDiv w:val="1"/>
      <w:marLeft w:val="0"/>
      <w:marRight w:val="0"/>
      <w:marTop w:val="0"/>
      <w:marBottom w:val="0"/>
      <w:divBdr>
        <w:top w:val="none" w:sz="0" w:space="0" w:color="auto"/>
        <w:left w:val="none" w:sz="0" w:space="0" w:color="auto"/>
        <w:bottom w:val="none" w:sz="0" w:space="0" w:color="auto"/>
        <w:right w:val="none" w:sz="0" w:space="0" w:color="auto"/>
      </w:divBdr>
    </w:div>
    <w:div w:id="1996181213">
      <w:bodyDiv w:val="1"/>
      <w:marLeft w:val="0"/>
      <w:marRight w:val="0"/>
      <w:marTop w:val="0"/>
      <w:marBottom w:val="0"/>
      <w:divBdr>
        <w:top w:val="none" w:sz="0" w:space="0" w:color="auto"/>
        <w:left w:val="none" w:sz="0" w:space="0" w:color="auto"/>
        <w:bottom w:val="none" w:sz="0" w:space="0" w:color="auto"/>
        <w:right w:val="none" w:sz="0" w:space="0" w:color="auto"/>
      </w:divBdr>
    </w:div>
    <w:div w:id="2011324154">
      <w:bodyDiv w:val="1"/>
      <w:marLeft w:val="0"/>
      <w:marRight w:val="0"/>
      <w:marTop w:val="0"/>
      <w:marBottom w:val="0"/>
      <w:divBdr>
        <w:top w:val="none" w:sz="0" w:space="0" w:color="auto"/>
        <w:left w:val="none" w:sz="0" w:space="0" w:color="auto"/>
        <w:bottom w:val="none" w:sz="0" w:space="0" w:color="auto"/>
        <w:right w:val="none" w:sz="0" w:space="0" w:color="auto"/>
      </w:divBdr>
    </w:div>
    <w:div w:id="2027706920">
      <w:bodyDiv w:val="1"/>
      <w:marLeft w:val="0"/>
      <w:marRight w:val="0"/>
      <w:marTop w:val="0"/>
      <w:marBottom w:val="0"/>
      <w:divBdr>
        <w:top w:val="none" w:sz="0" w:space="0" w:color="auto"/>
        <w:left w:val="none" w:sz="0" w:space="0" w:color="auto"/>
        <w:bottom w:val="none" w:sz="0" w:space="0" w:color="auto"/>
        <w:right w:val="none" w:sz="0" w:space="0" w:color="auto"/>
      </w:divBdr>
    </w:div>
    <w:div w:id="2032149364">
      <w:bodyDiv w:val="1"/>
      <w:marLeft w:val="0"/>
      <w:marRight w:val="0"/>
      <w:marTop w:val="0"/>
      <w:marBottom w:val="0"/>
      <w:divBdr>
        <w:top w:val="none" w:sz="0" w:space="0" w:color="auto"/>
        <w:left w:val="none" w:sz="0" w:space="0" w:color="auto"/>
        <w:bottom w:val="none" w:sz="0" w:space="0" w:color="auto"/>
        <w:right w:val="none" w:sz="0" w:space="0" w:color="auto"/>
      </w:divBdr>
      <w:divsChild>
        <w:div w:id="447967143">
          <w:marLeft w:val="0"/>
          <w:marRight w:val="0"/>
          <w:marTop w:val="0"/>
          <w:marBottom w:val="0"/>
          <w:divBdr>
            <w:top w:val="none" w:sz="0" w:space="0" w:color="auto"/>
            <w:left w:val="none" w:sz="0" w:space="0" w:color="auto"/>
            <w:bottom w:val="none" w:sz="0" w:space="0" w:color="auto"/>
            <w:right w:val="none" w:sz="0" w:space="0" w:color="auto"/>
          </w:divBdr>
          <w:divsChild>
            <w:div w:id="344285198">
              <w:marLeft w:val="0"/>
              <w:marRight w:val="0"/>
              <w:marTop w:val="0"/>
              <w:marBottom w:val="0"/>
              <w:divBdr>
                <w:top w:val="none" w:sz="0" w:space="0" w:color="auto"/>
                <w:left w:val="none" w:sz="0" w:space="0" w:color="auto"/>
                <w:bottom w:val="none" w:sz="0" w:space="0" w:color="auto"/>
                <w:right w:val="none" w:sz="0" w:space="0" w:color="auto"/>
              </w:divBdr>
              <w:divsChild>
                <w:div w:id="133565078">
                  <w:marLeft w:val="0"/>
                  <w:marRight w:val="0"/>
                  <w:marTop w:val="0"/>
                  <w:marBottom w:val="129"/>
                  <w:divBdr>
                    <w:top w:val="none" w:sz="0" w:space="0" w:color="auto"/>
                    <w:left w:val="none" w:sz="0" w:space="0" w:color="auto"/>
                    <w:bottom w:val="none" w:sz="0" w:space="0" w:color="auto"/>
                    <w:right w:val="none" w:sz="0" w:space="0" w:color="auto"/>
                  </w:divBdr>
                  <w:divsChild>
                    <w:div w:id="1776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2252">
      <w:bodyDiv w:val="1"/>
      <w:marLeft w:val="0"/>
      <w:marRight w:val="0"/>
      <w:marTop w:val="0"/>
      <w:marBottom w:val="0"/>
      <w:divBdr>
        <w:top w:val="none" w:sz="0" w:space="0" w:color="auto"/>
        <w:left w:val="none" w:sz="0" w:space="0" w:color="auto"/>
        <w:bottom w:val="none" w:sz="0" w:space="0" w:color="auto"/>
        <w:right w:val="none" w:sz="0" w:space="0" w:color="auto"/>
      </w:divBdr>
    </w:div>
    <w:div w:id="2054573595">
      <w:bodyDiv w:val="1"/>
      <w:marLeft w:val="0"/>
      <w:marRight w:val="0"/>
      <w:marTop w:val="0"/>
      <w:marBottom w:val="0"/>
      <w:divBdr>
        <w:top w:val="none" w:sz="0" w:space="0" w:color="auto"/>
        <w:left w:val="none" w:sz="0" w:space="0" w:color="auto"/>
        <w:bottom w:val="none" w:sz="0" w:space="0" w:color="auto"/>
        <w:right w:val="none" w:sz="0" w:space="0" w:color="auto"/>
      </w:divBdr>
    </w:div>
    <w:div w:id="2056008307">
      <w:bodyDiv w:val="1"/>
      <w:marLeft w:val="0"/>
      <w:marRight w:val="0"/>
      <w:marTop w:val="0"/>
      <w:marBottom w:val="0"/>
      <w:divBdr>
        <w:top w:val="none" w:sz="0" w:space="0" w:color="auto"/>
        <w:left w:val="none" w:sz="0" w:space="0" w:color="auto"/>
        <w:bottom w:val="none" w:sz="0" w:space="0" w:color="auto"/>
        <w:right w:val="none" w:sz="0" w:space="0" w:color="auto"/>
      </w:divBdr>
    </w:div>
    <w:div w:id="2057194842">
      <w:bodyDiv w:val="1"/>
      <w:marLeft w:val="0"/>
      <w:marRight w:val="0"/>
      <w:marTop w:val="0"/>
      <w:marBottom w:val="0"/>
      <w:divBdr>
        <w:top w:val="none" w:sz="0" w:space="0" w:color="auto"/>
        <w:left w:val="none" w:sz="0" w:space="0" w:color="auto"/>
        <w:bottom w:val="none" w:sz="0" w:space="0" w:color="auto"/>
        <w:right w:val="none" w:sz="0" w:space="0" w:color="auto"/>
      </w:divBdr>
    </w:div>
    <w:div w:id="2077893961">
      <w:bodyDiv w:val="1"/>
      <w:marLeft w:val="0"/>
      <w:marRight w:val="0"/>
      <w:marTop w:val="0"/>
      <w:marBottom w:val="0"/>
      <w:divBdr>
        <w:top w:val="none" w:sz="0" w:space="0" w:color="auto"/>
        <w:left w:val="none" w:sz="0" w:space="0" w:color="auto"/>
        <w:bottom w:val="none" w:sz="0" w:space="0" w:color="auto"/>
        <w:right w:val="none" w:sz="0" w:space="0" w:color="auto"/>
      </w:divBdr>
    </w:div>
    <w:div w:id="2080666072">
      <w:bodyDiv w:val="1"/>
      <w:marLeft w:val="0"/>
      <w:marRight w:val="0"/>
      <w:marTop w:val="0"/>
      <w:marBottom w:val="0"/>
      <w:divBdr>
        <w:top w:val="none" w:sz="0" w:space="0" w:color="auto"/>
        <w:left w:val="none" w:sz="0" w:space="0" w:color="auto"/>
        <w:bottom w:val="none" w:sz="0" w:space="0" w:color="auto"/>
        <w:right w:val="none" w:sz="0" w:space="0" w:color="auto"/>
      </w:divBdr>
      <w:divsChild>
        <w:div w:id="720372983">
          <w:marLeft w:val="0"/>
          <w:marRight w:val="0"/>
          <w:marTop w:val="0"/>
          <w:marBottom w:val="0"/>
          <w:divBdr>
            <w:top w:val="none" w:sz="0" w:space="0" w:color="auto"/>
            <w:left w:val="none" w:sz="0" w:space="0" w:color="auto"/>
            <w:bottom w:val="none" w:sz="0" w:space="0" w:color="auto"/>
            <w:right w:val="none" w:sz="0" w:space="0" w:color="auto"/>
          </w:divBdr>
          <w:divsChild>
            <w:div w:id="1362821808">
              <w:marLeft w:val="0"/>
              <w:marRight w:val="0"/>
              <w:marTop w:val="0"/>
              <w:marBottom w:val="0"/>
              <w:divBdr>
                <w:top w:val="none" w:sz="0" w:space="0" w:color="auto"/>
                <w:left w:val="none" w:sz="0" w:space="0" w:color="auto"/>
                <w:bottom w:val="none" w:sz="0" w:space="0" w:color="auto"/>
                <w:right w:val="none" w:sz="0" w:space="0" w:color="auto"/>
              </w:divBdr>
              <w:divsChild>
                <w:div w:id="1431853735">
                  <w:marLeft w:val="0"/>
                  <w:marRight w:val="0"/>
                  <w:marTop w:val="0"/>
                  <w:marBottom w:val="129"/>
                  <w:divBdr>
                    <w:top w:val="none" w:sz="0" w:space="0" w:color="auto"/>
                    <w:left w:val="none" w:sz="0" w:space="0" w:color="auto"/>
                    <w:bottom w:val="none" w:sz="0" w:space="0" w:color="auto"/>
                    <w:right w:val="none" w:sz="0" w:space="0" w:color="auto"/>
                  </w:divBdr>
                  <w:divsChild>
                    <w:div w:id="2116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055664">
      <w:bodyDiv w:val="1"/>
      <w:marLeft w:val="0"/>
      <w:marRight w:val="0"/>
      <w:marTop w:val="0"/>
      <w:marBottom w:val="0"/>
      <w:divBdr>
        <w:top w:val="none" w:sz="0" w:space="0" w:color="auto"/>
        <w:left w:val="none" w:sz="0" w:space="0" w:color="auto"/>
        <w:bottom w:val="none" w:sz="0" w:space="0" w:color="auto"/>
        <w:right w:val="none" w:sz="0" w:space="0" w:color="auto"/>
      </w:divBdr>
    </w:div>
    <w:div w:id="2102097000">
      <w:bodyDiv w:val="1"/>
      <w:marLeft w:val="0"/>
      <w:marRight w:val="0"/>
      <w:marTop w:val="0"/>
      <w:marBottom w:val="0"/>
      <w:divBdr>
        <w:top w:val="none" w:sz="0" w:space="0" w:color="auto"/>
        <w:left w:val="none" w:sz="0" w:space="0" w:color="auto"/>
        <w:bottom w:val="none" w:sz="0" w:space="0" w:color="auto"/>
        <w:right w:val="none" w:sz="0" w:space="0" w:color="auto"/>
      </w:divBdr>
    </w:div>
    <w:div w:id="21423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2.xml"/><Relationship Id="rId39" Type="http://schemas.openxmlformats.org/officeDocument/2006/relationships/image" Target="media/image6.emf"/><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image" Target="media/image9.png"/><Relationship Id="rId47" Type="http://schemas.openxmlformats.org/officeDocument/2006/relationships/image" Target="media/image14.emf"/><Relationship Id="rId50" Type="http://schemas.openxmlformats.org/officeDocument/2006/relationships/header" Target="header24.xml"/><Relationship Id="rId55" Type="http://schemas.openxmlformats.org/officeDocument/2006/relationships/header" Target="header2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image" Target="media/image5.emf"/><Relationship Id="rId46" Type="http://schemas.openxmlformats.org/officeDocument/2006/relationships/image" Target="media/image13.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image" Target="media/image8.emf"/><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image" Target="media/image12.emf"/><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15" Type="http://schemas.openxmlformats.org/officeDocument/2006/relationships/hyperlink" Target="mailto:icrc@act.gov.au" TargetMode="Externa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23.xml"/><Relationship Id="rId57" Type="http://schemas.openxmlformats.org/officeDocument/2006/relationships/header" Target="header3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17.xml"/><Relationship Id="rId44" Type="http://schemas.openxmlformats.org/officeDocument/2006/relationships/image" Target="media/image11.png"/><Relationship Id="rId52" Type="http://schemas.openxmlformats.org/officeDocument/2006/relationships/header" Target="header26.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crc.act.gov.au"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10.emf"/><Relationship Id="rId48" Type="http://schemas.openxmlformats.org/officeDocument/2006/relationships/image" Target="media/image15.png"/><Relationship Id="rId56" Type="http://schemas.openxmlformats.org/officeDocument/2006/relationships/header" Target="header30.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ICRC\ICRC%20RECORDS%20MANAGEMENT\UTILITIES%20&amp;%20INFRASTRUCTURE%20REGULATION\Determinations%20(Regulated%20Industries)\FRC%20Retail%20Tariff%202014%20%231310941\B-Reports\2%20Issues%20paper\RREP%20-%20Issues%20Paper%20Template%20V1.3%2013.09.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18AB4-26E6-41DD-AF90-04FEA15BE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RREP - Issues Paper Template V1.3 13.09.17</Template>
  <TotalTime>10</TotalTime>
  <Pages>27</Pages>
  <Words>3314</Words>
  <Characters>18890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Outcomes and prospects</vt:lpstr>
    </vt:vector>
  </TitlesOfParts>
  <Company>ACT Government</Company>
  <LinksUpToDate>false</LinksUpToDate>
  <CharactersWithSpaces>22160</CharactersWithSpaces>
  <SharedDoc>false</SharedDoc>
  <HLinks>
    <vt:vector size="138" baseType="variant">
      <vt:variant>
        <vt:i4>1507378</vt:i4>
      </vt:variant>
      <vt:variant>
        <vt:i4>131</vt:i4>
      </vt:variant>
      <vt:variant>
        <vt:i4>0</vt:i4>
      </vt:variant>
      <vt:variant>
        <vt:i4>5</vt:i4>
      </vt:variant>
      <vt:variant>
        <vt:lpwstr/>
      </vt:variant>
      <vt:variant>
        <vt:lpwstr>_Toc300311025</vt:lpwstr>
      </vt:variant>
      <vt:variant>
        <vt:i4>1507378</vt:i4>
      </vt:variant>
      <vt:variant>
        <vt:i4>125</vt:i4>
      </vt:variant>
      <vt:variant>
        <vt:i4>0</vt:i4>
      </vt:variant>
      <vt:variant>
        <vt:i4>5</vt:i4>
      </vt:variant>
      <vt:variant>
        <vt:lpwstr/>
      </vt:variant>
      <vt:variant>
        <vt:lpwstr>_Toc300311024</vt:lpwstr>
      </vt:variant>
      <vt:variant>
        <vt:i4>1507378</vt:i4>
      </vt:variant>
      <vt:variant>
        <vt:i4>119</vt:i4>
      </vt:variant>
      <vt:variant>
        <vt:i4>0</vt:i4>
      </vt:variant>
      <vt:variant>
        <vt:i4>5</vt:i4>
      </vt:variant>
      <vt:variant>
        <vt:lpwstr/>
      </vt:variant>
      <vt:variant>
        <vt:lpwstr>_Toc300311023</vt:lpwstr>
      </vt:variant>
      <vt:variant>
        <vt:i4>1507378</vt:i4>
      </vt:variant>
      <vt:variant>
        <vt:i4>113</vt:i4>
      </vt:variant>
      <vt:variant>
        <vt:i4>0</vt:i4>
      </vt:variant>
      <vt:variant>
        <vt:i4>5</vt:i4>
      </vt:variant>
      <vt:variant>
        <vt:lpwstr/>
      </vt:variant>
      <vt:variant>
        <vt:lpwstr>_Toc300311022</vt:lpwstr>
      </vt:variant>
      <vt:variant>
        <vt:i4>1507378</vt:i4>
      </vt:variant>
      <vt:variant>
        <vt:i4>107</vt:i4>
      </vt:variant>
      <vt:variant>
        <vt:i4>0</vt:i4>
      </vt:variant>
      <vt:variant>
        <vt:i4>5</vt:i4>
      </vt:variant>
      <vt:variant>
        <vt:lpwstr/>
      </vt:variant>
      <vt:variant>
        <vt:lpwstr>_Toc300311021</vt:lpwstr>
      </vt:variant>
      <vt:variant>
        <vt:i4>1507378</vt:i4>
      </vt:variant>
      <vt:variant>
        <vt:i4>101</vt:i4>
      </vt:variant>
      <vt:variant>
        <vt:i4>0</vt:i4>
      </vt:variant>
      <vt:variant>
        <vt:i4>5</vt:i4>
      </vt:variant>
      <vt:variant>
        <vt:lpwstr/>
      </vt:variant>
      <vt:variant>
        <vt:lpwstr>_Toc300311020</vt:lpwstr>
      </vt:variant>
      <vt:variant>
        <vt:i4>1310770</vt:i4>
      </vt:variant>
      <vt:variant>
        <vt:i4>95</vt:i4>
      </vt:variant>
      <vt:variant>
        <vt:i4>0</vt:i4>
      </vt:variant>
      <vt:variant>
        <vt:i4>5</vt:i4>
      </vt:variant>
      <vt:variant>
        <vt:lpwstr/>
      </vt:variant>
      <vt:variant>
        <vt:lpwstr>_Toc300311019</vt:lpwstr>
      </vt:variant>
      <vt:variant>
        <vt:i4>1310770</vt:i4>
      </vt:variant>
      <vt:variant>
        <vt:i4>89</vt:i4>
      </vt:variant>
      <vt:variant>
        <vt:i4>0</vt:i4>
      </vt:variant>
      <vt:variant>
        <vt:i4>5</vt:i4>
      </vt:variant>
      <vt:variant>
        <vt:lpwstr/>
      </vt:variant>
      <vt:variant>
        <vt:lpwstr>_Toc300311018</vt:lpwstr>
      </vt:variant>
      <vt:variant>
        <vt:i4>1310770</vt:i4>
      </vt:variant>
      <vt:variant>
        <vt:i4>83</vt:i4>
      </vt:variant>
      <vt:variant>
        <vt:i4>0</vt:i4>
      </vt:variant>
      <vt:variant>
        <vt:i4>5</vt:i4>
      </vt:variant>
      <vt:variant>
        <vt:lpwstr/>
      </vt:variant>
      <vt:variant>
        <vt:lpwstr>_Toc300311017</vt:lpwstr>
      </vt:variant>
      <vt:variant>
        <vt:i4>1310770</vt:i4>
      </vt:variant>
      <vt:variant>
        <vt:i4>77</vt:i4>
      </vt:variant>
      <vt:variant>
        <vt:i4>0</vt:i4>
      </vt:variant>
      <vt:variant>
        <vt:i4>5</vt:i4>
      </vt:variant>
      <vt:variant>
        <vt:lpwstr/>
      </vt:variant>
      <vt:variant>
        <vt:lpwstr>_Toc300311016</vt:lpwstr>
      </vt:variant>
      <vt:variant>
        <vt:i4>1310770</vt:i4>
      </vt:variant>
      <vt:variant>
        <vt:i4>71</vt:i4>
      </vt:variant>
      <vt:variant>
        <vt:i4>0</vt:i4>
      </vt:variant>
      <vt:variant>
        <vt:i4>5</vt:i4>
      </vt:variant>
      <vt:variant>
        <vt:lpwstr/>
      </vt:variant>
      <vt:variant>
        <vt:lpwstr>_Toc300311015</vt:lpwstr>
      </vt:variant>
      <vt:variant>
        <vt:i4>1310770</vt:i4>
      </vt:variant>
      <vt:variant>
        <vt:i4>65</vt:i4>
      </vt:variant>
      <vt:variant>
        <vt:i4>0</vt:i4>
      </vt:variant>
      <vt:variant>
        <vt:i4>5</vt:i4>
      </vt:variant>
      <vt:variant>
        <vt:lpwstr/>
      </vt:variant>
      <vt:variant>
        <vt:lpwstr>_Toc300311014</vt:lpwstr>
      </vt:variant>
      <vt:variant>
        <vt:i4>1310770</vt:i4>
      </vt:variant>
      <vt:variant>
        <vt:i4>59</vt:i4>
      </vt:variant>
      <vt:variant>
        <vt:i4>0</vt:i4>
      </vt:variant>
      <vt:variant>
        <vt:i4>5</vt:i4>
      </vt:variant>
      <vt:variant>
        <vt:lpwstr/>
      </vt:variant>
      <vt:variant>
        <vt:lpwstr>_Toc300311013</vt:lpwstr>
      </vt:variant>
      <vt:variant>
        <vt:i4>1310770</vt:i4>
      </vt:variant>
      <vt:variant>
        <vt:i4>53</vt:i4>
      </vt:variant>
      <vt:variant>
        <vt:i4>0</vt:i4>
      </vt:variant>
      <vt:variant>
        <vt:i4>5</vt:i4>
      </vt:variant>
      <vt:variant>
        <vt:lpwstr/>
      </vt:variant>
      <vt:variant>
        <vt:lpwstr>_Toc300311012</vt:lpwstr>
      </vt:variant>
      <vt:variant>
        <vt:i4>1310770</vt:i4>
      </vt:variant>
      <vt:variant>
        <vt:i4>47</vt:i4>
      </vt:variant>
      <vt:variant>
        <vt:i4>0</vt:i4>
      </vt:variant>
      <vt:variant>
        <vt:i4>5</vt:i4>
      </vt:variant>
      <vt:variant>
        <vt:lpwstr/>
      </vt:variant>
      <vt:variant>
        <vt:lpwstr>_Toc300311011</vt:lpwstr>
      </vt:variant>
      <vt:variant>
        <vt:i4>1310770</vt:i4>
      </vt:variant>
      <vt:variant>
        <vt:i4>41</vt:i4>
      </vt:variant>
      <vt:variant>
        <vt:i4>0</vt:i4>
      </vt:variant>
      <vt:variant>
        <vt:i4>5</vt:i4>
      </vt:variant>
      <vt:variant>
        <vt:lpwstr/>
      </vt:variant>
      <vt:variant>
        <vt:lpwstr>_Toc300311010</vt:lpwstr>
      </vt:variant>
      <vt:variant>
        <vt:i4>1376306</vt:i4>
      </vt:variant>
      <vt:variant>
        <vt:i4>35</vt:i4>
      </vt:variant>
      <vt:variant>
        <vt:i4>0</vt:i4>
      </vt:variant>
      <vt:variant>
        <vt:i4>5</vt:i4>
      </vt:variant>
      <vt:variant>
        <vt:lpwstr/>
      </vt:variant>
      <vt:variant>
        <vt:lpwstr>_Toc300311009</vt:lpwstr>
      </vt:variant>
      <vt:variant>
        <vt:i4>1376306</vt:i4>
      </vt:variant>
      <vt:variant>
        <vt:i4>29</vt:i4>
      </vt:variant>
      <vt:variant>
        <vt:i4>0</vt:i4>
      </vt:variant>
      <vt:variant>
        <vt:i4>5</vt:i4>
      </vt:variant>
      <vt:variant>
        <vt:lpwstr/>
      </vt:variant>
      <vt:variant>
        <vt:lpwstr>_Toc300311008</vt:lpwstr>
      </vt:variant>
      <vt:variant>
        <vt:i4>1376306</vt:i4>
      </vt:variant>
      <vt:variant>
        <vt:i4>23</vt:i4>
      </vt:variant>
      <vt:variant>
        <vt:i4>0</vt:i4>
      </vt:variant>
      <vt:variant>
        <vt:i4>5</vt:i4>
      </vt:variant>
      <vt:variant>
        <vt:lpwstr/>
      </vt:variant>
      <vt:variant>
        <vt:lpwstr>_Toc300311007</vt:lpwstr>
      </vt:variant>
      <vt:variant>
        <vt:i4>1376306</vt:i4>
      </vt:variant>
      <vt:variant>
        <vt:i4>17</vt:i4>
      </vt:variant>
      <vt:variant>
        <vt:i4>0</vt:i4>
      </vt:variant>
      <vt:variant>
        <vt:i4>5</vt:i4>
      </vt:variant>
      <vt:variant>
        <vt:lpwstr/>
      </vt:variant>
      <vt:variant>
        <vt:lpwstr>_Toc300311006</vt:lpwstr>
      </vt:variant>
      <vt:variant>
        <vt:i4>1376306</vt:i4>
      </vt:variant>
      <vt:variant>
        <vt:i4>11</vt:i4>
      </vt:variant>
      <vt:variant>
        <vt:i4>0</vt:i4>
      </vt:variant>
      <vt:variant>
        <vt:i4>5</vt:i4>
      </vt:variant>
      <vt:variant>
        <vt:lpwstr/>
      </vt:variant>
      <vt:variant>
        <vt:lpwstr>_Toc300311005</vt:lpwstr>
      </vt:variant>
      <vt:variant>
        <vt:i4>4194351</vt:i4>
      </vt:variant>
      <vt:variant>
        <vt:i4>6</vt:i4>
      </vt:variant>
      <vt:variant>
        <vt:i4>0</vt:i4>
      </vt:variant>
      <vt:variant>
        <vt:i4>5</vt:i4>
      </vt:variant>
      <vt:variant>
        <vt:lpwstr>mailto:icrc@act.gov.au</vt:lpwstr>
      </vt:variant>
      <vt:variant>
        <vt:lpwstr/>
      </vt:variant>
      <vt:variant>
        <vt:i4>6750261</vt:i4>
      </vt:variant>
      <vt:variant>
        <vt:i4>3</vt:i4>
      </vt:variant>
      <vt:variant>
        <vt:i4>0</vt:i4>
      </vt:variant>
      <vt:variant>
        <vt:i4>5</vt:i4>
      </vt:variant>
      <vt:variant>
        <vt:lpwstr>http://www.icrc.act.gov.au/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and prospects</dc:title>
  <dc:creator>jack gregory</dc:creator>
  <cp:lastModifiedBy>Thennakoon, Jayanthi</cp:lastModifiedBy>
  <cp:revision>6</cp:revision>
  <cp:lastPrinted>2017-05-29T04:39:00Z</cp:lastPrinted>
  <dcterms:created xsi:type="dcterms:W3CDTF">2017-05-29T04:36:00Z</dcterms:created>
  <dcterms:modified xsi:type="dcterms:W3CDTF">2017-05-29T05:19:00Z</dcterms:modified>
</cp:coreProperties>
</file>